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charts/chart95.xml" ContentType="application/vnd.openxmlformats-officedocument.drawingml.chart+xml"/>
  <Override PartName="/word/theme/themeOverride95.xml" ContentType="application/vnd.openxmlformats-officedocument.themeOverride+xml"/>
  <Override PartName="/word/charts/chart96.xml" ContentType="application/vnd.openxmlformats-officedocument.drawingml.chart+xml"/>
  <Override PartName="/word/theme/themeOverride96.xml" ContentType="application/vnd.openxmlformats-officedocument.themeOverride+xml"/>
  <Override PartName="/word/charts/chart97.xml" ContentType="application/vnd.openxmlformats-officedocument.drawingml.chart+xml"/>
  <Override PartName="/word/theme/themeOverride97.xml" ContentType="application/vnd.openxmlformats-officedocument.themeOverride+xml"/>
  <Override PartName="/word/charts/chart98.xml" ContentType="application/vnd.openxmlformats-officedocument.drawingml.chart+xml"/>
  <Override PartName="/word/theme/themeOverride98.xml" ContentType="application/vnd.openxmlformats-officedocument.themeOverride+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charts/chart105.xml" ContentType="application/vnd.openxmlformats-officedocument.drawingml.chart+xml"/>
  <Override PartName="/word/theme/themeOverride105.xml" ContentType="application/vnd.openxmlformats-officedocument.themeOverride+xml"/>
  <Override PartName="/word/charts/chart106.xml" ContentType="application/vnd.openxmlformats-officedocument.drawingml.chart+xml"/>
  <Override PartName="/word/theme/themeOverride106.xml" ContentType="application/vnd.openxmlformats-officedocument.themeOverride+xml"/>
  <Override PartName="/word/charts/chart107.xml" ContentType="application/vnd.openxmlformats-officedocument.drawingml.chart+xml"/>
  <Override PartName="/word/theme/themeOverride107.xml" ContentType="application/vnd.openxmlformats-officedocument.themeOverride+xml"/>
  <Override PartName="/word/charts/chart108.xml" ContentType="application/vnd.openxmlformats-officedocument.drawingml.chart+xml"/>
  <Override PartName="/word/theme/themeOverride108.xml" ContentType="application/vnd.openxmlformats-officedocument.themeOverride+xml"/>
  <Override PartName="/word/charts/chart109.xml" ContentType="application/vnd.openxmlformats-officedocument.drawingml.chart+xml"/>
  <Override PartName="/word/theme/themeOverride109.xml" ContentType="application/vnd.openxmlformats-officedocument.themeOverride+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charts/chart110.xml" ContentType="application/vnd.openxmlformats-officedocument.drawingml.chart+xml"/>
  <Override PartName="/word/theme/themeOverride110.xml" ContentType="application/vnd.openxmlformats-officedocument.themeOverride+xml"/>
  <Override PartName="/word/charts/chart111.xml" ContentType="application/vnd.openxmlformats-officedocument.drawingml.chart+xml"/>
  <Override PartName="/word/theme/themeOverride111.xml" ContentType="application/vnd.openxmlformats-officedocument.themeOverride+xml"/>
  <Override PartName="/word/charts/chart112.xml" ContentType="application/vnd.openxmlformats-officedocument.drawingml.chart+xml"/>
  <Override PartName="/word/theme/themeOverride112.xml" ContentType="application/vnd.openxmlformats-officedocument.themeOverride+xml"/>
  <Override PartName="/word/charts/chart113.xml" ContentType="application/vnd.openxmlformats-officedocument.drawingml.chart+xml"/>
  <Override PartName="/word/theme/themeOverride113.xml" ContentType="application/vnd.openxmlformats-officedocument.themeOverride+xml"/>
  <Override PartName="/word/charts/chart114.xml" ContentType="application/vnd.openxmlformats-officedocument.drawingml.chart+xml"/>
  <Override PartName="/word/theme/themeOverride114.xml" ContentType="application/vnd.openxmlformats-officedocument.themeOverride+xml"/>
  <Override PartName="/word/charts/chart115.xml" ContentType="application/vnd.openxmlformats-officedocument.drawingml.chart+xml"/>
  <Override PartName="/word/theme/themeOverride115.xml" ContentType="application/vnd.openxmlformats-officedocument.themeOverride+xml"/>
  <Override PartName="/word/charts/chart116.xml" ContentType="application/vnd.openxmlformats-officedocument.drawingml.chart+xml"/>
  <Override PartName="/word/theme/themeOverride116.xml" ContentType="application/vnd.openxmlformats-officedocument.themeOverride+xml"/>
  <Override PartName="/word/charts/chart117.xml" ContentType="application/vnd.openxmlformats-officedocument.drawingml.chart+xml"/>
  <Override PartName="/word/theme/themeOverride117.xml" ContentType="application/vnd.openxmlformats-officedocument.themeOverride+xml"/>
  <Override PartName="/word/charts/chart118.xml" ContentType="application/vnd.openxmlformats-officedocument.drawingml.chart+xml"/>
  <Override PartName="/word/theme/themeOverride118.xml" ContentType="application/vnd.openxmlformats-officedocument.themeOverride+xml"/>
  <Override PartName="/word/charts/chart119.xml" ContentType="application/vnd.openxmlformats-officedocument.drawingml.chart+xml"/>
  <Override PartName="/word/theme/themeOverride119.xml" ContentType="application/vnd.openxmlformats-officedocument.themeOverride+xml"/>
  <Override PartName="/word/charts/chart120.xml" ContentType="application/vnd.openxmlformats-officedocument.drawingml.chart+xml"/>
  <Override PartName="/word/theme/themeOverride120.xml" ContentType="application/vnd.openxmlformats-officedocument.themeOverride+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charts/chart121.xml" ContentType="application/vnd.openxmlformats-officedocument.drawingml.chart+xml"/>
  <Override PartName="/word/theme/themeOverride121.xml" ContentType="application/vnd.openxmlformats-officedocument.themeOverride+xml"/>
  <Override PartName="/word/charts/chart122.xml" ContentType="application/vnd.openxmlformats-officedocument.drawingml.chart+xml"/>
  <Override PartName="/word/theme/themeOverride122.xml" ContentType="application/vnd.openxmlformats-officedocument.themeOverride+xml"/>
  <Override PartName="/word/charts/chart123.xml" ContentType="application/vnd.openxmlformats-officedocument.drawingml.chart+xml"/>
  <Override PartName="/word/theme/themeOverride123.xml" ContentType="application/vnd.openxmlformats-officedocument.themeOverride+xml"/>
  <Override PartName="/word/charts/chart124.xml" ContentType="application/vnd.openxmlformats-officedocument.drawingml.chart+xml"/>
  <Override PartName="/word/theme/themeOverride124.xml" ContentType="application/vnd.openxmlformats-officedocument.themeOverride+xml"/>
  <Override PartName="/word/charts/chart125.xml" ContentType="application/vnd.openxmlformats-officedocument.drawingml.chart+xml"/>
  <Override PartName="/word/theme/themeOverride125.xml" ContentType="application/vnd.openxmlformats-officedocument.themeOverride+xml"/>
  <Override PartName="/word/charts/chart126.xml" ContentType="application/vnd.openxmlformats-officedocument.drawingml.chart+xml"/>
  <Override PartName="/word/theme/themeOverride126.xml" ContentType="application/vnd.openxmlformats-officedocument.themeOverride+xml"/>
  <Override PartName="/word/charts/chart127.xml" ContentType="application/vnd.openxmlformats-officedocument.drawingml.chart+xml"/>
  <Override PartName="/word/theme/themeOverride127.xml" ContentType="application/vnd.openxmlformats-officedocument.themeOverride+xml"/>
  <Override PartName="/word/charts/chart128.xml" ContentType="application/vnd.openxmlformats-officedocument.drawingml.chart+xml"/>
  <Override PartName="/word/theme/themeOverride128.xml" ContentType="application/vnd.openxmlformats-officedocument.themeOverride+xml"/>
  <Override PartName="/word/charts/chart129.xml" ContentType="application/vnd.openxmlformats-officedocument.drawingml.chart+xml"/>
  <Override PartName="/word/theme/themeOverride129.xml" ContentType="application/vnd.openxmlformats-officedocument.themeOverride+xml"/>
  <Override PartName="/word/charts/chart130.xml" ContentType="application/vnd.openxmlformats-officedocument.drawingml.chart+xml"/>
  <Override PartName="/word/theme/themeOverride130.xml" ContentType="application/vnd.openxmlformats-officedocument.themeOverride+xml"/>
  <Override PartName="/word/charts/chart131.xml" ContentType="application/vnd.openxmlformats-officedocument.drawingml.chart+xml"/>
  <Override PartName="/word/theme/themeOverride131.xml" ContentType="application/vnd.openxmlformats-officedocument.themeOverride+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132.xml" ContentType="application/vnd.openxmlformats-officedocument.drawingml.chart+xml"/>
  <Override PartName="/word/theme/themeOverride132.xml" ContentType="application/vnd.openxmlformats-officedocument.themeOverride+xml"/>
  <Override PartName="/word/charts/chart133.xml" ContentType="application/vnd.openxmlformats-officedocument.drawingml.chart+xml"/>
  <Override PartName="/word/theme/themeOverride133.xml" ContentType="application/vnd.openxmlformats-officedocument.themeOverride+xml"/>
  <Override PartName="/word/charts/chart134.xml" ContentType="application/vnd.openxmlformats-officedocument.drawingml.chart+xml"/>
  <Override PartName="/word/theme/themeOverride134.xml" ContentType="application/vnd.openxmlformats-officedocument.themeOverride+xml"/>
  <Override PartName="/word/charts/chart135.xml" ContentType="application/vnd.openxmlformats-officedocument.drawingml.chart+xml"/>
  <Override PartName="/word/theme/themeOverride135.xml" ContentType="application/vnd.openxmlformats-officedocument.themeOverride+xml"/>
  <Override PartName="/word/charts/chart136.xml" ContentType="application/vnd.openxmlformats-officedocument.drawingml.chart+xml"/>
  <Override PartName="/word/theme/themeOverride136.xml" ContentType="application/vnd.openxmlformats-officedocument.themeOverride+xml"/>
  <Override PartName="/word/charts/chart137.xml" ContentType="application/vnd.openxmlformats-officedocument.drawingml.chart+xml"/>
  <Override PartName="/word/theme/themeOverride137.xml" ContentType="application/vnd.openxmlformats-officedocument.themeOverride+xml"/>
  <Override PartName="/word/charts/chart138.xml" ContentType="application/vnd.openxmlformats-officedocument.drawingml.chart+xml"/>
  <Override PartName="/word/theme/themeOverride138.xml" ContentType="application/vnd.openxmlformats-officedocument.themeOverride+xml"/>
  <Override PartName="/word/charts/chart139.xml" ContentType="application/vnd.openxmlformats-officedocument.drawingml.chart+xml"/>
  <Override PartName="/word/theme/themeOverride139.xml" ContentType="application/vnd.openxmlformats-officedocument.themeOverride+xml"/>
  <Override PartName="/word/charts/chart140.xml" ContentType="application/vnd.openxmlformats-officedocument.drawingml.chart+xml"/>
  <Override PartName="/word/theme/themeOverride140.xml" ContentType="application/vnd.openxmlformats-officedocument.themeOverride+xml"/>
  <Override PartName="/word/charts/chart141.xml" ContentType="application/vnd.openxmlformats-officedocument.drawingml.chart+xml"/>
  <Override PartName="/word/theme/themeOverride141.xml" ContentType="application/vnd.openxmlformats-officedocument.themeOverride+xml"/>
  <Override PartName="/word/charts/chart142.xml" ContentType="application/vnd.openxmlformats-officedocument.drawingml.chart+xml"/>
  <Override PartName="/word/theme/themeOverride142.xml" ContentType="application/vnd.openxmlformats-officedocument.themeOverride+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charts/chart143.xml" ContentType="application/vnd.openxmlformats-officedocument.drawingml.chart+xml"/>
  <Override PartName="/word/theme/themeOverride143.xml" ContentType="application/vnd.openxmlformats-officedocument.themeOverride+xml"/>
  <Override PartName="/word/charts/chart144.xml" ContentType="application/vnd.openxmlformats-officedocument.drawingml.chart+xml"/>
  <Override PartName="/word/theme/themeOverride144.xml" ContentType="application/vnd.openxmlformats-officedocument.themeOverride+xml"/>
  <Override PartName="/word/charts/chart145.xml" ContentType="application/vnd.openxmlformats-officedocument.drawingml.chart+xml"/>
  <Override PartName="/word/theme/themeOverride145.xml" ContentType="application/vnd.openxmlformats-officedocument.themeOverride+xml"/>
  <Override PartName="/word/charts/chart146.xml" ContentType="application/vnd.openxmlformats-officedocument.drawingml.chart+xml"/>
  <Override PartName="/word/theme/themeOverride146.xml" ContentType="application/vnd.openxmlformats-officedocument.themeOverride+xml"/>
  <Override PartName="/word/charts/chart147.xml" ContentType="application/vnd.openxmlformats-officedocument.drawingml.chart+xml"/>
  <Override PartName="/word/theme/themeOverride147.xml" ContentType="application/vnd.openxmlformats-officedocument.themeOverride+xml"/>
  <Override PartName="/word/charts/chart148.xml" ContentType="application/vnd.openxmlformats-officedocument.drawingml.chart+xml"/>
  <Override PartName="/word/theme/themeOverride148.xml" ContentType="application/vnd.openxmlformats-officedocument.themeOverride+xml"/>
  <Override PartName="/word/charts/chart149.xml" ContentType="application/vnd.openxmlformats-officedocument.drawingml.chart+xml"/>
  <Override PartName="/word/theme/themeOverride149.xml" ContentType="application/vnd.openxmlformats-officedocument.themeOverride+xml"/>
  <Override PartName="/word/charts/chart150.xml" ContentType="application/vnd.openxmlformats-officedocument.drawingml.chart+xml"/>
  <Override PartName="/word/theme/themeOverride150.xml" ContentType="application/vnd.openxmlformats-officedocument.themeOverride+xml"/>
  <Override PartName="/word/charts/chart151.xml" ContentType="application/vnd.openxmlformats-officedocument.drawingml.chart+xml"/>
  <Override PartName="/word/theme/themeOverride151.xml" ContentType="application/vnd.openxmlformats-officedocument.themeOverride+xml"/>
  <Override PartName="/word/charts/chart152.xml" ContentType="application/vnd.openxmlformats-officedocument.drawingml.chart+xml"/>
  <Override PartName="/word/theme/themeOverride152.xml" ContentType="application/vnd.openxmlformats-officedocument.themeOverride+xml"/>
  <Override PartName="/word/charts/chart153.xml" ContentType="application/vnd.openxmlformats-officedocument.drawingml.chart+xml"/>
  <Override PartName="/word/theme/themeOverride153.xml" ContentType="application/vnd.openxmlformats-officedocument.themeOverride+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charts/chart154.xml" ContentType="application/vnd.openxmlformats-officedocument.drawingml.chart+xml"/>
  <Override PartName="/word/theme/themeOverride154.xml" ContentType="application/vnd.openxmlformats-officedocument.themeOverride+xml"/>
  <Override PartName="/word/charts/chart155.xml" ContentType="application/vnd.openxmlformats-officedocument.drawingml.chart+xml"/>
  <Override PartName="/word/theme/themeOverride155.xml" ContentType="application/vnd.openxmlformats-officedocument.themeOverride+xml"/>
  <Override PartName="/word/charts/chart156.xml" ContentType="application/vnd.openxmlformats-officedocument.drawingml.chart+xml"/>
  <Override PartName="/word/theme/themeOverride156.xml" ContentType="application/vnd.openxmlformats-officedocument.themeOverride+xml"/>
  <Override PartName="/word/charts/chart157.xml" ContentType="application/vnd.openxmlformats-officedocument.drawingml.chart+xml"/>
  <Override PartName="/word/theme/themeOverride157.xml" ContentType="application/vnd.openxmlformats-officedocument.themeOverride+xml"/>
  <Override PartName="/word/charts/chart158.xml" ContentType="application/vnd.openxmlformats-officedocument.drawingml.chart+xml"/>
  <Override PartName="/word/theme/themeOverride158.xml" ContentType="application/vnd.openxmlformats-officedocument.themeOverride+xml"/>
  <Override PartName="/word/charts/chart159.xml" ContentType="application/vnd.openxmlformats-officedocument.drawingml.chart+xml"/>
  <Override PartName="/word/theme/themeOverride159.xml" ContentType="application/vnd.openxmlformats-officedocument.themeOverride+xml"/>
  <Override PartName="/word/charts/chart160.xml" ContentType="application/vnd.openxmlformats-officedocument.drawingml.chart+xml"/>
  <Override PartName="/word/theme/themeOverride160.xml" ContentType="application/vnd.openxmlformats-officedocument.themeOverride+xml"/>
  <Override PartName="/word/charts/chart161.xml" ContentType="application/vnd.openxmlformats-officedocument.drawingml.chart+xml"/>
  <Override PartName="/word/theme/themeOverride161.xml" ContentType="application/vnd.openxmlformats-officedocument.themeOverride+xml"/>
  <Override PartName="/word/charts/chart162.xml" ContentType="application/vnd.openxmlformats-officedocument.drawingml.chart+xml"/>
  <Override PartName="/word/theme/themeOverride162.xml" ContentType="application/vnd.openxmlformats-officedocument.themeOverride+xml"/>
  <Override PartName="/word/charts/chart163.xml" ContentType="application/vnd.openxmlformats-officedocument.drawingml.chart+xml"/>
  <Override PartName="/word/theme/themeOverride163.xml" ContentType="application/vnd.openxmlformats-officedocument.themeOverride+xml"/>
  <Override PartName="/word/charts/chart164.xml" ContentType="application/vnd.openxmlformats-officedocument.drawingml.chart+xml"/>
  <Override PartName="/word/theme/themeOverride164.xml" ContentType="application/vnd.openxmlformats-officedocument.themeOverride+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7B7" w:rsidRDefault="005B7B31" w:rsidP="005B7B31">
      <w:pPr>
        <w:pStyle w:val="Pagedecouverture"/>
        <w:rPr>
          <w:noProof/>
        </w:rPr>
      </w:pPr>
      <w:bookmarkStart w:id="0" w:name="_Toc413140770"/>
      <w:bookmarkStart w:id="1" w:name="_Toc415656190"/>
      <w:bookmarkStart w:id="2" w:name="_Toc406073936"/>
      <w:bookmarkStart w:id="3" w:name="LW_BM_COVERPAGE"/>
      <w:bookmarkStart w:id="4" w:name="_GoBack"/>
      <w:bookmarkEnd w:id="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7F4950FD-6175-40C5-8745-3E89BAB221D6" style="width:450.75pt;height:428.25pt">
            <v:imagedata r:id="rId12" o:title=""/>
          </v:shape>
        </w:pict>
      </w:r>
    </w:p>
    <w:bookmarkEnd w:id="3"/>
    <w:p w:rsidR="001557B7" w:rsidRDefault="001557B7">
      <w:pPr>
        <w:rPr>
          <w:noProof/>
        </w:rPr>
        <w:sectPr w:rsidR="001557B7" w:rsidSect="005B7B31">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6" w:h="16838"/>
          <w:pgMar w:top="1134" w:right="1417" w:bottom="1134" w:left="1417" w:header="709" w:footer="709" w:gutter="0"/>
          <w:pgNumType w:start="0"/>
          <w:cols w:space="720"/>
          <w:docGrid w:linePitch="360"/>
        </w:sectPr>
      </w:pPr>
    </w:p>
    <w:bookmarkStart w:id="5" w:name="_Toc444769585"/>
    <w:bookmarkStart w:id="6" w:name="_Toc444772041"/>
    <w:bookmarkStart w:id="7" w:name="_Toc444773360"/>
    <w:bookmarkStart w:id="8" w:name="_Toc444776732"/>
    <w:bookmarkStart w:id="9" w:name="_Toc475974639"/>
    <w:bookmarkStart w:id="10" w:name="_Toc475980135"/>
    <w:bookmarkStart w:id="11" w:name="_Toc475981384"/>
    <w:bookmarkEnd w:id="0"/>
    <w:bookmarkEnd w:id="1"/>
    <w:bookmarkEnd w:id="2"/>
    <w:p w:rsidR="001557B7" w:rsidRDefault="00AD3265">
      <w:pPr>
        <w:pStyle w:val="TOC1"/>
        <w:rPr>
          <w:rFonts w:eastAsiaTheme="minorEastAsia"/>
          <w:lang w:eastAsia="en-GB"/>
        </w:rPr>
      </w:pPr>
      <w:r>
        <w:rPr>
          <w:bCs/>
        </w:rPr>
        <w:lastRenderedPageBreak/>
        <w:fldChar w:fldCharType="begin"/>
      </w:r>
      <w:r>
        <w:rPr>
          <w:bCs/>
        </w:rPr>
        <w:instrText xml:space="preserve"> TOC \o "1-1" \h \z \u </w:instrText>
      </w:r>
      <w:r>
        <w:rPr>
          <w:bCs/>
        </w:rPr>
        <w:fldChar w:fldCharType="separate"/>
      </w:r>
      <w:hyperlink w:anchor="_Toc510015266" w:history="1">
        <w:r>
          <w:rPr>
            <w:rStyle w:val="Hyperlink"/>
          </w:rPr>
          <w:t>Belgium</w:t>
        </w:r>
        <w:r>
          <w:rPr>
            <w:webHidden/>
          </w:rPr>
          <w:tab/>
        </w:r>
        <w:r>
          <w:rPr>
            <w:webHidden/>
          </w:rPr>
          <w:fldChar w:fldCharType="begin"/>
        </w:r>
        <w:r>
          <w:rPr>
            <w:webHidden/>
          </w:rPr>
          <w:instrText xml:space="preserve"> PAGEREF _Toc510015266 \h </w:instrText>
        </w:r>
        <w:r>
          <w:rPr>
            <w:webHidden/>
          </w:rPr>
        </w:r>
        <w:r>
          <w:rPr>
            <w:webHidden/>
          </w:rPr>
          <w:fldChar w:fldCharType="separate"/>
        </w:r>
        <w:r>
          <w:rPr>
            <w:webHidden/>
          </w:rPr>
          <w:t>2</w:t>
        </w:r>
        <w:r>
          <w:rPr>
            <w:webHidden/>
          </w:rPr>
          <w:fldChar w:fldCharType="end"/>
        </w:r>
      </w:hyperlink>
    </w:p>
    <w:p w:rsidR="001557B7" w:rsidRDefault="00AD3265">
      <w:pPr>
        <w:pStyle w:val="TOC1"/>
        <w:rPr>
          <w:rFonts w:eastAsiaTheme="minorEastAsia"/>
          <w:lang w:eastAsia="en-GB"/>
        </w:rPr>
      </w:pPr>
      <w:hyperlink w:anchor="_Toc510015267" w:history="1">
        <w:r>
          <w:rPr>
            <w:rStyle w:val="Hyperlink"/>
          </w:rPr>
          <w:t>Bulgaria</w:t>
        </w:r>
        <w:r>
          <w:rPr>
            <w:webHidden/>
          </w:rPr>
          <w:tab/>
        </w:r>
        <w:r>
          <w:rPr>
            <w:webHidden/>
          </w:rPr>
          <w:fldChar w:fldCharType="begin"/>
        </w:r>
        <w:r>
          <w:rPr>
            <w:webHidden/>
          </w:rPr>
          <w:instrText xml:space="preserve"> PAGEREF _Toc510015267 \h </w:instrText>
        </w:r>
        <w:r>
          <w:rPr>
            <w:webHidden/>
          </w:rPr>
        </w:r>
        <w:r>
          <w:rPr>
            <w:webHidden/>
          </w:rPr>
          <w:fldChar w:fldCharType="separate"/>
        </w:r>
        <w:r>
          <w:rPr>
            <w:webHidden/>
          </w:rPr>
          <w:t>9</w:t>
        </w:r>
        <w:r>
          <w:rPr>
            <w:webHidden/>
          </w:rPr>
          <w:fldChar w:fldCharType="end"/>
        </w:r>
      </w:hyperlink>
    </w:p>
    <w:p w:rsidR="001557B7" w:rsidRDefault="00AD3265">
      <w:pPr>
        <w:pStyle w:val="TOC1"/>
        <w:rPr>
          <w:rFonts w:eastAsiaTheme="minorEastAsia"/>
          <w:lang w:eastAsia="en-GB"/>
        </w:rPr>
      </w:pPr>
      <w:hyperlink w:anchor="_Toc510015268" w:history="1">
        <w:r>
          <w:rPr>
            <w:rStyle w:val="Hyperlink"/>
          </w:rPr>
          <w:t>Czech Republic</w:t>
        </w:r>
        <w:r>
          <w:rPr>
            <w:webHidden/>
          </w:rPr>
          <w:tab/>
        </w:r>
        <w:r>
          <w:rPr>
            <w:webHidden/>
          </w:rPr>
          <w:fldChar w:fldCharType="begin"/>
        </w:r>
        <w:r>
          <w:rPr>
            <w:webHidden/>
          </w:rPr>
          <w:instrText xml:space="preserve"> PAGE</w:instrText>
        </w:r>
        <w:r>
          <w:rPr>
            <w:webHidden/>
          </w:rPr>
          <w:instrText xml:space="preserve">REF _Toc510015268 \h </w:instrText>
        </w:r>
        <w:r>
          <w:rPr>
            <w:webHidden/>
          </w:rPr>
        </w:r>
        <w:r>
          <w:rPr>
            <w:webHidden/>
          </w:rPr>
          <w:fldChar w:fldCharType="separate"/>
        </w:r>
        <w:r>
          <w:rPr>
            <w:webHidden/>
          </w:rPr>
          <w:t>16</w:t>
        </w:r>
        <w:r>
          <w:rPr>
            <w:webHidden/>
          </w:rPr>
          <w:fldChar w:fldCharType="end"/>
        </w:r>
      </w:hyperlink>
    </w:p>
    <w:p w:rsidR="001557B7" w:rsidRDefault="00AD3265">
      <w:pPr>
        <w:pStyle w:val="TOC1"/>
        <w:rPr>
          <w:rFonts w:eastAsiaTheme="minorEastAsia"/>
          <w:lang w:eastAsia="en-GB"/>
        </w:rPr>
      </w:pPr>
      <w:hyperlink w:anchor="_Toc510015269" w:history="1">
        <w:r>
          <w:rPr>
            <w:rStyle w:val="Hyperlink"/>
          </w:rPr>
          <w:t>Denmark</w:t>
        </w:r>
        <w:r>
          <w:rPr>
            <w:webHidden/>
          </w:rPr>
          <w:tab/>
        </w:r>
        <w:r>
          <w:rPr>
            <w:webHidden/>
          </w:rPr>
          <w:fldChar w:fldCharType="begin"/>
        </w:r>
        <w:r>
          <w:rPr>
            <w:webHidden/>
          </w:rPr>
          <w:instrText xml:space="preserve"> PAGEREF _Toc510015269 \h </w:instrText>
        </w:r>
        <w:r>
          <w:rPr>
            <w:webHidden/>
          </w:rPr>
        </w:r>
        <w:r>
          <w:rPr>
            <w:webHidden/>
          </w:rPr>
          <w:fldChar w:fldCharType="separate"/>
        </w:r>
        <w:r>
          <w:rPr>
            <w:webHidden/>
          </w:rPr>
          <w:t>23</w:t>
        </w:r>
        <w:r>
          <w:rPr>
            <w:webHidden/>
          </w:rPr>
          <w:fldChar w:fldCharType="end"/>
        </w:r>
      </w:hyperlink>
    </w:p>
    <w:p w:rsidR="001557B7" w:rsidRDefault="00AD3265">
      <w:pPr>
        <w:pStyle w:val="TOC1"/>
        <w:rPr>
          <w:rFonts w:eastAsiaTheme="minorEastAsia"/>
          <w:lang w:eastAsia="en-GB"/>
        </w:rPr>
      </w:pPr>
      <w:hyperlink w:anchor="_Toc510015270" w:history="1">
        <w:r>
          <w:rPr>
            <w:rStyle w:val="Hyperlink"/>
          </w:rPr>
          <w:t>Germany</w:t>
        </w:r>
        <w:r>
          <w:rPr>
            <w:webHidden/>
          </w:rPr>
          <w:tab/>
        </w:r>
        <w:r>
          <w:rPr>
            <w:webHidden/>
          </w:rPr>
          <w:fldChar w:fldCharType="begin"/>
        </w:r>
        <w:r>
          <w:rPr>
            <w:webHidden/>
          </w:rPr>
          <w:instrText xml:space="preserve"> PAGEREF _Toc510015270 \h </w:instrText>
        </w:r>
        <w:r>
          <w:rPr>
            <w:webHidden/>
          </w:rPr>
        </w:r>
        <w:r>
          <w:rPr>
            <w:webHidden/>
          </w:rPr>
          <w:fldChar w:fldCharType="separate"/>
        </w:r>
        <w:r>
          <w:rPr>
            <w:webHidden/>
          </w:rPr>
          <w:t>29</w:t>
        </w:r>
        <w:r>
          <w:rPr>
            <w:webHidden/>
          </w:rPr>
          <w:fldChar w:fldCharType="end"/>
        </w:r>
      </w:hyperlink>
    </w:p>
    <w:p w:rsidR="001557B7" w:rsidRDefault="00AD3265">
      <w:pPr>
        <w:pStyle w:val="TOC1"/>
        <w:rPr>
          <w:rFonts w:eastAsiaTheme="minorEastAsia"/>
          <w:lang w:eastAsia="en-GB"/>
        </w:rPr>
      </w:pPr>
      <w:hyperlink w:anchor="_Toc510015271" w:history="1">
        <w:r>
          <w:rPr>
            <w:rStyle w:val="Hyperlink"/>
          </w:rPr>
          <w:t>Estonia</w:t>
        </w:r>
        <w:r>
          <w:rPr>
            <w:webHidden/>
          </w:rPr>
          <w:tab/>
        </w:r>
        <w:r>
          <w:rPr>
            <w:webHidden/>
          </w:rPr>
          <w:fldChar w:fldCharType="begin"/>
        </w:r>
        <w:r>
          <w:rPr>
            <w:webHidden/>
          </w:rPr>
          <w:instrText xml:space="preserve"> PAGEREF _Toc510015271 \h </w:instrText>
        </w:r>
        <w:r>
          <w:rPr>
            <w:webHidden/>
          </w:rPr>
        </w:r>
        <w:r>
          <w:rPr>
            <w:webHidden/>
          </w:rPr>
          <w:fldChar w:fldCharType="separate"/>
        </w:r>
        <w:r>
          <w:rPr>
            <w:webHidden/>
          </w:rPr>
          <w:t>38</w:t>
        </w:r>
        <w:r>
          <w:rPr>
            <w:webHidden/>
          </w:rPr>
          <w:fldChar w:fldCharType="end"/>
        </w:r>
      </w:hyperlink>
    </w:p>
    <w:p w:rsidR="001557B7" w:rsidRDefault="00AD3265">
      <w:pPr>
        <w:pStyle w:val="TOC1"/>
        <w:rPr>
          <w:rFonts w:eastAsiaTheme="minorEastAsia"/>
          <w:lang w:eastAsia="en-GB"/>
        </w:rPr>
      </w:pPr>
      <w:hyperlink w:anchor="_Toc510015272" w:history="1">
        <w:r>
          <w:rPr>
            <w:rStyle w:val="Hyperlink"/>
          </w:rPr>
          <w:t>Ireland</w:t>
        </w:r>
        <w:r>
          <w:rPr>
            <w:webHidden/>
          </w:rPr>
          <w:tab/>
        </w:r>
        <w:r>
          <w:rPr>
            <w:webHidden/>
          </w:rPr>
          <w:fldChar w:fldCharType="begin"/>
        </w:r>
        <w:r>
          <w:rPr>
            <w:webHidden/>
          </w:rPr>
          <w:instrText xml:space="preserve"> PAGEREF _Toc510015272 \h </w:instrText>
        </w:r>
        <w:r>
          <w:rPr>
            <w:webHidden/>
          </w:rPr>
        </w:r>
        <w:r>
          <w:rPr>
            <w:webHidden/>
          </w:rPr>
          <w:fldChar w:fldCharType="separate"/>
        </w:r>
        <w:r>
          <w:rPr>
            <w:webHidden/>
          </w:rPr>
          <w:t>44</w:t>
        </w:r>
        <w:r>
          <w:rPr>
            <w:webHidden/>
          </w:rPr>
          <w:fldChar w:fldCharType="end"/>
        </w:r>
      </w:hyperlink>
    </w:p>
    <w:p w:rsidR="001557B7" w:rsidRDefault="00AD3265">
      <w:pPr>
        <w:pStyle w:val="TOC1"/>
        <w:rPr>
          <w:rFonts w:eastAsiaTheme="minorEastAsia"/>
          <w:lang w:eastAsia="en-GB"/>
        </w:rPr>
      </w:pPr>
      <w:hyperlink w:anchor="_Toc510015273" w:history="1">
        <w:r>
          <w:rPr>
            <w:rStyle w:val="Hyperlink"/>
          </w:rPr>
          <w:t>Greece</w:t>
        </w:r>
        <w:r>
          <w:rPr>
            <w:webHidden/>
          </w:rPr>
          <w:tab/>
        </w:r>
        <w:r>
          <w:rPr>
            <w:webHidden/>
          </w:rPr>
          <w:fldChar w:fldCharType="begin"/>
        </w:r>
        <w:r>
          <w:rPr>
            <w:webHidden/>
          </w:rPr>
          <w:instrText xml:space="preserve"> PAGEREF _Toc</w:instrText>
        </w:r>
        <w:r>
          <w:rPr>
            <w:webHidden/>
          </w:rPr>
          <w:instrText xml:space="preserve">510015273 \h </w:instrText>
        </w:r>
        <w:r>
          <w:rPr>
            <w:webHidden/>
          </w:rPr>
        </w:r>
        <w:r>
          <w:rPr>
            <w:webHidden/>
          </w:rPr>
          <w:fldChar w:fldCharType="separate"/>
        </w:r>
        <w:r>
          <w:rPr>
            <w:webHidden/>
          </w:rPr>
          <w:t>50</w:t>
        </w:r>
        <w:r>
          <w:rPr>
            <w:webHidden/>
          </w:rPr>
          <w:fldChar w:fldCharType="end"/>
        </w:r>
      </w:hyperlink>
    </w:p>
    <w:p w:rsidR="001557B7" w:rsidRDefault="00AD3265">
      <w:pPr>
        <w:pStyle w:val="TOC1"/>
        <w:rPr>
          <w:rFonts w:eastAsiaTheme="minorEastAsia"/>
          <w:lang w:eastAsia="en-GB"/>
        </w:rPr>
      </w:pPr>
      <w:hyperlink w:anchor="_Toc510015274" w:history="1">
        <w:r>
          <w:rPr>
            <w:rStyle w:val="Hyperlink"/>
          </w:rPr>
          <w:t>Spain</w:t>
        </w:r>
        <w:r>
          <w:rPr>
            <w:webHidden/>
          </w:rPr>
          <w:tab/>
        </w:r>
        <w:r>
          <w:rPr>
            <w:webHidden/>
          </w:rPr>
          <w:fldChar w:fldCharType="begin"/>
        </w:r>
        <w:r>
          <w:rPr>
            <w:webHidden/>
          </w:rPr>
          <w:instrText xml:space="preserve"> PAGEREF _Toc510015274 \h </w:instrText>
        </w:r>
        <w:r>
          <w:rPr>
            <w:webHidden/>
          </w:rPr>
        </w:r>
        <w:r>
          <w:rPr>
            <w:webHidden/>
          </w:rPr>
          <w:fldChar w:fldCharType="separate"/>
        </w:r>
        <w:r>
          <w:rPr>
            <w:webHidden/>
          </w:rPr>
          <w:t>57</w:t>
        </w:r>
        <w:r>
          <w:rPr>
            <w:webHidden/>
          </w:rPr>
          <w:fldChar w:fldCharType="end"/>
        </w:r>
      </w:hyperlink>
    </w:p>
    <w:p w:rsidR="001557B7" w:rsidRDefault="00AD3265">
      <w:pPr>
        <w:pStyle w:val="TOC1"/>
        <w:rPr>
          <w:rFonts w:eastAsiaTheme="minorEastAsia"/>
          <w:lang w:eastAsia="en-GB"/>
        </w:rPr>
      </w:pPr>
      <w:hyperlink w:anchor="_Toc510015275" w:history="1">
        <w:r>
          <w:rPr>
            <w:rStyle w:val="Hyperlink"/>
          </w:rPr>
          <w:t>Fran</w:t>
        </w:r>
        <w:r>
          <w:rPr>
            <w:rStyle w:val="Hyperlink"/>
          </w:rPr>
          <w:t>ce</w:t>
        </w:r>
        <w:r>
          <w:rPr>
            <w:webHidden/>
          </w:rPr>
          <w:tab/>
        </w:r>
        <w:r>
          <w:rPr>
            <w:webHidden/>
          </w:rPr>
          <w:fldChar w:fldCharType="begin"/>
        </w:r>
        <w:r>
          <w:rPr>
            <w:webHidden/>
          </w:rPr>
          <w:instrText xml:space="preserve"> PAGEREF _Toc510015275 \h </w:instrText>
        </w:r>
        <w:r>
          <w:rPr>
            <w:webHidden/>
          </w:rPr>
        </w:r>
        <w:r>
          <w:rPr>
            <w:webHidden/>
          </w:rPr>
          <w:fldChar w:fldCharType="separate"/>
        </w:r>
        <w:r>
          <w:rPr>
            <w:webHidden/>
          </w:rPr>
          <w:t>65</w:t>
        </w:r>
        <w:r>
          <w:rPr>
            <w:webHidden/>
          </w:rPr>
          <w:fldChar w:fldCharType="end"/>
        </w:r>
      </w:hyperlink>
    </w:p>
    <w:p w:rsidR="001557B7" w:rsidRDefault="00AD3265">
      <w:pPr>
        <w:pStyle w:val="TOC1"/>
        <w:rPr>
          <w:rFonts w:eastAsiaTheme="minorEastAsia"/>
          <w:lang w:eastAsia="en-GB"/>
        </w:rPr>
      </w:pPr>
      <w:hyperlink w:anchor="_Toc510015276" w:history="1">
        <w:r>
          <w:rPr>
            <w:rStyle w:val="Hyperlink"/>
          </w:rPr>
          <w:t>Croatia</w:t>
        </w:r>
        <w:r>
          <w:rPr>
            <w:webHidden/>
          </w:rPr>
          <w:tab/>
        </w:r>
        <w:r>
          <w:rPr>
            <w:webHidden/>
          </w:rPr>
          <w:fldChar w:fldCharType="begin"/>
        </w:r>
        <w:r>
          <w:rPr>
            <w:webHidden/>
          </w:rPr>
          <w:instrText xml:space="preserve"> PAGEREF _Toc510015276 \h </w:instrText>
        </w:r>
        <w:r>
          <w:rPr>
            <w:webHidden/>
          </w:rPr>
        </w:r>
        <w:r>
          <w:rPr>
            <w:webHidden/>
          </w:rPr>
          <w:fldChar w:fldCharType="separate"/>
        </w:r>
        <w:r>
          <w:rPr>
            <w:webHidden/>
          </w:rPr>
          <w:t>72</w:t>
        </w:r>
        <w:r>
          <w:rPr>
            <w:webHidden/>
          </w:rPr>
          <w:fldChar w:fldCharType="end"/>
        </w:r>
      </w:hyperlink>
    </w:p>
    <w:p w:rsidR="001557B7" w:rsidRDefault="00AD3265">
      <w:pPr>
        <w:pStyle w:val="TOC1"/>
        <w:rPr>
          <w:rFonts w:eastAsiaTheme="minorEastAsia"/>
          <w:lang w:eastAsia="en-GB"/>
        </w:rPr>
      </w:pPr>
      <w:hyperlink w:anchor="_Toc510015277" w:history="1">
        <w:r>
          <w:rPr>
            <w:rStyle w:val="Hyperlink"/>
          </w:rPr>
          <w:t>Italy</w:t>
        </w:r>
        <w:r>
          <w:rPr>
            <w:webHidden/>
          </w:rPr>
          <w:tab/>
        </w:r>
        <w:r>
          <w:rPr>
            <w:webHidden/>
          </w:rPr>
          <w:fldChar w:fldCharType="begin"/>
        </w:r>
        <w:r>
          <w:rPr>
            <w:webHidden/>
          </w:rPr>
          <w:instrText xml:space="preserve"> PAGEREF _Toc510015277 \h </w:instrText>
        </w:r>
        <w:r>
          <w:rPr>
            <w:webHidden/>
          </w:rPr>
        </w:r>
        <w:r>
          <w:rPr>
            <w:webHidden/>
          </w:rPr>
          <w:fldChar w:fldCharType="separate"/>
        </w:r>
        <w:r>
          <w:rPr>
            <w:webHidden/>
          </w:rPr>
          <w:t>79</w:t>
        </w:r>
        <w:r>
          <w:rPr>
            <w:webHidden/>
          </w:rPr>
          <w:fldChar w:fldCharType="end"/>
        </w:r>
      </w:hyperlink>
    </w:p>
    <w:p w:rsidR="001557B7" w:rsidRDefault="00AD3265">
      <w:pPr>
        <w:pStyle w:val="TOC1"/>
        <w:rPr>
          <w:rFonts w:eastAsiaTheme="minorEastAsia"/>
          <w:lang w:eastAsia="en-GB"/>
        </w:rPr>
      </w:pPr>
      <w:hyperlink w:anchor="_Toc510015278" w:history="1">
        <w:r>
          <w:rPr>
            <w:rStyle w:val="Hyperlink"/>
          </w:rPr>
          <w:t>Cyprus</w:t>
        </w:r>
        <w:r>
          <w:rPr>
            <w:webHidden/>
          </w:rPr>
          <w:tab/>
        </w:r>
        <w:r>
          <w:rPr>
            <w:webHidden/>
          </w:rPr>
          <w:fldChar w:fldCharType="begin"/>
        </w:r>
        <w:r>
          <w:rPr>
            <w:webHidden/>
          </w:rPr>
          <w:instrText xml:space="preserve"> PAGEREF _Toc510015278 \h </w:instrText>
        </w:r>
        <w:r>
          <w:rPr>
            <w:webHidden/>
          </w:rPr>
        </w:r>
        <w:r>
          <w:rPr>
            <w:webHidden/>
          </w:rPr>
          <w:fldChar w:fldCharType="separate"/>
        </w:r>
        <w:r>
          <w:rPr>
            <w:webHidden/>
          </w:rPr>
          <w:t>87</w:t>
        </w:r>
        <w:r>
          <w:rPr>
            <w:webHidden/>
          </w:rPr>
          <w:fldChar w:fldCharType="end"/>
        </w:r>
      </w:hyperlink>
    </w:p>
    <w:p w:rsidR="001557B7" w:rsidRDefault="00AD3265">
      <w:pPr>
        <w:pStyle w:val="TOC1"/>
        <w:rPr>
          <w:rFonts w:eastAsiaTheme="minorEastAsia"/>
          <w:lang w:eastAsia="en-GB"/>
        </w:rPr>
      </w:pPr>
      <w:hyperlink w:anchor="_Toc510015279" w:history="1">
        <w:r>
          <w:rPr>
            <w:rStyle w:val="Hyperlink"/>
          </w:rPr>
          <w:t>Latvia</w:t>
        </w:r>
        <w:r>
          <w:rPr>
            <w:webHidden/>
          </w:rPr>
          <w:tab/>
        </w:r>
        <w:r>
          <w:rPr>
            <w:webHidden/>
          </w:rPr>
          <w:fldChar w:fldCharType="begin"/>
        </w:r>
        <w:r>
          <w:rPr>
            <w:webHidden/>
          </w:rPr>
          <w:instrText xml:space="preserve"> PAGEREF _Toc510015279 \h </w:instrText>
        </w:r>
        <w:r>
          <w:rPr>
            <w:webHidden/>
          </w:rPr>
        </w:r>
        <w:r>
          <w:rPr>
            <w:webHidden/>
          </w:rPr>
          <w:fldChar w:fldCharType="separate"/>
        </w:r>
        <w:r>
          <w:rPr>
            <w:webHidden/>
          </w:rPr>
          <w:t>94</w:t>
        </w:r>
        <w:r>
          <w:rPr>
            <w:webHidden/>
          </w:rPr>
          <w:fldChar w:fldCharType="end"/>
        </w:r>
      </w:hyperlink>
    </w:p>
    <w:p w:rsidR="001557B7" w:rsidRDefault="00AD3265">
      <w:pPr>
        <w:pStyle w:val="TOC1"/>
        <w:rPr>
          <w:rFonts w:eastAsiaTheme="minorEastAsia"/>
          <w:lang w:eastAsia="en-GB"/>
        </w:rPr>
      </w:pPr>
      <w:hyperlink w:anchor="_Toc510015280" w:history="1">
        <w:r>
          <w:rPr>
            <w:rStyle w:val="Hyperlink"/>
          </w:rPr>
          <w:t>Lithuania</w:t>
        </w:r>
        <w:r>
          <w:rPr>
            <w:webHidden/>
          </w:rPr>
          <w:tab/>
        </w:r>
        <w:r>
          <w:rPr>
            <w:webHidden/>
          </w:rPr>
          <w:fldChar w:fldCharType="begin"/>
        </w:r>
        <w:r>
          <w:rPr>
            <w:webHidden/>
          </w:rPr>
          <w:instrText xml:space="preserve"> PAGEREF _To</w:instrText>
        </w:r>
        <w:r>
          <w:rPr>
            <w:webHidden/>
          </w:rPr>
          <w:instrText xml:space="preserve">c510015280 \h </w:instrText>
        </w:r>
        <w:r>
          <w:rPr>
            <w:webHidden/>
          </w:rPr>
        </w:r>
        <w:r>
          <w:rPr>
            <w:webHidden/>
          </w:rPr>
          <w:fldChar w:fldCharType="separate"/>
        </w:r>
        <w:r>
          <w:rPr>
            <w:webHidden/>
          </w:rPr>
          <w:t>100</w:t>
        </w:r>
        <w:r>
          <w:rPr>
            <w:webHidden/>
          </w:rPr>
          <w:fldChar w:fldCharType="end"/>
        </w:r>
      </w:hyperlink>
    </w:p>
    <w:p w:rsidR="001557B7" w:rsidRDefault="00AD3265">
      <w:pPr>
        <w:pStyle w:val="TOC1"/>
        <w:rPr>
          <w:rFonts w:eastAsiaTheme="minorEastAsia"/>
          <w:lang w:eastAsia="en-GB"/>
        </w:rPr>
      </w:pPr>
      <w:hyperlink w:anchor="_Toc510015281" w:history="1">
        <w:r>
          <w:rPr>
            <w:rStyle w:val="Hyperlink"/>
          </w:rPr>
          <w:t>Luxembourg</w:t>
        </w:r>
        <w:r>
          <w:rPr>
            <w:webHidden/>
          </w:rPr>
          <w:tab/>
        </w:r>
      </w:hyperlink>
      <w:r>
        <w:t>106</w:t>
      </w:r>
    </w:p>
    <w:p w:rsidR="001557B7" w:rsidRDefault="00AD3265">
      <w:pPr>
        <w:pStyle w:val="TOC1"/>
        <w:rPr>
          <w:rFonts w:eastAsiaTheme="minorEastAsia"/>
          <w:lang w:eastAsia="en-GB"/>
        </w:rPr>
      </w:pPr>
      <w:hyperlink w:anchor="_Toc510015282" w:history="1">
        <w:r>
          <w:rPr>
            <w:rStyle w:val="Hyperlink"/>
          </w:rPr>
          <w:t>Hungary</w:t>
        </w:r>
        <w:r>
          <w:rPr>
            <w:webHidden/>
          </w:rPr>
          <w:tab/>
          <w:t>112</w:t>
        </w:r>
      </w:hyperlink>
    </w:p>
    <w:p w:rsidR="001557B7" w:rsidRDefault="00AD3265">
      <w:pPr>
        <w:pStyle w:val="TOC1"/>
        <w:rPr>
          <w:rFonts w:eastAsiaTheme="minorEastAsia"/>
          <w:lang w:eastAsia="en-GB"/>
        </w:rPr>
      </w:pPr>
      <w:hyperlink w:anchor="_Toc510015283" w:history="1">
        <w:r>
          <w:rPr>
            <w:rStyle w:val="Hyperlink"/>
          </w:rPr>
          <w:t>Malta</w:t>
        </w:r>
        <w:r>
          <w:rPr>
            <w:webHidden/>
          </w:rPr>
          <w:tab/>
          <w:t>119</w:t>
        </w:r>
      </w:hyperlink>
    </w:p>
    <w:p w:rsidR="001557B7" w:rsidRDefault="00AD3265">
      <w:pPr>
        <w:pStyle w:val="TOC1"/>
        <w:rPr>
          <w:rFonts w:eastAsiaTheme="minorEastAsia"/>
          <w:lang w:eastAsia="en-GB"/>
        </w:rPr>
      </w:pPr>
      <w:hyperlink w:anchor="_Toc510015284" w:history="1">
        <w:r>
          <w:rPr>
            <w:rStyle w:val="Hyperlink"/>
          </w:rPr>
          <w:t>Ne</w:t>
        </w:r>
        <w:r>
          <w:rPr>
            <w:rStyle w:val="Hyperlink"/>
          </w:rPr>
          <w:t>therlands</w:t>
        </w:r>
        <w:r>
          <w:rPr>
            <w:webHidden/>
          </w:rPr>
          <w:tab/>
          <w:t>125</w:t>
        </w:r>
      </w:hyperlink>
    </w:p>
    <w:p w:rsidR="001557B7" w:rsidRDefault="00AD3265">
      <w:pPr>
        <w:pStyle w:val="TOC1"/>
        <w:rPr>
          <w:rFonts w:eastAsiaTheme="minorEastAsia"/>
          <w:lang w:eastAsia="en-GB"/>
        </w:rPr>
      </w:pPr>
      <w:hyperlink w:anchor="_Toc510015285" w:history="1">
        <w:r>
          <w:rPr>
            <w:rStyle w:val="Hyperlink"/>
          </w:rPr>
          <w:t>Austria</w:t>
        </w:r>
        <w:r>
          <w:rPr>
            <w:webHidden/>
          </w:rPr>
          <w:tab/>
          <w:t>132</w:t>
        </w:r>
      </w:hyperlink>
    </w:p>
    <w:p w:rsidR="001557B7" w:rsidRDefault="00AD3265">
      <w:pPr>
        <w:pStyle w:val="TOC1"/>
        <w:rPr>
          <w:rFonts w:eastAsiaTheme="minorEastAsia"/>
          <w:lang w:eastAsia="en-GB"/>
        </w:rPr>
      </w:pPr>
      <w:hyperlink w:anchor="_Toc510015286" w:history="1">
        <w:r>
          <w:rPr>
            <w:rStyle w:val="Hyperlink"/>
          </w:rPr>
          <w:t>Poland</w:t>
        </w:r>
        <w:r>
          <w:rPr>
            <w:webHidden/>
          </w:rPr>
          <w:tab/>
          <w:t>139</w:t>
        </w:r>
      </w:hyperlink>
    </w:p>
    <w:p w:rsidR="001557B7" w:rsidRDefault="00AD3265">
      <w:pPr>
        <w:pStyle w:val="TOC1"/>
        <w:rPr>
          <w:rFonts w:eastAsiaTheme="minorEastAsia"/>
          <w:lang w:eastAsia="en-GB"/>
        </w:rPr>
      </w:pPr>
      <w:hyperlink w:anchor="_Toc510015287" w:history="1">
        <w:r>
          <w:rPr>
            <w:rStyle w:val="Hyperlink"/>
          </w:rPr>
          <w:t>Portugal</w:t>
        </w:r>
        <w:r>
          <w:rPr>
            <w:webHidden/>
          </w:rPr>
          <w:tab/>
          <w:t>146</w:t>
        </w:r>
      </w:hyperlink>
    </w:p>
    <w:p w:rsidR="001557B7" w:rsidRDefault="00AD3265">
      <w:pPr>
        <w:pStyle w:val="TOC1"/>
        <w:rPr>
          <w:rFonts w:eastAsiaTheme="minorEastAsia"/>
          <w:lang w:eastAsia="en-GB"/>
        </w:rPr>
      </w:pPr>
      <w:hyperlink w:anchor="_Toc510015288" w:history="1">
        <w:r>
          <w:rPr>
            <w:rStyle w:val="Hyperlink"/>
          </w:rPr>
          <w:t>Romania</w:t>
        </w:r>
        <w:r>
          <w:rPr>
            <w:webHidden/>
          </w:rPr>
          <w:tab/>
          <w:t>153</w:t>
        </w:r>
      </w:hyperlink>
    </w:p>
    <w:p w:rsidR="001557B7" w:rsidRDefault="00AD3265">
      <w:pPr>
        <w:pStyle w:val="TOC1"/>
        <w:rPr>
          <w:rFonts w:eastAsiaTheme="minorEastAsia"/>
          <w:lang w:eastAsia="en-GB"/>
        </w:rPr>
      </w:pPr>
      <w:hyperlink w:anchor="_Toc510015289" w:history="1">
        <w:r>
          <w:rPr>
            <w:rStyle w:val="Hyperlink"/>
          </w:rPr>
          <w:t>Slovenia</w:t>
        </w:r>
        <w:r>
          <w:rPr>
            <w:webHidden/>
          </w:rPr>
          <w:tab/>
          <w:t>160</w:t>
        </w:r>
      </w:hyperlink>
    </w:p>
    <w:p w:rsidR="001557B7" w:rsidRDefault="00AD3265">
      <w:pPr>
        <w:pStyle w:val="TOC1"/>
        <w:rPr>
          <w:rFonts w:eastAsiaTheme="minorEastAsia"/>
          <w:lang w:eastAsia="en-GB"/>
        </w:rPr>
      </w:pPr>
      <w:hyperlink w:anchor="_Toc510015290" w:history="1">
        <w:r>
          <w:rPr>
            <w:rStyle w:val="Hyperlink"/>
          </w:rPr>
          <w:t>Slovakia</w:t>
        </w:r>
        <w:r>
          <w:rPr>
            <w:webHidden/>
          </w:rPr>
          <w:tab/>
          <w:t>166</w:t>
        </w:r>
      </w:hyperlink>
    </w:p>
    <w:p w:rsidR="001557B7" w:rsidRDefault="00AD3265">
      <w:pPr>
        <w:pStyle w:val="TOC1"/>
        <w:rPr>
          <w:rFonts w:eastAsiaTheme="minorEastAsia"/>
          <w:lang w:eastAsia="en-GB"/>
        </w:rPr>
      </w:pPr>
      <w:hyperlink w:anchor="_Toc510015291" w:history="1">
        <w:r>
          <w:rPr>
            <w:rStyle w:val="Hyperlink"/>
          </w:rPr>
          <w:t>Finland</w:t>
        </w:r>
        <w:r>
          <w:rPr>
            <w:webHidden/>
          </w:rPr>
          <w:tab/>
          <w:t>172</w:t>
        </w:r>
      </w:hyperlink>
    </w:p>
    <w:p w:rsidR="001557B7" w:rsidRDefault="00AD3265">
      <w:pPr>
        <w:pStyle w:val="TOC1"/>
        <w:rPr>
          <w:rFonts w:eastAsiaTheme="minorEastAsia"/>
          <w:lang w:eastAsia="en-GB"/>
        </w:rPr>
      </w:pPr>
      <w:hyperlink w:anchor="_Toc510015292" w:history="1">
        <w:r>
          <w:rPr>
            <w:rStyle w:val="Hyperlink"/>
          </w:rPr>
          <w:t>Sweden</w:t>
        </w:r>
        <w:r>
          <w:rPr>
            <w:webHidden/>
          </w:rPr>
          <w:tab/>
          <w:t>178</w:t>
        </w:r>
      </w:hyperlink>
    </w:p>
    <w:p w:rsidR="001557B7" w:rsidRDefault="00AD3265">
      <w:pPr>
        <w:pStyle w:val="TOC1"/>
        <w:rPr>
          <w:rFonts w:eastAsiaTheme="minorEastAsia"/>
          <w:lang w:eastAsia="en-GB"/>
        </w:rPr>
      </w:pPr>
      <w:hyperlink w:anchor="_Toc510015293" w:history="1">
        <w:r>
          <w:rPr>
            <w:rStyle w:val="Hyperlink"/>
          </w:rPr>
          <w:t>United Kingdom</w:t>
        </w:r>
        <w:r>
          <w:rPr>
            <w:webHidden/>
          </w:rPr>
          <w:tab/>
          <w:t>184</w:t>
        </w:r>
      </w:hyperlink>
    </w:p>
    <w:p w:rsidR="001557B7" w:rsidRDefault="00AD3265">
      <w:pPr>
        <w:pStyle w:val="TOC1"/>
        <w:rPr>
          <w:rFonts w:eastAsiaTheme="minorEastAsia"/>
          <w:lang w:eastAsia="en-GB"/>
        </w:rPr>
      </w:pPr>
      <w:hyperlink w:anchor="_Toc510015294" w:history="1">
        <w:r>
          <w:rPr>
            <w:rStyle w:val="Hyperlink"/>
          </w:rPr>
          <w:t>Methodology and explanations</w:t>
        </w:r>
        <w:r>
          <w:rPr>
            <w:webHidden/>
          </w:rPr>
          <w:tab/>
          <w:t>191</w:t>
        </w:r>
      </w:hyperlink>
    </w:p>
    <w:p w:rsidR="001557B7" w:rsidRDefault="00AD3265">
      <w:pPr>
        <w:pStyle w:val="Heading1"/>
        <w:rPr>
          <w:noProof/>
        </w:rPr>
        <w:sectPr w:rsidR="001557B7">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6" w:h="16838"/>
          <w:pgMar w:top="1701" w:right="1418" w:bottom="1134" w:left="1418" w:header="567" w:footer="352" w:gutter="0"/>
          <w:pgNumType w:start="1"/>
          <w:cols w:space="708"/>
          <w:titlePg/>
          <w:docGrid w:linePitch="360"/>
        </w:sectPr>
      </w:pPr>
      <w:r>
        <w:rPr>
          <w:rFonts w:eastAsia="Times New Roman" w:cs="Arial"/>
          <w:bCs w:val="0"/>
          <w:noProof/>
          <w:color w:val="auto"/>
          <w:sz w:val="20"/>
          <w:szCs w:val="20"/>
        </w:rPr>
        <w:fldChar w:fldCharType="end"/>
      </w:r>
    </w:p>
    <w:p w:rsidR="001557B7" w:rsidRDefault="00AD3265">
      <w:pPr>
        <w:pStyle w:val="Heading1"/>
        <w:rPr>
          <w:noProof/>
          <w:szCs w:val="24"/>
        </w:rPr>
      </w:pPr>
      <w:bookmarkStart w:id="12" w:name="_Toc484622317"/>
      <w:bookmarkStart w:id="13" w:name="_Toc510015266"/>
      <w:r>
        <w:rPr>
          <w:noProof/>
          <w:szCs w:val="24"/>
        </w:rPr>
        <w:lastRenderedPageBreak/>
        <w:t>Belgium</w:t>
      </w:r>
      <w:bookmarkEnd w:id="5"/>
      <w:bookmarkEnd w:id="6"/>
      <w:bookmarkEnd w:id="7"/>
      <w:bookmarkEnd w:id="8"/>
      <w:bookmarkEnd w:id="9"/>
      <w:bookmarkEnd w:id="10"/>
      <w:bookmarkEnd w:id="11"/>
      <w:bookmarkEnd w:id="12"/>
      <w:bookmarkEnd w:id="13"/>
    </w:p>
    <w:p w:rsidR="001557B7" w:rsidRDefault="00AD3265">
      <w:pPr>
        <w:pStyle w:val="kop2"/>
        <w:numPr>
          <w:ilvl w:val="0"/>
          <w:numId w:val="3"/>
        </w:numPr>
        <w:spacing w:before="360"/>
        <w:ind w:left="709" w:hanging="425"/>
        <w:rPr>
          <w:noProof/>
        </w:rPr>
      </w:pPr>
      <w:r>
        <w:rPr>
          <w:noProof/>
        </w:rPr>
        <w:t>COMPLAINTS</w:t>
      </w:r>
    </w:p>
    <w:p w:rsidR="001557B7" w:rsidRDefault="00AD3265">
      <w:pPr>
        <w:pStyle w:val="AnnualReport2"/>
        <w:numPr>
          <w:ilvl w:val="0"/>
          <w:numId w:val="183"/>
        </w:numPr>
        <w:ind w:left="709" w:hanging="425"/>
        <w:rPr>
          <w:noProof/>
        </w:rPr>
      </w:pPr>
      <w:r>
        <w:rPr>
          <w:noProof/>
        </w:rPr>
        <w:t>New complaints made against Belgium by members of the public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5F03CBE" wp14:editId="6C56EB89">
            <wp:extent cx="4612005" cy="2234565"/>
            <wp:effectExtent l="0" t="0" r="17145" b="13335"/>
            <wp:docPr id="107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57B7" w:rsidRDefault="00AD3265">
      <w:pPr>
        <w:pStyle w:val="AnnualReport2"/>
        <w:numPr>
          <w:ilvl w:val="0"/>
          <w:numId w:val="183"/>
        </w:numPr>
        <w:ind w:left="709" w:hanging="425"/>
        <w:rPr>
          <w:noProof/>
        </w:rPr>
      </w:pPr>
      <w:r>
        <w:rPr>
          <w:noProof/>
        </w:rPr>
        <w:t>Public complaints against Belgium open at year-end</w:t>
      </w:r>
    </w:p>
    <w:tbl>
      <w:tblPr>
        <w:tblW w:w="0" w:type="auto"/>
        <w:jc w:val="center"/>
        <w:tblLook w:val="04A0" w:firstRow="1" w:lastRow="0" w:firstColumn="1" w:lastColumn="0" w:noHBand="0" w:noVBand="1"/>
      </w:tblPr>
      <w:tblGrid>
        <w:gridCol w:w="1697"/>
        <w:gridCol w:w="452"/>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C00000"/>
                <w:sz w:val="22"/>
                <w:szCs w:val="28"/>
                <w:lang w:eastAsia="en-GB"/>
              </w:rPr>
              <w:t>116</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 xml:space="preserve">101 </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 xml:space="preserve"> 112 </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xml:space="preserve">= 105 </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1557B7" w:rsidRDefault="00AD3265">
      <w:pPr>
        <w:pStyle w:val="AnnualReport2"/>
        <w:numPr>
          <w:ilvl w:val="0"/>
          <w:numId w:val="183"/>
        </w:numPr>
        <w:ind w:left="709" w:hanging="425"/>
        <w:rPr>
          <w:noProof/>
        </w:rPr>
      </w:pPr>
      <w:r>
        <w:rPr>
          <w:noProof/>
        </w:rPr>
        <w:t>New complaints registered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5D96CE8B" wp14:editId="7D7E9A5C">
            <wp:extent cx="4627880" cy="2385695"/>
            <wp:effectExtent l="0" t="0" r="20320" b="14605"/>
            <wp:docPr id="1069"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57B7" w:rsidRDefault="00AD3265">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rsidR="001557B7" w:rsidRDefault="001557B7">
      <w:pPr>
        <w:keepNext/>
        <w:keepLines/>
        <w:spacing w:before="360" w:after="120"/>
        <w:ind w:left="709"/>
        <w:outlineLvl w:val="1"/>
        <w:rPr>
          <w:rFonts w:ascii="Arial" w:eastAsia="MS Gothic" w:hAnsi="Arial" w:cs="Arial"/>
          <w:caps/>
          <w:noProof/>
          <w:color w:val="4F81BD"/>
          <w:kern w:val="20"/>
          <w:szCs w:val="24"/>
        </w:rPr>
      </w:pPr>
    </w:p>
    <w:p w:rsidR="001557B7" w:rsidRDefault="00AD3265">
      <w:pPr>
        <w:keepNext/>
        <w:keepLines/>
        <w:numPr>
          <w:ilvl w:val="0"/>
          <w:numId w:val="1"/>
        </w:numPr>
        <w:spacing w:before="360" w:after="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rsidR="001557B7" w:rsidRDefault="00AD3265">
      <w:pPr>
        <w:pStyle w:val="AnnualReport2"/>
        <w:numPr>
          <w:ilvl w:val="0"/>
          <w:numId w:val="184"/>
        </w:numPr>
        <w:ind w:left="709" w:hanging="425"/>
        <w:rPr>
          <w:noProof/>
        </w:rPr>
      </w:pPr>
      <w:r>
        <w:rPr>
          <w:noProof/>
        </w:rPr>
        <w:t>New EU Pilot files opened against Belgium (2013-2017)</w:t>
      </w:r>
    </w:p>
    <w:p w:rsidR="001557B7" w:rsidRDefault="00AD3265">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7CF4C2E4" wp14:editId="54E58E40">
            <wp:extent cx="4603750" cy="2250440"/>
            <wp:effectExtent l="0" t="0" r="6350" b="16510"/>
            <wp:docPr id="106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557B7" w:rsidRDefault="00AD3265">
      <w:pPr>
        <w:pStyle w:val="AnnualReport2"/>
        <w:numPr>
          <w:ilvl w:val="0"/>
          <w:numId w:val="184"/>
        </w:numPr>
        <w:ind w:left="709" w:hanging="425"/>
        <w:rPr>
          <w:noProof/>
        </w:rPr>
      </w:pPr>
      <w:r>
        <w:rPr>
          <w:noProof/>
        </w:rPr>
        <w:t>Files relating to Belgium open in EU Pilot at year-end</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58F1CF9" wp14:editId="5E572943">
            <wp:extent cx="4596130" cy="2170430"/>
            <wp:effectExtent l="0" t="0" r="13970" b="1270"/>
            <wp:docPr id="106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557B7" w:rsidRDefault="00AD3265">
      <w:pPr>
        <w:pStyle w:val="AnnualReport2"/>
        <w:numPr>
          <w:ilvl w:val="0"/>
          <w:numId w:val="184"/>
        </w:numPr>
        <w:ind w:left="709" w:hanging="425"/>
        <w:rPr>
          <w:noProof/>
        </w:rPr>
      </w:pPr>
      <w:r>
        <w:rPr>
          <w:noProof/>
        </w:rPr>
        <w:t xml:space="preserve">New EU Pilot files opened in 2017: </w:t>
      </w:r>
      <w:r>
        <w:rPr>
          <w:noProof/>
        </w:rPr>
        <w:t>policy areas</w:t>
      </w:r>
    </w:p>
    <w:p w:rsidR="001557B7" w:rsidRDefault="00AD3265">
      <w:pPr>
        <w:pStyle w:val="AnnualReport2"/>
        <w:ind w:left="709" w:firstLine="0"/>
        <w:rPr>
          <w:noProof/>
        </w:rPr>
      </w:pPr>
      <w:r>
        <w:rPr>
          <w:rFonts w:cs="Arial"/>
          <w:noProof/>
          <w:sz w:val="20"/>
          <w:lang w:eastAsia="en-GB"/>
        </w:rPr>
        <w:drawing>
          <wp:inline distT="0" distB="0" distL="0" distR="0" wp14:anchorId="50D6E101" wp14:editId="5E82D241">
            <wp:extent cx="4632960" cy="2270760"/>
            <wp:effectExtent l="0" t="0" r="15240" b="15240"/>
            <wp:docPr id="1074"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557B7" w:rsidRDefault="00AD3265">
      <w:pPr>
        <w:pStyle w:val="AnnualReport2"/>
        <w:numPr>
          <w:ilvl w:val="0"/>
          <w:numId w:val="184"/>
        </w:numPr>
        <w:ind w:left="709" w:hanging="425"/>
        <w:rPr>
          <w:noProof/>
        </w:rPr>
      </w:pPr>
      <w:r>
        <w:rPr>
          <w:noProof/>
        </w:rPr>
        <w:t>EU Pilot files: Belgium’s resolution rate in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5BC90138" wp14:editId="4940B9FA">
            <wp:extent cx="4596130" cy="2313940"/>
            <wp:effectExtent l="0" t="0" r="13970" b="10160"/>
            <wp:docPr id="106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557B7" w:rsidRDefault="00AD3265">
      <w:pPr>
        <w:keepNext/>
        <w:keepLines/>
        <w:numPr>
          <w:ilvl w:val="0"/>
          <w:numId w:val="1"/>
        </w:numPr>
        <w:spacing w:before="360" w:after="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rsidR="001557B7" w:rsidRDefault="00AD3265">
      <w:pPr>
        <w:pStyle w:val="AnnualReport2"/>
        <w:numPr>
          <w:ilvl w:val="0"/>
          <w:numId w:val="185"/>
        </w:numPr>
        <w:ind w:left="709" w:hanging="425"/>
        <w:rPr>
          <w:noProof/>
        </w:rPr>
      </w:pPr>
      <w:r>
        <w:rPr>
          <w:noProof/>
        </w:rPr>
        <w:t>Infringement cases against Belgium open on 31 December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532B9698" wp14:editId="4A3D18D7">
            <wp:extent cx="4617720" cy="2110740"/>
            <wp:effectExtent l="0" t="0" r="11430" b="22860"/>
            <wp:docPr id="1064"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557B7" w:rsidRDefault="00AD3265">
      <w:pPr>
        <w:pStyle w:val="AnnualReport2"/>
        <w:numPr>
          <w:ilvl w:val="0"/>
          <w:numId w:val="185"/>
        </w:numPr>
        <w:ind w:left="709" w:hanging="425"/>
        <w:rPr>
          <w:noProof/>
        </w:rPr>
      </w:pPr>
      <w:r>
        <w:rPr>
          <w:noProof/>
        </w:rPr>
        <w:t>New infringement cases opened in 2017: main policy areas</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24EEBEDB" wp14:editId="761CADB9">
            <wp:extent cx="4587240" cy="2446655"/>
            <wp:effectExtent l="0" t="0" r="3810" b="10795"/>
            <wp:docPr id="1063"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57B7" w:rsidRDefault="00AD3265">
      <w:pPr>
        <w:spacing w:after="0"/>
        <w:jc w:val="left"/>
        <w:rPr>
          <w:rFonts w:ascii="Arial" w:hAnsi="Arial"/>
          <w:noProof/>
          <w:color w:val="002060"/>
          <w:sz w:val="22"/>
          <w:szCs w:val="22"/>
        </w:rPr>
      </w:pPr>
      <w:r>
        <w:rPr>
          <w:noProof/>
        </w:rPr>
        <w:br w:type="page"/>
      </w:r>
    </w:p>
    <w:p w:rsidR="001557B7" w:rsidRDefault="00AD3265">
      <w:pPr>
        <w:pStyle w:val="AnnualReport2"/>
        <w:numPr>
          <w:ilvl w:val="0"/>
          <w:numId w:val="185"/>
        </w:numPr>
        <w:ind w:left="709" w:hanging="425"/>
        <w:rPr>
          <w:noProof/>
        </w:rPr>
      </w:pPr>
      <w:r>
        <w:rPr>
          <w:noProof/>
        </w:rPr>
        <w:t xml:space="preserve">Key infringement cases and </w:t>
      </w:r>
      <w:r>
        <w:rPr>
          <w:noProof/>
        </w:rPr>
        <w:t>referrals to the Court</w:t>
      </w:r>
    </w:p>
    <w:p w:rsidR="001557B7" w:rsidRDefault="00AD3265">
      <w:pPr>
        <w:pStyle w:val="Lijstje"/>
        <w:numPr>
          <w:ilvl w:val="0"/>
          <w:numId w:val="4"/>
        </w:numPr>
        <w:ind w:left="1276" w:hanging="425"/>
        <w:rPr>
          <w:noProof/>
        </w:rPr>
      </w:pPr>
      <w:r>
        <w:rPr>
          <w:noProof/>
        </w:rPr>
        <w:t>The Commission opened 30 new infringement cases against Belgium in 2017. These, and other major ongoing infringement cases, include:</w:t>
      </w:r>
    </w:p>
    <w:p w:rsidR="001557B7" w:rsidRDefault="00AD3265">
      <w:pPr>
        <w:numPr>
          <w:ilvl w:val="0"/>
          <w:numId w:val="131"/>
        </w:numPr>
        <w:spacing w:after="200"/>
        <w:ind w:left="1843" w:hanging="425"/>
        <w:contextualSpacing/>
        <w:rPr>
          <w:rFonts w:ascii="Arial" w:hAnsi="Arial" w:cs="Arial"/>
          <w:noProof/>
          <w:sz w:val="20"/>
        </w:rPr>
      </w:pPr>
      <w:r>
        <w:rPr>
          <w:rFonts w:ascii="Arial" w:hAnsi="Arial" w:cs="Arial"/>
          <w:noProof/>
          <w:sz w:val="20"/>
        </w:rPr>
        <w:t>lack of waste management plans and waste prevention programmes required under the Waste Framework Di</w:t>
      </w:r>
      <w:r>
        <w:rPr>
          <w:rFonts w:ascii="Arial" w:hAnsi="Arial" w:cs="Arial"/>
          <w:noProof/>
          <w:sz w:val="20"/>
        </w:rPr>
        <w:t>rective</w:t>
      </w:r>
      <w:r>
        <w:rPr>
          <w:rStyle w:val="FootnoteReference"/>
          <w:rFonts w:ascii="Arial" w:hAnsi="Arial" w:cs="Arial"/>
          <w:noProof/>
          <w:sz w:val="20"/>
        </w:rPr>
        <w:footnoteReference w:id="2"/>
      </w:r>
      <w:r>
        <w:rPr>
          <w:rFonts w:ascii="Arial" w:hAnsi="Arial" w:cs="Arial"/>
          <w:noProof/>
          <w:sz w:val="20"/>
        </w:rPr>
        <w:t>;</w:t>
      </w:r>
    </w:p>
    <w:p w:rsidR="001557B7" w:rsidRDefault="00AD3265">
      <w:pPr>
        <w:numPr>
          <w:ilvl w:val="0"/>
          <w:numId w:val="131"/>
        </w:numPr>
        <w:spacing w:after="0"/>
        <w:ind w:left="1843" w:hanging="425"/>
        <w:contextualSpacing/>
        <w:rPr>
          <w:rFonts w:ascii="Arial" w:hAnsi="Arial" w:cs="Arial"/>
          <w:i/>
          <w:noProof/>
          <w:sz w:val="20"/>
        </w:rPr>
      </w:pPr>
      <w:r>
        <w:rPr>
          <w:rFonts w:ascii="Arial" w:hAnsi="Arial" w:cs="Arial"/>
          <w:noProof/>
          <w:sz w:val="20"/>
        </w:rPr>
        <w:t>failure to establish strategic noise maps and action plans required by the Noise Directive</w:t>
      </w:r>
      <w:r>
        <w:rPr>
          <w:rStyle w:val="FootnoteReference"/>
          <w:rFonts w:ascii="Arial" w:hAnsi="Arial" w:cs="Arial"/>
          <w:noProof/>
          <w:sz w:val="20"/>
        </w:rPr>
        <w:footnoteReference w:id="3"/>
      </w:r>
      <w:r>
        <w:rPr>
          <w:rFonts w:ascii="Arial" w:hAnsi="Arial" w:cs="Arial"/>
          <w:noProof/>
          <w:sz w:val="20"/>
        </w:rPr>
        <w:t>;</w:t>
      </w:r>
    </w:p>
    <w:p w:rsidR="001557B7" w:rsidRDefault="00AD3265">
      <w:pPr>
        <w:numPr>
          <w:ilvl w:val="0"/>
          <w:numId w:val="131"/>
        </w:numPr>
        <w:spacing w:after="200"/>
        <w:ind w:left="1843" w:hanging="425"/>
        <w:contextualSpacing/>
        <w:rPr>
          <w:rFonts w:ascii="Arial" w:hAnsi="Arial" w:cs="Arial"/>
          <w:noProof/>
          <w:sz w:val="20"/>
        </w:rPr>
      </w:pPr>
      <w:r>
        <w:rPr>
          <w:rFonts w:ascii="Arial" w:hAnsi="Arial" w:cs="Arial"/>
          <w:noProof/>
          <w:sz w:val="20"/>
        </w:rPr>
        <w:t xml:space="preserve">bad application of the Directive </w:t>
      </w:r>
      <w:r>
        <w:rPr>
          <w:rFonts w:ascii="Arial" w:hAnsi="Arial" w:cs="Arial"/>
          <w:bCs/>
          <w:noProof/>
          <w:sz w:val="20"/>
        </w:rPr>
        <w:t>establishing the fundamental principles governing the investigation of accidents in the maritime transport sector</w:t>
      </w:r>
      <w:r>
        <w:rPr>
          <w:rStyle w:val="FootnoteReference"/>
          <w:rFonts w:ascii="Arial" w:hAnsi="Arial" w:cs="Arial"/>
          <w:bCs/>
          <w:noProof/>
          <w:sz w:val="20"/>
        </w:rPr>
        <w:footnoteReference w:id="4"/>
      </w:r>
      <w:r>
        <w:rPr>
          <w:rFonts w:ascii="Arial" w:hAnsi="Arial" w:cs="Arial"/>
          <w:bCs/>
          <w:noProof/>
          <w:sz w:val="20"/>
        </w:rPr>
        <w:t>;</w:t>
      </w:r>
    </w:p>
    <w:p w:rsidR="001557B7" w:rsidRDefault="00AD3265">
      <w:pPr>
        <w:numPr>
          <w:ilvl w:val="0"/>
          <w:numId w:val="131"/>
        </w:numPr>
        <w:spacing w:after="200"/>
        <w:ind w:left="1843" w:hanging="425"/>
        <w:contextualSpacing/>
        <w:rPr>
          <w:rFonts w:ascii="Arial" w:hAnsi="Arial" w:cs="Arial"/>
          <w:noProof/>
          <w:sz w:val="20"/>
        </w:rPr>
      </w:pPr>
      <w:r>
        <w:rPr>
          <w:rFonts w:ascii="Arial" w:hAnsi="Arial" w:cs="Arial"/>
          <w:noProof/>
          <w:sz w:val="20"/>
        </w:rPr>
        <w:t>incorrect implementation of the Airspace Regulation and the Regulation on common rules for the flexible use of airspace</w:t>
      </w:r>
      <w:r>
        <w:rPr>
          <w:rStyle w:val="FootnoteReference"/>
          <w:rFonts w:ascii="Arial" w:hAnsi="Arial" w:cs="Arial"/>
          <w:noProof/>
          <w:sz w:val="20"/>
        </w:rPr>
        <w:footnoteReference w:id="5"/>
      </w:r>
      <w:r>
        <w:rPr>
          <w:rFonts w:ascii="Arial" w:hAnsi="Arial" w:cs="Arial"/>
          <w:noProof/>
          <w:sz w:val="20"/>
        </w:rPr>
        <w:t>;</w:t>
      </w:r>
    </w:p>
    <w:p w:rsidR="001557B7" w:rsidRDefault="00AD3265">
      <w:pPr>
        <w:numPr>
          <w:ilvl w:val="0"/>
          <w:numId w:val="131"/>
        </w:numPr>
        <w:spacing w:after="200"/>
        <w:ind w:left="1843" w:hanging="425"/>
        <w:contextualSpacing/>
        <w:rPr>
          <w:rFonts w:ascii="Arial" w:hAnsi="Arial" w:cs="Arial"/>
          <w:noProof/>
          <w:sz w:val="20"/>
        </w:rPr>
      </w:pPr>
      <w:r>
        <w:rPr>
          <w:rFonts w:ascii="Arial" w:hAnsi="Arial" w:cs="Arial"/>
          <w:noProof/>
          <w:sz w:val="20"/>
        </w:rPr>
        <w:t>non-communication of national measures transposing the:</w:t>
      </w:r>
    </w:p>
    <w:p w:rsidR="001557B7" w:rsidRDefault="00AD3265">
      <w:pPr>
        <w:numPr>
          <w:ilvl w:val="2"/>
          <w:numId w:val="131"/>
        </w:numPr>
        <w:spacing w:after="0"/>
        <w:ind w:left="2410" w:hanging="425"/>
        <w:contextualSpacing/>
        <w:rPr>
          <w:rFonts w:ascii="Arial" w:hAnsi="Arial" w:cs="Arial"/>
          <w:noProof/>
          <w:sz w:val="20"/>
        </w:rPr>
      </w:pPr>
      <w:r>
        <w:rPr>
          <w:rFonts w:ascii="Arial" w:hAnsi="Arial" w:cs="Arial"/>
          <w:noProof/>
          <w:sz w:val="20"/>
        </w:rPr>
        <w:t xml:space="preserve">Directive on radioactive substances in water intended for human consumption </w:t>
      </w:r>
      <w:r>
        <w:rPr>
          <w:rFonts w:ascii="Arial" w:hAnsi="Arial" w:cs="Arial"/>
          <w:noProof/>
          <w:sz w:val="20"/>
          <w:vertAlign w:val="superscript"/>
        </w:rPr>
        <w:footnoteReference w:id="6"/>
      </w:r>
      <w:r>
        <w:rPr>
          <w:rFonts w:ascii="Arial" w:hAnsi="Arial" w:cs="Arial"/>
          <w:noProof/>
          <w:sz w:val="20"/>
        </w:rPr>
        <w:t>;</w:t>
      </w:r>
    </w:p>
    <w:p w:rsidR="001557B7" w:rsidRDefault="00AD3265">
      <w:pPr>
        <w:numPr>
          <w:ilvl w:val="2"/>
          <w:numId w:val="131"/>
        </w:numPr>
        <w:spacing w:after="200"/>
        <w:ind w:left="2410" w:hanging="425"/>
        <w:contextualSpacing/>
        <w:rPr>
          <w:rFonts w:ascii="Arial" w:hAnsi="Arial" w:cs="Arial"/>
          <w:noProof/>
          <w:sz w:val="20"/>
        </w:rPr>
      </w:pPr>
      <w:r>
        <w:rPr>
          <w:rFonts w:ascii="Arial" w:hAnsi="Arial" w:cs="Arial"/>
          <w:noProof/>
          <w:sz w:val="20"/>
        </w:rPr>
        <w:t>Markets in Financial Instruments Directive (MiFID II)</w:t>
      </w:r>
      <w:r>
        <w:rPr>
          <w:rStyle w:val="FootnoteReference"/>
          <w:noProof/>
        </w:rPr>
        <w:footnoteReference w:id="7"/>
      </w:r>
      <w:r>
        <w:rPr>
          <w:rFonts w:ascii="Arial" w:hAnsi="Arial" w:cs="Arial"/>
          <w:noProof/>
          <w:sz w:val="20"/>
        </w:rPr>
        <w:t>;</w:t>
      </w:r>
    </w:p>
    <w:p w:rsidR="001557B7" w:rsidRDefault="00AD3265">
      <w:pPr>
        <w:numPr>
          <w:ilvl w:val="2"/>
          <w:numId w:val="131"/>
        </w:numPr>
        <w:spacing w:after="200"/>
        <w:ind w:left="2410" w:hanging="425"/>
        <w:contextualSpacing/>
        <w:rPr>
          <w:rFonts w:ascii="Arial" w:hAnsi="Arial" w:cs="Arial"/>
          <w:noProof/>
          <w:sz w:val="20"/>
        </w:rPr>
      </w:pPr>
      <w:r>
        <w:rPr>
          <w:rFonts w:ascii="Arial" w:hAnsi="Arial" w:cs="Arial"/>
          <w:noProof/>
          <w:sz w:val="20"/>
        </w:rPr>
        <w:t>Directive on the conditions of entry and residence of third-country nationals in the framework of an intra-corporate transfer</w:t>
      </w:r>
      <w:r>
        <w:rPr>
          <w:rStyle w:val="FootnoteReference"/>
          <w:noProof/>
        </w:rPr>
        <w:footnoteReference w:id="8"/>
      </w:r>
      <w:r>
        <w:rPr>
          <w:rFonts w:ascii="Arial" w:hAnsi="Arial" w:cs="Arial"/>
          <w:noProof/>
          <w:sz w:val="20"/>
        </w:rPr>
        <w:t>;</w:t>
      </w:r>
    </w:p>
    <w:p w:rsidR="001557B7" w:rsidRDefault="00AD3265">
      <w:pPr>
        <w:numPr>
          <w:ilvl w:val="2"/>
          <w:numId w:val="131"/>
        </w:numPr>
        <w:spacing w:after="200"/>
        <w:ind w:left="2410" w:hanging="425"/>
        <w:contextualSpacing/>
        <w:rPr>
          <w:rFonts w:ascii="Arial" w:hAnsi="Arial" w:cs="Arial"/>
          <w:noProof/>
          <w:sz w:val="20"/>
        </w:rPr>
      </w:pPr>
      <w:r>
        <w:rPr>
          <w:rFonts w:ascii="Arial" w:hAnsi="Arial" w:cs="Arial"/>
          <w:noProof/>
          <w:sz w:val="20"/>
        </w:rPr>
        <w:t>Directive</w:t>
      </w:r>
      <w:r>
        <w:rPr>
          <w:rStyle w:val="FootnoteReference"/>
          <w:rFonts w:ascii="Arial" w:hAnsi="Arial" w:cs="Arial"/>
          <w:noProof/>
          <w:sz w:val="20"/>
        </w:rPr>
        <w:footnoteReference w:id="9"/>
      </w:r>
      <w:r>
        <w:rPr>
          <w:rFonts w:ascii="Arial" w:hAnsi="Arial" w:cs="Arial"/>
          <w:noProof/>
          <w:sz w:val="20"/>
        </w:rPr>
        <w:t xml:space="preserve"> laying down calculation methods and reporting requirements p</w:t>
      </w:r>
      <w:r>
        <w:rPr>
          <w:rFonts w:ascii="Arial" w:hAnsi="Arial" w:cs="Arial"/>
          <w:noProof/>
          <w:sz w:val="20"/>
        </w:rPr>
        <w:t>ursuant to the Directive on fuels quality</w:t>
      </w:r>
      <w:r>
        <w:rPr>
          <w:rStyle w:val="FootnoteReference"/>
          <w:rFonts w:ascii="Arial" w:hAnsi="Arial" w:cs="Arial"/>
          <w:noProof/>
          <w:sz w:val="20"/>
        </w:rPr>
        <w:footnoteReference w:id="10"/>
      </w:r>
      <w:r>
        <w:rPr>
          <w:rFonts w:ascii="Arial" w:hAnsi="Arial" w:cs="Arial"/>
          <w:noProof/>
          <w:sz w:val="20"/>
        </w:rPr>
        <w:t>;</w:t>
      </w:r>
    </w:p>
    <w:p w:rsidR="001557B7" w:rsidRDefault="00AD3265">
      <w:pPr>
        <w:numPr>
          <w:ilvl w:val="2"/>
          <w:numId w:val="131"/>
        </w:numPr>
        <w:spacing w:after="200"/>
        <w:ind w:left="2410" w:hanging="425"/>
        <w:contextualSpacing/>
        <w:rPr>
          <w:rFonts w:ascii="Arial" w:hAnsi="Arial" w:cs="Arial"/>
          <w:noProof/>
          <w:sz w:val="20"/>
        </w:rPr>
      </w:pPr>
      <w:r>
        <w:rPr>
          <w:rFonts w:ascii="Arial" w:hAnsi="Arial" w:cs="Arial"/>
          <w:noProof/>
          <w:sz w:val="20"/>
        </w:rPr>
        <w:t>Fourth Anti-Money Laundering Directive;</w:t>
      </w:r>
      <w:r>
        <w:rPr>
          <w:rStyle w:val="FootnoteReference"/>
          <w:rFonts w:ascii="Arial" w:hAnsi="Arial" w:cs="Arial"/>
          <w:noProof/>
          <w:sz w:val="20"/>
        </w:rPr>
        <w:t xml:space="preserve"> </w:t>
      </w:r>
      <w:r>
        <w:rPr>
          <w:rStyle w:val="FootnoteReference"/>
          <w:rFonts w:ascii="Arial" w:hAnsi="Arial" w:cs="Arial"/>
          <w:noProof/>
          <w:sz w:val="20"/>
        </w:rPr>
        <w:footnoteReference w:id="11"/>
      </w:r>
    </w:p>
    <w:p w:rsidR="001557B7" w:rsidRDefault="00AD3265">
      <w:pPr>
        <w:numPr>
          <w:ilvl w:val="2"/>
          <w:numId w:val="131"/>
        </w:numPr>
        <w:spacing w:after="0"/>
        <w:ind w:left="2410" w:hanging="425"/>
        <w:contextualSpacing/>
        <w:rPr>
          <w:rFonts w:ascii="Arial" w:hAnsi="Arial" w:cs="Arial"/>
          <w:noProof/>
          <w:sz w:val="20"/>
        </w:rPr>
      </w:pPr>
      <w:r>
        <w:rPr>
          <w:rFonts w:ascii="Arial" w:hAnsi="Arial" w:cs="Arial"/>
          <w:noProof/>
          <w:sz w:val="20"/>
        </w:rPr>
        <w:t>Payment Accounts Directive</w:t>
      </w:r>
      <w:r>
        <w:rPr>
          <w:rStyle w:val="FootnoteReference"/>
          <w:noProof/>
        </w:rPr>
        <w:footnoteReference w:id="12"/>
      </w:r>
      <w:r>
        <w:rPr>
          <w:rFonts w:ascii="Arial" w:hAnsi="Arial" w:cs="Arial"/>
          <w:noProof/>
          <w:sz w:val="20"/>
        </w:rPr>
        <w:t>;</w:t>
      </w:r>
    </w:p>
    <w:p w:rsidR="001557B7" w:rsidRDefault="00AD3265">
      <w:pPr>
        <w:numPr>
          <w:ilvl w:val="2"/>
          <w:numId w:val="131"/>
        </w:numPr>
        <w:spacing w:after="0"/>
        <w:ind w:left="2410" w:hanging="425"/>
        <w:contextualSpacing/>
        <w:rPr>
          <w:rFonts w:ascii="Arial" w:hAnsi="Arial" w:cs="Arial"/>
          <w:noProof/>
          <w:sz w:val="20"/>
        </w:rPr>
      </w:pPr>
      <w:r>
        <w:rPr>
          <w:rFonts w:ascii="Arial" w:hAnsi="Arial" w:cs="Arial"/>
          <w:noProof/>
          <w:sz w:val="20"/>
        </w:rPr>
        <w:t>amending Nuclear Safety Directive</w:t>
      </w:r>
      <w:r>
        <w:rPr>
          <w:rStyle w:val="FootnoteReference"/>
          <w:rFonts w:ascii="Arial" w:hAnsi="Arial" w:cs="Arial"/>
          <w:noProof/>
          <w:sz w:val="20"/>
        </w:rPr>
        <w:footnoteReference w:id="13"/>
      </w:r>
    </w:p>
    <w:p w:rsidR="001557B7" w:rsidRDefault="00AD3265">
      <w:pPr>
        <w:pStyle w:val="Lijstje2"/>
        <w:numPr>
          <w:ilvl w:val="0"/>
          <w:numId w:val="131"/>
        </w:numPr>
        <w:spacing w:after="200"/>
        <w:ind w:left="1843" w:hanging="425"/>
        <w:rPr>
          <w:rFonts w:ascii="Arial" w:hAnsi="Arial" w:cs="Arial"/>
          <w:noProof/>
          <w:lang w:val="en-GB"/>
        </w:rPr>
      </w:pPr>
      <w:r>
        <w:rPr>
          <w:rFonts w:ascii="Arial" w:hAnsi="Arial" w:cs="Arial"/>
          <w:noProof/>
          <w:lang w:val="en-GB"/>
        </w:rPr>
        <w:t xml:space="preserve">failure </w:t>
      </w:r>
      <w:r>
        <w:rPr>
          <w:rFonts w:ascii="Arial" w:hAnsi="Arial" w:cs="Arial"/>
          <w:bCs/>
          <w:noProof/>
          <w:lang w:val="en-GB"/>
        </w:rPr>
        <w:t>to carry out analysis of the relevant telecom markets on time</w:t>
      </w:r>
      <w:r>
        <w:rPr>
          <w:rStyle w:val="FootnoteReference"/>
          <w:rFonts w:ascii="Arial" w:hAnsi="Arial" w:cs="Arial"/>
          <w:bCs/>
          <w:noProof/>
          <w:lang w:val="en-GB"/>
        </w:rPr>
        <w:footnoteReference w:id="14"/>
      </w:r>
      <w:r>
        <w:rPr>
          <w:rFonts w:ascii="Arial" w:hAnsi="Arial" w:cs="Arial"/>
          <w:bCs/>
          <w:noProof/>
          <w:lang w:val="en-GB"/>
        </w:rPr>
        <w:t>.</w:t>
      </w:r>
    </w:p>
    <w:p w:rsidR="001557B7" w:rsidRDefault="00AD3265">
      <w:pPr>
        <w:pStyle w:val="Lijstje"/>
        <w:numPr>
          <w:ilvl w:val="0"/>
          <w:numId w:val="4"/>
        </w:numPr>
        <w:ind w:left="1276" w:hanging="425"/>
        <w:rPr>
          <w:noProof/>
        </w:rPr>
      </w:pPr>
      <w:r>
        <w:rPr>
          <w:noProof/>
        </w:rPr>
        <w:t xml:space="preserve">The Commission referred the following case to the Court under Article 258 TFEU. </w:t>
      </w:r>
    </w:p>
    <w:p w:rsidR="001557B7" w:rsidRDefault="00AD3265">
      <w:pPr>
        <w:pStyle w:val="ListParagraph"/>
        <w:numPr>
          <w:ilvl w:val="0"/>
          <w:numId w:val="61"/>
        </w:numPr>
        <w:rPr>
          <w:rFonts w:ascii="Arial" w:hAnsi="Arial" w:cs="Arial"/>
          <w:noProof/>
          <w:sz w:val="20"/>
        </w:rPr>
      </w:pPr>
      <w:r>
        <w:rPr>
          <w:rFonts w:ascii="Arial" w:eastAsia="Calibri" w:hAnsi="Arial" w:cs="Arial"/>
          <w:noProof/>
          <w:kern w:val="20"/>
          <w:sz w:val="20"/>
        </w:rPr>
        <w:t xml:space="preserve">The Belgian tax laws apply different methods when assessing rents earned from real estate. They attribute a higher value to real estate located abroad than to comparable real </w:t>
      </w:r>
      <w:r>
        <w:rPr>
          <w:rFonts w:ascii="Arial" w:eastAsia="Calibri" w:hAnsi="Arial" w:cs="Arial"/>
          <w:noProof/>
          <w:kern w:val="20"/>
          <w:sz w:val="20"/>
        </w:rPr>
        <w:t>estate in Belgium. The rules thus favour investments in Belgian real estates over that in other Member States. This may be contrary to the free movement of capital</w:t>
      </w:r>
      <w:r>
        <w:rPr>
          <w:rStyle w:val="FootnoteReference"/>
          <w:rFonts w:ascii="Arial" w:hAnsi="Arial" w:cs="Arial"/>
          <w:noProof/>
          <w:sz w:val="20"/>
        </w:rPr>
        <w:footnoteReference w:id="15"/>
      </w:r>
      <w:r>
        <w:rPr>
          <w:rFonts w:ascii="Arial" w:eastAsia="Calibri" w:hAnsi="Arial" w:cs="Arial"/>
          <w:noProof/>
          <w:kern w:val="20"/>
          <w:sz w:val="20"/>
        </w:rPr>
        <w:t>.</w:t>
      </w:r>
    </w:p>
    <w:p w:rsidR="001557B7" w:rsidRDefault="00AD3265">
      <w:pPr>
        <w:pStyle w:val="Lijstje"/>
        <w:numPr>
          <w:ilvl w:val="0"/>
          <w:numId w:val="4"/>
        </w:numPr>
        <w:ind w:left="1276" w:hanging="425"/>
        <w:rPr>
          <w:noProof/>
        </w:rPr>
      </w:pPr>
      <w:r>
        <w:rPr>
          <w:noProof/>
        </w:rPr>
        <w:t>The Commission did not refer any cases to the Court under Article 260(2) TFEU.</w:t>
      </w:r>
    </w:p>
    <w:p w:rsidR="001557B7" w:rsidRDefault="00AD3265">
      <w:pPr>
        <w:spacing w:after="0"/>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w:t>
      </w:r>
      <w:r>
        <w:rPr>
          <w:rFonts w:ascii="Arial" w:eastAsia="MS Gothic" w:hAnsi="Arial" w:cs="Arial"/>
          <w:caps/>
          <w:noProof/>
          <w:color w:val="4F81BD"/>
          <w:kern w:val="20"/>
          <w:szCs w:val="24"/>
        </w:rPr>
        <w:t>TION OF DIRECTIVES</w:t>
      </w:r>
    </w:p>
    <w:p w:rsidR="001557B7" w:rsidRDefault="00AD3265">
      <w:pPr>
        <w:pStyle w:val="AnnualReport2"/>
        <w:numPr>
          <w:ilvl w:val="0"/>
          <w:numId w:val="186"/>
        </w:numPr>
        <w:ind w:left="709" w:hanging="425"/>
        <w:rPr>
          <w:noProof/>
        </w:rPr>
      </w:pPr>
      <w:r>
        <w:rPr>
          <w:noProof/>
        </w:rPr>
        <w:t>Late transposition infringement cases against Belgium open on 31 December (2013-2017)</w:t>
      </w:r>
    </w:p>
    <w:p w:rsidR="001557B7" w:rsidRDefault="00AD3265">
      <w:pPr>
        <w:ind w:left="426" w:firstLine="283"/>
        <w:rPr>
          <w:noProof/>
        </w:rPr>
      </w:pPr>
      <w:r>
        <w:rPr>
          <w:noProof/>
          <w:lang w:eastAsia="en-GB"/>
        </w:rPr>
        <w:drawing>
          <wp:inline distT="0" distB="0" distL="0" distR="0" wp14:anchorId="45418E10" wp14:editId="7EF3DF64">
            <wp:extent cx="4612005" cy="2202815"/>
            <wp:effectExtent l="0" t="0" r="17145" b="26035"/>
            <wp:docPr id="1062"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557B7" w:rsidRDefault="00AD3265">
      <w:pPr>
        <w:pStyle w:val="AnnualReport2"/>
        <w:numPr>
          <w:ilvl w:val="0"/>
          <w:numId w:val="186"/>
        </w:numPr>
        <w:ind w:left="709" w:hanging="425"/>
        <w:rPr>
          <w:noProof/>
        </w:rPr>
      </w:pPr>
      <w:r>
        <w:rPr>
          <w:noProof/>
        </w:rPr>
        <w:t>New late transposition infringement cases against Belgium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6CCDE886" wp14:editId="325E5DC8">
            <wp:extent cx="4596130" cy="2186305"/>
            <wp:effectExtent l="0" t="0" r="13970" b="23495"/>
            <wp:docPr id="106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557B7" w:rsidRDefault="00AD3265">
      <w:pPr>
        <w:pStyle w:val="AnnualReport2"/>
        <w:numPr>
          <w:ilvl w:val="0"/>
          <w:numId w:val="186"/>
        </w:numPr>
        <w:ind w:left="709" w:hanging="425"/>
        <w:rPr>
          <w:noProof/>
        </w:rPr>
      </w:pPr>
      <w:r>
        <w:rPr>
          <w:noProof/>
        </w:rPr>
        <w:t>New late transposition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69409A4B" wp14:editId="6E6C2AE0">
            <wp:extent cx="4588328" cy="2590800"/>
            <wp:effectExtent l="0" t="0" r="22225" b="19050"/>
            <wp:docPr id="1006"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557B7" w:rsidRDefault="00AD3265">
      <w:pPr>
        <w:pStyle w:val="AnnualReport2"/>
        <w:numPr>
          <w:ilvl w:val="0"/>
          <w:numId w:val="186"/>
        </w:numPr>
        <w:ind w:left="709" w:hanging="425"/>
        <w:rPr>
          <w:noProof/>
        </w:rPr>
      </w:pPr>
      <w:r>
        <w:rPr>
          <w:noProof/>
        </w:rPr>
        <w:t>Referrals to the Court</w:t>
      </w:r>
    </w:p>
    <w:p w:rsidR="001557B7" w:rsidRDefault="00AD3265">
      <w:pPr>
        <w:spacing w:after="120"/>
        <w:ind w:left="709"/>
        <w:rPr>
          <w:rFonts w:ascii="Arial" w:eastAsia="Calibri" w:hAnsi="Arial" w:cs="Arial"/>
          <w:noProof/>
          <w:kern w:val="20"/>
          <w:sz w:val="20"/>
        </w:rPr>
      </w:pPr>
      <w:r>
        <w:rPr>
          <w:rFonts w:ascii="Arial" w:eastAsia="Calibri" w:hAnsi="Arial" w:cs="Arial"/>
          <w:noProof/>
          <w:kern w:val="20"/>
          <w:sz w:val="20"/>
        </w:rPr>
        <w:t>The Commission referred two cases to the Court under Articles 258 and 260(3) TFEU. They concerned:</w:t>
      </w:r>
    </w:p>
    <w:p w:rsidR="001557B7" w:rsidRDefault="00AD3265">
      <w:pPr>
        <w:pStyle w:val="ListParagraph"/>
        <w:numPr>
          <w:ilvl w:val="0"/>
          <w:numId w:val="61"/>
        </w:numPr>
        <w:spacing w:after="120"/>
        <w:ind w:left="1276" w:hanging="425"/>
        <w:rPr>
          <w:rFonts w:ascii="Arial" w:eastAsia="Calibri" w:hAnsi="Arial" w:cs="Arial"/>
          <w:noProof/>
          <w:kern w:val="20"/>
          <w:sz w:val="20"/>
        </w:rPr>
      </w:pPr>
      <w:r>
        <w:rPr>
          <w:rFonts w:ascii="Arial" w:hAnsi="Arial" w:cs="Arial"/>
          <w:noProof/>
          <w:sz w:val="20"/>
        </w:rPr>
        <w:t xml:space="preserve">failure to fully implement the Single Permit Directive, which introduces simplified procedures and a common set of rights for non-EU </w:t>
      </w:r>
      <w:r>
        <w:rPr>
          <w:rFonts w:ascii="Arial" w:hAnsi="Arial" w:cs="Arial"/>
          <w:noProof/>
          <w:sz w:val="20"/>
        </w:rPr>
        <w:t>workers</w:t>
      </w:r>
      <w:r>
        <w:rPr>
          <w:rStyle w:val="FootnoteReference"/>
          <w:rFonts w:ascii="Arial" w:eastAsia="Calibri" w:hAnsi="Arial" w:cs="Arial"/>
          <w:noProof/>
          <w:kern w:val="20"/>
          <w:sz w:val="20"/>
        </w:rPr>
        <w:footnoteReference w:id="16"/>
      </w:r>
      <w:r>
        <w:rPr>
          <w:rFonts w:ascii="Arial" w:hAnsi="Arial" w:cs="Arial"/>
          <w:noProof/>
          <w:sz w:val="20"/>
        </w:rPr>
        <w:t>;</w:t>
      </w:r>
    </w:p>
    <w:p w:rsidR="001557B7" w:rsidRDefault="00AD3265">
      <w:pPr>
        <w:pStyle w:val="ListParagraph"/>
        <w:numPr>
          <w:ilvl w:val="0"/>
          <w:numId w:val="61"/>
        </w:numPr>
        <w:spacing w:after="120"/>
        <w:ind w:left="1276" w:hanging="425"/>
        <w:rPr>
          <w:rFonts w:ascii="Arial" w:eastAsia="Calibri" w:hAnsi="Arial" w:cs="Arial"/>
          <w:noProof/>
          <w:kern w:val="20"/>
          <w:sz w:val="20"/>
        </w:rPr>
      </w:pPr>
      <w:r>
        <w:rPr>
          <w:rFonts w:ascii="Arial" w:eastAsia="Calibri" w:hAnsi="Arial" w:cs="Arial"/>
          <w:noProof/>
          <w:kern w:val="20"/>
          <w:sz w:val="20"/>
        </w:rPr>
        <w:t>non-communication of measures transposing the Broadband Cost Reduction Directive</w:t>
      </w:r>
      <w:r>
        <w:rPr>
          <w:rStyle w:val="FootnoteReference"/>
          <w:rFonts w:eastAsia="Calibri"/>
          <w:noProof/>
        </w:rPr>
        <w:footnoteReference w:id="17"/>
      </w:r>
      <w:r>
        <w:rPr>
          <w:rFonts w:ascii="Arial" w:eastAsia="Calibri" w:hAnsi="Arial" w:cs="Arial"/>
          <w:noProof/>
          <w:kern w:val="20"/>
          <w:sz w:val="20"/>
        </w:rPr>
        <w:t>.</w:t>
      </w:r>
    </w:p>
    <w:p w:rsidR="001557B7" w:rsidRDefault="00AD3265">
      <w:pPr>
        <w:keepNext/>
        <w:keepLines/>
        <w:numPr>
          <w:ilvl w:val="0"/>
          <w:numId w:val="1"/>
        </w:numPr>
        <w:spacing w:before="360" w:after="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rsidR="001557B7" w:rsidRDefault="00AD3265">
      <w:pPr>
        <w:pStyle w:val="ListParagraph"/>
        <w:spacing w:after="120"/>
        <w:ind w:left="709"/>
        <w:rPr>
          <w:rFonts w:ascii="Arial" w:hAnsi="Arial"/>
          <w:noProof/>
          <w:color w:val="002060"/>
          <w:sz w:val="22"/>
          <w:szCs w:val="22"/>
        </w:rPr>
      </w:pPr>
      <w:r>
        <w:rPr>
          <w:rFonts w:ascii="Arial" w:hAnsi="Arial"/>
          <w:noProof/>
          <w:color w:val="002060"/>
          <w:sz w:val="22"/>
          <w:szCs w:val="22"/>
        </w:rPr>
        <w:t>Major cases closed without a Court judgment in 2017</w:t>
      </w:r>
    </w:p>
    <w:p w:rsidR="001557B7" w:rsidRDefault="00AD3265">
      <w:pPr>
        <w:spacing w:after="120"/>
        <w:ind w:firstLine="709"/>
        <w:rPr>
          <w:rFonts w:ascii="Arial" w:hAnsi="Arial" w:cs="Arial"/>
          <w:noProof/>
          <w:sz w:val="20"/>
        </w:rPr>
      </w:pPr>
      <w:r>
        <w:rPr>
          <w:rFonts w:ascii="Arial" w:hAnsi="Arial" w:cs="Arial"/>
          <w:noProof/>
          <w:sz w:val="20"/>
        </w:rPr>
        <w:t>These concerned:</w:t>
      </w:r>
    </w:p>
    <w:p w:rsidR="001557B7" w:rsidRDefault="00AD3265">
      <w:pPr>
        <w:numPr>
          <w:ilvl w:val="0"/>
          <w:numId w:val="2"/>
        </w:numPr>
        <w:spacing w:after="0"/>
        <w:ind w:left="1276" w:hanging="425"/>
        <w:contextualSpacing/>
        <w:rPr>
          <w:rFonts w:ascii="Arial" w:eastAsia="Calibri" w:hAnsi="Arial" w:cs="Arial"/>
          <w:noProof/>
          <w:sz w:val="20"/>
        </w:rPr>
      </w:pPr>
      <w:r>
        <w:rPr>
          <w:rFonts w:ascii="Arial" w:eastAsia="Calibri" w:hAnsi="Arial"/>
          <w:noProof/>
          <w:kern w:val="20"/>
          <w:sz w:val="20"/>
        </w:rPr>
        <w:t>incorrect application of</w:t>
      </w:r>
      <w:r>
        <w:rPr>
          <w:rFonts w:ascii="Arial" w:eastAsia="Calibri" w:hAnsi="Arial"/>
          <w:i/>
          <w:noProof/>
          <w:kern w:val="20"/>
          <w:sz w:val="20"/>
        </w:rPr>
        <w:t xml:space="preserve"> </w:t>
      </w:r>
      <w:r>
        <w:rPr>
          <w:rFonts w:ascii="Arial" w:eastAsia="Calibri" w:hAnsi="Arial"/>
          <w:noProof/>
          <w:kern w:val="20"/>
          <w:sz w:val="20"/>
        </w:rPr>
        <w:t xml:space="preserve">the Directive on the </w:t>
      </w:r>
      <w:r>
        <w:rPr>
          <w:rFonts w:ascii="Arial" w:eastAsia="Calibri" w:hAnsi="Arial"/>
          <w:noProof/>
          <w:kern w:val="20"/>
          <w:sz w:val="20"/>
        </w:rPr>
        <w:t>protection of pigs as regards group housing of sows</w:t>
      </w:r>
      <w:r>
        <w:rPr>
          <w:rStyle w:val="FootnoteReference"/>
          <w:rFonts w:ascii="Arial" w:eastAsia="Calibri" w:hAnsi="Arial"/>
          <w:noProof/>
          <w:kern w:val="20"/>
          <w:sz w:val="20"/>
        </w:rPr>
        <w:footnoteReference w:id="18"/>
      </w:r>
      <w:r>
        <w:rPr>
          <w:rFonts w:ascii="Arial" w:eastAsia="Calibri" w:hAnsi="Arial"/>
          <w:noProof/>
          <w:kern w:val="20"/>
          <w:sz w:val="20"/>
        </w:rPr>
        <w:t>;</w:t>
      </w:r>
    </w:p>
    <w:p w:rsidR="001557B7" w:rsidRDefault="00AD3265">
      <w:pPr>
        <w:numPr>
          <w:ilvl w:val="0"/>
          <w:numId w:val="2"/>
        </w:numPr>
        <w:spacing w:after="0"/>
        <w:ind w:left="1276" w:hanging="425"/>
        <w:contextualSpacing/>
        <w:rPr>
          <w:rFonts w:ascii="Arial" w:eastAsia="Calibri" w:hAnsi="Arial"/>
          <w:noProof/>
          <w:sz w:val="20"/>
        </w:rPr>
      </w:pPr>
      <w:r>
        <w:rPr>
          <w:rFonts w:ascii="Arial" w:hAnsi="Arial"/>
          <w:noProof/>
          <w:sz w:val="20"/>
        </w:rPr>
        <w:t>aligning the national law on police officers with the Working Time Directive</w:t>
      </w:r>
      <w:r>
        <w:rPr>
          <w:rStyle w:val="FootnoteReference"/>
          <w:rFonts w:ascii="Arial" w:hAnsi="Arial" w:cs="Arial"/>
          <w:noProof/>
          <w:sz w:val="20"/>
        </w:rPr>
        <w:footnoteReference w:id="19"/>
      </w:r>
      <w:r>
        <w:rPr>
          <w:rFonts w:ascii="Arial" w:hAnsi="Arial" w:cs="Arial"/>
          <w:noProof/>
          <w:sz w:val="20"/>
        </w:rPr>
        <w:t>;</w:t>
      </w:r>
    </w:p>
    <w:p w:rsidR="001557B7" w:rsidRDefault="00AD3265">
      <w:pPr>
        <w:numPr>
          <w:ilvl w:val="0"/>
          <w:numId w:val="2"/>
        </w:numPr>
        <w:spacing w:after="0"/>
        <w:ind w:left="1276" w:hanging="425"/>
        <w:contextualSpacing/>
        <w:rPr>
          <w:rFonts w:ascii="Arial" w:hAnsi="Arial" w:cs="Arial"/>
          <w:noProof/>
          <w:sz w:val="20"/>
          <w:lang w:eastAsia="en-GB"/>
        </w:rPr>
      </w:pPr>
      <w:r>
        <w:rPr>
          <w:rFonts w:ascii="Arial" w:hAnsi="Arial" w:cs="Arial"/>
          <w:noProof/>
          <w:sz w:val="20"/>
        </w:rPr>
        <w:t>non-</w:t>
      </w:r>
      <w:r>
        <w:rPr>
          <w:rFonts w:ascii="Arial" w:eastAsia="Calibri" w:hAnsi="Arial" w:cs="Arial"/>
          <w:noProof/>
          <w:kern w:val="20"/>
          <w:sz w:val="20"/>
        </w:rPr>
        <w:t>conform</w:t>
      </w:r>
      <w:r>
        <w:rPr>
          <w:rFonts w:ascii="Arial" w:hAnsi="Arial" w:cs="Arial"/>
          <w:noProof/>
          <w:sz w:val="20"/>
        </w:rPr>
        <w:t xml:space="preserve"> transposition of the Environmental Liability Directive</w:t>
      </w:r>
      <w:r>
        <w:rPr>
          <w:rStyle w:val="FootnoteReference"/>
          <w:rFonts w:ascii="Arial" w:hAnsi="Arial" w:cs="Arial"/>
          <w:noProof/>
          <w:sz w:val="20"/>
        </w:rPr>
        <w:footnoteReference w:id="20"/>
      </w:r>
      <w:r>
        <w:rPr>
          <w:rFonts w:ascii="Arial" w:hAnsi="Arial" w:cs="Arial"/>
          <w:noProof/>
          <w:sz w:val="20"/>
        </w:rPr>
        <w:t>;</w:t>
      </w:r>
    </w:p>
    <w:p w:rsidR="001557B7" w:rsidRDefault="00AD3265">
      <w:pPr>
        <w:numPr>
          <w:ilvl w:val="0"/>
          <w:numId w:val="2"/>
        </w:numPr>
        <w:spacing w:after="0"/>
        <w:ind w:left="1276" w:hanging="425"/>
        <w:contextualSpacing/>
        <w:rPr>
          <w:rFonts w:ascii="Arial" w:hAnsi="Arial" w:cs="Arial"/>
          <w:noProof/>
          <w:sz w:val="20"/>
          <w:lang w:eastAsia="en-GB"/>
        </w:rPr>
      </w:pPr>
      <w:r>
        <w:rPr>
          <w:rFonts w:ascii="Arial" w:hAnsi="Arial" w:cs="Arial"/>
          <w:noProof/>
          <w:sz w:val="20"/>
        </w:rPr>
        <w:t>incomplete transposition of the Transparency Directive</w:t>
      </w:r>
      <w:r>
        <w:rPr>
          <w:rStyle w:val="FootnoteReference"/>
          <w:rFonts w:ascii="Arial" w:hAnsi="Arial" w:cs="Arial"/>
          <w:noProof/>
          <w:sz w:val="20"/>
        </w:rPr>
        <w:footnoteReference w:id="21"/>
      </w:r>
      <w:r>
        <w:rPr>
          <w:rFonts w:ascii="Arial" w:hAnsi="Arial" w:cs="Arial"/>
          <w:noProof/>
          <w:sz w:val="20"/>
        </w:rPr>
        <w:t>;</w:t>
      </w:r>
    </w:p>
    <w:p w:rsidR="001557B7" w:rsidRDefault="00AD3265">
      <w:pPr>
        <w:numPr>
          <w:ilvl w:val="0"/>
          <w:numId w:val="2"/>
        </w:numPr>
        <w:spacing w:after="0"/>
        <w:ind w:left="1276" w:hanging="425"/>
        <w:contextualSpacing/>
        <w:rPr>
          <w:rFonts w:ascii="Arial" w:hAnsi="Arial" w:cs="Arial"/>
          <w:noProof/>
          <w:sz w:val="20"/>
          <w:lang w:eastAsia="en-GB"/>
        </w:rPr>
      </w:pPr>
      <w:r>
        <w:rPr>
          <w:rFonts w:ascii="Arial" w:hAnsi="Arial" w:cs="Arial"/>
          <w:noProof/>
          <w:sz w:val="20"/>
          <w:lang w:eastAsia="en-GB"/>
        </w:rPr>
        <w:t>non-communication of national measures transposing the:</w:t>
      </w:r>
    </w:p>
    <w:p w:rsidR="001557B7" w:rsidRDefault="00AD3265">
      <w:pPr>
        <w:numPr>
          <w:ilvl w:val="1"/>
          <w:numId w:val="2"/>
        </w:numPr>
        <w:spacing w:after="0"/>
        <w:contextualSpacing/>
        <w:rPr>
          <w:rFonts w:ascii="Arial" w:hAnsi="Arial" w:cs="Arial"/>
          <w:noProof/>
          <w:sz w:val="20"/>
          <w:lang w:eastAsia="en-GB"/>
        </w:rPr>
      </w:pPr>
      <w:r>
        <w:rPr>
          <w:rFonts w:ascii="Arial" w:hAnsi="Arial" w:cs="Arial"/>
          <w:noProof/>
          <w:sz w:val="20"/>
          <w:lang w:eastAsia="en-GB"/>
        </w:rPr>
        <w:t>Solvency II Directive</w:t>
      </w:r>
      <w:r>
        <w:rPr>
          <w:rStyle w:val="FootnoteReference"/>
          <w:noProof/>
        </w:rPr>
        <w:footnoteReference w:id="22"/>
      </w:r>
      <w:r>
        <w:rPr>
          <w:rFonts w:ascii="Arial" w:hAnsi="Arial" w:cs="Arial"/>
          <w:noProof/>
          <w:sz w:val="20"/>
          <w:lang w:eastAsia="en-GB"/>
        </w:rPr>
        <w:t>; Omnibus II Directive in respect of the powers of the European Insurance and Occupational Pensions Authority and the European Securities and Markets Authority</w:t>
      </w:r>
      <w:r>
        <w:rPr>
          <w:rStyle w:val="FootnoteReference"/>
          <w:noProof/>
        </w:rPr>
        <w:footnoteReference w:id="23"/>
      </w:r>
      <w:r>
        <w:rPr>
          <w:rFonts w:ascii="Arial" w:hAnsi="Arial" w:cs="Arial"/>
          <w:noProof/>
          <w:sz w:val="20"/>
          <w:lang w:eastAsia="en-GB"/>
        </w:rPr>
        <w:t>; Accounting Di</w:t>
      </w:r>
      <w:r>
        <w:rPr>
          <w:rFonts w:ascii="Arial" w:hAnsi="Arial" w:cs="Arial"/>
          <w:noProof/>
          <w:sz w:val="20"/>
          <w:lang w:eastAsia="en-GB"/>
        </w:rPr>
        <w:t>rective</w:t>
      </w:r>
      <w:r>
        <w:rPr>
          <w:rStyle w:val="FootnoteReference"/>
          <w:noProof/>
        </w:rPr>
        <w:footnoteReference w:id="24"/>
      </w:r>
      <w:r>
        <w:rPr>
          <w:rFonts w:ascii="Arial" w:hAnsi="Arial" w:cs="Arial"/>
          <w:noProof/>
          <w:sz w:val="20"/>
          <w:lang w:eastAsia="en-GB"/>
        </w:rPr>
        <w:t>; and Transparency Directive</w:t>
      </w:r>
      <w:r>
        <w:rPr>
          <w:rStyle w:val="FootnoteReference"/>
          <w:rFonts w:ascii="Arial" w:hAnsi="Arial" w:cs="Arial"/>
          <w:noProof/>
          <w:sz w:val="20"/>
          <w:lang w:eastAsia="en-GB"/>
        </w:rPr>
        <w:footnoteReference w:id="25"/>
      </w:r>
      <w:r>
        <w:rPr>
          <w:rFonts w:ascii="Arial" w:hAnsi="Arial" w:cs="Arial"/>
          <w:noProof/>
          <w:sz w:val="20"/>
          <w:lang w:eastAsia="en-GB"/>
        </w:rPr>
        <w:t>;</w:t>
      </w:r>
    </w:p>
    <w:p w:rsidR="001557B7" w:rsidRDefault="00AD3265">
      <w:pPr>
        <w:numPr>
          <w:ilvl w:val="1"/>
          <w:numId w:val="2"/>
        </w:numPr>
        <w:spacing w:after="0"/>
        <w:contextualSpacing/>
        <w:rPr>
          <w:rFonts w:ascii="Arial" w:hAnsi="Arial" w:cs="Arial"/>
          <w:noProof/>
          <w:sz w:val="20"/>
          <w:lang w:eastAsia="en-GB"/>
        </w:rPr>
      </w:pPr>
      <w:r>
        <w:rPr>
          <w:rFonts w:ascii="Arial" w:hAnsi="Arial" w:cs="Arial"/>
          <w:noProof/>
          <w:sz w:val="20"/>
          <w:lang w:eastAsia="en-GB"/>
        </w:rPr>
        <w:t>Directive on port reception facilities for ship-generated waste and cargo residues</w:t>
      </w:r>
      <w:r>
        <w:rPr>
          <w:rStyle w:val="FootnoteReference"/>
          <w:noProof/>
        </w:rPr>
        <w:footnoteReference w:id="26"/>
      </w:r>
      <w:r>
        <w:rPr>
          <w:rFonts w:ascii="Arial" w:hAnsi="Arial" w:cs="Arial"/>
          <w:noProof/>
          <w:sz w:val="20"/>
          <w:lang w:eastAsia="en-GB"/>
        </w:rPr>
        <w:t>.</w:t>
      </w:r>
    </w:p>
    <w:p w:rsidR="001557B7" w:rsidRDefault="00AD3265">
      <w:pPr>
        <w:numPr>
          <w:ilvl w:val="0"/>
          <w:numId w:val="2"/>
        </w:numPr>
        <w:spacing w:after="0"/>
        <w:ind w:left="1276" w:hanging="425"/>
        <w:contextualSpacing/>
        <w:rPr>
          <w:rFonts w:ascii="Arial" w:eastAsia="Calibri" w:hAnsi="Arial"/>
          <w:noProof/>
          <w:sz w:val="20"/>
        </w:rPr>
      </w:pPr>
      <w:r>
        <w:rPr>
          <w:rFonts w:ascii="Arial" w:hAnsi="Arial" w:cs="Arial"/>
          <w:noProof/>
          <w:sz w:val="20"/>
          <w:lang w:eastAsia="en-GB"/>
        </w:rPr>
        <w:t>incorrect application of the Railway Safety Directive</w:t>
      </w:r>
      <w:r>
        <w:rPr>
          <w:rStyle w:val="FootnoteReference"/>
          <w:rFonts w:ascii="Arial" w:hAnsi="Arial" w:cs="Arial"/>
          <w:noProof/>
          <w:sz w:val="20"/>
          <w:lang w:eastAsia="en-GB"/>
        </w:rPr>
        <w:footnoteReference w:id="27"/>
      </w:r>
      <w:r>
        <w:rPr>
          <w:rFonts w:ascii="Arial" w:hAnsi="Arial" w:cs="Arial"/>
          <w:noProof/>
          <w:sz w:val="20"/>
          <w:lang w:eastAsia="en-GB"/>
        </w:rPr>
        <w:t>.</w:t>
      </w:r>
    </w:p>
    <w:p w:rsidR="001557B7" w:rsidRDefault="001557B7">
      <w:pPr>
        <w:spacing w:after="200"/>
        <w:ind w:left="916"/>
        <w:contextualSpacing/>
        <w:rPr>
          <w:rFonts w:ascii="Arial" w:eastAsia="Calibri" w:hAnsi="Arial"/>
          <w:noProof/>
          <w:sz w:val="20"/>
        </w:rPr>
      </w:pP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rsidR="001557B7" w:rsidRDefault="00AD3265">
      <w:pPr>
        <w:pStyle w:val="AnnualReport2"/>
        <w:numPr>
          <w:ilvl w:val="0"/>
          <w:numId w:val="187"/>
        </w:numPr>
        <w:ind w:left="709" w:hanging="425"/>
        <w:rPr>
          <w:noProof/>
        </w:rPr>
      </w:pPr>
      <w:r>
        <w:rPr>
          <w:noProof/>
        </w:rPr>
        <w:t>Court rulings</w:t>
      </w:r>
    </w:p>
    <w:p w:rsidR="001557B7" w:rsidRDefault="00AD3265">
      <w:pPr>
        <w:pStyle w:val="Body"/>
        <w:rPr>
          <w:noProof/>
          <w:lang w:val="en-GB"/>
        </w:rPr>
      </w:pPr>
      <w:r>
        <w:rPr>
          <w:noProof/>
          <w:lang w:val="en-GB"/>
        </w:rPr>
        <w:t xml:space="preserve">There were no major Court rulings in </w:t>
      </w:r>
      <w:r>
        <w:rPr>
          <w:noProof/>
          <w:lang w:val="en-GB"/>
        </w:rPr>
        <w:t>2017.</w:t>
      </w:r>
    </w:p>
    <w:p w:rsidR="001557B7" w:rsidRDefault="00AD3265">
      <w:pPr>
        <w:pStyle w:val="AnnualReport2"/>
        <w:numPr>
          <w:ilvl w:val="0"/>
          <w:numId w:val="187"/>
        </w:numPr>
        <w:ind w:left="709" w:hanging="425"/>
        <w:rPr>
          <w:noProof/>
        </w:rPr>
      </w:pPr>
      <w:r>
        <w:rPr>
          <w:noProof/>
        </w:rPr>
        <w:t>Preliminary rulings</w:t>
      </w:r>
    </w:p>
    <w:p w:rsidR="001557B7" w:rsidRDefault="00AD3265">
      <w:pPr>
        <w:pStyle w:val="Basis"/>
        <w:ind w:left="786"/>
        <w:rPr>
          <w:rFonts w:ascii="Arial" w:hAnsi="Arial" w:cs="Arial"/>
          <w:noProof/>
          <w:lang w:val="en-GB"/>
        </w:rPr>
      </w:pPr>
      <w:r>
        <w:rPr>
          <w:rFonts w:ascii="Arial" w:hAnsi="Arial" w:cs="Arial"/>
          <w:noProof/>
          <w:lang w:val="en-GB"/>
        </w:rPr>
        <w:t>The Court addressed the following preliminary rulings to the Belgian judiciary.</w:t>
      </w:r>
    </w:p>
    <w:p w:rsidR="001557B7" w:rsidRDefault="00AD3265">
      <w:pPr>
        <w:pStyle w:val="ListParagraph"/>
        <w:numPr>
          <w:ilvl w:val="0"/>
          <w:numId w:val="2"/>
        </w:numPr>
        <w:spacing w:before="120" w:after="0"/>
        <w:ind w:left="1276" w:hanging="425"/>
        <w:contextualSpacing w:val="0"/>
        <w:rPr>
          <w:rFonts w:ascii="Arial" w:eastAsia="Calibri" w:hAnsi="Arial"/>
          <w:noProof/>
          <w:sz w:val="20"/>
        </w:rPr>
      </w:pPr>
      <w:r>
        <w:rPr>
          <w:rFonts w:ascii="Arial" w:eastAsia="Calibri" w:hAnsi="Arial"/>
          <w:noProof/>
          <w:sz w:val="20"/>
        </w:rPr>
        <w:t xml:space="preserve">The denial of refugee status due to participation in terrorist activities is not confined to the commitment of a terrorist act. An asylum application </w:t>
      </w:r>
      <w:r>
        <w:rPr>
          <w:rFonts w:ascii="Arial" w:eastAsia="Calibri" w:hAnsi="Arial"/>
          <w:noProof/>
          <w:sz w:val="20"/>
        </w:rPr>
        <w:t>can be rejected if the asylum-seeker participated in the activities of a terrorist network, for example by providing logistical support to the terrorist group, even without personally committing or instigating terrorist acts</w:t>
      </w:r>
      <w:r>
        <w:rPr>
          <w:rStyle w:val="FootnoteReference"/>
          <w:rFonts w:ascii="Arial" w:eastAsia="Calibri" w:hAnsi="Arial" w:cs="Arial"/>
          <w:noProof/>
          <w:kern w:val="20"/>
          <w:sz w:val="20"/>
        </w:rPr>
        <w:footnoteReference w:id="28"/>
      </w:r>
      <w:r>
        <w:rPr>
          <w:rFonts w:ascii="Arial" w:eastAsia="Calibri" w:hAnsi="Arial"/>
          <w:noProof/>
          <w:sz w:val="20"/>
        </w:rPr>
        <w:t>.</w:t>
      </w:r>
    </w:p>
    <w:p w:rsidR="001557B7" w:rsidRDefault="00AD3265">
      <w:pPr>
        <w:pStyle w:val="ListParagraph"/>
        <w:numPr>
          <w:ilvl w:val="0"/>
          <w:numId w:val="2"/>
        </w:numPr>
        <w:spacing w:before="120" w:after="0"/>
        <w:ind w:left="1276" w:hanging="425"/>
        <w:contextualSpacing w:val="0"/>
        <w:rPr>
          <w:rFonts w:ascii="Arial" w:hAnsi="Arial" w:cs="Arial"/>
          <w:noProof/>
        </w:rPr>
      </w:pPr>
      <w:r>
        <w:rPr>
          <w:rFonts w:ascii="Arial" w:hAnsi="Arial" w:cs="Arial"/>
          <w:noProof/>
          <w:sz w:val="20"/>
        </w:rPr>
        <w:t>A general and absolute prohib</w:t>
      </w:r>
      <w:r>
        <w:rPr>
          <w:rFonts w:ascii="Arial" w:hAnsi="Arial" w:cs="Arial"/>
          <w:noProof/>
          <w:sz w:val="20"/>
        </w:rPr>
        <w:t>ition of any advertising relating to the provision of oral and dental care services and the establishment of certain requirements of discretion regarding signs of dental practices violates the freedom to provide services</w:t>
      </w:r>
      <w:r>
        <w:rPr>
          <w:rStyle w:val="FootnoteReference"/>
          <w:rFonts w:ascii="Arial" w:hAnsi="Arial" w:cs="Arial"/>
          <w:noProof/>
          <w:sz w:val="20"/>
        </w:rPr>
        <w:footnoteReference w:id="29"/>
      </w:r>
      <w:r>
        <w:rPr>
          <w:rFonts w:ascii="Arial" w:hAnsi="Arial" w:cs="Arial"/>
          <w:noProof/>
          <w:sz w:val="20"/>
        </w:rPr>
        <w:t>.</w:t>
      </w:r>
    </w:p>
    <w:p w:rsidR="001557B7" w:rsidRDefault="00AD3265">
      <w:pPr>
        <w:pStyle w:val="ListParagraph"/>
        <w:numPr>
          <w:ilvl w:val="0"/>
          <w:numId w:val="2"/>
        </w:numPr>
        <w:spacing w:before="120" w:after="0"/>
        <w:ind w:left="1276" w:hanging="425"/>
        <w:contextualSpacing w:val="0"/>
        <w:rPr>
          <w:rFonts w:ascii="Arial" w:hAnsi="Arial" w:cs="Arial"/>
          <w:noProof/>
        </w:rPr>
      </w:pPr>
      <w:r>
        <w:rPr>
          <w:rFonts w:ascii="Arial" w:eastAsia="Calibri" w:hAnsi="Arial" w:cs="Arial"/>
          <w:bCs/>
          <w:noProof/>
          <w:kern w:val="20"/>
          <w:sz w:val="20"/>
        </w:rPr>
        <w:t>Member States are not required, u</w:t>
      </w:r>
      <w:r>
        <w:rPr>
          <w:rFonts w:ascii="Arial" w:eastAsia="Calibri" w:hAnsi="Arial" w:cs="Arial"/>
          <w:bCs/>
          <w:noProof/>
          <w:kern w:val="20"/>
          <w:sz w:val="20"/>
        </w:rPr>
        <w:t>nder EU law, to grant a humanitarian visa to persons who wish to enter their territory with a view to applying for asylum. They remain free to do so, on the basis of their national law.</w:t>
      </w:r>
      <w:r>
        <w:rPr>
          <w:rFonts w:ascii="Arial" w:eastAsia="Calibri" w:hAnsi="Arial" w:cs="Arial"/>
          <w:iCs/>
          <w:noProof/>
          <w:kern w:val="20"/>
          <w:sz w:val="20"/>
        </w:rPr>
        <w:t xml:space="preserve"> EU law establishes only the procedures and conditions for issuing visa</w:t>
      </w:r>
      <w:r>
        <w:rPr>
          <w:rFonts w:ascii="Arial" w:eastAsia="Calibri" w:hAnsi="Arial" w:cs="Arial"/>
          <w:iCs/>
          <w:noProof/>
          <w:kern w:val="20"/>
          <w:sz w:val="20"/>
        </w:rPr>
        <w:t>s for transit through or intended stays on the territory of the Member States not exceeding 90 days</w:t>
      </w:r>
      <w:r>
        <w:rPr>
          <w:rStyle w:val="FootnoteReference"/>
          <w:rFonts w:ascii="Arial" w:eastAsia="Calibri" w:hAnsi="Arial" w:cs="Arial"/>
          <w:noProof/>
          <w:kern w:val="20"/>
          <w:sz w:val="20"/>
        </w:rPr>
        <w:footnoteReference w:id="30"/>
      </w:r>
      <w:r>
        <w:rPr>
          <w:rFonts w:ascii="Arial" w:eastAsia="Calibri" w:hAnsi="Arial" w:cs="Arial"/>
          <w:noProof/>
          <w:kern w:val="20"/>
          <w:sz w:val="20"/>
        </w:rPr>
        <w:t>.</w:t>
      </w:r>
    </w:p>
    <w:p w:rsidR="001557B7" w:rsidRDefault="00AD3265">
      <w:pPr>
        <w:pStyle w:val="Lijstje2"/>
        <w:spacing w:before="120" w:after="0"/>
        <w:ind w:left="1276" w:hanging="425"/>
        <w:contextualSpacing w:val="0"/>
        <w:rPr>
          <w:rFonts w:ascii="Arial" w:hAnsi="Arial"/>
          <w:noProof/>
          <w:lang w:val="en-GB"/>
        </w:rPr>
      </w:pPr>
      <w:r>
        <w:rPr>
          <w:rFonts w:ascii="Arial" w:hAnsi="Arial" w:cs="Arial"/>
          <w:bCs/>
          <w:noProof/>
          <w:lang w:val="en-GB"/>
        </w:rPr>
        <w:t xml:space="preserve">Belgian rules are contrary to the free movement of workers in requiring resident workers to register their own car in Belgium, if the car is already </w:t>
      </w:r>
      <w:r>
        <w:rPr>
          <w:rFonts w:ascii="Arial" w:hAnsi="Arial" w:cs="Arial"/>
          <w:bCs/>
          <w:noProof/>
          <w:lang w:val="en-GB"/>
        </w:rPr>
        <w:t>registered in another Member State and is intended to be used primarily it in that other State</w:t>
      </w:r>
      <w:r>
        <w:rPr>
          <w:rStyle w:val="FootnoteReference"/>
          <w:rFonts w:ascii="Arial" w:hAnsi="Arial" w:cs="Arial"/>
          <w:noProof/>
          <w:lang w:val="en-GB"/>
        </w:rPr>
        <w:footnoteReference w:id="31"/>
      </w:r>
      <w:r>
        <w:rPr>
          <w:rFonts w:ascii="Arial" w:hAnsi="Arial" w:cs="Arial"/>
          <w:noProof/>
          <w:lang w:val="en-GB"/>
        </w:rPr>
        <w:t>.</w:t>
      </w:r>
    </w:p>
    <w:p w:rsidR="001557B7" w:rsidRDefault="00AD3265">
      <w:pPr>
        <w:pStyle w:val="Lijstje2"/>
        <w:spacing w:before="120" w:after="0"/>
        <w:ind w:left="1276" w:hanging="425"/>
        <w:contextualSpacing w:val="0"/>
        <w:rPr>
          <w:rFonts w:ascii="Arial" w:hAnsi="Arial"/>
          <w:noProof/>
          <w:lang w:val="en-GB"/>
        </w:rPr>
      </w:pPr>
      <w:r>
        <w:rPr>
          <w:rFonts w:ascii="Arial" w:hAnsi="Arial"/>
          <w:noProof/>
          <w:lang w:val="en-GB"/>
        </w:rPr>
        <w:t xml:space="preserve">When determining the competent jurisdiction in relation to employment contracts of members of an airline crew, the Court used a set of indicators to determine </w:t>
      </w:r>
      <w:r>
        <w:rPr>
          <w:rFonts w:ascii="Arial" w:hAnsi="Arial"/>
          <w:noProof/>
          <w:lang w:val="en-GB"/>
        </w:rPr>
        <w:t>the “Member State where the employee habitually carries out his work” and retained that the “home base” amounts to a significant indicator. The Court also underlined that the jurisdiction clauses obliging those aircrew members to bring actions in Ireland w</w:t>
      </w:r>
      <w:r>
        <w:rPr>
          <w:rFonts w:ascii="Arial" w:hAnsi="Arial"/>
          <w:noProof/>
          <w:lang w:val="en-GB"/>
        </w:rPr>
        <w:t>ere not enforceable against the employees as not meeting the conditions of the Regulation in question</w:t>
      </w:r>
      <w:r>
        <w:rPr>
          <w:rFonts w:ascii="Arial" w:hAnsi="Arial"/>
          <w:noProof/>
          <w:vertAlign w:val="superscript"/>
        </w:rPr>
        <w:footnoteReference w:id="32"/>
      </w:r>
      <w:r>
        <w:rPr>
          <w:rFonts w:ascii="Arial" w:hAnsi="Arial"/>
          <w:noProof/>
          <w:lang w:val="en-GB"/>
        </w:rPr>
        <w:t xml:space="preserve">. </w:t>
      </w:r>
    </w:p>
    <w:p w:rsidR="001557B7" w:rsidRDefault="00AD3265">
      <w:pPr>
        <w:pStyle w:val="Lijstje2"/>
        <w:spacing w:before="120" w:after="0"/>
        <w:ind w:left="1276" w:hanging="425"/>
        <w:contextualSpacing w:val="0"/>
        <w:rPr>
          <w:rFonts w:ascii="Arial" w:hAnsi="Arial" w:cs="Arial"/>
          <w:noProof/>
          <w:lang w:val="en-GB"/>
        </w:rPr>
      </w:pPr>
      <w:r>
        <w:rPr>
          <w:rFonts w:ascii="Arial" w:hAnsi="Arial" w:cs="Arial"/>
          <w:noProof/>
          <w:lang w:val="en-GB"/>
        </w:rPr>
        <w:t>Article 56 TFEU and Article 36 EEA preclude the Belgian national legislation that imposes discriminatory conditions for savings deposits in order to be</w:t>
      </w:r>
      <w:r>
        <w:rPr>
          <w:rFonts w:ascii="Arial" w:hAnsi="Arial" w:cs="Arial"/>
          <w:noProof/>
          <w:lang w:val="en-GB"/>
        </w:rPr>
        <w:t>nefit from a tax exemption</w:t>
      </w:r>
      <w:r>
        <w:rPr>
          <w:rStyle w:val="FootnoteReference"/>
          <w:rFonts w:ascii="Arial" w:hAnsi="Arial" w:cs="Arial"/>
          <w:noProof/>
          <w:lang w:val="en-GB"/>
        </w:rPr>
        <w:footnoteReference w:id="33"/>
      </w:r>
      <w:r>
        <w:rPr>
          <w:rFonts w:ascii="Arial" w:hAnsi="Arial" w:cs="Arial"/>
          <w:noProof/>
          <w:lang w:val="en-GB"/>
        </w:rPr>
        <w:t>.</w:t>
      </w:r>
    </w:p>
    <w:p w:rsidR="001557B7" w:rsidRDefault="00AD3265">
      <w:pPr>
        <w:pStyle w:val="Lijstje2"/>
        <w:spacing w:before="120" w:after="0"/>
        <w:ind w:left="1276" w:hanging="425"/>
        <w:contextualSpacing w:val="0"/>
        <w:rPr>
          <w:rFonts w:ascii="Arial" w:hAnsi="Arial" w:cs="Arial"/>
          <w:noProof/>
          <w:lang w:val="en-GB"/>
        </w:rPr>
      </w:pPr>
      <w:r>
        <w:rPr>
          <w:rFonts w:ascii="Arial" w:hAnsi="Arial" w:cs="Arial"/>
          <w:noProof/>
          <w:lang w:val="en-GB"/>
        </w:rPr>
        <w:t>The Parent-Subsidiary Directive</w:t>
      </w:r>
      <w:r>
        <w:rPr>
          <w:rStyle w:val="FootnoteReference"/>
          <w:rFonts w:ascii="Arial" w:hAnsi="Arial" w:cs="Arial"/>
          <w:noProof/>
          <w:lang w:val="en-GB"/>
        </w:rPr>
        <w:footnoteReference w:id="34"/>
      </w:r>
      <w:r>
        <w:rPr>
          <w:rFonts w:ascii="Arial" w:hAnsi="Arial" w:cs="Arial"/>
          <w:noProof/>
          <w:lang w:val="en-GB"/>
        </w:rPr>
        <w:t xml:space="preserve"> precludes the Belgian legislation on the ‘Fairness Tax’. This taxes dividends received from subsidiaries and exempted under the Directive in the hands of the parent company when they are redistr</w:t>
      </w:r>
      <w:r>
        <w:rPr>
          <w:rFonts w:ascii="Arial" w:hAnsi="Arial" w:cs="Arial"/>
          <w:noProof/>
          <w:lang w:val="en-GB"/>
        </w:rPr>
        <w:t>ibuted by that company</w:t>
      </w:r>
      <w:r>
        <w:rPr>
          <w:rStyle w:val="FootnoteReference"/>
          <w:rFonts w:ascii="Arial" w:hAnsi="Arial" w:cs="Arial"/>
          <w:noProof/>
          <w:lang w:val="en-GB"/>
        </w:rPr>
        <w:footnoteReference w:id="35"/>
      </w:r>
      <w:r>
        <w:rPr>
          <w:rFonts w:ascii="Arial" w:hAnsi="Arial" w:cs="Arial"/>
          <w:noProof/>
          <w:lang w:val="en-GB"/>
        </w:rPr>
        <w:t>.</w:t>
      </w:r>
    </w:p>
    <w:p w:rsidR="001557B7" w:rsidRDefault="001557B7">
      <w:pPr>
        <w:pStyle w:val="Lijstje2"/>
        <w:numPr>
          <w:ilvl w:val="0"/>
          <w:numId w:val="0"/>
        </w:numPr>
        <w:ind w:left="1134"/>
        <w:rPr>
          <w:rFonts w:ascii="Arial" w:hAnsi="Arial" w:cs="Arial"/>
          <w:noProof/>
          <w:lang w:val="en-GB"/>
        </w:rPr>
      </w:pPr>
    </w:p>
    <w:p w:rsidR="001557B7" w:rsidRDefault="001557B7">
      <w:pPr>
        <w:pStyle w:val="Lijstje2"/>
        <w:numPr>
          <w:ilvl w:val="0"/>
          <w:numId w:val="0"/>
        </w:numPr>
        <w:rPr>
          <w:rFonts w:ascii="Arial" w:hAnsi="Arial" w:cs="Arial"/>
          <w:noProof/>
          <w:lang w:val="en-GB"/>
        </w:rPr>
        <w:sectPr w:rsidR="001557B7">
          <w:headerReference w:type="even" r:id="rId36"/>
          <w:headerReference w:type="default" r:id="rId37"/>
          <w:footerReference w:type="even" r:id="rId38"/>
          <w:footerReference w:type="default" r:id="rId39"/>
          <w:headerReference w:type="first" r:id="rId40"/>
          <w:footerReference w:type="first" r:id="rId41"/>
          <w:footnotePr>
            <w:numRestart w:val="eachSect"/>
          </w:footnotePr>
          <w:pgSz w:w="11906" w:h="16838"/>
          <w:pgMar w:top="1701" w:right="1417" w:bottom="1134" w:left="1417" w:header="567" w:footer="351" w:gutter="0"/>
          <w:cols w:space="708"/>
          <w:titlePg/>
          <w:docGrid w:linePitch="360"/>
        </w:sectPr>
      </w:pPr>
      <w:bookmarkStart w:id="14" w:name="_Toc444769586"/>
      <w:bookmarkStart w:id="15" w:name="_Toc444772042"/>
      <w:bookmarkStart w:id="16" w:name="_Toc444773361"/>
      <w:bookmarkStart w:id="17" w:name="_Toc444776733"/>
    </w:p>
    <w:p w:rsidR="001557B7" w:rsidRDefault="00AD3265">
      <w:pPr>
        <w:pStyle w:val="Heading1"/>
        <w:rPr>
          <w:noProof/>
          <w:szCs w:val="24"/>
        </w:rPr>
      </w:pPr>
      <w:bookmarkStart w:id="18" w:name="_Toc475974640"/>
      <w:bookmarkStart w:id="19" w:name="_Toc475980136"/>
      <w:bookmarkStart w:id="20" w:name="_Toc475981385"/>
      <w:bookmarkStart w:id="21" w:name="_Toc484622318"/>
      <w:bookmarkStart w:id="22" w:name="_Toc510015267"/>
      <w:r>
        <w:rPr>
          <w:noProof/>
          <w:szCs w:val="24"/>
        </w:rPr>
        <w:t>Bulgaria</w:t>
      </w:r>
      <w:bookmarkEnd w:id="14"/>
      <w:bookmarkEnd w:id="15"/>
      <w:bookmarkEnd w:id="16"/>
      <w:bookmarkEnd w:id="17"/>
      <w:bookmarkEnd w:id="18"/>
      <w:bookmarkEnd w:id="19"/>
      <w:bookmarkEnd w:id="20"/>
      <w:bookmarkEnd w:id="21"/>
      <w:bookmarkEnd w:id="22"/>
    </w:p>
    <w:p w:rsidR="001557B7" w:rsidRDefault="00AD3265">
      <w:pPr>
        <w:pStyle w:val="kop2"/>
        <w:numPr>
          <w:ilvl w:val="0"/>
          <w:numId w:val="16"/>
        </w:numPr>
        <w:spacing w:before="240" w:after="240"/>
        <w:ind w:left="709" w:hanging="425"/>
        <w:rPr>
          <w:noProof/>
        </w:rPr>
      </w:pPr>
      <w:r>
        <w:rPr>
          <w:noProof/>
        </w:rPr>
        <w:t>COMPLAINTS</w:t>
      </w:r>
    </w:p>
    <w:p w:rsidR="001557B7" w:rsidRDefault="00AD3265">
      <w:pPr>
        <w:pStyle w:val="AnnualReport2"/>
        <w:numPr>
          <w:ilvl w:val="0"/>
          <w:numId w:val="189"/>
        </w:numPr>
        <w:ind w:left="709" w:hanging="425"/>
        <w:rPr>
          <w:noProof/>
        </w:rPr>
      </w:pPr>
      <w:r>
        <w:rPr>
          <w:noProof/>
        </w:rPr>
        <w:t>New complaints made against Bulgaria by members of the public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46B5C857" wp14:editId="46D379E9">
            <wp:extent cx="4612005" cy="2234565"/>
            <wp:effectExtent l="0" t="0" r="17145" b="13335"/>
            <wp:docPr id="105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557B7" w:rsidRDefault="00AD3265">
      <w:pPr>
        <w:pStyle w:val="AnnualReport2"/>
        <w:numPr>
          <w:ilvl w:val="0"/>
          <w:numId w:val="189"/>
        </w:numPr>
        <w:ind w:left="709" w:hanging="425"/>
        <w:rPr>
          <w:noProof/>
        </w:rPr>
      </w:pPr>
      <w:r>
        <w:rPr>
          <w:noProof/>
        </w:rPr>
        <w:t>Public complaints against Bulgaria open at year-end</w:t>
      </w:r>
    </w:p>
    <w:tbl>
      <w:tblPr>
        <w:tblW w:w="0" w:type="auto"/>
        <w:jc w:val="center"/>
        <w:tblLook w:val="04A0" w:firstRow="1" w:lastRow="0" w:firstColumn="1" w:lastColumn="0" w:noHBand="0" w:noVBand="1"/>
      </w:tblPr>
      <w:tblGrid>
        <w:gridCol w:w="1697"/>
        <w:gridCol w:w="452"/>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141</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 xml:space="preserve"> 131</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 xml:space="preserve"> 164</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108</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1557B7" w:rsidRDefault="00AD3265">
      <w:pPr>
        <w:pStyle w:val="AnnualReport2"/>
        <w:numPr>
          <w:ilvl w:val="0"/>
          <w:numId w:val="189"/>
        </w:numPr>
        <w:ind w:left="709" w:hanging="425"/>
        <w:rPr>
          <w:noProof/>
        </w:rPr>
      </w:pPr>
      <w:r>
        <w:rPr>
          <w:noProof/>
        </w:rPr>
        <w:t>New complaints registered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39F8C459" wp14:editId="179168F8">
            <wp:extent cx="4627880" cy="2273935"/>
            <wp:effectExtent l="0" t="0" r="20320" b="12065"/>
            <wp:docPr id="1058"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557B7" w:rsidRDefault="00AD3265">
      <w:pPr>
        <w:spacing w:after="200" w:line="276" w:lineRule="auto"/>
        <w:jc w:val="left"/>
        <w:rPr>
          <w:rFonts w:ascii="Arial" w:hAnsi="Arial" w:cs="Arial"/>
          <w:noProof/>
          <w:sz w:val="20"/>
        </w:rPr>
      </w:pPr>
      <w:r>
        <w:rPr>
          <w:noProof/>
        </w:rPr>
        <w:br w:type="page"/>
      </w:r>
    </w:p>
    <w:p w:rsidR="001557B7" w:rsidRDefault="00AD3265">
      <w:pPr>
        <w:pStyle w:val="kop2"/>
        <w:numPr>
          <w:ilvl w:val="0"/>
          <w:numId w:val="16"/>
        </w:numPr>
        <w:spacing w:before="360" w:after="240"/>
        <w:ind w:left="709" w:hanging="425"/>
        <w:rPr>
          <w:caps w:val="0"/>
          <w:noProof/>
        </w:rPr>
      </w:pPr>
      <w:r>
        <w:rPr>
          <w:noProof/>
        </w:rPr>
        <w:t>EU PILOT</w:t>
      </w:r>
    </w:p>
    <w:p w:rsidR="001557B7" w:rsidRDefault="00AD3265">
      <w:pPr>
        <w:pStyle w:val="AnnualReport2"/>
        <w:numPr>
          <w:ilvl w:val="0"/>
          <w:numId w:val="190"/>
        </w:numPr>
        <w:ind w:left="709" w:hanging="425"/>
        <w:rPr>
          <w:noProof/>
        </w:rPr>
      </w:pPr>
      <w:r>
        <w:rPr>
          <w:noProof/>
        </w:rPr>
        <w:t>New EU Pilot files opened against Bulgaria (2013-2017)</w:t>
      </w:r>
    </w:p>
    <w:p w:rsidR="001557B7" w:rsidRDefault="00AD3265">
      <w:pPr>
        <w:tabs>
          <w:tab w:val="left" w:pos="0"/>
        </w:tabs>
        <w:spacing w:after="120"/>
        <w:ind w:firstLine="709"/>
        <w:rPr>
          <w:rFonts w:ascii="Arial" w:hAnsi="Arial" w:cs="Arial"/>
          <w:noProof/>
          <w:sz w:val="20"/>
        </w:rPr>
      </w:pPr>
      <w:r>
        <w:rPr>
          <w:rFonts w:ascii="Arial" w:hAnsi="Arial" w:cs="Arial"/>
          <w:noProof/>
          <w:sz w:val="20"/>
          <w:lang w:eastAsia="en-GB"/>
        </w:rPr>
        <w:drawing>
          <wp:inline distT="0" distB="0" distL="0" distR="0" wp14:anchorId="4074B561" wp14:editId="585F286C">
            <wp:extent cx="4596130" cy="2210435"/>
            <wp:effectExtent l="0" t="0" r="13970" b="18415"/>
            <wp:docPr id="104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557B7" w:rsidRDefault="00AD3265">
      <w:pPr>
        <w:pStyle w:val="AnnualReport2"/>
        <w:numPr>
          <w:ilvl w:val="0"/>
          <w:numId w:val="190"/>
        </w:numPr>
        <w:ind w:left="709" w:hanging="425"/>
        <w:rPr>
          <w:noProof/>
        </w:rPr>
      </w:pPr>
      <w:r>
        <w:rPr>
          <w:noProof/>
        </w:rPr>
        <w:t>Files relating to Bulgaria open in EU Pilot at year-end</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559E9D70" wp14:editId="410AA23C">
            <wp:extent cx="4596130" cy="2186305"/>
            <wp:effectExtent l="0" t="0" r="13970" b="23495"/>
            <wp:docPr id="104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557B7" w:rsidRDefault="00AD3265">
      <w:pPr>
        <w:pStyle w:val="AnnualReport2"/>
        <w:numPr>
          <w:ilvl w:val="0"/>
          <w:numId w:val="190"/>
        </w:numPr>
        <w:ind w:left="709" w:hanging="425"/>
        <w:rPr>
          <w:noProof/>
        </w:rPr>
      </w:pPr>
      <w:r>
        <w:rPr>
          <w:noProof/>
        </w:rPr>
        <w:t xml:space="preserve">New EU </w:t>
      </w:r>
      <w:r>
        <w:rPr>
          <w:noProof/>
        </w:rPr>
        <w:t>Pilot files opened in 2017: main policy areas</w:t>
      </w:r>
    </w:p>
    <w:p w:rsidR="001557B7" w:rsidRDefault="001557B7">
      <w:pPr>
        <w:pStyle w:val="AnnualReport2"/>
        <w:ind w:left="709" w:firstLine="0"/>
        <w:rPr>
          <w:noProof/>
        </w:rPr>
      </w:pP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4FFEBBC0" wp14:editId="7A759A6D">
            <wp:extent cx="4643755" cy="2417445"/>
            <wp:effectExtent l="0" t="0" r="23495" b="20955"/>
            <wp:docPr id="1047"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rPr>
        <w:br w:type="page"/>
      </w:r>
    </w:p>
    <w:p w:rsidR="001557B7" w:rsidRDefault="001557B7">
      <w:pPr>
        <w:spacing w:after="0"/>
        <w:rPr>
          <w:rFonts w:ascii="Arial" w:hAnsi="Arial" w:cs="Arial"/>
          <w:noProof/>
          <w:sz w:val="20"/>
        </w:rPr>
      </w:pPr>
    </w:p>
    <w:p w:rsidR="001557B7" w:rsidRDefault="00AD3265">
      <w:pPr>
        <w:pStyle w:val="AnnualReport2"/>
        <w:numPr>
          <w:ilvl w:val="0"/>
          <w:numId w:val="190"/>
        </w:numPr>
        <w:spacing w:before="0"/>
        <w:ind w:left="709" w:hanging="425"/>
        <w:rPr>
          <w:noProof/>
        </w:rPr>
      </w:pPr>
      <w:r>
        <w:rPr>
          <w:noProof/>
        </w:rPr>
        <w:t>EU Pilot files: Bulgaria’s resolution rate in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CB23419" wp14:editId="2B855729">
            <wp:extent cx="4596130" cy="2313940"/>
            <wp:effectExtent l="0" t="0" r="13970" b="10160"/>
            <wp:docPr id="104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557B7" w:rsidRDefault="00AD3265">
      <w:pPr>
        <w:pStyle w:val="kop2"/>
        <w:numPr>
          <w:ilvl w:val="0"/>
          <w:numId w:val="16"/>
        </w:numPr>
        <w:spacing w:before="360" w:after="240"/>
        <w:ind w:left="709" w:hanging="425"/>
        <w:rPr>
          <w:caps w:val="0"/>
          <w:noProof/>
        </w:rPr>
      </w:pPr>
      <w:r>
        <w:rPr>
          <w:noProof/>
        </w:rPr>
        <w:t>INFRINGEMENT CASES</w:t>
      </w:r>
    </w:p>
    <w:p w:rsidR="001557B7" w:rsidRDefault="00AD3265">
      <w:pPr>
        <w:pStyle w:val="AnnualReport2"/>
        <w:numPr>
          <w:ilvl w:val="0"/>
          <w:numId w:val="191"/>
        </w:numPr>
        <w:ind w:left="709" w:hanging="425"/>
        <w:rPr>
          <w:noProof/>
        </w:rPr>
      </w:pPr>
      <w:r>
        <w:rPr>
          <w:noProof/>
        </w:rPr>
        <w:t>Infringement</w:t>
      </w:r>
      <w:r>
        <w:rPr>
          <w:rStyle w:val="AnnualReport2Char"/>
          <w:noProof/>
        </w:rPr>
        <w:t xml:space="preserve"> </w:t>
      </w:r>
      <w:r>
        <w:rPr>
          <w:noProof/>
        </w:rPr>
        <w:t>cases</w:t>
      </w:r>
      <w:r>
        <w:rPr>
          <w:rStyle w:val="AnnualReport2Char"/>
          <w:noProof/>
        </w:rPr>
        <w:t xml:space="preserve"> against Bulgaria open on 31 December (2013-2017</w:t>
      </w:r>
      <w:r>
        <w:rPr>
          <w:noProof/>
        </w:rPr>
        <w:t>)</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356D7C96" wp14:editId="44516547">
            <wp:extent cx="4612005" cy="2154555"/>
            <wp:effectExtent l="0" t="0" r="17145" b="17145"/>
            <wp:docPr id="1045"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557B7" w:rsidRDefault="00AD3265">
      <w:pPr>
        <w:pStyle w:val="AnnualReport2"/>
        <w:numPr>
          <w:ilvl w:val="0"/>
          <w:numId w:val="191"/>
        </w:numPr>
        <w:ind w:left="709" w:hanging="425"/>
        <w:rPr>
          <w:noProof/>
        </w:rPr>
      </w:pPr>
      <w:r>
        <w:rPr>
          <w:noProof/>
        </w:rPr>
        <w:t>New infringement cases opened in 2017: main policy areas</w:t>
      </w:r>
    </w:p>
    <w:p w:rsidR="001557B7" w:rsidRDefault="00AD3265">
      <w:pPr>
        <w:spacing w:after="120"/>
        <w:ind w:left="284" w:firstLine="709"/>
        <w:rPr>
          <w:rFonts w:ascii="Arial" w:hAnsi="Arial" w:cs="Arial"/>
          <w:noProof/>
          <w:sz w:val="20"/>
        </w:rPr>
      </w:pPr>
      <w:r>
        <w:rPr>
          <w:rFonts w:ascii="Arial" w:hAnsi="Arial" w:cs="Arial"/>
          <w:noProof/>
          <w:sz w:val="20"/>
          <w:lang w:eastAsia="en-GB"/>
        </w:rPr>
        <w:drawing>
          <wp:inline distT="0" distB="0" distL="0" distR="0" wp14:anchorId="01A72605" wp14:editId="046A3D66">
            <wp:extent cx="4413250" cy="2393315"/>
            <wp:effectExtent l="0" t="0" r="25400" b="26035"/>
            <wp:docPr id="1044"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557B7" w:rsidRDefault="001557B7">
      <w:pPr>
        <w:pStyle w:val="AnnualReport2"/>
        <w:ind w:left="709" w:firstLine="0"/>
        <w:rPr>
          <w:noProof/>
        </w:rPr>
      </w:pPr>
    </w:p>
    <w:p w:rsidR="001557B7" w:rsidRDefault="00AD3265">
      <w:pPr>
        <w:pStyle w:val="AnnualReport2"/>
        <w:numPr>
          <w:ilvl w:val="0"/>
          <w:numId w:val="191"/>
        </w:numPr>
        <w:ind w:left="709" w:hanging="425"/>
        <w:rPr>
          <w:noProof/>
        </w:rPr>
      </w:pPr>
      <w:r>
        <w:rPr>
          <w:noProof/>
        </w:rPr>
        <w:t>Key infringement cases and referrals to the Court</w:t>
      </w:r>
    </w:p>
    <w:p w:rsidR="001557B7" w:rsidRDefault="00AD3265">
      <w:pPr>
        <w:pStyle w:val="Lijstje"/>
        <w:numPr>
          <w:ilvl w:val="0"/>
          <w:numId w:val="23"/>
        </w:numPr>
        <w:ind w:left="1276" w:hanging="425"/>
        <w:rPr>
          <w:noProof/>
        </w:rPr>
      </w:pPr>
      <w:r>
        <w:rPr>
          <w:noProof/>
        </w:rPr>
        <w:t>The Commission opened 29 new infringement cases against Bulgaria in 2017. These, and other major ongoing infringement cases, include:</w:t>
      </w:r>
    </w:p>
    <w:p w:rsidR="001557B7" w:rsidRDefault="00AD3265">
      <w:pPr>
        <w:pStyle w:val="Lijstje"/>
        <w:numPr>
          <w:ilvl w:val="0"/>
          <w:numId w:val="61"/>
        </w:numPr>
        <w:spacing w:after="0"/>
        <w:ind w:left="1843" w:hanging="425"/>
        <w:rPr>
          <w:noProof/>
        </w:rPr>
      </w:pPr>
      <w:r>
        <w:rPr>
          <w:noProof/>
        </w:rPr>
        <w:t>lack of implementation of certain obligations under EU document securi</w:t>
      </w:r>
      <w:r>
        <w:rPr>
          <w:noProof/>
        </w:rPr>
        <w:t>ty legislation</w:t>
      </w:r>
      <w:r>
        <w:rPr>
          <w:rStyle w:val="FootnoteReference"/>
          <w:noProof/>
        </w:rPr>
        <w:footnoteReference w:id="36"/>
      </w:r>
      <w:r>
        <w:rPr>
          <w:noProof/>
        </w:rPr>
        <w:t>;</w:t>
      </w:r>
    </w:p>
    <w:p w:rsidR="001557B7" w:rsidRDefault="00AD3265">
      <w:pPr>
        <w:pStyle w:val="Lijstje"/>
        <w:numPr>
          <w:ilvl w:val="0"/>
          <w:numId w:val="61"/>
        </w:numPr>
        <w:spacing w:after="0"/>
        <w:ind w:left="1843" w:hanging="425"/>
        <w:rPr>
          <w:noProof/>
        </w:rPr>
      </w:pPr>
      <w:r>
        <w:rPr>
          <w:noProof/>
        </w:rPr>
        <w:t>non-compliance with the Railway Safety Directive by failing to ensure the independence of the investigating body</w:t>
      </w:r>
      <w:r>
        <w:rPr>
          <w:rStyle w:val="FootnoteReference"/>
          <w:noProof/>
        </w:rPr>
        <w:footnoteReference w:id="37"/>
      </w:r>
      <w:r>
        <w:rPr>
          <w:noProof/>
        </w:rPr>
        <w:t>;</w:t>
      </w:r>
    </w:p>
    <w:p w:rsidR="001557B7" w:rsidRDefault="00AD3265">
      <w:pPr>
        <w:pStyle w:val="Lijstje"/>
        <w:numPr>
          <w:ilvl w:val="0"/>
          <w:numId w:val="61"/>
        </w:numPr>
        <w:spacing w:after="0"/>
        <w:ind w:left="1843" w:hanging="425"/>
        <w:rPr>
          <w:noProof/>
        </w:rPr>
      </w:pPr>
      <w:r>
        <w:rPr>
          <w:noProof/>
        </w:rPr>
        <w:t>cash control, proportionality of national fines</w:t>
      </w:r>
      <w:r>
        <w:rPr>
          <w:rStyle w:val="FootnoteReference"/>
          <w:noProof/>
        </w:rPr>
        <w:footnoteReference w:id="38"/>
      </w:r>
      <w:r>
        <w:rPr>
          <w:noProof/>
        </w:rPr>
        <w:t>;</w:t>
      </w:r>
    </w:p>
    <w:p w:rsidR="001557B7" w:rsidRDefault="00AD3265">
      <w:pPr>
        <w:pStyle w:val="Lijstje"/>
        <w:numPr>
          <w:ilvl w:val="0"/>
          <w:numId w:val="61"/>
        </w:numPr>
        <w:spacing w:after="0"/>
        <w:ind w:left="1843" w:hanging="425"/>
        <w:rPr>
          <w:noProof/>
        </w:rPr>
      </w:pPr>
      <w:r>
        <w:rPr>
          <w:noProof/>
        </w:rPr>
        <w:t>non-compliant transposition of the Extractive Waste Directive</w:t>
      </w:r>
      <w:r>
        <w:rPr>
          <w:rStyle w:val="FootnoteReference"/>
          <w:noProof/>
        </w:rPr>
        <w:footnoteReference w:id="39"/>
      </w:r>
      <w:r>
        <w:rPr>
          <w:noProof/>
        </w:rPr>
        <w:t>;</w:t>
      </w:r>
    </w:p>
    <w:p w:rsidR="001557B7" w:rsidRDefault="00AD3265">
      <w:pPr>
        <w:pStyle w:val="Lijstje"/>
        <w:numPr>
          <w:ilvl w:val="0"/>
          <w:numId w:val="61"/>
        </w:numPr>
        <w:spacing w:after="0"/>
        <w:ind w:left="1843" w:hanging="425"/>
        <w:rPr>
          <w:noProof/>
        </w:rPr>
      </w:pPr>
      <w:r>
        <w:rPr>
          <w:noProof/>
        </w:rPr>
        <w:t>failure to</w:t>
      </w:r>
      <w:r>
        <w:rPr>
          <w:noProof/>
        </w:rPr>
        <w:t xml:space="preserve"> ensure that urban waste water is adequately treated</w:t>
      </w:r>
      <w:r>
        <w:rPr>
          <w:rStyle w:val="FootnoteReference"/>
          <w:noProof/>
        </w:rPr>
        <w:footnoteReference w:id="40"/>
      </w:r>
      <w:r>
        <w:rPr>
          <w:noProof/>
        </w:rPr>
        <w:t>;</w:t>
      </w:r>
    </w:p>
    <w:p w:rsidR="001557B7" w:rsidRDefault="00AD3265">
      <w:pPr>
        <w:pStyle w:val="Lijstje"/>
        <w:numPr>
          <w:ilvl w:val="0"/>
          <w:numId w:val="61"/>
        </w:numPr>
        <w:spacing w:after="0"/>
        <w:ind w:left="1843" w:hanging="425"/>
        <w:rPr>
          <w:noProof/>
        </w:rPr>
      </w:pPr>
      <w:r>
        <w:rPr>
          <w:noProof/>
        </w:rPr>
        <w:t>non-communication of national measures transposing the:</w:t>
      </w:r>
    </w:p>
    <w:p w:rsidR="001557B7" w:rsidRDefault="00AD3265">
      <w:pPr>
        <w:pStyle w:val="Lijstje"/>
        <w:numPr>
          <w:ilvl w:val="1"/>
          <w:numId w:val="61"/>
        </w:numPr>
        <w:spacing w:after="0"/>
        <w:ind w:left="2410" w:hanging="425"/>
        <w:rPr>
          <w:noProof/>
        </w:rPr>
      </w:pPr>
      <w:r>
        <w:rPr>
          <w:noProof/>
        </w:rPr>
        <w:t>Fourth Anti-Money Laundering Directive</w:t>
      </w:r>
      <w:r>
        <w:rPr>
          <w:rStyle w:val="FootnoteReference"/>
          <w:noProof/>
        </w:rPr>
        <w:footnoteReference w:id="41"/>
      </w:r>
      <w:r>
        <w:rPr>
          <w:noProof/>
        </w:rPr>
        <w:t>;</w:t>
      </w:r>
    </w:p>
    <w:p w:rsidR="001557B7" w:rsidRDefault="00AD3265">
      <w:pPr>
        <w:pStyle w:val="Lijstje"/>
        <w:numPr>
          <w:ilvl w:val="1"/>
          <w:numId w:val="61"/>
        </w:numPr>
        <w:spacing w:after="0"/>
        <w:ind w:left="2410" w:hanging="425"/>
        <w:rPr>
          <w:noProof/>
        </w:rPr>
      </w:pPr>
      <w:r>
        <w:rPr>
          <w:noProof/>
        </w:rPr>
        <w:t>Maritime Spatial Planning Directive</w:t>
      </w:r>
      <w:r>
        <w:rPr>
          <w:rStyle w:val="FootnoteReference"/>
          <w:noProof/>
        </w:rPr>
        <w:footnoteReference w:id="42"/>
      </w:r>
      <w:r>
        <w:rPr>
          <w:noProof/>
        </w:rPr>
        <w:t>;</w:t>
      </w:r>
    </w:p>
    <w:p w:rsidR="001557B7" w:rsidRDefault="00AD3265">
      <w:pPr>
        <w:pStyle w:val="Lijstje"/>
        <w:numPr>
          <w:ilvl w:val="1"/>
          <w:numId w:val="61"/>
        </w:numPr>
        <w:spacing w:after="0"/>
        <w:ind w:left="2410" w:hanging="425"/>
        <w:rPr>
          <w:noProof/>
        </w:rPr>
      </w:pPr>
      <w:r>
        <w:rPr>
          <w:noProof/>
        </w:rPr>
        <w:t>Directive on caseins and caseinates</w:t>
      </w:r>
      <w:r>
        <w:rPr>
          <w:rStyle w:val="FootnoteReference"/>
          <w:noProof/>
        </w:rPr>
        <w:footnoteReference w:id="43"/>
      </w:r>
      <w:r>
        <w:rPr>
          <w:noProof/>
        </w:rPr>
        <w:t>;</w:t>
      </w:r>
    </w:p>
    <w:p w:rsidR="001557B7" w:rsidRDefault="00AD3265">
      <w:pPr>
        <w:pStyle w:val="Lijstje"/>
        <w:numPr>
          <w:ilvl w:val="1"/>
          <w:numId w:val="61"/>
        </w:numPr>
        <w:spacing w:after="0"/>
        <w:ind w:left="2410" w:hanging="425"/>
        <w:rPr>
          <w:noProof/>
        </w:rPr>
      </w:pPr>
      <w:r>
        <w:rPr>
          <w:noProof/>
        </w:rPr>
        <w:t>Markets in Financial Instrum</w:t>
      </w:r>
      <w:r>
        <w:rPr>
          <w:noProof/>
        </w:rPr>
        <w:t>ents Directive (MiFID II)</w:t>
      </w:r>
      <w:r>
        <w:rPr>
          <w:rStyle w:val="FootnoteReference"/>
          <w:noProof/>
        </w:rPr>
        <w:footnoteReference w:id="44"/>
      </w:r>
      <w:r>
        <w:rPr>
          <w:noProof/>
        </w:rPr>
        <w:t>;</w:t>
      </w:r>
    </w:p>
    <w:p w:rsidR="001557B7" w:rsidRDefault="00AD3265">
      <w:pPr>
        <w:pStyle w:val="Lijstje"/>
        <w:numPr>
          <w:ilvl w:val="1"/>
          <w:numId w:val="61"/>
        </w:numPr>
        <w:spacing w:after="0"/>
        <w:ind w:left="2410" w:hanging="425"/>
        <w:rPr>
          <w:noProof/>
        </w:rPr>
      </w:pPr>
      <w:r>
        <w:rPr>
          <w:noProof/>
        </w:rPr>
        <w:t>Directive on the organisation of working time in inland waterway transport</w:t>
      </w:r>
      <w:r>
        <w:rPr>
          <w:rStyle w:val="FootnoteReference"/>
          <w:noProof/>
        </w:rPr>
        <w:footnoteReference w:id="45"/>
      </w:r>
      <w:r>
        <w:rPr>
          <w:noProof/>
        </w:rPr>
        <w:t>;</w:t>
      </w:r>
    </w:p>
    <w:p w:rsidR="001557B7" w:rsidRDefault="00AD3265">
      <w:pPr>
        <w:pStyle w:val="Lijstje"/>
        <w:numPr>
          <w:ilvl w:val="1"/>
          <w:numId w:val="61"/>
        </w:numPr>
        <w:spacing w:after="240"/>
        <w:ind w:left="2410" w:hanging="425"/>
        <w:rPr>
          <w:noProof/>
        </w:rPr>
      </w:pPr>
      <w:r>
        <w:rPr>
          <w:noProof/>
        </w:rPr>
        <w:t>Directive laying down calculation methods and reporting requirements</w:t>
      </w:r>
      <w:r>
        <w:rPr>
          <w:rStyle w:val="FootnoteReference"/>
          <w:noProof/>
        </w:rPr>
        <w:footnoteReference w:id="46"/>
      </w:r>
      <w:r>
        <w:rPr>
          <w:noProof/>
        </w:rPr>
        <w:t xml:space="preserve"> pursuant to a Directive relating to the quality of petrol and diesel fuels</w:t>
      </w:r>
      <w:r>
        <w:rPr>
          <w:rStyle w:val="FootnoteReference"/>
          <w:noProof/>
        </w:rPr>
        <w:footnoteReference w:id="47"/>
      </w:r>
      <w:r>
        <w:rPr>
          <w:noProof/>
        </w:rPr>
        <w:t>.</w:t>
      </w:r>
    </w:p>
    <w:p w:rsidR="001557B7" w:rsidRDefault="00AD3265">
      <w:pPr>
        <w:pStyle w:val="Lijstje"/>
        <w:numPr>
          <w:ilvl w:val="0"/>
          <w:numId w:val="23"/>
        </w:numPr>
        <w:ind w:left="1276" w:hanging="425"/>
        <w:rPr>
          <w:noProof/>
        </w:rPr>
      </w:pPr>
      <w:r>
        <w:rPr>
          <w:noProof/>
        </w:rPr>
        <w:t xml:space="preserve">The </w:t>
      </w:r>
      <w:r>
        <w:rPr>
          <w:noProof/>
        </w:rPr>
        <w:t>Commission referred one case to the Court under Article 258 TFEU. It concerned:</w:t>
      </w:r>
    </w:p>
    <w:p w:rsidR="001557B7" w:rsidRDefault="00AD3265">
      <w:pPr>
        <w:pStyle w:val="Lijstje"/>
        <w:numPr>
          <w:ilvl w:val="0"/>
          <w:numId w:val="61"/>
        </w:numPr>
        <w:ind w:left="1843" w:hanging="425"/>
        <w:rPr>
          <w:noProof/>
        </w:rPr>
      </w:pPr>
      <w:r>
        <w:rPr>
          <w:noProof/>
        </w:rPr>
        <w:t>failure to protect unique habitats and important bird species in the Rila Mountains</w:t>
      </w:r>
      <w:r>
        <w:rPr>
          <w:rStyle w:val="FootnoteReference"/>
          <w:noProof/>
        </w:rPr>
        <w:footnoteReference w:id="48"/>
      </w:r>
      <w:r>
        <w:rPr>
          <w:noProof/>
        </w:rPr>
        <w:t>.</w:t>
      </w:r>
    </w:p>
    <w:p w:rsidR="001557B7" w:rsidRDefault="00AD3265">
      <w:pPr>
        <w:pStyle w:val="Lijstje"/>
        <w:numPr>
          <w:ilvl w:val="0"/>
          <w:numId w:val="23"/>
        </w:numPr>
        <w:ind w:left="1276" w:hanging="425"/>
        <w:rPr>
          <w:noProof/>
        </w:rPr>
      </w:pPr>
      <w:r>
        <w:rPr>
          <w:noProof/>
        </w:rPr>
        <w:t>The Commission did not refer any cases to the Court under Article 260(2) TFEU.</w:t>
      </w:r>
      <w:r>
        <w:rPr>
          <w:noProof/>
        </w:rPr>
        <w:br w:type="page"/>
      </w:r>
    </w:p>
    <w:p w:rsidR="001557B7" w:rsidRDefault="00AD3265">
      <w:pPr>
        <w:pStyle w:val="kop2"/>
        <w:numPr>
          <w:ilvl w:val="0"/>
          <w:numId w:val="16"/>
        </w:numPr>
        <w:spacing w:before="240" w:after="240"/>
        <w:ind w:left="709" w:hanging="425"/>
        <w:rPr>
          <w:caps w:val="0"/>
          <w:noProof/>
        </w:rPr>
      </w:pPr>
      <w:r>
        <w:rPr>
          <w:noProof/>
        </w:rPr>
        <w:t xml:space="preserve">TRANSPOSITION OF </w:t>
      </w:r>
      <w:r>
        <w:rPr>
          <w:caps w:val="0"/>
          <w:noProof/>
        </w:rPr>
        <w:t>DIRECTIVES</w:t>
      </w:r>
    </w:p>
    <w:p w:rsidR="001557B7" w:rsidRDefault="00AD3265">
      <w:pPr>
        <w:pStyle w:val="AnnualReport2"/>
        <w:numPr>
          <w:ilvl w:val="0"/>
          <w:numId w:val="196"/>
        </w:numPr>
        <w:ind w:left="709" w:hanging="425"/>
        <w:rPr>
          <w:noProof/>
        </w:rPr>
      </w:pPr>
      <w:r>
        <w:rPr>
          <w:rStyle w:val="AnnualReport2Char"/>
          <w:noProof/>
        </w:rPr>
        <w:t xml:space="preserve">Late </w:t>
      </w:r>
      <w:r>
        <w:rPr>
          <w:noProof/>
        </w:rPr>
        <w:t>transposition</w:t>
      </w:r>
      <w:r>
        <w:rPr>
          <w:rStyle w:val="AnnualReport2Char"/>
          <w:noProof/>
        </w:rPr>
        <w:t xml:space="preserve"> infringement cases against Bulgaria open on 31 December (2013-2017</w:t>
      </w:r>
      <w:r>
        <w:rPr>
          <w:noProof/>
        </w:rPr>
        <w:t>)</w:t>
      </w:r>
    </w:p>
    <w:p w:rsidR="001557B7" w:rsidRDefault="00AD3265">
      <w:pPr>
        <w:ind w:left="426" w:firstLine="283"/>
        <w:rPr>
          <w:noProof/>
        </w:rPr>
      </w:pPr>
      <w:r>
        <w:rPr>
          <w:noProof/>
          <w:lang w:eastAsia="en-GB"/>
        </w:rPr>
        <w:drawing>
          <wp:inline distT="0" distB="0" distL="0" distR="0" wp14:anchorId="7AC232A4" wp14:editId="071DB8F4">
            <wp:extent cx="4610100" cy="2125980"/>
            <wp:effectExtent l="0" t="0" r="19050" b="26670"/>
            <wp:docPr id="1043"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557B7" w:rsidRDefault="00AD3265">
      <w:pPr>
        <w:pStyle w:val="AnnualReport2"/>
        <w:numPr>
          <w:ilvl w:val="0"/>
          <w:numId w:val="196"/>
        </w:numPr>
        <w:ind w:left="709" w:hanging="425"/>
        <w:rPr>
          <w:noProof/>
        </w:rPr>
      </w:pPr>
      <w:r>
        <w:rPr>
          <w:noProof/>
        </w:rPr>
        <w:t>New late transposition infringement cases against Bulgaria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1A4D0BA3" wp14:editId="18C41906">
            <wp:extent cx="4603750" cy="2067560"/>
            <wp:effectExtent l="0" t="0" r="25400" b="27940"/>
            <wp:docPr id="104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557B7" w:rsidRDefault="00AD3265">
      <w:pPr>
        <w:pStyle w:val="AnnualReport2"/>
        <w:numPr>
          <w:ilvl w:val="0"/>
          <w:numId w:val="196"/>
        </w:numPr>
        <w:ind w:left="709" w:hanging="425"/>
        <w:rPr>
          <w:noProof/>
        </w:rPr>
      </w:pPr>
      <w:r>
        <w:rPr>
          <w:noProof/>
        </w:rPr>
        <w:t>New late transposition infringement cases opened in 2017: main pol</w:t>
      </w:r>
      <w:r>
        <w:rPr>
          <w:noProof/>
        </w:rPr>
        <w:t>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3600C67C" wp14:editId="56CB4B94">
            <wp:extent cx="4579620" cy="2529840"/>
            <wp:effectExtent l="0" t="0" r="11430" b="22860"/>
            <wp:docPr id="1041"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557B7" w:rsidRDefault="001557B7">
      <w:pPr>
        <w:pStyle w:val="AnnualReport2"/>
        <w:ind w:left="709" w:firstLine="0"/>
        <w:rPr>
          <w:noProof/>
        </w:rPr>
      </w:pPr>
    </w:p>
    <w:p w:rsidR="001557B7" w:rsidRDefault="00AD3265">
      <w:pPr>
        <w:pStyle w:val="AnnualReport2"/>
        <w:numPr>
          <w:ilvl w:val="0"/>
          <w:numId w:val="196"/>
        </w:numPr>
        <w:ind w:left="709" w:hanging="425"/>
        <w:rPr>
          <w:noProof/>
        </w:rPr>
      </w:pPr>
      <w:r>
        <w:rPr>
          <w:noProof/>
        </w:rPr>
        <w:t>Referrals to the Court</w:t>
      </w:r>
    </w:p>
    <w:p w:rsidR="001557B7" w:rsidRDefault="00AD3265">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rsidR="001557B7" w:rsidRDefault="00AD3265">
      <w:pPr>
        <w:pStyle w:val="kop2"/>
        <w:numPr>
          <w:ilvl w:val="0"/>
          <w:numId w:val="16"/>
        </w:numPr>
        <w:spacing w:before="360" w:after="240"/>
        <w:ind w:left="709" w:hanging="425"/>
        <w:rPr>
          <w:caps w:val="0"/>
          <w:noProof/>
        </w:rPr>
      </w:pPr>
      <w:r>
        <w:rPr>
          <w:noProof/>
        </w:rPr>
        <w:t>EARLY RESOLUTION OF INFRINGEMENT CASES</w:t>
      </w:r>
    </w:p>
    <w:p w:rsidR="001557B7" w:rsidRDefault="00AD3265">
      <w:pPr>
        <w:spacing w:after="60"/>
        <w:ind w:firstLine="709"/>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1557B7" w:rsidRDefault="00AD3265">
      <w:pPr>
        <w:spacing w:before="120" w:after="120"/>
        <w:ind w:firstLine="709"/>
        <w:rPr>
          <w:rFonts w:ascii="Arial" w:hAnsi="Arial" w:cs="Arial"/>
          <w:noProof/>
          <w:sz w:val="20"/>
        </w:rPr>
      </w:pPr>
      <w:r>
        <w:rPr>
          <w:rFonts w:ascii="Arial" w:hAnsi="Arial" w:cs="Arial"/>
          <w:noProof/>
          <w:sz w:val="20"/>
        </w:rPr>
        <w:t>These concerned:</w:t>
      </w:r>
    </w:p>
    <w:p w:rsidR="001557B7" w:rsidRDefault="00AD3265">
      <w:pPr>
        <w:numPr>
          <w:ilvl w:val="0"/>
          <w:numId w:val="2"/>
        </w:numPr>
        <w:spacing w:after="0"/>
        <w:ind w:left="1276" w:hanging="425"/>
        <w:contextualSpacing/>
        <w:rPr>
          <w:rFonts w:ascii="Arial" w:eastAsia="Calibri" w:hAnsi="Arial"/>
          <w:noProof/>
        </w:rPr>
      </w:pPr>
      <w:r>
        <w:rPr>
          <w:rFonts w:ascii="Arial" w:hAnsi="Arial" w:cs="Arial"/>
          <w:bCs/>
          <w:noProof/>
          <w:sz w:val="20"/>
        </w:rPr>
        <w:t xml:space="preserve">disproportionate fees </w:t>
      </w:r>
      <w:r>
        <w:rPr>
          <w:rFonts w:ascii="Arial" w:hAnsi="Arial" w:cs="Arial"/>
          <w:bCs/>
          <w:noProof/>
          <w:sz w:val="20"/>
        </w:rPr>
        <w:t>for issuing residence permits to third-country nationals;</w:t>
      </w:r>
    </w:p>
    <w:p w:rsidR="001557B7" w:rsidRDefault="00AD3265">
      <w:pPr>
        <w:pStyle w:val="ListParagraph"/>
        <w:numPr>
          <w:ilvl w:val="0"/>
          <w:numId w:val="33"/>
        </w:numPr>
        <w:autoSpaceDE w:val="0"/>
        <w:autoSpaceDN w:val="0"/>
        <w:adjustRightInd w:val="0"/>
        <w:spacing w:after="200"/>
        <w:ind w:hanging="425"/>
        <w:rPr>
          <w:rFonts w:ascii="Arial" w:hAnsi="Arial"/>
          <w:noProof/>
          <w:kern w:val="20"/>
          <w:sz w:val="20"/>
          <w:lang w:eastAsia="en-GB"/>
        </w:rPr>
      </w:pPr>
      <w:r>
        <w:rPr>
          <w:rFonts w:ascii="Arial" w:hAnsi="Arial"/>
          <w:noProof/>
          <w:kern w:val="20"/>
          <w:sz w:val="20"/>
          <w:lang w:eastAsia="en-GB"/>
        </w:rPr>
        <w:t>failure to correctly transpose and ensure the effective application of the Directive on the energy performance of buildings</w:t>
      </w:r>
      <w:r>
        <w:rPr>
          <w:rStyle w:val="FootnoteReference"/>
          <w:rFonts w:ascii="Arial" w:hAnsi="Arial"/>
          <w:noProof/>
          <w:kern w:val="20"/>
          <w:sz w:val="20"/>
          <w:lang w:eastAsia="en-GB"/>
        </w:rPr>
        <w:footnoteReference w:id="49"/>
      </w:r>
      <w:r>
        <w:rPr>
          <w:rFonts w:ascii="Arial" w:hAnsi="Arial"/>
          <w:noProof/>
          <w:kern w:val="20"/>
          <w:sz w:val="20"/>
          <w:lang w:eastAsia="en-GB"/>
        </w:rPr>
        <w:t>;</w:t>
      </w:r>
    </w:p>
    <w:p w:rsidR="001557B7" w:rsidRDefault="00AD3265">
      <w:pPr>
        <w:pStyle w:val="ListParagraph"/>
        <w:numPr>
          <w:ilvl w:val="0"/>
          <w:numId w:val="33"/>
        </w:numPr>
        <w:autoSpaceDE w:val="0"/>
        <w:autoSpaceDN w:val="0"/>
        <w:adjustRightInd w:val="0"/>
        <w:spacing w:after="200"/>
        <w:ind w:hanging="425"/>
        <w:rPr>
          <w:rFonts w:ascii="Arial" w:hAnsi="Arial"/>
          <w:noProof/>
          <w:kern w:val="20"/>
          <w:sz w:val="20"/>
          <w:lang w:eastAsia="en-GB"/>
        </w:rPr>
      </w:pPr>
      <w:r>
        <w:rPr>
          <w:rFonts w:ascii="Arial" w:hAnsi="Arial"/>
          <w:noProof/>
          <w:kern w:val="20"/>
          <w:sz w:val="20"/>
          <w:lang w:eastAsia="en-GB"/>
        </w:rPr>
        <w:t>non-conformity with the Audiovisual Media Services Directive</w:t>
      </w:r>
      <w:r>
        <w:rPr>
          <w:rStyle w:val="FootnoteReference"/>
          <w:noProof/>
        </w:rPr>
        <w:footnoteReference w:id="50"/>
      </w:r>
      <w:r>
        <w:rPr>
          <w:rFonts w:ascii="Arial" w:hAnsi="Arial"/>
          <w:noProof/>
          <w:kern w:val="20"/>
          <w:sz w:val="20"/>
          <w:lang w:eastAsia="en-GB"/>
        </w:rPr>
        <w:t>;</w:t>
      </w:r>
    </w:p>
    <w:p w:rsidR="001557B7" w:rsidRDefault="00AD3265">
      <w:pPr>
        <w:pStyle w:val="ListParagraph"/>
        <w:numPr>
          <w:ilvl w:val="0"/>
          <w:numId w:val="33"/>
        </w:numPr>
        <w:autoSpaceDE w:val="0"/>
        <w:autoSpaceDN w:val="0"/>
        <w:adjustRightInd w:val="0"/>
        <w:spacing w:after="0"/>
        <w:ind w:hanging="425"/>
        <w:rPr>
          <w:rFonts w:ascii="Arial" w:hAnsi="Arial" w:cs="Arial"/>
          <w:noProof/>
          <w:sz w:val="20"/>
        </w:rPr>
      </w:pPr>
      <w:r>
        <w:rPr>
          <w:rFonts w:ascii="Arial" w:hAnsi="Arial" w:cs="Arial"/>
          <w:noProof/>
          <w:sz w:val="20"/>
        </w:rPr>
        <w:t>failure t</w:t>
      </w:r>
      <w:r>
        <w:rPr>
          <w:rFonts w:ascii="Arial" w:hAnsi="Arial" w:cs="Arial"/>
          <w:noProof/>
          <w:sz w:val="20"/>
        </w:rPr>
        <w:t>o make available to the Commission flood hazard and risk maps;</w:t>
      </w:r>
    </w:p>
    <w:p w:rsidR="001557B7" w:rsidRDefault="00AD3265">
      <w:pPr>
        <w:pStyle w:val="ListParagraph"/>
        <w:numPr>
          <w:ilvl w:val="0"/>
          <w:numId w:val="33"/>
        </w:numPr>
        <w:autoSpaceDE w:val="0"/>
        <w:autoSpaceDN w:val="0"/>
        <w:adjustRightInd w:val="0"/>
        <w:spacing w:after="0"/>
        <w:ind w:hanging="425"/>
        <w:rPr>
          <w:rFonts w:ascii="Arial" w:hAnsi="Arial" w:cs="Arial"/>
          <w:noProof/>
          <w:sz w:val="20"/>
        </w:rPr>
      </w:pPr>
      <w:r>
        <w:rPr>
          <w:rFonts w:ascii="Arial" w:hAnsi="Arial" w:cs="Arial"/>
          <w:noProof/>
          <w:sz w:val="20"/>
        </w:rPr>
        <w:t>failure to adopt a national policy framework for the development and deployment of alternative fuels infrastructure</w:t>
      </w:r>
      <w:r>
        <w:rPr>
          <w:rStyle w:val="FootnoteReference"/>
          <w:rFonts w:ascii="Arial" w:hAnsi="Arial" w:cs="Arial"/>
          <w:noProof/>
          <w:sz w:val="20"/>
        </w:rPr>
        <w:footnoteReference w:id="51"/>
      </w:r>
      <w:r>
        <w:rPr>
          <w:rFonts w:ascii="Arial" w:hAnsi="Arial" w:cs="Arial"/>
          <w:noProof/>
          <w:sz w:val="20"/>
        </w:rPr>
        <w:t>;</w:t>
      </w:r>
    </w:p>
    <w:p w:rsidR="001557B7" w:rsidRDefault="00AD3265">
      <w:pPr>
        <w:pStyle w:val="ListParagraph"/>
        <w:numPr>
          <w:ilvl w:val="0"/>
          <w:numId w:val="33"/>
        </w:numPr>
        <w:autoSpaceDE w:val="0"/>
        <w:autoSpaceDN w:val="0"/>
        <w:adjustRightInd w:val="0"/>
        <w:spacing w:after="0"/>
        <w:ind w:hanging="425"/>
        <w:rPr>
          <w:rFonts w:ascii="Arial" w:hAnsi="Arial" w:cs="Arial"/>
          <w:noProof/>
          <w:sz w:val="20"/>
        </w:rPr>
      </w:pPr>
      <w:r>
        <w:rPr>
          <w:rFonts w:ascii="Arial" w:hAnsi="Arial" w:cs="Arial"/>
          <w:noProof/>
          <w:sz w:val="20"/>
        </w:rPr>
        <w:t>groundhandling services at Sofia Airport</w:t>
      </w:r>
      <w:r>
        <w:rPr>
          <w:rStyle w:val="FootnoteReference"/>
          <w:rFonts w:ascii="Arial" w:hAnsi="Arial" w:cs="Arial"/>
          <w:noProof/>
          <w:sz w:val="20"/>
        </w:rPr>
        <w:footnoteReference w:id="52"/>
      </w:r>
      <w:r>
        <w:rPr>
          <w:rFonts w:ascii="Arial" w:hAnsi="Arial" w:cs="Arial"/>
          <w:noProof/>
          <w:sz w:val="20"/>
        </w:rPr>
        <w:t>;</w:t>
      </w:r>
    </w:p>
    <w:p w:rsidR="001557B7" w:rsidRDefault="00AD3265">
      <w:pPr>
        <w:pStyle w:val="ListParagraph"/>
        <w:numPr>
          <w:ilvl w:val="0"/>
          <w:numId w:val="33"/>
        </w:numPr>
        <w:autoSpaceDE w:val="0"/>
        <w:autoSpaceDN w:val="0"/>
        <w:adjustRightInd w:val="0"/>
        <w:spacing w:after="0"/>
        <w:ind w:hanging="425"/>
        <w:rPr>
          <w:rFonts w:ascii="Arial" w:hAnsi="Arial" w:cs="Arial"/>
          <w:noProof/>
          <w:sz w:val="20"/>
        </w:rPr>
      </w:pPr>
      <w:r>
        <w:rPr>
          <w:rFonts w:ascii="Arial" w:hAnsi="Arial" w:cs="Arial"/>
          <w:noProof/>
          <w:sz w:val="20"/>
        </w:rPr>
        <w:t>failure to put in place a proced</w:t>
      </w:r>
      <w:r>
        <w:rPr>
          <w:rFonts w:ascii="Arial" w:hAnsi="Arial" w:cs="Arial"/>
          <w:noProof/>
          <w:sz w:val="20"/>
        </w:rPr>
        <w:t>ure for the registration of a European Electronic Toll Service</w:t>
      </w:r>
      <w:r>
        <w:rPr>
          <w:rStyle w:val="FootnoteReference"/>
          <w:rFonts w:ascii="Arial" w:hAnsi="Arial" w:cs="Arial"/>
          <w:noProof/>
          <w:sz w:val="20"/>
        </w:rPr>
        <w:footnoteReference w:id="53"/>
      </w:r>
      <w:r>
        <w:rPr>
          <w:rFonts w:ascii="Arial" w:hAnsi="Arial" w:cs="Arial"/>
          <w:noProof/>
          <w:sz w:val="20"/>
        </w:rPr>
        <w:t>;</w:t>
      </w:r>
    </w:p>
    <w:p w:rsidR="001557B7" w:rsidRDefault="00AD3265">
      <w:pPr>
        <w:pStyle w:val="ListParagraph"/>
        <w:numPr>
          <w:ilvl w:val="0"/>
          <w:numId w:val="33"/>
        </w:numPr>
        <w:autoSpaceDE w:val="0"/>
        <w:autoSpaceDN w:val="0"/>
        <w:adjustRightInd w:val="0"/>
        <w:spacing w:after="0"/>
        <w:ind w:hanging="425"/>
        <w:rPr>
          <w:rFonts w:ascii="Arial" w:hAnsi="Arial" w:cs="Arial"/>
          <w:noProof/>
          <w:sz w:val="20"/>
        </w:rPr>
      </w:pPr>
      <w:r>
        <w:rPr>
          <w:rFonts w:ascii="Arial" w:hAnsi="Arial" w:cs="Arial"/>
          <w:noProof/>
          <w:sz w:val="20"/>
        </w:rPr>
        <w:t>non-communication of national measures transposing the:</w:t>
      </w:r>
    </w:p>
    <w:p w:rsidR="001557B7" w:rsidRDefault="00AD3265">
      <w:pPr>
        <w:pStyle w:val="ListParagraph"/>
        <w:numPr>
          <w:ilvl w:val="1"/>
          <w:numId w:val="33"/>
        </w:numPr>
        <w:autoSpaceDE w:val="0"/>
        <w:autoSpaceDN w:val="0"/>
        <w:adjustRightInd w:val="0"/>
        <w:spacing w:after="0"/>
        <w:ind w:left="1843" w:hanging="425"/>
        <w:rPr>
          <w:rFonts w:ascii="Arial" w:hAnsi="Arial" w:cs="Arial"/>
          <w:noProof/>
          <w:sz w:val="20"/>
        </w:rPr>
      </w:pPr>
      <w:r>
        <w:rPr>
          <w:rFonts w:ascii="Arial" w:hAnsi="Arial"/>
          <w:noProof/>
          <w:sz w:val="20"/>
        </w:rPr>
        <w:t>Directive on recognition of professional qualificatio</w:t>
      </w:r>
      <w:r>
        <w:rPr>
          <w:rFonts w:ascii="Arial" w:hAnsi="Arial" w:cs="Arial"/>
          <w:noProof/>
          <w:sz w:val="20"/>
        </w:rPr>
        <w:t>ns</w:t>
      </w:r>
      <w:r>
        <w:rPr>
          <w:rStyle w:val="FootnoteReference"/>
          <w:rFonts w:cs="Arial"/>
          <w:noProof/>
        </w:rPr>
        <w:footnoteReference w:id="54"/>
      </w:r>
      <w:r>
        <w:rPr>
          <w:rFonts w:ascii="Arial" w:hAnsi="Arial" w:cs="Arial"/>
          <w:noProof/>
          <w:sz w:val="20"/>
        </w:rPr>
        <w:t>;</w:t>
      </w:r>
    </w:p>
    <w:p w:rsidR="001557B7" w:rsidRDefault="00AD3265">
      <w:pPr>
        <w:pStyle w:val="ListParagraph"/>
        <w:numPr>
          <w:ilvl w:val="1"/>
          <w:numId w:val="33"/>
        </w:numPr>
        <w:autoSpaceDE w:val="0"/>
        <w:autoSpaceDN w:val="0"/>
        <w:adjustRightInd w:val="0"/>
        <w:spacing w:after="0"/>
        <w:ind w:left="1843" w:hanging="425"/>
        <w:rPr>
          <w:rFonts w:ascii="Arial" w:hAnsi="Arial" w:cs="Arial"/>
          <w:noProof/>
          <w:sz w:val="20"/>
        </w:rPr>
      </w:pPr>
      <w:r>
        <w:rPr>
          <w:rFonts w:ascii="Arial" w:hAnsi="Arial" w:cs="Arial"/>
          <w:noProof/>
          <w:sz w:val="20"/>
        </w:rPr>
        <w:t>Directive on caseins and caseinates</w:t>
      </w:r>
      <w:r>
        <w:rPr>
          <w:rStyle w:val="FootnoteReference"/>
          <w:rFonts w:ascii="Arial" w:hAnsi="Arial"/>
          <w:noProof/>
          <w:sz w:val="20"/>
        </w:rPr>
        <w:footnoteReference w:id="55"/>
      </w:r>
      <w:r>
        <w:rPr>
          <w:rFonts w:ascii="Arial" w:hAnsi="Arial" w:cs="Arial"/>
          <w:noProof/>
          <w:sz w:val="20"/>
        </w:rPr>
        <w:t>;</w:t>
      </w:r>
    </w:p>
    <w:p w:rsidR="001557B7" w:rsidRDefault="00AD3265">
      <w:pPr>
        <w:pStyle w:val="ListParagraph"/>
        <w:numPr>
          <w:ilvl w:val="1"/>
          <w:numId w:val="33"/>
        </w:numPr>
        <w:autoSpaceDE w:val="0"/>
        <w:autoSpaceDN w:val="0"/>
        <w:adjustRightInd w:val="0"/>
        <w:spacing w:after="0"/>
        <w:ind w:left="1843" w:hanging="425"/>
        <w:rPr>
          <w:rFonts w:ascii="Arial" w:hAnsi="Arial" w:cs="Arial"/>
          <w:noProof/>
          <w:sz w:val="20"/>
        </w:rPr>
      </w:pPr>
      <w:r>
        <w:rPr>
          <w:rFonts w:ascii="Arial" w:hAnsi="Arial" w:cs="Arial"/>
          <w:noProof/>
          <w:sz w:val="20"/>
        </w:rPr>
        <w:t>Commission Directive</w:t>
      </w:r>
      <w:r>
        <w:rPr>
          <w:rStyle w:val="FootnoteReference"/>
          <w:rFonts w:ascii="Arial" w:hAnsi="Arial" w:cs="Arial"/>
          <w:noProof/>
          <w:sz w:val="20"/>
        </w:rPr>
        <w:footnoteReference w:id="56"/>
      </w:r>
      <w:r>
        <w:rPr>
          <w:rFonts w:ascii="Arial" w:hAnsi="Arial" w:cs="Arial"/>
          <w:noProof/>
          <w:sz w:val="20"/>
        </w:rPr>
        <w:t xml:space="preserve"> amending the Groundwater Directive</w:t>
      </w:r>
      <w:r>
        <w:rPr>
          <w:rStyle w:val="FootnoteReference"/>
          <w:rFonts w:ascii="Arial" w:hAnsi="Arial" w:cs="Arial"/>
          <w:noProof/>
          <w:sz w:val="20"/>
        </w:rPr>
        <w:footnoteReference w:id="57"/>
      </w:r>
      <w:r>
        <w:rPr>
          <w:rFonts w:ascii="Arial" w:hAnsi="Arial" w:cs="Arial"/>
          <w:noProof/>
          <w:sz w:val="20"/>
        </w:rPr>
        <w:t>;</w:t>
      </w:r>
    </w:p>
    <w:p w:rsidR="001557B7" w:rsidRDefault="00AD3265">
      <w:pPr>
        <w:pStyle w:val="ListParagraph"/>
        <w:numPr>
          <w:ilvl w:val="1"/>
          <w:numId w:val="33"/>
        </w:numPr>
        <w:autoSpaceDE w:val="0"/>
        <w:autoSpaceDN w:val="0"/>
        <w:adjustRightInd w:val="0"/>
        <w:spacing w:after="0"/>
        <w:ind w:left="1843" w:hanging="425"/>
        <w:rPr>
          <w:rFonts w:ascii="Arial" w:hAnsi="Arial" w:cs="Arial"/>
          <w:noProof/>
          <w:sz w:val="20"/>
        </w:rPr>
      </w:pPr>
      <w:r>
        <w:rPr>
          <w:rFonts w:ascii="Arial" w:hAnsi="Arial" w:cs="Arial"/>
          <w:noProof/>
          <w:sz w:val="20"/>
        </w:rPr>
        <w:t>Solvency II Directive</w:t>
      </w:r>
      <w:r>
        <w:rPr>
          <w:rStyle w:val="FootnoteReference"/>
          <w:noProof/>
        </w:rPr>
        <w:footnoteReference w:id="58"/>
      </w:r>
      <w:r>
        <w:rPr>
          <w:rFonts w:ascii="Arial" w:hAnsi="Arial" w:cs="Arial"/>
          <w:noProof/>
          <w:sz w:val="20"/>
        </w:rPr>
        <w:t>;</w:t>
      </w:r>
    </w:p>
    <w:p w:rsidR="001557B7" w:rsidRDefault="00AD3265">
      <w:pPr>
        <w:pStyle w:val="ListParagraph"/>
        <w:numPr>
          <w:ilvl w:val="1"/>
          <w:numId w:val="33"/>
        </w:numPr>
        <w:autoSpaceDE w:val="0"/>
        <w:autoSpaceDN w:val="0"/>
        <w:adjustRightInd w:val="0"/>
        <w:spacing w:after="0"/>
        <w:ind w:left="1843" w:hanging="425"/>
        <w:rPr>
          <w:rFonts w:ascii="Arial" w:hAnsi="Arial" w:cs="Arial"/>
          <w:noProof/>
          <w:sz w:val="20"/>
        </w:rPr>
      </w:pPr>
      <w:r>
        <w:rPr>
          <w:rFonts w:ascii="Arial" w:hAnsi="Arial" w:cs="Arial"/>
          <w:noProof/>
          <w:sz w:val="20"/>
        </w:rPr>
        <w:t>Omnibus II Directive in respect of the powers of the European Insurance and Occupational Pensions Authority and the European Securities and Markets Authority</w:t>
      </w:r>
      <w:r>
        <w:rPr>
          <w:rStyle w:val="FootnoteReference"/>
          <w:noProof/>
        </w:rPr>
        <w:footnoteReference w:id="59"/>
      </w:r>
      <w:r>
        <w:rPr>
          <w:rFonts w:ascii="Arial" w:hAnsi="Arial" w:cs="Arial"/>
          <w:noProof/>
          <w:sz w:val="20"/>
        </w:rPr>
        <w:t>;</w:t>
      </w:r>
    </w:p>
    <w:p w:rsidR="001557B7" w:rsidRDefault="00AD3265">
      <w:pPr>
        <w:pStyle w:val="ListParagraph"/>
        <w:numPr>
          <w:ilvl w:val="1"/>
          <w:numId w:val="33"/>
        </w:numPr>
        <w:autoSpaceDE w:val="0"/>
        <w:autoSpaceDN w:val="0"/>
        <w:adjustRightInd w:val="0"/>
        <w:ind w:left="1843" w:hanging="425"/>
        <w:rPr>
          <w:rFonts w:ascii="Arial" w:hAnsi="Arial" w:cs="Arial"/>
          <w:noProof/>
          <w:sz w:val="20"/>
        </w:rPr>
      </w:pPr>
      <w:r>
        <w:rPr>
          <w:rFonts w:ascii="Arial" w:hAnsi="Arial" w:cs="Arial"/>
          <w:noProof/>
          <w:sz w:val="20"/>
        </w:rPr>
        <w:t>Directive on port reception facili</w:t>
      </w:r>
      <w:r>
        <w:rPr>
          <w:rFonts w:ascii="Arial" w:hAnsi="Arial" w:cs="Arial"/>
          <w:noProof/>
          <w:sz w:val="20"/>
        </w:rPr>
        <w:t>ties for ship-generated waste and cargo residues</w:t>
      </w:r>
      <w:r>
        <w:rPr>
          <w:rStyle w:val="FootnoteReference"/>
          <w:noProof/>
        </w:rPr>
        <w:footnoteReference w:id="60"/>
      </w:r>
      <w:r>
        <w:rPr>
          <w:rFonts w:ascii="Arial" w:hAnsi="Arial" w:cs="Arial"/>
          <w:noProof/>
          <w:sz w:val="20"/>
        </w:rPr>
        <w:t>;</w:t>
      </w:r>
    </w:p>
    <w:p w:rsidR="001557B7" w:rsidRDefault="00AD3265">
      <w:pPr>
        <w:pStyle w:val="ListParagraph"/>
        <w:numPr>
          <w:ilvl w:val="1"/>
          <w:numId w:val="33"/>
        </w:numPr>
        <w:autoSpaceDE w:val="0"/>
        <w:autoSpaceDN w:val="0"/>
        <w:adjustRightInd w:val="0"/>
        <w:spacing w:after="0"/>
        <w:ind w:left="1843" w:hanging="425"/>
        <w:rPr>
          <w:rFonts w:ascii="Arial" w:hAnsi="Arial" w:cs="Arial"/>
          <w:noProof/>
          <w:sz w:val="20"/>
        </w:rPr>
      </w:pPr>
      <w:r>
        <w:rPr>
          <w:rFonts w:ascii="Arial" w:hAnsi="Arial" w:cs="Arial"/>
          <w:noProof/>
          <w:sz w:val="20"/>
        </w:rPr>
        <w:t>Transparency Directive</w:t>
      </w:r>
      <w:r>
        <w:rPr>
          <w:rStyle w:val="FootnoteReference"/>
          <w:noProof/>
        </w:rPr>
        <w:footnoteReference w:id="61"/>
      </w:r>
      <w:r>
        <w:rPr>
          <w:rFonts w:ascii="Arial" w:hAnsi="Arial" w:cs="Arial"/>
          <w:noProof/>
          <w:sz w:val="20"/>
        </w:rPr>
        <w:t>;</w:t>
      </w:r>
    </w:p>
    <w:p w:rsidR="001557B7" w:rsidRDefault="00AD3265">
      <w:pPr>
        <w:pStyle w:val="ListParagraph"/>
        <w:numPr>
          <w:ilvl w:val="1"/>
          <w:numId w:val="33"/>
        </w:numPr>
        <w:autoSpaceDE w:val="0"/>
        <w:autoSpaceDN w:val="0"/>
        <w:adjustRightInd w:val="0"/>
        <w:spacing w:after="0"/>
        <w:ind w:left="1843" w:hanging="425"/>
        <w:rPr>
          <w:rFonts w:ascii="Arial" w:hAnsi="Arial" w:cs="Arial"/>
          <w:noProof/>
          <w:sz w:val="20"/>
        </w:rPr>
      </w:pPr>
      <w:r>
        <w:rPr>
          <w:rFonts w:ascii="Arial" w:hAnsi="Arial" w:cs="Arial"/>
          <w:noProof/>
          <w:sz w:val="20"/>
        </w:rPr>
        <w:t>Accounting Directive</w:t>
      </w:r>
      <w:r>
        <w:rPr>
          <w:rStyle w:val="FootnoteReference"/>
          <w:noProof/>
        </w:rPr>
        <w:footnoteReference w:id="62"/>
      </w:r>
      <w:r>
        <w:rPr>
          <w:rFonts w:ascii="Arial" w:hAnsi="Arial" w:cs="Arial"/>
          <w:noProof/>
          <w:sz w:val="20"/>
        </w:rPr>
        <w:t>;</w:t>
      </w:r>
    </w:p>
    <w:p w:rsidR="001557B7" w:rsidRDefault="00AD3265">
      <w:pPr>
        <w:pStyle w:val="ListParagraph"/>
        <w:numPr>
          <w:ilvl w:val="1"/>
          <w:numId w:val="33"/>
        </w:numPr>
        <w:autoSpaceDE w:val="0"/>
        <w:autoSpaceDN w:val="0"/>
        <w:adjustRightInd w:val="0"/>
        <w:spacing w:after="0"/>
        <w:ind w:left="1843" w:hanging="425"/>
        <w:rPr>
          <w:rFonts w:ascii="Arial" w:hAnsi="Arial" w:cs="Arial"/>
          <w:noProof/>
          <w:sz w:val="20"/>
        </w:rPr>
      </w:pPr>
      <w:r>
        <w:rPr>
          <w:rFonts w:ascii="Arial" w:hAnsi="Arial" w:cs="Arial"/>
          <w:noProof/>
          <w:sz w:val="20"/>
        </w:rPr>
        <w:t>Directive on driving licences</w:t>
      </w:r>
      <w:r>
        <w:rPr>
          <w:rStyle w:val="FootnoteReference"/>
          <w:rFonts w:ascii="Arial" w:hAnsi="Arial" w:cs="Arial"/>
          <w:noProof/>
          <w:sz w:val="20"/>
        </w:rPr>
        <w:footnoteReference w:id="63"/>
      </w:r>
      <w:r>
        <w:rPr>
          <w:rFonts w:ascii="Arial" w:hAnsi="Arial" w:cs="Arial"/>
          <w:noProof/>
          <w:sz w:val="20"/>
        </w:rPr>
        <w:t>.</w:t>
      </w:r>
      <w:r>
        <w:rPr>
          <w:rFonts w:ascii="Arial" w:hAnsi="Arial" w:cs="Arial"/>
          <w:noProof/>
          <w:sz w:val="20"/>
        </w:rPr>
        <w:br w:type="page"/>
      </w:r>
    </w:p>
    <w:p w:rsidR="001557B7" w:rsidRDefault="001557B7">
      <w:pPr>
        <w:pStyle w:val="ListParagraph"/>
        <w:autoSpaceDE w:val="0"/>
        <w:autoSpaceDN w:val="0"/>
        <w:adjustRightInd w:val="0"/>
        <w:spacing w:after="0"/>
        <w:ind w:left="1843"/>
        <w:rPr>
          <w:rFonts w:ascii="Arial" w:hAnsi="Arial" w:cs="Arial"/>
          <w:noProof/>
          <w:sz w:val="20"/>
        </w:rPr>
      </w:pPr>
    </w:p>
    <w:p w:rsidR="001557B7" w:rsidRDefault="00AD3265">
      <w:pPr>
        <w:pStyle w:val="kop2"/>
        <w:numPr>
          <w:ilvl w:val="0"/>
          <w:numId w:val="16"/>
        </w:numPr>
        <w:spacing w:before="360" w:after="240"/>
        <w:ind w:left="709" w:hanging="425"/>
        <w:rPr>
          <w:caps w:val="0"/>
          <w:noProof/>
        </w:rPr>
      </w:pPr>
      <w:r>
        <w:rPr>
          <w:noProof/>
        </w:rPr>
        <w:t>IMPORTANT</w:t>
      </w:r>
      <w:r>
        <w:rPr>
          <w:caps w:val="0"/>
          <w:noProof/>
        </w:rPr>
        <w:t xml:space="preserve"> JUDGMENTS</w:t>
      </w:r>
    </w:p>
    <w:p w:rsidR="001557B7" w:rsidRDefault="00AD3265">
      <w:pPr>
        <w:pStyle w:val="AnnualReport2"/>
        <w:numPr>
          <w:ilvl w:val="0"/>
          <w:numId w:val="198"/>
        </w:numPr>
        <w:ind w:left="709" w:hanging="425"/>
        <w:rPr>
          <w:noProof/>
        </w:rPr>
      </w:pPr>
      <w:r>
        <w:rPr>
          <w:noProof/>
        </w:rPr>
        <w:t>Court</w:t>
      </w:r>
      <w:r>
        <w:rPr>
          <w:rStyle w:val="AnnualReport2Char"/>
          <w:noProof/>
        </w:rPr>
        <w:t xml:space="preserve"> </w:t>
      </w:r>
      <w:r>
        <w:rPr>
          <w:noProof/>
        </w:rPr>
        <w:t>rulings</w:t>
      </w:r>
      <w:r>
        <w:rPr>
          <w:rStyle w:val="FootnoteReference"/>
          <w:noProof/>
        </w:rPr>
        <w:footnoteReference w:id="64"/>
      </w:r>
    </w:p>
    <w:p w:rsidR="001557B7" w:rsidRDefault="00AD3265">
      <w:pPr>
        <w:pStyle w:val="Body"/>
        <w:rPr>
          <w:noProof/>
          <w:lang w:val="en-GB"/>
        </w:rPr>
      </w:pPr>
      <w:r>
        <w:rPr>
          <w:noProof/>
          <w:lang w:val="en-GB"/>
        </w:rPr>
        <w:t>The Court ruled that:</w:t>
      </w:r>
    </w:p>
    <w:p w:rsidR="001557B7" w:rsidRDefault="00AD3265">
      <w:pPr>
        <w:pStyle w:val="Lijstje2"/>
        <w:ind w:left="1276" w:hanging="425"/>
        <w:rPr>
          <w:rFonts w:ascii="Arial" w:hAnsi="Arial" w:cs="Arial"/>
          <w:noProof/>
          <w:lang w:val="en-GB"/>
        </w:rPr>
      </w:pPr>
      <w:r>
        <w:rPr>
          <w:rFonts w:ascii="Arial" w:hAnsi="Arial"/>
          <w:noProof/>
          <w:lang w:val="en-GB"/>
        </w:rPr>
        <w:t>Bulgaria</w:t>
      </w:r>
      <w:r>
        <w:rPr>
          <w:rFonts w:ascii="Arial" w:hAnsi="Arial" w:cs="Arial"/>
          <w:i/>
          <w:noProof/>
          <w:lang w:val="en-GB"/>
        </w:rPr>
        <w:t xml:space="preserve"> </w:t>
      </w:r>
      <w:r>
        <w:rPr>
          <w:rFonts w:ascii="Arial" w:hAnsi="Arial" w:cs="Arial"/>
          <w:noProof/>
          <w:lang w:val="en-GB"/>
        </w:rPr>
        <w:t xml:space="preserve">has failed to comply with the Air Quality Directive by </w:t>
      </w:r>
      <w:r>
        <w:rPr>
          <w:rFonts w:ascii="Arial" w:hAnsi="Arial" w:cs="Arial"/>
          <w:noProof/>
          <w:lang w:val="en-GB"/>
        </w:rPr>
        <w:t>exceeding the daily and/or annual limit values for PM</w:t>
      </w:r>
      <w:r>
        <w:rPr>
          <w:rFonts w:ascii="Arial" w:hAnsi="Arial" w:cs="Arial"/>
          <w:noProof/>
          <w:vertAlign w:val="subscript"/>
          <w:lang w:val="en-GB"/>
        </w:rPr>
        <w:t>10</w:t>
      </w:r>
      <w:r>
        <w:rPr>
          <w:rStyle w:val="FootnoteReference"/>
          <w:rFonts w:ascii="Arial" w:hAnsi="Arial" w:cs="Arial"/>
          <w:bCs/>
          <w:noProof/>
          <w:lang w:val="en-GB"/>
        </w:rPr>
        <w:footnoteReference w:id="65"/>
      </w:r>
      <w:r>
        <w:rPr>
          <w:rFonts w:ascii="Arial" w:hAnsi="Arial" w:cs="Arial"/>
          <w:noProof/>
          <w:lang w:val="en-GB"/>
        </w:rPr>
        <w:t xml:space="preserve"> concentrations systematically and continuously in certain zones and agglomerations, and by not keeping the exceedance period as short as possible</w:t>
      </w:r>
      <w:r>
        <w:rPr>
          <w:rStyle w:val="FootnoteReference"/>
          <w:rFonts w:ascii="Arial" w:hAnsi="Arial" w:cs="Arial"/>
          <w:bCs/>
          <w:noProof/>
          <w:lang w:val="en-GB"/>
        </w:rPr>
        <w:footnoteReference w:id="66"/>
      </w:r>
      <w:r>
        <w:rPr>
          <w:rFonts w:ascii="Arial" w:hAnsi="Arial" w:cs="Arial"/>
          <w:noProof/>
          <w:lang w:val="en-GB"/>
        </w:rPr>
        <w:t>.</w:t>
      </w:r>
    </w:p>
    <w:p w:rsidR="001557B7" w:rsidRDefault="00AD3265">
      <w:pPr>
        <w:pStyle w:val="AnnualReport2"/>
        <w:numPr>
          <w:ilvl w:val="0"/>
          <w:numId w:val="198"/>
        </w:numPr>
        <w:ind w:left="709" w:hanging="425"/>
        <w:rPr>
          <w:noProof/>
        </w:rPr>
      </w:pPr>
      <w:r>
        <w:rPr>
          <w:noProof/>
        </w:rPr>
        <w:t>Preliminary rulings</w:t>
      </w:r>
    </w:p>
    <w:p w:rsidR="001557B7" w:rsidRDefault="00AD3265">
      <w:pPr>
        <w:pStyle w:val="Body"/>
        <w:ind w:left="786" w:firstLine="0"/>
        <w:rPr>
          <w:noProof/>
          <w:lang w:val="en-GB"/>
        </w:rPr>
      </w:pPr>
      <w:r>
        <w:rPr>
          <w:noProof/>
          <w:lang w:val="en-GB"/>
        </w:rPr>
        <w:t>In a preliminary ruling address</w:t>
      </w:r>
      <w:r>
        <w:rPr>
          <w:noProof/>
          <w:lang w:val="en-GB"/>
        </w:rPr>
        <w:t>ed to the Bulgarian judiciary, the Court held that:</w:t>
      </w:r>
    </w:p>
    <w:p w:rsidR="001557B7" w:rsidRDefault="00AD3265">
      <w:pPr>
        <w:pStyle w:val="Lijstje2"/>
        <w:ind w:left="1276" w:hanging="425"/>
        <w:rPr>
          <w:rFonts w:ascii="Arial" w:hAnsi="Arial" w:cs="Arial"/>
          <w:noProof/>
          <w:lang w:val="en-GB"/>
        </w:rPr>
      </w:pPr>
      <w:r>
        <w:rPr>
          <w:rFonts w:ascii="Arial" w:hAnsi="Arial" w:cs="Arial"/>
          <w:noProof/>
          <w:lang w:val="en-GB"/>
        </w:rPr>
        <w:t>the Third Energy Package does not preclude national legislation limiting the number of holders of electricity transmission licences for a particular territory</w:t>
      </w:r>
      <w:r>
        <w:rPr>
          <w:rStyle w:val="FootnoteReference"/>
          <w:noProof/>
          <w:lang w:val="en-GB"/>
        </w:rPr>
        <w:footnoteReference w:id="67"/>
      </w:r>
      <w:r>
        <w:rPr>
          <w:rFonts w:ascii="Arial" w:hAnsi="Arial" w:cs="Arial"/>
          <w:noProof/>
          <w:lang w:val="en-GB"/>
        </w:rPr>
        <w:t>.</w:t>
      </w:r>
    </w:p>
    <w:p w:rsidR="001557B7" w:rsidRDefault="001557B7">
      <w:pPr>
        <w:pStyle w:val="Lijstje2"/>
        <w:numPr>
          <w:ilvl w:val="0"/>
          <w:numId w:val="0"/>
        </w:numPr>
        <w:rPr>
          <w:rFonts w:ascii="Arial" w:hAnsi="Arial" w:cs="Arial"/>
          <w:noProof/>
          <w:lang w:val="en-GB"/>
        </w:rPr>
      </w:pPr>
    </w:p>
    <w:p w:rsidR="001557B7" w:rsidRDefault="001557B7">
      <w:pPr>
        <w:pStyle w:val="Lijstje2"/>
        <w:numPr>
          <w:ilvl w:val="0"/>
          <w:numId w:val="0"/>
        </w:numPr>
        <w:rPr>
          <w:rFonts w:ascii="Arial" w:hAnsi="Arial" w:cs="Arial"/>
          <w:noProof/>
          <w:lang w:val="en-GB"/>
        </w:rPr>
      </w:pPr>
    </w:p>
    <w:p w:rsidR="001557B7" w:rsidRDefault="001557B7">
      <w:pPr>
        <w:pStyle w:val="Lijstje2"/>
        <w:numPr>
          <w:ilvl w:val="0"/>
          <w:numId w:val="0"/>
        </w:numPr>
        <w:rPr>
          <w:rFonts w:ascii="Arial" w:hAnsi="Arial" w:cs="Arial"/>
          <w:noProof/>
          <w:lang w:val="en-GB"/>
        </w:rPr>
        <w:sectPr w:rsidR="001557B7">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6" w:h="16838"/>
          <w:pgMar w:top="1701" w:right="1417" w:bottom="1134" w:left="1417" w:header="567" w:footer="351" w:gutter="0"/>
          <w:cols w:space="708"/>
          <w:titlePg/>
          <w:docGrid w:linePitch="360"/>
        </w:sectPr>
      </w:pPr>
    </w:p>
    <w:p w:rsidR="001557B7" w:rsidRDefault="00AD3265">
      <w:pPr>
        <w:pStyle w:val="Heading1"/>
        <w:rPr>
          <w:noProof/>
          <w:szCs w:val="24"/>
        </w:rPr>
      </w:pPr>
      <w:bookmarkStart w:id="23" w:name="_Toc444769589"/>
      <w:bookmarkStart w:id="24" w:name="_Toc444772045"/>
      <w:bookmarkStart w:id="25" w:name="_Toc444773364"/>
      <w:bookmarkStart w:id="26" w:name="_Toc444776736"/>
      <w:bookmarkStart w:id="27" w:name="_Toc475974643"/>
      <w:bookmarkStart w:id="28" w:name="_Toc475980139"/>
      <w:bookmarkStart w:id="29" w:name="_Toc475981388"/>
      <w:bookmarkStart w:id="30" w:name="_Toc484622319"/>
      <w:bookmarkStart w:id="31" w:name="_Toc510015268"/>
      <w:r>
        <w:rPr>
          <w:noProof/>
          <w:szCs w:val="24"/>
        </w:rPr>
        <w:t>Czech Republic</w:t>
      </w:r>
      <w:bookmarkEnd w:id="23"/>
      <w:bookmarkEnd w:id="24"/>
      <w:bookmarkEnd w:id="25"/>
      <w:bookmarkEnd w:id="26"/>
      <w:bookmarkEnd w:id="27"/>
      <w:bookmarkEnd w:id="28"/>
      <w:bookmarkEnd w:id="29"/>
      <w:bookmarkEnd w:id="30"/>
      <w:bookmarkEnd w:id="31"/>
    </w:p>
    <w:p w:rsidR="001557B7" w:rsidRDefault="00AD3265">
      <w:pPr>
        <w:pStyle w:val="AnnualReport1"/>
        <w:numPr>
          <w:ilvl w:val="0"/>
          <w:numId w:val="133"/>
        </w:numPr>
        <w:spacing w:after="240"/>
        <w:ind w:left="709" w:hanging="425"/>
        <w:rPr>
          <w:noProof/>
        </w:rPr>
      </w:pPr>
      <w:r>
        <w:rPr>
          <w:noProof/>
        </w:rPr>
        <w:t>COMPLAINTS</w:t>
      </w:r>
    </w:p>
    <w:p w:rsidR="001557B7" w:rsidRDefault="00AD3265">
      <w:pPr>
        <w:pStyle w:val="AnnualReport2"/>
        <w:numPr>
          <w:ilvl w:val="0"/>
          <w:numId w:val="188"/>
        </w:numPr>
        <w:ind w:left="709" w:hanging="425"/>
        <w:rPr>
          <w:noProof/>
        </w:rPr>
      </w:pPr>
      <w:r>
        <w:rPr>
          <w:noProof/>
        </w:rPr>
        <w:t xml:space="preserve">New complaints made </w:t>
      </w:r>
      <w:r>
        <w:rPr>
          <w:noProof/>
        </w:rPr>
        <w:t>against the Czech Republic by members of the public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501F4003" wp14:editId="59E7855C">
            <wp:extent cx="4587875" cy="2202815"/>
            <wp:effectExtent l="0" t="0" r="0" b="0"/>
            <wp:docPr id="104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557B7" w:rsidRDefault="00AD3265">
      <w:pPr>
        <w:pStyle w:val="AnnualReport2"/>
        <w:numPr>
          <w:ilvl w:val="0"/>
          <w:numId w:val="188"/>
        </w:numPr>
        <w:ind w:left="709" w:hanging="425"/>
        <w:rPr>
          <w:noProof/>
        </w:rPr>
      </w:pPr>
      <w:r>
        <w:rPr>
          <w:noProof/>
        </w:rPr>
        <w:t>Public complaints against the Czech Republic open at year-end</w:t>
      </w:r>
    </w:p>
    <w:tbl>
      <w:tblPr>
        <w:tblW w:w="0" w:type="auto"/>
        <w:jc w:val="center"/>
        <w:tblLook w:val="04A0" w:firstRow="1" w:lastRow="0" w:firstColumn="1" w:lastColumn="0" w:noHBand="0" w:noVBand="1"/>
      </w:tblPr>
      <w:tblGrid>
        <w:gridCol w:w="1697"/>
        <w:gridCol w:w="452"/>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C00000"/>
                <w:sz w:val="22"/>
                <w:szCs w:val="28"/>
                <w:lang w:eastAsia="en-GB"/>
              </w:rPr>
              <w:t>68</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70</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53</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xml:space="preserve">= 85 </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 xml:space="preserve">Complaints </w:t>
            </w:r>
            <w:r>
              <w:rPr>
                <w:rFonts w:ascii="Arial" w:hAnsi="Arial" w:cs="Arial"/>
                <w:noProof/>
                <w:color w:val="548DD4"/>
                <w:sz w:val="22"/>
                <w:szCs w:val="28"/>
                <w:lang w:eastAsia="en-GB"/>
              </w:rPr>
              <w:t>open at end-2017</w:t>
            </w:r>
          </w:p>
        </w:tc>
      </w:tr>
    </w:tbl>
    <w:p w:rsidR="001557B7" w:rsidRDefault="00AD3265">
      <w:pPr>
        <w:pStyle w:val="AnnualReport2"/>
        <w:numPr>
          <w:ilvl w:val="0"/>
          <w:numId w:val="188"/>
        </w:numPr>
        <w:ind w:left="709" w:hanging="425"/>
        <w:rPr>
          <w:noProof/>
        </w:rPr>
      </w:pPr>
      <w:r>
        <w:rPr>
          <w:noProof/>
        </w:rPr>
        <w:t>New complaints registered in 2017: main policy areas</w:t>
      </w:r>
    </w:p>
    <w:p w:rsidR="001557B7" w:rsidRDefault="00AD3265">
      <w:pPr>
        <w:pStyle w:val="AnnualReport2"/>
        <w:ind w:left="709" w:firstLine="0"/>
        <w:rPr>
          <w:noProof/>
        </w:rPr>
      </w:pPr>
      <w:r>
        <w:rPr>
          <w:rFonts w:cs="Arial"/>
          <w:noProof/>
          <w:sz w:val="20"/>
          <w:lang w:eastAsia="en-GB"/>
        </w:rPr>
        <w:drawing>
          <wp:inline distT="0" distB="0" distL="0" distR="0" wp14:anchorId="21F40532" wp14:editId="297822C9">
            <wp:extent cx="4615543" cy="2416628"/>
            <wp:effectExtent l="0" t="0" r="13970" b="22225"/>
            <wp:docPr id="957"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557B7" w:rsidRDefault="00AD3265">
      <w:pPr>
        <w:spacing w:after="200" w:line="276" w:lineRule="auto"/>
        <w:jc w:val="left"/>
        <w:rPr>
          <w:rFonts w:ascii="Arial" w:eastAsia="MS Gothic" w:hAnsi="Arial" w:cs="Arial"/>
          <w:caps/>
          <w:noProof/>
          <w:color w:val="4F81BD"/>
          <w:kern w:val="20"/>
          <w:szCs w:val="24"/>
        </w:rPr>
      </w:pPr>
      <w:r>
        <w:rPr>
          <w:rFonts w:eastAsia="MS Gothic" w:cs="Arial"/>
          <w:caps/>
          <w:noProof/>
          <w:color w:val="4F81BD"/>
          <w:kern w:val="20"/>
          <w:szCs w:val="24"/>
        </w:rPr>
        <w:br w:type="page"/>
      </w:r>
    </w:p>
    <w:p w:rsidR="001557B7" w:rsidRDefault="00AD3265">
      <w:pPr>
        <w:pStyle w:val="AnnualReport1"/>
        <w:spacing w:after="240"/>
        <w:ind w:left="709" w:hanging="425"/>
        <w:rPr>
          <w:noProof/>
        </w:rPr>
      </w:pPr>
      <w:r>
        <w:rPr>
          <w:noProof/>
        </w:rPr>
        <w:t>EU PILOT</w:t>
      </w:r>
    </w:p>
    <w:p w:rsidR="001557B7" w:rsidRDefault="00AD3265">
      <w:pPr>
        <w:pStyle w:val="AnnualReport2"/>
        <w:numPr>
          <w:ilvl w:val="0"/>
          <w:numId w:val="192"/>
        </w:numPr>
        <w:ind w:left="709" w:hanging="425"/>
        <w:rPr>
          <w:noProof/>
        </w:rPr>
      </w:pPr>
      <w:r>
        <w:rPr>
          <w:rStyle w:val="AnnualReport2Char"/>
          <w:noProof/>
        </w:rPr>
        <w:t xml:space="preserve">New </w:t>
      </w:r>
      <w:r>
        <w:rPr>
          <w:noProof/>
        </w:rPr>
        <w:t>EU</w:t>
      </w:r>
      <w:r>
        <w:rPr>
          <w:rStyle w:val="AnnualReport2Char"/>
          <w:noProof/>
        </w:rPr>
        <w:t xml:space="preserve"> Pilot files opened against the Czech Republic (2013-2017</w:t>
      </w:r>
      <w:r>
        <w:rPr>
          <w:noProof/>
        </w:rPr>
        <w:t>)</w:t>
      </w:r>
    </w:p>
    <w:p w:rsidR="001557B7" w:rsidRDefault="00AD3265">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00DB47C6" wp14:editId="775D26BB">
            <wp:extent cx="4587875" cy="2226310"/>
            <wp:effectExtent l="0" t="0" r="22225" b="21590"/>
            <wp:docPr id="103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557B7" w:rsidRDefault="00AD3265">
      <w:pPr>
        <w:pStyle w:val="AnnualReport2"/>
        <w:numPr>
          <w:ilvl w:val="0"/>
          <w:numId w:val="192"/>
        </w:numPr>
        <w:ind w:left="709" w:hanging="425"/>
        <w:rPr>
          <w:noProof/>
        </w:rPr>
      </w:pPr>
      <w:r>
        <w:rPr>
          <w:noProof/>
        </w:rPr>
        <w:t>Files relating to the Czech Republic open in EU Pilot at year-end</w:t>
      </w:r>
    </w:p>
    <w:p w:rsidR="001557B7" w:rsidRDefault="00AD3265">
      <w:pPr>
        <w:spacing w:after="0"/>
        <w:ind w:firstLine="709"/>
        <w:rPr>
          <w:rFonts w:ascii="Arial" w:hAnsi="Arial" w:cs="Arial"/>
          <w:noProof/>
          <w:sz w:val="20"/>
        </w:rPr>
      </w:pPr>
      <w:r>
        <w:rPr>
          <w:rFonts w:ascii="Arial" w:hAnsi="Arial" w:cs="Arial"/>
          <w:noProof/>
          <w:sz w:val="20"/>
          <w:lang w:eastAsia="en-GB"/>
        </w:rPr>
        <w:drawing>
          <wp:inline distT="0" distB="0" distL="0" distR="0" wp14:anchorId="4BA3CFCA" wp14:editId="66676759">
            <wp:extent cx="4587875" cy="2170430"/>
            <wp:effectExtent l="0" t="0" r="22225" b="20320"/>
            <wp:docPr id="103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557B7" w:rsidRDefault="00AD3265">
      <w:pPr>
        <w:pStyle w:val="AnnualReport2"/>
        <w:numPr>
          <w:ilvl w:val="0"/>
          <w:numId w:val="192"/>
        </w:numPr>
        <w:ind w:left="709" w:hanging="425"/>
        <w:rPr>
          <w:rStyle w:val="AnnualReport2Char"/>
          <w:rFonts w:cs="Arial"/>
          <w:noProof/>
          <w:sz w:val="20"/>
        </w:rPr>
      </w:pPr>
      <w:r>
        <w:rPr>
          <w:rStyle w:val="AnnualReport2Char"/>
          <w:noProof/>
        </w:rPr>
        <w:t xml:space="preserve">New EU </w:t>
      </w:r>
      <w:r>
        <w:rPr>
          <w:noProof/>
        </w:rPr>
        <w:t>Pilot</w:t>
      </w:r>
      <w:r>
        <w:rPr>
          <w:rStyle w:val="AnnualReport2Char"/>
          <w:noProof/>
        </w:rPr>
        <w:t xml:space="preserve"> files opened in 2017: main policy areas</w:t>
      </w:r>
    </w:p>
    <w:p w:rsidR="001557B7" w:rsidRDefault="00AD3265">
      <w:pPr>
        <w:pStyle w:val="AnnualReport2"/>
        <w:ind w:left="709" w:firstLine="0"/>
        <w:rPr>
          <w:noProof/>
        </w:rPr>
      </w:pPr>
      <w:r>
        <w:rPr>
          <w:noProof/>
          <w:lang w:eastAsia="en-GB"/>
        </w:rPr>
        <w:drawing>
          <wp:inline distT="0" distB="0" distL="0" distR="0" wp14:anchorId="27F4C1E9" wp14:editId="73BFD5CB">
            <wp:extent cx="4643755" cy="2440940"/>
            <wp:effectExtent l="0" t="0" r="23495" b="16510"/>
            <wp:docPr id="1036"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557B7" w:rsidRDefault="001557B7">
      <w:pPr>
        <w:pStyle w:val="AnnualReport2"/>
        <w:ind w:left="709" w:firstLine="0"/>
        <w:rPr>
          <w:noProof/>
        </w:rPr>
      </w:pPr>
    </w:p>
    <w:p w:rsidR="001557B7" w:rsidRDefault="00AD3265">
      <w:pPr>
        <w:pStyle w:val="AnnualReport2"/>
        <w:numPr>
          <w:ilvl w:val="0"/>
          <w:numId w:val="192"/>
        </w:numPr>
        <w:ind w:left="709" w:hanging="425"/>
        <w:rPr>
          <w:noProof/>
        </w:rPr>
      </w:pPr>
      <w:r>
        <w:rPr>
          <w:noProof/>
        </w:rPr>
        <w:t>EU Pilot files: Czech Republic’s resolution rate in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2179B7E5" wp14:editId="55909C4A">
            <wp:extent cx="4587875" cy="2186305"/>
            <wp:effectExtent l="0" t="0" r="0" b="0"/>
            <wp:docPr id="103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557B7" w:rsidRDefault="00AD3265">
      <w:pPr>
        <w:pStyle w:val="AnnualReport1"/>
        <w:numPr>
          <w:ilvl w:val="0"/>
          <w:numId w:val="133"/>
        </w:numPr>
        <w:spacing w:after="240"/>
        <w:ind w:left="709" w:hanging="425"/>
        <w:rPr>
          <w:caps w:val="0"/>
          <w:noProof/>
        </w:rPr>
      </w:pPr>
      <w:r>
        <w:rPr>
          <w:caps w:val="0"/>
          <w:noProof/>
        </w:rPr>
        <w:t>INFRINGEMENT CASES</w:t>
      </w:r>
    </w:p>
    <w:p w:rsidR="001557B7" w:rsidRDefault="00AD3265">
      <w:pPr>
        <w:pStyle w:val="AnnualReport2"/>
        <w:numPr>
          <w:ilvl w:val="0"/>
          <w:numId w:val="193"/>
        </w:numPr>
        <w:ind w:left="709" w:hanging="567"/>
        <w:rPr>
          <w:noProof/>
        </w:rPr>
      </w:pPr>
      <w:r>
        <w:rPr>
          <w:noProof/>
        </w:rPr>
        <w:t>Infringement cases against the Czech Republic open on 31 December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27C8A364" wp14:editId="57310B5E">
            <wp:extent cx="4587875" cy="2234565"/>
            <wp:effectExtent l="0" t="0" r="22225" b="13335"/>
            <wp:docPr id="1034"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557B7" w:rsidRDefault="00AD3265">
      <w:pPr>
        <w:pStyle w:val="AnnualReport2"/>
        <w:numPr>
          <w:ilvl w:val="0"/>
          <w:numId w:val="193"/>
        </w:numPr>
        <w:ind w:left="709" w:hanging="425"/>
        <w:rPr>
          <w:noProof/>
        </w:rPr>
      </w:pPr>
      <w:r>
        <w:rPr>
          <w:noProof/>
        </w:rPr>
        <w:t xml:space="preserve">New infringement cases opened in 2017: main </w:t>
      </w:r>
      <w:r>
        <w:rPr>
          <w:noProof/>
        </w:rPr>
        <w:t>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F8DFF66" wp14:editId="558BB542">
            <wp:extent cx="4587875" cy="2337435"/>
            <wp:effectExtent l="0" t="0" r="22225" b="24765"/>
            <wp:docPr id="1033"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557B7" w:rsidRDefault="001557B7">
      <w:pPr>
        <w:pStyle w:val="AnnualReport2"/>
        <w:ind w:left="0" w:firstLine="0"/>
        <w:rPr>
          <w:noProof/>
        </w:rPr>
      </w:pPr>
    </w:p>
    <w:p w:rsidR="001557B7" w:rsidRDefault="00AD3265">
      <w:pPr>
        <w:pStyle w:val="AnnualReport2"/>
        <w:numPr>
          <w:ilvl w:val="0"/>
          <w:numId w:val="193"/>
        </w:numPr>
        <w:ind w:left="709" w:hanging="425"/>
        <w:rPr>
          <w:noProof/>
        </w:rPr>
      </w:pPr>
      <w:r>
        <w:rPr>
          <w:noProof/>
        </w:rPr>
        <w:t>Key infringement cases and referrals to the Court</w:t>
      </w:r>
    </w:p>
    <w:p w:rsidR="001557B7" w:rsidRDefault="00AD3265">
      <w:pPr>
        <w:pStyle w:val="Lijstje"/>
        <w:numPr>
          <w:ilvl w:val="0"/>
          <w:numId w:val="20"/>
        </w:numPr>
        <w:ind w:left="1276" w:hanging="425"/>
        <w:rPr>
          <w:noProof/>
        </w:rPr>
      </w:pPr>
      <w:r>
        <w:rPr>
          <w:noProof/>
        </w:rPr>
        <w:t>The Commission opened 32 new infringement cases against the Czech Republic in 2017. These, and other major ongoing infringement cases, include:</w:t>
      </w:r>
    </w:p>
    <w:p w:rsidR="001557B7" w:rsidRDefault="00AD3265">
      <w:pPr>
        <w:pStyle w:val="Lijstje2"/>
        <w:spacing w:after="200"/>
        <w:ind w:left="1843" w:hanging="425"/>
        <w:rPr>
          <w:rFonts w:ascii="Arial" w:hAnsi="Arial" w:cs="Arial"/>
          <w:noProof/>
          <w:lang w:val="en-GB"/>
        </w:rPr>
      </w:pPr>
      <w:r>
        <w:rPr>
          <w:rFonts w:ascii="Arial" w:hAnsi="Arial" w:cs="Arial"/>
          <w:noProof/>
          <w:lang w:val="en-GB"/>
        </w:rPr>
        <w:t xml:space="preserve">non-compliance with the obligations under the </w:t>
      </w:r>
      <w:r>
        <w:rPr>
          <w:rFonts w:ascii="Arial" w:hAnsi="Arial" w:cs="Arial"/>
          <w:noProof/>
          <w:lang w:val="en-GB"/>
        </w:rPr>
        <w:t>2015 Council Decisions on relocation of migrants from Greece and Italy</w:t>
      </w:r>
      <w:r>
        <w:rPr>
          <w:rStyle w:val="FootnoteReference"/>
          <w:rFonts w:ascii="Arial" w:hAnsi="Arial" w:cs="Arial"/>
          <w:noProof/>
          <w:lang w:val="en-GB"/>
        </w:rPr>
        <w:footnoteReference w:id="68"/>
      </w:r>
      <w:r>
        <w:rPr>
          <w:rFonts w:ascii="Arial" w:hAnsi="Arial" w:cs="Arial"/>
          <w:noProof/>
          <w:lang w:val="en-GB"/>
        </w:rPr>
        <w:t>;</w:t>
      </w:r>
    </w:p>
    <w:p w:rsidR="001557B7" w:rsidRDefault="00AD3265">
      <w:pPr>
        <w:pStyle w:val="Lijstje2"/>
        <w:spacing w:after="200"/>
        <w:ind w:left="1843" w:hanging="425"/>
        <w:rPr>
          <w:rFonts w:ascii="Arial" w:hAnsi="Arial" w:cs="Arial"/>
          <w:noProof/>
          <w:lang w:val="en-GB"/>
        </w:rPr>
      </w:pPr>
      <w:r>
        <w:rPr>
          <w:rFonts w:ascii="Arial" w:hAnsi="Arial" w:cs="Arial"/>
          <w:noProof/>
          <w:lang w:val="en-GB"/>
        </w:rPr>
        <w:t>incorrect transposition and application of the Energy Performance of Buildings Directive</w:t>
      </w:r>
      <w:r>
        <w:rPr>
          <w:rStyle w:val="FootnoteReference"/>
          <w:noProof/>
          <w:lang w:val="en-GB"/>
        </w:rPr>
        <w:footnoteReference w:id="69"/>
      </w:r>
      <w:r>
        <w:rPr>
          <w:rFonts w:ascii="Arial" w:hAnsi="Arial" w:cs="Arial"/>
          <w:noProof/>
          <w:lang w:val="en-GB"/>
        </w:rPr>
        <w:t>;</w:t>
      </w:r>
    </w:p>
    <w:p w:rsidR="001557B7" w:rsidRDefault="00AD3265">
      <w:pPr>
        <w:pStyle w:val="Lijstje2"/>
        <w:spacing w:after="200"/>
        <w:ind w:left="1843" w:hanging="425"/>
        <w:rPr>
          <w:rFonts w:ascii="Arial" w:hAnsi="Arial" w:cs="Arial"/>
          <w:noProof/>
          <w:lang w:val="en-GB"/>
        </w:rPr>
      </w:pPr>
      <w:r>
        <w:rPr>
          <w:rFonts w:ascii="Arial" w:hAnsi="Arial" w:cs="Arial"/>
          <w:noProof/>
          <w:lang w:val="en-GB"/>
        </w:rPr>
        <w:t xml:space="preserve">incorrect transposition and implementation of the Third Energy Package Directives </w:t>
      </w:r>
      <w:r>
        <w:rPr>
          <w:rFonts w:ascii="Arial" w:hAnsi="Arial" w:cs="Arial"/>
          <w:noProof/>
          <w:lang w:val="en-GB"/>
        </w:rPr>
        <w:t>(Electricity and Gas Directives)</w:t>
      </w:r>
      <w:r>
        <w:rPr>
          <w:rStyle w:val="FootnoteReference"/>
          <w:noProof/>
          <w:lang w:val="en-GB"/>
        </w:rPr>
        <w:footnoteReference w:id="70"/>
      </w:r>
      <w:r>
        <w:rPr>
          <w:rFonts w:ascii="Arial" w:hAnsi="Arial" w:cs="Arial"/>
          <w:noProof/>
          <w:lang w:val="en-GB"/>
        </w:rPr>
        <w:t>;</w:t>
      </w:r>
    </w:p>
    <w:p w:rsidR="001557B7" w:rsidRDefault="00AD3265">
      <w:pPr>
        <w:pStyle w:val="Lijstje2"/>
        <w:spacing w:after="200"/>
        <w:ind w:left="1843" w:hanging="425"/>
        <w:rPr>
          <w:rFonts w:ascii="Arial" w:hAnsi="Arial" w:cs="Arial"/>
          <w:noProof/>
          <w:lang w:val="en-GB"/>
        </w:rPr>
      </w:pPr>
      <w:r>
        <w:rPr>
          <w:rFonts w:ascii="Arial" w:hAnsi="Arial" w:cs="Arial"/>
          <w:noProof/>
          <w:lang w:val="en-GB"/>
        </w:rPr>
        <w:t>non-compliance with the Directive on the interoperability of the rail system</w:t>
      </w:r>
      <w:r>
        <w:rPr>
          <w:rStyle w:val="FootnoteReference"/>
          <w:rFonts w:ascii="Arial" w:hAnsi="Arial" w:cs="Arial"/>
          <w:noProof/>
          <w:lang w:val="en-GB"/>
        </w:rPr>
        <w:footnoteReference w:id="71"/>
      </w:r>
      <w:r>
        <w:rPr>
          <w:rFonts w:ascii="Arial" w:hAnsi="Arial" w:cs="Arial"/>
          <w:noProof/>
          <w:lang w:val="en-GB"/>
        </w:rPr>
        <w:t>;</w:t>
      </w:r>
    </w:p>
    <w:p w:rsidR="001557B7" w:rsidRDefault="00AD3265">
      <w:pPr>
        <w:pStyle w:val="Lijstje2"/>
        <w:spacing w:after="200"/>
        <w:ind w:left="1843" w:hanging="425"/>
        <w:rPr>
          <w:rFonts w:ascii="Arial" w:hAnsi="Arial" w:cs="Arial"/>
          <w:noProof/>
          <w:lang w:val="en-GB"/>
        </w:rPr>
      </w:pPr>
      <w:r>
        <w:rPr>
          <w:rFonts w:ascii="Arial" w:hAnsi="Arial" w:cs="Arial"/>
          <w:noProof/>
          <w:lang w:val="en-GB"/>
        </w:rPr>
        <w:t>non-communication of national measures transposing the:</w:t>
      </w:r>
    </w:p>
    <w:p w:rsidR="001557B7" w:rsidRDefault="00AD3265">
      <w:pPr>
        <w:pStyle w:val="Lijstje2"/>
        <w:numPr>
          <w:ilvl w:val="2"/>
          <w:numId w:val="2"/>
        </w:numPr>
        <w:spacing w:after="200"/>
        <w:ind w:left="2410" w:hanging="425"/>
        <w:rPr>
          <w:rFonts w:ascii="Arial" w:hAnsi="Arial" w:cs="Arial"/>
          <w:noProof/>
          <w:lang w:val="en-GB"/>
        </w:rPr>
      </w:pPr>
      <w:r>
        <w:rPr>
          <w:rFonts w:ascii="Arial" w:hAnsi="Arial" w:cs="Arial"/>
          <w:noProof/>
          <w:lang w:val="en-GB"/>
        </w:rPr>
        <w:t>Directives on the registration of suppliers and of varieties and the common list of va</w:t>
      </w:r>
      <w:r>
        <w:rPr>
          <w:rFonts w:ascii="Arial" w:hAnsi="Arial" w:cs="Arial"/>
          <w:noProof/>
          <w:lang w:val="en-GB"/>
        </w:rPr>
        <w:t>rieties, on requirements for the labelling, sealing and packaging of fruit plant propagating material and on the specific requirements for the genus and species of fruit plants</w:t>
      </w:r>
      <w:r>
        <w:rPr>
          <w:rStyle w:val="FootnoteReference"/>
          <w:rFonts w:ascii="Arial" w:hAnsi="Arial" w:cs="Arial"/>
          <w:noProof/>
          <w:lang w:val="en-GB"/>
        </w:rPr>
        <w:footnoteReference w:id="72"/>
      </w:r>
      <w:r>
        <w:rPr>
          <w:rFonts w:ascii="Arial" w:hAnsi="Arial" w:cs="Arial"/>
          <w:noProof/>
          <w:lang w:val="en-GB"/>
        </w:rPr>
        <w:t>;</w:t>
      </w:r>
    </w:p>
    <w:p w:rsidR="001557B7" w:rsidRDefault="00AD3265">
      <w:pPr>
        <w:pStyle w:val="Lijstje2"/>
        <w:numPr>
          <w:ilvl w:val="2"/>
          <w:numId w:val="2"/>
        </w:numPr>
        <w:ind w:left="2410" w:hanging="425"/>
        <w:rPr>
          <w:rFonts w:ascii="Arial" w:hAnsi="Arial" w:cs="Arial"/>
          <w:i/>
          <w:noProof/>
          <w:lang w:val="en-GB"/>
        </w:rPr>
      </w:pPr>
      <w:r>
        <w:rPr>
          <w:rFonts w:ascii="Arial" w:hAnsi="Arial" w:cs="Arial"/>
          <w:noProof/>
          <w:lang w:val="en-GB"/>
        </w:rPr>
        <w:t>Directive</w:t>
      </w:r>
      <w:r>
        <w:rPr>
          <w:rStyle w:val="FootnoteReference"/>
          <w:noProof/>
          <w:lang w:val="en-GB"/>
        </w:rPr>
        <w:footnoteReference w:id="73"/>
      </w:r>
      <w:r>
        <w:rPr>
          <w:rFonts w:ascii="Arial" w:hAnsi="Arial" w:cs="Arial"/>
          <w:noProof/>
          <w:lang w:val="en-GB"/>
        </w:rPr>
        <w:t xml:space="preserve"> laying down calculation methods and reporting requirements pursuan</w:t>
      </w:r>
      <w:r>
        <w:rPr>
          <w:rFonts w:ascii="Arial" w:hAnsi="Arial" w:cs="Arial"/>
          <w:noProof/>
          <w:lang w:val="en-GB"/>
        </w:rPr>
        <w:t>t to the Directive on fuels quality</w:t>
      </w:r>
      <w:r>
        <w:rPr>
          <w:rStyle w:val="FootnoteReference"/>
          <w:noProof/>
          <w:lang w:val="en-GB"/>
        </w:rPr>
        <w:footnoteReference w:id="74"/>
      </w:r>
      <w:r>
        <w:rPr>
          <w:rFonts w:ascii="Arial" w:hAnsi="Arial" w:cs="Arial"/>
          <w:noProof/>
          <w:lang w:val="en-GB"/>
        </w:rPr>
        <w:t>;</w:t>
      </w:r>
    </w:p>
    <w:p w:rsidR="001557B7" w:rsidRDefault="00AD3265">
      <w:pPr>
        <w:pStyle w:val="Lijstje2"/>
        <w:numPr>
          <w:ilvl w:val="2"/>
          <w:numId w:val="2"/>
        </w:numPr>
        <w:ind w:left="2410" w:hanging="425"/>
        <w:rPr>
          <w:rFonts w:ascii="Arial" w:hAnsi="Arial" w:cs="Arial"/>
          <w:noProof/>
          <w:lang w:val="en-GB"/>
        </w:rPr>
      </w:pPr>
      <w:r>
        <w:rPr>
          <w:rFonts w:ascii="Arial" w:hAnsi="Arial" w:cs="Arial"/>
          <w:noProof/>
          <w:lang w:val="en-GB"/>
        </w:rPr>
        <w:t>Directive on the organisation of working time in inland waterway transport</w:t>
      </w:r>
      <w:r>
        <w:rPr>
          <w:rStyle w:val="FootnoteReference"/>
          <w:noProof/>
          <w:lang w:val="en-GB"/>
        </w:rPr>
        <w:footnoteReference w:id="75"/>
      </w:r>
      <w:r>
        <w:rPr>
          <w:rFonts w:ascii="Arial" w:hAnsi="Arial" w:cs="Arial"/>
          <w:noProof/>
          <w:lang w:val="en-GB"/>
        </w:rPr>
        <w:t>;</w:t>
      </w:r>
    </w:p>
    <w:p w:rsidR="001557B7" w:rsidRDefault="00AD3265">
      <w:pPr>
        <w:pStyle w:val="Lijstje2"/>
        <w:spacing w:after="200"/>
        <w:ind w:left="1843" w:hanging="425"/>
        <w:rPr>
          <w:rFonts w:ascii="Arial" w:hAnsi="Arial" w:cs="Arial"/>
          <w:i/>
          <w:noProof/>
          <w:lang w:val="en-GB"/>
        </w:rPr>
      </w:pPr>
      <w:r>
        <w:rPr>
          <w:rFonts w:ascii="Arial" w:hAnsi="Arial" w:cs="Arial"/>
          <w:noProof/>
          <w:lang w:val="en-GB"/>
        </w:rPr>
        <w:t>failure to adopt a national programme for spent fuel and radioactive waste management compliant with the requirement of the Radioactive Waste</w:t>
      </w:r>
      <w:r>
        <w:rPr>
          <w:rFonts w:ascii="Arial" w:hAnsi="Arial" w:cs="Arial"/>
          <w:noProof/>
          <w:lang w:val="en-GB"/>
        </w:rPr>
        <w:t xml:space="preserve"> Directive</w:t>
      </w:r>
      <w:r>
        <w:rPr>
          <w:rStyle w:val="FootnoteReference"/>
          <w:rFonts w:ascii="Arial" w:hAnsi="Arial" w:cs="Arial"/>
          <w:i/>
          <w:noProof/>
          <w:lang w:val="en-GB"/>
        </w:rPr>
        <w:footnoteReference w:id="76"/>
      </w:r>
      <w:r>
        <w:rPr>
          <w:rFonts w:ascii="Arial" w:hAnsi="Arial" w:cs="Arial"/>
          <w:noProof/>
          <w:lang w:val="en-GB"/>
        </w:rPr>
        <w:t>;</w:t>
      </w:r>
    </w:p>
    <w:p w:rsidR="001557B7" w:rsidRDefault="00AD3265">
      <w:pPr>
        <w:pStyle w:val="Lijstje2"/>
        <w:spacing w:after="200"/>
        <w:ind w:left="1843" w:hanging="425"/>
        <w:rPr>
          <w:rFonts w:ascii="Arial" w:hAnsi="Arial" w:cs="Arial"/>
          <w:i/>
          <w:noProof/>
          <w:lang w:val="en-GB"/>
        </w:rPr>
      </w:pPr>
      <w:r>
        <w:rPr>
          <w:rFonts w:ascii="Arial" w:hAnsi="Arial" w:cs="Arial"/>
          <w:noProof/>
          <w:lang w:val="en-GB"/>
        </w:rPr>
        <w:t>failure to establish strategic noise maps and action plans required by the Noise Directive</w:t>
      </w:r>
      <w:r>
        <w:rPr>
          <w:rStyle w:val="FootnoteReference"/>
          <w:rFonts w:ascii="Arial" w:hAnsi="Arial" w:cs="Arial"/>
          <w:noProof/>
          <w:lang w:val="en-GB"/>
        </w:rPr>
        <w:footnoteReference w:id="77"/>
      </w:r>
      <w:r>
        <w:rPr>
          <w:rFonts w:ascii="Arial" w:hAnsi="Arial" w:cs="Arial"/>
          <w:noProof/>
          <w:lang w:val="en-GB"/>
        </w:rPr>
        <w:t>.</w:t>
      </w:r>
    </w:p>
    <w:p w:rsidR="001557B7" w:rsidRDefault="00AD3265">
      <w:pPr>
        <w:pStyle w:val="Lijstje"/>
        <w:numPr>
          <w:ilvl w:val="0"/>
          <w:numId w:val="20"/>
        </w:numPr>
        <w:ind w:left="1276" w:hanging="425"/>
        <w:rPr>
          <w:noProof/>
        </w:rPr>
      </w:pPr>
      <w:r>
        <w:rPr>
          <w:noProof/>
        </w:rPr>
        <w:t>The Commission referred two cases to the Court under Article 258 TFEU. They concern:</w:t>
      </w:r>
    </w:p>
    <w:p w:rsidR="001557B7" w:rsidRDefault="00AD3265">
      <w:pPr>
        <w:numPr>
          <w:ilvl w:val="0"/>
          <w:numId w:val="2"/>
        </w:numPr>
        <w:spacing w:after="200"/>
        <w:ind w:left="1843" w:hanging="425"/>
        <w:contextualSpacing/>
        <w:rPr>
          <w:rFonts w:ascii="Arial" w:hAnsi="Arial" w:cs="Arial"/>
          <w:noProof/>
          <w:sz w:val="20"/>
        </w:rPr>
      </w:pPr>
      <w:r>
        <w:rPr>
          <w:rFonts w:ascii="Arial" w:hAnsi="Arial" w:cs="Arial"/>
          <w:noProof/>
          <w:sz w:val="20"/>
        </w:rPr>
        <w:t>non-compliance with the obligations under the 2015 Council Decisi</w:t>
      </w:r>
      <w:r>
        <w:rPr>
          <w:rFonts w:ascii="Arial" w:hAnsi="Arial" w:cs="Arial"/>
          <w:noProof/>
          <w:sz w:val="20"/>
        </w:rPr>
        <w:t>ons on relocation of migrants from Greece and Italy</w:t>
      </w:r>
      <w:r>
        <w:rPr>
          <w:rStyle w:val="FootnoteReference"/>
          <w:rFonts w:ascii="Arial" w:hAnsi="Arial" w:cs="Arial"/>
          <w:noProof/>
          <w:sz w:val="20"/>
        </w:rPr>
        <w:footnoteReference w:id="78"/>
      </w:r>
      <w:r>
        <w:rPr>
          <w:rFonts w:ascii="Arial" w:hAnsi="Arial" w:cs="Arial"/>
          <w:noProof/>
          <w:sz w:val="20"/>
        </w:rPr>
        <w:t>;</w:t>
      </w:r>
    </w:p>
    <w:p w:rsidR="001557B7" w:rsidRDefault="00AD3265">
      <w:pPr>
        <w:numPr>
          <w:ilvl w:val="0"/>
          <w:numId w:val="2"/>
        </w:numPr>
        <w:spacing w:after="200"/>
        <w:ind w:left="1843" w:hanging="425"/>
        <w:contextualSpacing/>
        <w:rPr>
          <w:rFonts w:ascii="Arial" w:hAnsi="Arial" w:cs="Arial"/>
          <w:noProof/>
          <w:sz w:val="20"/>
        </w:rPr>
      </w:pPr>
      <w:r>
        <w:rPr>
          <w:rFonts w:ascii="Arial" w:hAnsi="Arial" w:cs="Arial"/>
          <w:noProof/>
          <w:sz w:val="20"/>
        </w:rPr>
        <w:t>illegal shipment of hazardous waste to Poland</w:t>
      </w:r>
      <w:r>
        <w:rPr>
          <w:rStyle w:val="FootnoteReference"/>
          <w:rFonts w:ascii="Arial" w:eastAsia="Calibri" w:hAnsi="Arial" w:cs="Arial"/>
          <w:noProof/>
          <w:kern w:val="20"/>
          <w:sz w:val="20"/>
        </w:rPr>
        <w:footnoteReference w:id="79"/>
      </w:r>
      <w:r>
        <w:rPr>
          <w:rFonts w:ascii="Arial" w:hAnsi="Arial" w:cs="Arial"/>
          <w:noProof/>
          <w:sz w:val="20"/>
        </w:rPr>
        <w:t>.</w:t>
      </w:r>
    </w:p>
    <w:p w:rsidR="001557B7" w:rsidRDefault="00AD3265">
      <w:pPr>
        <w:pStyle w:val="Lijstje"/>
        <w:numPr>
          <w:ilvl w:val="0"/>
          <w:numId w:val="20"/>
        </w:numPr>
        <w:ind w:left="1276" w:hanging="425"/>
        <w:rPr>
          <w:noProof/>
        </w:rPr>
      </w:pPr>
      <w:r>
        <w:rPr>
          <w:noProof/>
        </w:rPr>
        <w:t>The Commission did not refer any cases to the Court under Article 260(2) TFEU.</w:t>
      </w:r>
    </w:p>
    <w:p w:rsidR="001557B7" w:rsidRDefault="00AD3265">
      <w:pPr>
        <w:spacing w:after="200" w:line="276" w:lineRule="auto"/>
        <w:jc w:val="left"/>
        <w:rPr>
          <w:rFonts w:ascii="Arial" w:eastAsia="Calibri" w:hAnsi="Arial" w:cs="Arial"/>
          <w:noProof/>
          <w:kern w:val="20"/>
          <w:sz w:val="20"/>
        </w:rPr>
      </w:pPr>
      <w:r>
        <w:rPr>
          <w:rFonts w:ascii="Arial" w:hAnsi="Arial" w:cs="Arial"/>
          <w:noProof/>
        </w:rPr>
        <w:br w:type="page"/>
      </w:r>
    </w:p>
    <w:p w:rsidR="001557B7" w:rsidRDefault="001557B7">
      <w:pPr>
        <w:pStyle w:val="AnnualReport1"/>
        <w:numPr>
          <w:ilvl w:val="0"/>
          <w:numId w:val="0"/>
        </w:numPr>
        <w:spacing w:after="240"/>
        <w:ind w:left="709"/>
        <w:rPr>
          <w:caps w:val="0"/>
          <w:noProof/>
        </w:rPr>
      </w:pPr>
    </w:p>
    <w:p w:rsidR="001557B7" w:rsidRDefault="00AD3265">
      <w:pPr>
        <w:pStyle w:val="AnnualReport1"/>
        <w:numPr>
          <w:ilvl w:val="0"/>
          <w:numId w:val="133"/>
        </w:numPr>
        <w:spacing w:after="240"/>
        <w:ind w:left="709" w:hanging="425"/>
        <w:rPr>
          <w:caps w:val="0"/>
          <w:noProof/>
        </w:rPr>
      </w:pPr>
      <w:r>
        <w:rPr>
          <w:noProof/>
        </w:rPr>
        <w:t>TRANSPOSITION</w:t>
      </w:r>
      <w:r>
        <w:rPr>
          <w:caps w:val="0"/>
          <w:noProof/>
        </w:rPr>
        <w:t xml:space="preserve"> OF DIRECTIVES</w:t>
      </w:r>
    </w:p>
    <w:p w:rsidR="001557B7" w:rsidRDefault="00AD3265">
      <w:pPr>
        <w:pStyle w:val="AnnualReport2"/>
        <w:numPr>
          <w:ilvl w:val="0"/>
          <w:numId w:val="194"/>
        </w:numPr>
        <w:ind w:left="709" w:hanging="425"/>
        <w:rPr>
          <w:noProof/>
        </w:rPr>
      </w:pPr>
      <w:r>
        <w:rPr>
          <w:noProof/>
        </w:rPr>
        <w:t xml:space="preserve">Late transposition infringement cases </w:t>
      </w:r>
      <w:r>
        <w:rPr>
          <w:noProof/>
        </w:rPr>
        <w:t>against the Czech Republic open on 31 December (2013-2017)</w:t>
      </w:r>
    </w:p>
    <w:p w:rsidR="001557B7" w:rsidRDefault="00AD3265">
      <w:pPr>
        <w:ind w:left="426" w:firstLine="283"/>
        <w:rPr>
          <w:noProof/>
        </w:rPr>
      </w:pPr>
      <w:r>
        <w:rPr>
          <w:noProof/>
          <w:lang w:eastAsia="en-GB"/>
        </w:rPr>
        <w:drawing>
          <wp:inline distT="0" distB="0" distL="0" distR="0" wp14:anchorId="6BB59092" wp14:editId="2F782AF3">
            <wp:extent cx="4612005" cy="2289810"/>
            <wp:effectExtent l="0" t="0" r="0" b="0"/>
            <wp:docPr id="103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557B7" w:rsidRDefault="00AD3265">
      <w:pPr>
        <w:pStyle w:val="AnnualReport2"/>
        <w:numPr>
          <w:ilvl w:val="0"/>
          <w:numId w:val="194"/>
        </w:numPr>
        <w:ind w:left="709" w:hanging="425"/>
        <w:rPr>
          <w:noProof/>
        </w:rPr>
      </w:pPr>
      <w:r>
        <w:rPr>
          <w:noProof/>
        </w:rPr>
        <w:t>New late transposition infringement cases against the Czech Republic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30147423" wp14:editId="1BB81D9C">
            <wp:extent cx="4612005" cy="2289810"/>
            <wp:effectExtent l="0" t="0" r="17145" b="15240"/>
            <wp:docPr id="103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ascii="Arial" w:hAnsi="Arial" w:cs="Arial"/>
          <w:noProof/>
          <w:sz w:val="20"/>
        </w:rPr>
        <w:br w:type="page"/>
      </w:r>
    </w:p>
    <w:p w:rsidR="001557B7" w:rsidRDefault="001557B7">
      <w:pPr>
        <w:pStyle w:val="AnnualReport2"/>
        <w:ind w:left="709" w:firstLine="0"/>
        <w:rPr>
          <w:noProof/>
        </w:rPr>
      </w:pPr>
    </w:p>
    <w:p w:rsidR="001557B7" w:rsidRDefault="00AD3265">
      <w:pPr>
        <w:pStyle w:val="AnnualReport2"/>
        <w:numPr>
          <w:ilvl w:val="0"/>
          <w:numId w:val="194"/>
        </w:numPr>
        <w:ind w:left="709" w:hanging="567"/>
        <w:rPr>
          <w:noProof/>
        </w:rPr>
      </w:pPr>
      <w:r>
        <w:rPr>
          <w:noProof/>
        </w:rPr>
        <w:t>New late transposition infringement cases opened in 2017: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154BAAC" wp14:editId="2A8A1986">
            <wp:extent cx="4596130" cy="2512695"/>
            <wp:effectExtent l="0" t="0" r="13970" b="20955"/>
            <wp:docPr id="1030"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557B7" w:rsidRDefault="00AD3265">
      <w:pPr>
        <w:pStyle w:val="AnnualReport2"/>
        <w:numPr>
          <w:ilvl w:val="0"/>
          <w:numId w:val="194"/>
        </w:numPr>
        <w:ind w:left="709" w:hanging="862"/>
        <w:rPr>
          <w:noProof/>
        </w:rPr>
      </w:pPr>
      <w:r>
        <w:rPr>
          <w:noProof/>
        </w:rPr>
        <w:t>Referrals to the Court</w:t>
      </w:r>
    </w:p>
    <w:p w:rsidR="001557B7" w:rsidRDefault="00AD3265">
      <w:pPr>
        <w:pStyle w:val="Body"/>
        <w:rPr>
          <w:rFonts w:eastAsia="MS Gothic"/>
          <w:caps/>
          <w:noProof/>
          <w:szCs w:val="24"/>
          <w:lang w:val="en-GB"/>
        </w:rPr>
      </w:pPr>
      <w:r>
        <w:rPr>
          <w:rFonts w:eastAsia="Calibri"/>
          <w:noProof/>
          <w:lang w:val="en-GB"/>
        </w:rPr>
        <w:t>The Commission</w:t>
      </w:r>
      <w:r>
        <w:rPr>
          <w:rFonts w:eastAsia="Calibri"/>
          <w:noProof/>
          <w:lang w:val="en-GB"/>
        </w:rPr>
        <w:t xml:space="preserve"> did not refer any cases to the Court under Articles 258 and 260(3) TFEU.</w:t>
      </w:r>
    </w:p>
    <w:p w:rsidR="001557B7" w:rsidRDefault="00AD3265">
      <w:pPr>
        <w:pStyle w:val="AnnualReport1"/>
        <w:numPr>
          <w:ilvl w:val="0"/>
          <w:numId w:val="133"/>
        </w:numPr>
        <w:spacing w:after="240"/>
        <w:ind w:left="709" w:hanging="425"/>
        <w:rPr>
          <w:caps w:val="0"/>
          <w:noProof/>
        </w:rPr>
      </w:pPr>
      <w:r>
        <w:rPr>
          <w:caps w:val="0"/>
          <w:noProof/>
        </w:rPr>
        <w:t>EARLY RESOLUTION OF INFRINGEMENT CASES</w:t>
      </w:r>
    </w:p>
    <w:p w:rsidR="001557B7" w:rsidRDefault="00AD3265">
      <w:pPr>
        <w:pStyle w:val="ListParagraph"/>
        <w:spacing w:after="60"/>
        <w:ind w:left="709"/>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1557B7" w:rsidRDefault="00AD3265">
      <w:pPr>
        <w:spacing w:before="120" w:after="120"/>
        <w:ind w:left="709"/>
        <w:rPr>
          <w:rFonts w:ascii="Arial" w:hAnsi="Arial" w:cs="Arial"/>
          <w:noProof/>
          <w:sz w:val="20"/>
        </w:rPr>
      </w:pPr>
      <w:r>
        <w:rPr>
          <w:rFonts w:ascii="Arial" w:hAnsi="Arial" w:cs="Arial"/>
          <w:noProof/>
          <w:sz w:val="20"/>
        </w:rPr>
        <w:t>These concerned:</w:t>
      </w:r>
    </w:p>
    <w:p w:rsidR="001557B7" w:rsidRDefault="00AD3265">
      <w:pPr>
        <w:pStyle w:val="ListParagraph"/>
        <w:numPr>
          <w:ilvl w:val="0"/>
          <w:numId w:val="33"/>
        </w:numPr>
        <w:spacing w:after="120"/>
        <w:ind w:hanging="425"/>
        <w:rPr>
          <w:rFonts w:ascii="Arial" w:eastAsia="Calibri" w:hAnsi="Arial" w:cs="Arial"/>
          <w:noProof/>
          <w:kern w:val="20"/>
          <w:sz w:val="20"/>
        </w:rPr>
      </w:pPr>
      <w:r>
        <w:rPr>
          <w:rFonts w:ascii="Arial" w:hAnsi="Arial"/>
          <w:noProof/>
          <w:sz w:val="20"/>
        </w:rPr>
        <w:t xml:space="preserve">placing </w:t>
      </w:r>
      <w:r>
        <w:rPr>
          <w:rFonts w:ascii="Arial" w:eastAsia="Calibri" w:hAnsi="Arial"/>
          <w:noProof/>
          <w:kern w:val="20"/>
          <w:sz w:val="20"/>
        </w:rPr>
        <w:t>on</w:t>
      </w:r>
      <w:r>
        <w:rPr>
          <w:rFonts w:ascii="Arial" w:hAnsi="Arial"/>
          <w:noProof/>
          <w:sz w:val="20"/>
        </w:rPr>
        <w:t xml:space="preserve"> the market of certain plant protection products that were not authorised under EU legislation</w:t>
      </w:r>
      <w:r>
        <w:rPr>
          <w:rStyle w:val="FootnoteReference"/>
          <w:rFonts w:ascii="Arial" w:hAnsi="Arial"/>
          <w:noProof/>
          <w:sz w:val="20"/>
        </w:rPr>
        <w:footnoteReference w:id="80"/>
      </w:r>
      <w:r>
        <w:rPr>
          <w:rFonts w:ascii="Arial" w:hAnsi="Arial"/>
          <w:noProof/>
          <w:sz w:val="20"/>
        </w:rPr>
        <w:t>;</w:t>
      </w:r>
    </w:p>
    <w:p w:rsidR="001557B7" w:rsidRDefault="00AD3265">
      <w:pPr>
        <w:pStyle w:val="ListParagraph"/>
        <w:numPr>
          <w:ilvl w:val="0"/>
          <w:numId w:val="33"/>
        </w:numPr>
        <w:autoSpaceDE w:val="0"/>
        <w:autoSpaceDN w:val="0"/>
        <w:adjustRightInd w:val="0"/>
        <w:spacing w:after="0"/>
        <w:ind w:hanging="425"/>
        <w:rPr>
          <w:rFonts w:ascii="Arial" w:hAnsi="Arial" w:cs="Arial"/>
          <w:noProof/>
          <w:sz w:val="20"/>
        </w:rPr>
      </w:pPr>
      <w:r>
        <w:rPr>
          <w:rFonts w:ascii="Arial" w:hAnsi="Arial" w:cs="Arial"/>
          <w:noProof/>
          <w:sz w:val="20"/>
        </w:rPr>
        <w:t>non-communication of national measures transposing the:</w:t>
      </w:r>
    </w:p>
    <w:p w:rsidR="001557B7" w:rsidRDefault="00AD3265">
      <w:pPr>
        <w:pStyle w:val="ListParagraph"/>
        <w:numPr>
          <w:ilvl w:val="1"/>
          <w:numId w:val="33"/>
        </w:numPr>
        <w:autoSpaceDE w:val="0"/>
        <w:autoSpaceDN w:val="0"/>
        <w:adjustRightInd w:val="0"/>
        <w:spacing w:after="0"/>
        <w:ind w:left="1843" w:hanging="425"/>
        <w:rPr>
          <w:rFonts w:ascii="Arial" w:hAnsi="Arial" w:cs="Arial"/>
          <w:noProof/>
          <w:sz w:val="20"/>
        </w:rPr>
      </w:pPr>
      <w:r>
        <w:rPr>
          <w:rFonts w:ascii="Arial" w:hAnsi="Arial" w:cs="Arial"/>
          <w:noProof/>
          <w:sz w:val="20"/>
        </w:rPr>
        <w:t>Commission Directive</w:t>
      </w:r>
      <w:r>
        <w:rPr>
          <w:rStyle w:val="FootnoteReference"/>
          <w:rFonts w:ascii="Arial" w:hAnsi="Arial" w:cs="Arial"/>
          <w:noProof/>
          <w:sz w:val="20"/>
        </w:rPr>
        <w:footnoteReference w:id="81"/>
      </w:r>
      <w:r>
        <w:rPr>
          <w:rFonts w:ascii="Arial" w:hAnsi="Arial" w:cs="Arial"/>
          <w:noProof/>
          <w:sz w:val="20"/>
        </w:rPr>
        <w:t xml:space="preserve"> amending the Groundwater Directive</w:t>
      </w:r>
      <w:r>
        <w:rPr>
          <w:rStyle w:val="FootnoteReference"/>
          <w:rFonts w:ascii="Arial" w:hAnsi="Arial" w:cs="Arial"/>
          <w:noProof/>
          <w:sz w:val="20"/>
        </w:rPr>
        <w:footnoteReference w:id="82"/>
      </w:r>
      <w:r>
        <w:rPr>
          <w:rFonts w:ascii="Arial" w:hAnsi="Arial" w:cs="Arial"/>
          <w:noProof/>
          <w:sz w:val="20"/>
        </w:rPr>
        <w:t>;</w:t>
      </w:r>
    </w:p>
    <w:p w:rsidR="001557B7" w:rsidRDefault="00AD3265">
      <w:pPr>
        <w:pStyle w:val="ListParagraph"/>
        <w:numPr>
          <w:ilvl w:val="1"/>
          <w:numId w:val="33"/>
        </w:numPr>
        <w:autoSpaceDE w:val="0"/>
        <w:autoSpaceDN w:val="0"/>
        <w:adjustRightInd w:val="0"/>
        <w:spacing w:after="0"/>
        <w:ind w:left="1843" w:hanging="425"/>
        <w:rPr>
          <w:rFonts w:ascii="Arial" w:hAnsi="Arial" w:cs="Arial"/>
          <w:noProof/>
          <w:sz w:val="20"/>
        </w:rPr>
      </w:pPr>
      <w:r>
        <w:rPr>
          <w:rFonts w:ascii="Arial" w:eastAsia="Calibri" w:hAnsi="Arial" w:cs="Arial"/>
          <w:noProof/>
          <w:kern w:val="20"/>
          <w:sz w:val="20"/>
        </w:rPr>
        <w:t>Transparency Directive</w:t>
      </w:r>
      <w:r>
        <w:rPr>
          <w:rStyle w:val="FootnoteReference"/>
          <w:rFonts w:eastAsia="Calibri"/>
          <w:noProof/>
        </w:rPr>
        <w:footnoteReference w:id="83"/>
      </w:r>
      <w:r>
        <w:rPr>
          <w:rFonts w:ascii="Arial" w:eastAsia="Calibri" w:hAnsi="Arial" w:cs="Arial"/>
          <w:noProof/>
          <w:kern w:val="20"/>
          <w:sz w:val="20"/>
        </w:rPr>
        <w:t>;</w:t>
      </w:r>
    </w:p>
    <w:p w:rsidR="001557B7" w:rsidRDefault="00AD3265">
      <w:pPr>
        <w:pStyle w:val="ListParagraph"/>
        <w:numPr>
          <w:ilvl w:val="1"/>
          <w:numId w:val="33"/>
        </w:numPr>
        <w:autoSpaceDE w:val="0"/>
        <w:autoSpaceDN w:val="0"/>
        <w:adjustRightInd w:val="0"/>
        <w:spacing w:after="0"/>
        <w:ind w:left="1843" w:hanging="425"/>
        <w:rPr>
          <w:rFonts w:ascii="Arial" w:eastAsia="Calibri" w:hAnsi="Arial" w:cs="Arial"/>
          <w:noProof/>
          <w:sz w:val="20"/>
        </w:rPr>
      </w:pPr>
      <w:r>
        <w:rPr>
          <w:rFonts w:ascii="Arial" w:eastAsia="Calibri" w:hAnsi="Arial" w:cs="Arial"/>
          <w:noProof/>
          <w:kern w:val="20"/>
          <w:sz w:val="20"/>
        </w:rPr>
        <w:t>Accounting Directiv</w:t>
      </w:r>
      <w:r>
        <w:rPr>
          <w:rFonts w:ascii="Arial" w:eastAsia="Calibri" w:hAnsi="Arial" w:cs="Arial"/>
          <w:noProof/>
          <w:kern w:val="20"/>
          <w:sz w:val="20"/>
        </w:rPr>
        <w:t>e</w:t>
      </w:r>
      <w:r>
        <w:rPr>
          <w:rStyle w:val="FootnoteReference"/>
          <w:rFonts w:eastAsia="Calibri"/>
          <w:noProof/>
        </w:rPr>
        <w:footnoteReference w:id="84"/>
      </w:r>
      <w:r>
        <w:rPr>
          <w:rFonts w:ascii="Arial" w:eastAsia="Calibri" w:hAnsi="Arial" w:cs="Arial"/>
          <w:noProof/>
          <w:kern w:val="20"/>
          <w:sz w:val="20"/>
        </w:rPr>
        <w:t>.</w:t>
      </w:r>
    </w:p>
    <w:p w:rsidR="001557B7" w:rsidRDefault="00AD3265">
      <w:pPr>
        <w:pStyle w:val="ListParagraph"/>
        <w:numPr>
          <w:ilvl w:val="0"/>
          <w:numId w:val="33"/>
        </w:numPr>
        <w:autoSpaceDE w:val="0"/>
        <w:autoSpaceDN w:val="0"/>
        <w:adjustRightInd w:val="0"/>
        <w:spacing w:after="0"/>
        <w:ind w:hanging="425"/>
        <w:rPr>
          <w:rFonts w:ascii="Arial" w:eastAsia="Calibri" w:hAnsi="Arial"/>
          <w:noProof/>
          <w:kern w:val="20"/>
          <w:sz w:val="20"/>
        </w:rPr>
      </w:pPr>
      <w:r>
        <w:rPr>
          <w:rFonts w:ascii="Arial" w:eastAsia="Calibri" w:hAnsi="Arial"/>
          <w:noProof/>
          <w:kern w:val="20"/>
          <w:sz w:val="20"/>
        </w:rPr>
        <w:t xml:space="preserve">bad </w:t>
      </w:r>
      <w:r>
        <w:rPr>
          <w:rFonts w:ascii="Arial" w:eastAsia="Calibri" w:hAnsi="Arial"/>
          <w:noProof/>
          <w:sz w:val="20"/>
        </w:rPr>
        <w:t>application</w:t>
      </w:r>
      <w:r>
        <w:rPr>
          <w:rFonts w:ascii="Arial" w:eastAsia="Calibri" w:hAnsi="Arial"/>
          <w:noProof/>
          <w:kern w:val="20"/>
          <w:sz w:val="20"/>
        </w:rPr>
        <w:t xml:space="preserve"> of the Directive on driving licences</w:t>
      </w:r>
      <w:r>
        <w:rPr>
          <w:rStyle w:val="FootnoteReference"/>
          <w:rFonts w:ascii="Arial" w:eastAsia="Calibri" w:hAnsi="Arial"/>
          <w:noProof/>
          <w:kern w:val="20"/>
          <w:sz w:val="20"/>
        </w:rPr>
        <w:footnoteReference w:id="85"/>
      </w:r>
      <w:r>
        <w:rPr>
          <w:rFonts w:ascii="Arial" w:eastAsia="Calibri" w:hAnsi="Arial"/>
          <w:noProof/>
          <w:kern w:val="20"/>
          <w:sz w:val="20"/>
        </w:rPr>
        <w:t>.</w:t>
      </w:r>
      <w:r>
        <w:rPr>
          <w:rFonts w:ascii="Arial" w:eastAsia="Calibri" w:hAnsi="Arial"/>
          <w:noProof/>
          <w:kern w:val="20"/>
          <w:sz w:val="20"/>
        </w:rPr>
        <w:br w:type="page"/>
      </w:r>
    </w:p>
    <w:p w:rsidR="001557B7" w:rsidRDefault="001557B7">
      <w:pPr>
        <w:pStyle w:val="ListParagraph"/>
        <w:autoSpaceDE w:val="0"/>
        <w:autoSpaceDN w:val="0"/>
        <w:adjustRightInd w:val="0"/>
        <w:spacing w:after="0"/>
        <w:ind w:left="1276"/>
        <w:rPr>
          <w:rFonts w:ascii="Arial" w:eastAsia="Calibri" w:hAnsi="Arial"/>
          <w:noProof/>
          <w:kern w:val="20"/>
          <w:sz w:val="20"/>
        </w:rPr>
      </w:pPr>
    </w:p>
    <w:p w:rsidR="001557B7" w:rsidRDefault="00AD3265">
      <w:pPr>
        <w:pStyle w:val="AnnualReport1"/>
        <w:numPr>
          <w:ilvl w:val="0"/>
          <w:numId w:val="133"/>
        </w:numPr>
        <w:spacing w:after="240"/>
        <w:ind w:left="709" w:hanging="425"/>
        <w:rPr>
          <w:caps w:val="0"/>
          <w:noProof/>
        </w:rPr>
      </w:pPr>
      <w:r>
        <w:rPr>
          <w:caps w:val="0"/>
          <w:noProof/>
        </w:rPr>
        <w:t>IMPORTANT JUDGMENTS</w:t>
      </w:r>
    </w:p>
    <w:p w:rsidR="001557B7" w:rsidRDefault="00AD3265">
      <w:pPr>
        <w:pStyle w:val="AnnualReport2"/>
        <w:numPr>
          <w:ilvl w:val="0"/>
          <w:numId w:val="195"/>
        </w:numPr>
        <w:ind w:left="709" w:hanging="425"/>
        <w:rPr>
          <w:noProof/>
        </w:rPr>
      </w:pPr>
      <w:r>
        <w:rPr>
          <w:noProof/>
        </w:rPr>
        <w:t>Court rulings</w:t>
      </w:r>
    </w:p>
    <w:p w:rsidR="001557B7" w:rsidRDefault="00AD3265">
      <w:pPr>
        <w:pStyle w:val="Body"/>
        <w:rPr>
          <w:noProof/>
          <w:lang w:val="en-GB"/>
        </w:rPr>
      </w:pPr>
      <w:r>
        <w:rPr>
          <w:noProof/>
          <w:lang w:val="en-GB"/>
        </w:rPr>
        <w:t>There were no major Court rulings in 2017.</w:t>
      </w:r>
    </w:p>
    <w:p w:rsidR="001557B7" w:rsidRDefault="00AD3265">
      <w:pPr>
        <w:pStyle w:val="AnnualReport2"/>
        <w:numPr>
          <w:ilvl w:val="0"/>
          <w:numId w:val="195"/>
        </w:numPr>
        <w:ind w:left="709" w:hanging="425"/>
        <w:rPr>
          <w:noProof/>
        </w:rPr>
      </w:pPr>
      <w:r>
        <w:rPr>
          <w:noProof/>
        </w:rPr>
        <w:t>Preliminary rulings</w:t>
      </w:r>
    </w:p>
    <w:p w:rsidR="001557B7" w:rsidRDefault="00AD3265">
      <w:pPr>
        <w:pStyle w:val="Body"/>
        <w:ind w:left="786" w:firstLine="0"/>
        <w:rPr>
          <w:noProof/>
          <w:lang w:val="en-GB"/>
        </w:rPr>
      </w:pPr>
      <w:r>
        <w:rPr>
          <w:noProof/>
          <w:lang w:val="en-GB"/>
        </w:rPr>
        <w:t>The Court addressed the following preliminary rulings to the Czech judiciary.</w:t>
      </w:r>
    </w:p>
    <w:p w:rsidR="001557B7" w:rsidRDefault="00AD3265">
      <w:pPr>
        <w:pStyle w:val="ListParagraph"/>
        <w:numPr>
          <w:ilvl w:val="0"/>
          <w:numId w:val="33"/>
        </w:numPr>
        <w:spacing w:after="120"/>
        <w:ind w:hanging="425"/>
        <w:rPr>
          <w:rFonts w:ascii="Arial" w:hAnsi="Arial" w:cs="Arial"/>
          <w:noProof/>
          <w:sz w:val="20"/>
        </w:rPr>
      </w:pPr>
      <w:r>
        <w:rPr>
          <w:rFonts w:ascii="Arial" w:eastAsia="Calibri" w:hAnsi="Arial" w:cs="Arial"/>
          <w:noProof/>
          <w:kern w:val="20"/>
          <w:sz w:val="20"/>
        </w:rPr>
        <w:t xml:space="preserve">A Member State may </w:t>
      </w:r>
      <w:r>
        <w:rPr>
          <w:rFonts w:ascii="Arial" w:eastAsia="Calibri" w:hAnsi="Arial" w:cs="Arial"/>
          <w:noProof/>
          <w:kern w:val="20"/>
          <w:sz w:val="20"/>
        </w:rPr>
        <w:t>not detain an applicant for international protection for the purpose of securing a procedure for transferring her to another Member State if the objective criteria for assessing the risk of absconding are not defined in its legislation (even if those crite</w:t>
      </w:r>
      <w:r>
        <w:rPr>
          <w:rFonts w:ascii="Arial" w:eastAsia="Calibri" w:hAnsi="Arial" w:cs="Arial"/>
          <w:noProof/>
          <w:kern w:val="20"/>
          <w:sz w:val="20"/>
        </w:rPr>
        <w:t>ria are apparent from the case-law or the administrative practice of that Member State)</w:t>
      </w:r>
      <w:r>
        <w:rPr>
          <w:rStyle w:val="FootnoteReference"/>
          <w:rFonts w:ascii="Arial" w:eastAsia="Calibri" w:hAnsi="Arial" w:cs="Arial"/>
          <w:noProof/>
          <w:kern w:val="20"/>
          <w:sz w:val="20"/>
        </w:rPr>
        <w:footnoteReference w:id="86"/>
      </w:r>
      <w:r>
        <w:rPr>
          <w:rFonts w:ascii="Arial" w:eastAsia="Calibri" w:hAnsi="Arial" w:cs="Arial"/>
          <w:noProof/>
          <w:kern w:val="20"/>
          <w:sz w:val="20"/>
        </w:rPr>
        <w:t>.</w:t>
      </w:r>
    </w:p>
    <w:p w:rsidR="001557B7" w:rsidRDefault="00AD3265">
      <w:pPr>
        <w:pStyle w:val="ListParagraph"/>
        <w:numPr>
          <w:ilvl w:val="0"/>
          <w:numId w:val="33"/>
        </w:numPr>
        <w:spacing w:after="120"/>
        <w:ind w:hanging="425"/>
        <w:rPr>
          <w:rFonts w:ascii="Arial" w:hAnsi="Arial" w:cs="Arial"/>
          <w:noProof/>
          <w:sz w:val="20"/>
        </w:rPr>
      </w:pPr>
      <w:r>
        <w:rPr>
          <w:rFonts w:ascii="Arial" w:hAnsi="Arial" w:cs="Arial"/>
          <w:noProof/>
          <w:sz w:val="20"/>
        </w:rPr>
        <w:t xml:space="preserve">A collision between an aircraft and a bird is an extraordinary circumstance exempting the carrier from the obligation to pay compensation in the event of significant </w:t>
      </w:r>
      <w:r>
        <w:rPr>
          <w:rFonts w:ascii="Arial" w:hAnsi="Arial" w:cs="Arial"/>
          <w:noProof/>
          <w:sz w:val="20"/>
        </w:rPr>
        <w:t>delay. That delay cannot be justified by the alleged need to carry out a second check where an authorised expert found that the aircraft was airworthy after the collision</w:t>
      </w:r>
      <w:r>
        <w:rPr>
          <w:rStyle w:val="FootnoteReference"/>
          <w:noProof/>
        </w:rPr>
        <w:footnoteReference w:id="87"/>
      </w:r>
      <w:r>
        <w:rPr>
          <w:rFonts w:ascii="Arial" w:hAnsi="Arial" w:cs="Arial"/>
          <w:noProof/>
          <w:sz w:val="20"/>
        </w:rPr>
        <w:t>.</w:t>
      </w:r>
    </w:p>
    <w:p w:rsidR="001557B7" w:rsidRDefault="001557B7">
      <w:pPr>
        <w:pStyle w:val="ListParagraph"/>
        <w:spacing w:after="120"/>
        <w:ind w:left="1276"/>
        <w:rPr>
          <w:rFonts w:ascii="Arial" w:hAnsi="Arial" w:cs="Arial"/>
          <w:noProof/>
          <w:sz w:val="20"/>
        </w:rPr>
        <w:sectPr w:rsidR="001557B7">
          <w:headerReference w:type="even" r:id="rId70"/>
          <w:headerReference w:type="default" r:id="rId71"/>
          <w:footerReference w:type="even" r:id="rId72"/>
          <w:footerReference w:type="default" r:id="rId73"/>
          <w:headerReference w:type="first" r:id="rId74"/>
          <w:footerReference w:type="first" r:id="rId75"/>
          <w:footnotePr>
            <w:numRestart w:val="eachSect"/>
          </w:footnotePr>
          <w:pgSz w:w="11906" w:h="16838"/>
          <w:pgMar w:top="1701" w:right="1417" w:bottom="1134" w:left="1417" w:header="567" w:footer="351" w:gutter="0"/>
          <w:cols w:space="708"/>
          <w:titlePg/>
          <w:docGrid w:linePitch="360"/>
        </w:sectPr>
      </w:pPr>
    </w:p>
    <w:p w:rsidR="001557B7" w:rsidRDefault="00AD3265">
      <w:pPr>
        <w:pStyle w:val="Heading1"/>
        <w:rPr>
          <w:noProof/>
          <w:szCs w:val="24"/>
        </w:rPr>
      </w:pPr>
      <w:bookmarkStart w:id="32" w:name="_Toc444769590"/>
      <w:bookmarkStart w:id="33" w:name="_Toc444772046"/>
      <w:bookmarkStart w:id="34" w:name="_Toc444773365"/>
      <w:bookmarkStart w:id="35" w:name="_Toc444776737"/>
      <w:bookmarkStart w:id="36" w:name="_Toc475974644"/>
      <w:bookmarkStart w:id="37" w:name="_Toc475980140"/>
      <w:bookmarkStart w:id="38" w:name="_Toc475981389"/>
      <w:bookmarkStart w:id="39" w:name="_Toc484622320"/>
      <w:bookmarkStart w:id="40" w:name="_Toc510015269"/>
      <w:r>
        <w:rPr>
          <w:noProof/>
          <w:szCs w:val="24"/>
        </w:rPr>
        <w:t>Denmark</w:t>
      </w:r>
      <w:bookmarkEnd w:id="32"/>
      <w:bookmarkEnd w:id="33"/>
      <w:bookmarkEnd w:id="34"/>
      <w:bookmarkEnd w:id="35"/>
      <w:bookmarkEnd w:id="36"/>
      <w:bookmarkEnd w:id="37"/>
      <w:bookmarkEnd w:id="38"/>
      <w:bookmarkEnd w:id="39"/>
      <w:bookmarkEnd w:id="40"/>
    </w:p>
    <w:p w:rsidR="001557B7" w:rsidRDefault="00AD3265">
      <w:pPr>
        <w:pStyle w:val="AnnualReport1"/>
        <w:numPr>
          <w:ilvl w:val="0"/>
          <w:numId w:val="134"/>
        </w:numPr>
        <w:spacing w:after="240"/>
        <w:ind w:left="709" w:hanging="425"/>
        <w:rPr>
          <w:noProof/>
        </w:rPr>
      </w:pPr>
      <w:r>
        <w:rPr>
          <w:caps w:val="0"/>
          <w:noProof/>
        </w:rPr>
        <w:t>COMPLAINTS</w:t>
      </w:r>
    </w:p>
    <w:p w:rsidR="001557B7" w:rsidRDefault="00AD3265">
      <w:pPr>
        <w:pStyle w:val="AnnualReport2"/>
        <w:numPr>
          <w:ilvl w:val="0"/>
          <w:numId w:val="178"/>
        </w:numPr>
        <w:ind w:left="709" w:hanging="425"/>
        <w:rPr>
          <w:noProof/>
        </w:rPr>
      </w:pPr>
      <w:r>
        <w:rPr>
          <w:noProof/>
        </w:rPr>
        <w:t xml:space="preserve">New complaints made against Denmark by members of the public </w:t>
      </w:r>
      <w:r>
        <w:rPr>
          <w:noProof/>
        </w:rPr>
        <w:t>(2013-2017)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0F01F6A3" wp14:editId="595F78BC">
            <wp:extent cx="4531995" cy="1844675"/>
            <wp:effectExtent l="0" t="0" r="0" b="0"/>
            <wp:docPr id="102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557B7" w:rsidRDefault="00AD3265">
      <w:pPr>
        <w:pStyle w:val="AnnualReport2"/>
        <w:numPr>
          <w:ilvl w:val="0"/>
          <w:numId w:val="178"/>
        </w:numPr>
        <w:ind w:left="709" w:hanging="425"/>
        <w:rPr>
          <w:noProof/>
        </w:rPr>
      </w:pPr>
      <w:r>
        <w:rPr>
          <w:noProof/>
        </w:rPr>
        <w:t>Public complaints against Denmark open at year-end</w:t>
      </w:r>
    </w:p>
    <w:tbl>
      <w:tblPr>
        <w:tblW w:w="0" w:type="auto"/>
        <w:jc w:val="center"/>
        <w:tblLook w:val="04A0" w:firstRow="1" w:lastRow="0" w:firstColumn="1" w:lastColumn="0" w:noHBand="0" w:noVBand="1"/>
      </w:tblPr>
      <w:tblGrid>
        <w:gridCol w:w="1697"/>
        <w:gridCol w:w="355"/>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46</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 xml:space="preserve"> 53</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 xml:space="preserve"> 48</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51</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1557B7" w:rsidRDefault="00AD3265">
      <w:pPr>
        <w:pStyle w:val="AnnualReport2"/>
        <w:numPr>
          <w:ilvl w:val="0"/>
          <w:numId w:val="178"/>
        </w:numPr>
        <w:ind w:left="709" w:hanging="425"/>
        <w:rPr>
          <w:noProof/>
        </w:rPr>
      </w:pPr>
      <w:r>
        <w:rPr>
          <w:noProof/>
        </w:rPr>
        <w:t>New complaints registered in 2017: main policy</w:t>
      </w:r>
      <w:r>
        <w:rPr>
          <w:noProof/>
        </w:rPr>
        <w:t xml:space="preserve"> areas</w:t>
      </w:r>
    </w:p>
    <w:p w:rsidR="001557B7" w:rsidRDefault="00AD3265">
      <w:pPr>
        <w:pStyle w:val="AnnualReport2"/>
        <w:ind w:left="709" w:firstLine="0"/>
        <w:rPr>
          <w:noProof/>
        </w:rPr>
      </w:pPr>
      <w:r>
        <w:rPr>
          <w:rFonts w:cs="Arial"/>
          <w:noProof/>
          <w:sz w:val="20"/>
          <w:lang w:eastAsia="en-GB"/>
        </w:rPr>
        <w:drawing>
          <wp:inline distT="0" distB="0" distL="0" distR="0" wp14:anchorId="3EA79841" wp14:editId="3E88D094">
            <wp:extent cx="4617720" cy="2354580"/>
            <wp:effectExtent l="0" t="0" r="11430" b="26670"/>
            <wp:docPr id="1075"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557B7" w:rsidRDefault="001557B7">
      <w:pPr>
        <w:spacing w:after="120"/>
        <w:ind w:firstLine="709"/>
        <w:rPr>
          <w:rFonts w:ascii="Arial" w:hAnsi="Arial" w:cs="Arial"/>
          <w:noProof/>
          <w:sz w:val="20"/>
        </w:rPr>
      </w:pPr>
    </w:p>
    <w:p w:rsidR="001557B7" w:rsidRDefault="00AD3265">
      <w:pPr>
        <w:spacing w:after="200" w:line="276" w:lineRule="auto"/>
        <w:jc w:val="left"/>
        <w:rPr>
          <w:rFonts w:ascii="Arial" w:hAnsi="Arial" w:cs="Arial"/>
          <w:noProof/>
          <w:sz w:val="20"/>
        </w:rPr>
      </w:pPr>
      <w:r>
        <w:rPr>
          <w:noProof/>
        </w:rPr>
        <w:br w:type="page"/>
      </w:r>
    </w:p>
    <w:p w:rsidR="001557B7" w:rsidRDefault="00AD3265">
      <w:pPr>
        <w:pStyle w:val="AnnualReport1"/>
        <w:numPr>
          <w:ilvl w:val="0"/>
          <w:numId w:val="134"/>
        </w:numPr>
        <w:spacing w:after="240"/>
        <w:ind w:left="709" w:hanging="425"/>
        <w:rPr>
          <w:caps w:val="0"/>
          <w:noProof/>
        </w:rPr>
      </w:pPr>
      <w:r>
        <w:rPr>
          <w:caps w:val="0"/>
          <w:noProof/>
        </w:rPr>
        <w:t>EU PILOT</w:t>
      </w:r>
    </w:p>
    <w:p w:rsidR="001557B7" w:rsidRDefault="00AD3265">
      <w:pPr>
        <w:pStyle w:val="AnnualReport2"/>
        <w:numPr>
          <w:ilvl w:val="0"/>
          <w:numId w:val="179"/>
        </w:numPr>
        <w:ind w:left="709" w:hanging="425"/>
        <w:rPr>
          <w:noProof/>
        </w:rPr>
      </w:pPr>
      <w:r>
        <w:rPr>
          <w:noProof/>
        </w:rPr>
        <w:t>New EU Pilot files opened against Denmark (2013-2017)</w:t>
      </w:r>
    </w:p>
    <w:p w:rsidR="001557B7" w:rsidRDefault="00AD3265">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21B684E0" wp14:editId="7214474F">
            <wp:extent cx="4587875" cy="2003425"/>
            <wp:effectExtent l="0" t="0" r="22225" b="15875"/>
            <wp:docPr id="102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557B7" w:rsidRDefault="00AD3265">
      <w:pPr>
        <w:pStyle w:val="AnnualReport2"/>
        <w:numPr>
          <w:ilvl w:val="0"/>
          <w:numId w:val="179"/>
        </w:numPr>
        <w:ind w:left="709" w:hanging="425"/>
        <w:rPr>
          <w:noProof/>
        </w:rPr>
      </w:pPr>
      <w:r>
        <w:rPr>
          <w:noProof/>
        </w:rPr>
        <w:t>Files relating to Denmark open in EU Pilot at year-end</w:t>
      </w:r>
    </w:p>
    <w:p w:rsidR="001557B7" w:rsidRDefault="00AD3265">
      <w:pPr>
        <w:spacing w:after="0"/>
        <w:ind w:firstLine="709"/>
        <w:rPr>
          <w:rFonts w:ascii="Arial" w:hAnsi="Arial" w:cs="Arial"/>
          <w:noProof/>
          <w:sz w:val="20"/>
        </w:rPr>
      </w:pPr>
      <w:r>
        <w:rPr>
          <w:rFonts w:ascii="Arial" w:hAnsi="Arial" w:cs="Arial"/>
          <w:noProof/>
          <w:sz w:val="20"/>
          <w:lang w:eastAsia="en-GB"/>
        </w:rPr>
        <w:drawing>
          <wp:inline distT="0" distB="0" distL="0" distR="0" wp14:anchorId="0F009BE9" wp14:editId="2569F703">
            <wp:extent cx="4587875" cy="2003425"/>
            <wp:effectExtent l="0" t="0" r="3175" b="15875"/>
            <wp:docPr id="102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557B7" w:rsidRDefault="00AD3265">
      <w:pPr>
        <w:pStyle w:val="AnnualReport2"/>
        <w:numPr>
          <w:ilvl w:val="0"/>
          <w:numId w:val="179"/>
        </w:numPr>
        <w:ind w:left="709" w:hanging="425"/>
        <w:rPr>
          <w:noProof/>
        </w:rPr>
      </w:pPr>
      <w:r>
        <w:rPr>
          <w:noProof/>
        </w:rPr>
        <w:t>New EU Pilot files opened in 2017: main policy areas</w:t>
      </w:r>
    </w:p>
    <w:p w:rsidR="001557B7" w:rsidRDefault="00AD3265">
      <w:pPr>
        <w:pStyle w:val="AnnualReport2"/>
        <w:ind w:left="709" w:firstLine="0"/>
        <w:rPr>
          <w:noProof/>
          <w:sz w:val="20"/>
          <w:szCs w:val="20"/>
        </w:rPr>
      </w:pPr>
      <w:r>
        <w:rPr>
          <w:noProof/>
          <w:sz w:val="20"/>
          <w:szCs w:val="20"/>
        </w:rPr>
        <w:t>In 2017, the Commission opened 2 EU Pilot files against Denmark. Both</w:t>
      </w:r>
      <w:r>
        <w:rPr>
          <w:noProof/>
          <w:sz w:val="20"/>
          <w:szCs w:val="20"/>
        </w:rPr>
        <w:t xml:space="preserve"> files were opened in the area of environment.</w:t>
      </w:r>
    </w:p>
    <w:p w:rsidR="001557B7" w:rsidRDefault="00AD3265">
      <w:pPr>
        <w:pStyle w:val="AnnualReport2"/>
        <w:numPr>
          <w:ilvl w:val="0"/>
          <w:numId w:val="179"/>
        </w:numPr>
        <w:ind w:left="709" w:hanging="425"/>
        <w:rPr>
          <w:noProof/>
        </w:rPr>
      </w:pPr>
      <w:r>
        <w:rPr>
          <w:noProof/>
        </w:rPr>
        <w:t>EU Pilot files: Denmark’s resolution rate in 2013-2017</w:t>
      </w:r>
    </w:p>
    <w:p w:rsidR="001557B7" w:rsidRDefault="00AD3265">
      <w:pPr>
        <w:spacing w:after="200"/>
        <w:ind w:firstLine="709"/>
        <w:rPr>
          <w:rFonts w:ascii="Arial" w:hAnsi="Arial" w:cs="Arial"/>
          <w:noProof/>
          <w:sz w:val="20"/>
        </w:rPr>
      </w:pPr>
      <w:r>
        <w:rPr>
          <w:rFonts w:ascii="Arial" w:hAnsi="Arial" w:cs="Arial"/>
          <w:noProof/>
          <w:sz w:val="20"/>
          <w:lang w:eastAsia="en-GB"/>
        </w:rPr>
        <w:drawing>
          <wp:inline distT="0" distB="0" distL="0" distR="0" wp14:anchorId="6D35FEDC" wp14:editId="4B7F36C8">
            <wp:extent cx="4587875" cy="2115185"/>
            <wp:effectExtent l="0" t="0" r="22225" b="18415"/>
            <wp:docPr id="102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557B7" w:rsidRDefault="00AD3265">
      <w:pPr>
        <w:pStyle w:val="AnnualReport1"/>
        <w:numPr>
          <w:ilvl w:val="0"/>
          <w:numId w:val="134"/>
        </w:numPr>
        <w:spacing w:after="240"/>
        <w:ind w:left="709" w:hanging="425"/>
        <w:rPr>
          <w:caps w:val="0"/>
          <w:noProof/>
        </w:rPr>
      </w:pPr>
      <w:r>
        <w:rPr>
          <w:caps w:val="0"/>
          <w:noProof/>
        </w:rPr>
        <w:t>INFRINGEMENT CASES</w:t>
      </w:r>
    </w:p>
    <w:p w:rsidR="001557B7" w:rsidRDefault="00AD3265">
      <w:pPr>
        <w:pStyle w:val="AnnualReport2"/>
        <w:numPr>
          <w:ilvl w:val="0"/>
          <w:numId w:val="180"/>
        </w:numPr>
        <w:ind w:left="709" w:hanging="425"/>
        <w:rPr>
          <w:noProof/>
        </w:rPr>
      </w:pPr>
      <w:r>
        <w:rPr>
          <w:noProof/>
        </w:rPr>
        <w:t>Infringement cases against Denmark open on 31 December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6A65700B" wp14:editId="50884A95">
            <wp:extent cx="4587875" cy="2067560"/>
            <wp:effectExtent l="0" t="0" r="3175" b="8890"/>
            <wp:docPr id="1023"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557B7" w:rsidRDefault="00AD3265">
      <w:pPr>
        <w:pStyle w:val="AnnualReport2"/>
        <w:numPr>
          <w:ilvl w:val="0"/>
          <w:numId w:val="180"/>
        </w:numPr>
        <w:ind w:left="709" w:hanging="425"/>
        <w:rPr>
          <w:noProof/>
        </w:rPr>
      </w:pPr>
      <w:r>
        <w:rPr>
          <w:noProof/>
        </w:rPr>
        <w:t>New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17A2283F" wp14:editId="42EEC4DD">
            <wp:extent cx="4587875" cy="2337435"/>
            <wp:effectExtent l="0" t="0" r="22225" b="24765"/>
            <wp:docPr id="1022"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557B7" w:rsidRDefault="001557B7">
      <w:pPr>
        <w:spacing w:after="120"/>
        <w:ind w:firstLine="709"/>
        <w:rPr>
          <w:rFonts w:ascii="Arial" w:hAnsi="Arial" w:cs="Arial"/>
          <w:noProof/>
          <w:sz w:val="20"/>
        </w:rPr>
      </w:pPr>
    </w:p>
    <w:p w:rsidR="001557B7" w:rsidRDefault="00AD3265">
      <w:pPr>
        <w:pStyle w:val="AnnualReport2"/>
        <w:numPr>
          <w:ilvl w:val="0"/>
          <w:numId w:val="180"/>
        </w:numPr>
        <w:ind w:left="709" w:hanging="425"/>
        <w:rPr>
          <w:noProof/>
        </w:rPr>
      </w:pPr>
      <w:r>
        <w:rPr>
          <w:noProof/>
        </w:rPr>
        <w:t xml:space="preserve">Key </w:t>
      </w:r>
      <w:r>
        <w:rPr>
          <w:noProof/>
        </w:rPr>
        <w:t>infringement cases and referrals to the Court</w:t>
      </w:r>
    </w:p>
    <w:p w:rsidR="001557B7" w:rsidRDefault="00AD3265">
      <w:pPr>
        <w:pStyle w:val="Lijstje"/>
        <w:numPr>
          <w:ilvl w:val="0"/>
          <w:numId w:val="19"/>
        </w:numPr>
        <w:ind w:left="1276" w:hanging="425"/>
        <w:rPr>
          <w:noProof/>
        </w:rPr>
      </w:pPr>
      <w:r>
        <w:rPr>
          <w:noProof/>
        </w:rPr>
        <w:t>The Commission opened 19 new infringement cases against Denmark in 2017. These, and other major ongoing infringement cases, include:</w:t>
      </w:r>
    </w:p>
    <w:p w:rsidR="001557B7" w:rsidRDefault="00AD3265">
      <w:pPr>
        <w:pStyle w:val="Lijstje2"/>
        <w:ind w:left="1843" w:hanging="425"/>
        <w:rPr>
          <w:rFonts w:ascii="Arial" w:hAnsi="Arial" w:cs="Arial"/>
          <w:noProof/>
          <w:lang w:val="en-GB"/>
        </w:rPr>
      </w:pPr>
      <w:r>
        <w:rPr>
          <w:rFonts w:ascii="Arial" w:hAnsi="Arial" w:cs="Arial"/>
          <w:noProof/>
          <w:lang w:val="en-GB"/>
        </w:rPr>
        <w:t>failure to comply with reporting obligations under EU waste legislation</w:t>
      </w:r>
      <w:r>
        <w:rPr>
          <w:rStyle w:val="FootnoteReference"/>
          <w:rFonts w:ascii="Arial" w:hAnsi="Arial" w:cs="Arial"/>
          <w:noProof/>
          <w:lang w:val="en-GB"/>
        </w:rPr>
        <w:footnoteReference w:id="88"/>
      </w:r>
      <w:r>
        <w:rPr>
          <w:rFonts w:ascii="Arial" w:hAnsi="Arial" w:cs="Arial"/>
          <w:noProof/>
          <w:lang w:val="en-GB"/>
        </w:rPr>
        <w:t>;</w:t>
      </w:r>
    </w:p>
    <w:p w:rsidR="001557B7" w:rsidRDefault="00AD3265">
      <w:pPr>
        <w:pStyle w:val="Lijstje2"/>
        <w:ind w:left="1843" w:hanging="425"/>
        <w:rPr>
          <w:rFonts w:ascii="Arial" w:hAnsi="Arial" w:cs="Arial"/>
          <w:noProof/>
          <w:lang w:val="en-GB"/>
        </w:rPr>
      </w:pPr>
      <w:r>
        <w:rPr>
          <w:rFonts w:ascii="Arial" w:hAnsi="Arial" w:cs="Arial"/>
          <w:noProof/>
          <w:lang w:val="en-GB"/>
        </w:rPr>
        <w:t>incorrect transposition and implementation of the Third Energy Package Directives (Electricity Directive</w:t>
      </w:r>
      <w:r>
        <w:rPr>
          <w:rStyle w:val="FootnoteReference"/>
          <w:noProof/>
          <w:lang w:val="en-GB"/>
        </w:rPr>
        <w:footnoteReference w:id="89"/>
      </w:r>
      <w:r>
        <w:rPr>
          <w:rFonts w:ascii="Arial" w:hAnsi="Arial" w:cs="Arial"/>
          <w:noProof/>
          <w:lang w:val="en-GB"/>
        </w:rPr>
        <w:t xml:space="preserve"> and Gas Directive</w:t>
      </w:r>
      <w:r>
        <w:rPr>
          <w:rStyle w:val="FootnoteReference"/>
          <w:noProof/>
          <w:lang w:val="en-GB"/>
        </w:rPr>
        <w:footnoteReference w:id="90"/>
      </w:r>
      <w:r>
        <w:rPr>
          <w:rFonts w:ascii="Arial" w:hAnsi="Arial" w:cs="Arial"/>
          <w:noProof/>
          <w:lang w:val="en-GB"/>
        </w:rPr>
        <w:t>);</w:t>
      </w:r>
    </w:p>
    <w:p w:rsidR="001557B7" w:rsidRDefault="00AD3265">
      <w:pPr>
        <w:pStyle w:val="Lijstje2"/>
        <w:ind w:left="1843" w:hanging="425"/>
        <w:rPr>
          <w:rFonts w:ascii="Arial" w:hAnsi="Arial" w:cs="Arial"/>
          <w:i/>
          <w:noProof/>
          <w:lang w:val="en-GB"/>
        </w:rPr>
      </w:pPr>
      <w:r>
        <w:rPr>
          <w:rFonts w:ascii="Arial" w:hAnsi="Arial" w:cs="Arial"/>
          <w:noProof/>
          <w:lang w:val="en-GB"/>
        </w:rPr>
        <w:t>failure to develop and report on the programmes of measures required by the Marine Strategy Framework Directive</w:t>
      </w:r>
      <w:r>
        <w:rPr>
          <w:rStyle w:val="FootnoteReference"/>
          <w:rFonts w:ascii="Arial" w:hAnsi="Arial" w:cs="Arial"/>
          <w:noProof/>
          <w:lang w:val="en-GB"/>
        </w:rPr>
        <w:footnoteReference w:id="91"/>
      </w:r>
      <w:r>
        <w:rPr>
          <w:rFonts w:ascii="Arial" w:hAnsi="Arial" w:cs="Arial"/>
          <w:noProof/>
          <w:lang w:val="en-GB"/>
        </w:rPr>
        <w:t>;</w:t>
      </w:r>
    </w:p>
    <w:p w:rsidR="001557B7" w:rsidRDefault="00AD3265">
      <w:pPr>
        <w:pStyle w:val="Lijstje2"/>
        <w:ind w:left="1843" w:hanging="425"/>
        <w:rPr>
          <w:rFonts w:ascii="Arial" w:hAnsi="Arial" w:cs="Arial"/>
          <w:i/>
          <w:noProof/>
          <w:lang w:val="en-GB"/>
        </w:rPr>
      </w:pPr>
      <w:r>
        <w:rPr>
          <w:rFonts w:ascii="Arial" w:hAnsi="Arial" w:cs="Arial"/>
          <w:noProof/>
          <w:lang w:val="en-GB"/>
        </w:rPr>
        <w:t xml:space="preserve">non-conformity </w:t>
      </w:r>
      <w:r>
        <w:rPr>
          <w:rFonts w:ascii="Arial" w:hAnsi="Arial" w:cs="Arial"/>
          <w:noProof/>
          <w:lang w:val="en-GB"/>
        </w:rPr>
        <w:t>of the Danish regime applicable to combined transport operations</w:t>
      </w:r>
      <w:r>
        <w:rPr>
          <w:rStyle w:val="FootnoteReference"/>
          <w:rFonts w:ascii="Arial" w:hAnsi="Arial" w:cs="Arial"/>
          <w:noProof/>
          <w:lang w:val="en-GB"/>
        </w:rPr>
        <w:footnoteReference w:id="92"/>
      </w:r>
      <w:r>
        <w:rPr>
          <w:rFonts w:ascii="Arial" w:hAnsi="Arial" w:cs="Arial"/>
          <w:noProof/>
          <w:lang w:val="en-GB"/>
        </w:rPr>
        <w:t>;</w:t>
      </w:r>
    </w:p>
    <w:p w:rsidR="001557B7" w:rsidRDefault="00AD3265">
      <w:pPr>
        <w:pStyle w:val="Lijstje2"/>
        <w:ind w:left="1843" w:hanging="425"/>
        <w:rPr>
          <w:rFonts w:ascii="Arial" w:hAnsi="Arial" w:cs="Arial"/>
          <w:i/>
          <w:noProof/>
          <w:lang w:val="en-GB"/>
        </w:rPr>
      </w:pPr>
      <w:r>
        <w:rPr>
          <w:rFonts w:ascii="Arial" w:hAnsi="Arial" w:cs="Arial"/>
          <w:noProof/>
          <w:lang w:val="en-GB"/>
        </w:rPr>
        <w:t>non-communication of national measures transposing the amending Nuclear Safty Directive</w:t>
      </w:r>
      <w:r>
        <w:rPr>
          <w:rStyle w:val="FootnoteReference"/>
          <w:rFonts w:ascii="Arial" w:hAnsi="Arial" w:cs="Arial"/>
          <w:noProof/>
        </w:rPr>
        <w:footnoteReference w:id="93"/>
      </w:r>
      <w:r>
        <w:rPr>
          <w:rFonts w:ascii="Arial" w:hAnsi="Arial" w:cs="Arial"/>
          <w:noProof/>
          <w:lang w:val="en-GB"/>
        </w:rPr>
        <w:t>.</w:t>
      </w:r>
    </w:p>
    <w:p w:rsidR="001557B7" w:rsidRDefault="00AD3265">
      <w:pPr>
        <w:pStyle w:val="Lijstje"/>
        <w:numPr>
          <w:ilvl w:val="0"/>
          <w:numId w:val="19"/>
        </w:numPr>
        <w:ind w:left="1276" w:hanging="425"/>
        <w:rPr>
          <w:noProof/>
        </w:rPr>
      </w:pPr>
      <w:r>
        <w:rPr>
          <w:noProof/>
        </w:rPr>
        <w:t>The Commission did not refer any cases to the Court under Article 258 TFEU.</w:t>
      </w:r>
    </w:p>
    <w:p w:rsidR="001557B7" w:rsidRDefault="00AD3265">
      <w:pPr>
        <w:pStyle w:val="Lijstje"/>
        <w:numPr>
          <w:ilvl w:val="0"/>
          <w:numId w:val="19"/>
        </w:numPr>
        <w:ind w:left="1276" w:hanging="425"/>
        <w:rPr>
          <w:noProof/>
        </w:rPr>
      </w:pPr>
      <w:r>
        <w:rPr>
          <w:noProof/>
        </w:rPr>
        <w:t xml:space="preserve">The Commission did not </w:t>
      </w:r>
      <w:r>
        <w:rPr>
          <w:noProof/>
        </w:rPr>
        <w:t>refer any cases to the Court under Article 260(2) TFEU.</w:t>
      </w:r>
    </w:p>
    <w:p w:rsidR="001557B7" w:rsidRDefault="00AD3265">
      <w:pPr>
        <w:pStyle w:val="AnnualReport1"/>
        <w:numPr>
          <w:ilvl w:val="0"/>
          <w:numId w:val="134"/>
        </w:numPr>
        <w:spacing w:after="240"/>
        <w:ind w:left="709" w:hanging="425"/>
        <w:rPr>
          <w:caps w:val="0"/>
          <w:noProof/>
        </w:rPr>
      </w:pPr>
      <w:r>
        <w:rPr>
          <w:caps w:val="0"/>
          <w:noProof/>
        </w:rPr>
        <w:t>TRANSPOSITION OF DIRECTIVES</w:t>
      </w:r>
    </w:p>
    <w:p w:rsidR="001557B7" w:rsidRDefault="00AD3265">
      <w:pPr>
        <w:pStyle w:val="AnnualReport2"/>
        <w:numPr>
          <w:ilvl w:val="0"/>
          <w:numId w:val="181"/>
        </w:numPr>
        <w:ind w:left="709" w:hanging="425"/>
        <w:rPr>
          <w:noProof/>
        </w:rPr>
      </w:pPr>
      <w:r>
        <w:rPr>
          <w:rStyle w:val="AnnualReport2Char"/>
          <w:noProof/>
        </w:rPr>
        <w:t xml:space="preserve">Late </w:t>
      </w:r>
      <w:r>
        <w:rPr>
          <w:noProof/>
        </w:rPr>
        <w:t>transposition</w:t>
      </w:r>
      <w:r>
        <w:rPr>
          <w:rStyle w:val="AnnualReport2Char"/>
          <w:noProof/>
        </w:rPr>
        <w:t xml:space="preserve"> infringement cases against</w:t>
      </w:r>
      <w:r>
        <w:rPr>
          <w:noProof/>
        </w:rPr>
        <w:t xml:space="preserve"> Denmark open on 31 December (2013-2017)</w:t>
      </w:r>
    </w:p>
    <w:p w:rsidR="001557B7" w:rsidRDefault="00AD3265">
      <w:pPr>
        <w:ind w:left="426" w:firstLine="283"/>
        <w:rPr>
          <w:rFonts w:ascii="Arial" w:hAnsi="Arial"/>
          <w:noProof/>
          <w:color w:val="002060"/>
          <w:sz w:val="22"/>
          <w:szCs w:val="22"/>
        </w:rPr>
      </w:pPr>
      <w:r>
        <w:rPr>
          <w:noProof/>
          <w:lang w:eastAsia="en-GB"/>
        </w:rPr>
        <w:drawing>
          <wp:inline distT="0" distB="0" distL="0" distR="0" wp14:anchorId="5D03332A" wp14:editId="5ECECD23">
            <wp:extent cx="4556125" cy="1916430"/>
            <wp:effectExtent l="0" t="0" r="15875" b="26670"/>
            <wp:docPr id="102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557B7" w:rsidRDefault="00AD3265">
      <w:pPr>
        <w:pStyle w:val="AnnualReport2"/>
        <w:numPr>
          <w:ilvl w:val="0"/>
          <w:numId w:val="181"/>
        </w:numPr>
        <w:ind w:left="709" w:hanging="425"/>
        <w:rPr>
          <w:noProof/>
        </w:rPr>
      </w:pPr>
      <w:r>
        <w:rPr>
          <w:rStyle w:val="AnnualReport2Char"/>
          <w:noProof/>
        </w:rPr>
        <w:t xml:space="preserve">New late transposition </w:t>
      </w:r>
      <w:r>
        <w:rPr>
          <w:noProof/>
        </w:rPr>
        <w:t>infringement cases against Denmark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3EA0B3B9" wp14:editId="361B8B49">
            <wp:extent cx="4556125" cy="1916430"/>
            <wp:effectExtent l="0" t="0" r="15875" b="26670"/>
            <wp:docPr id="102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557B7" w:rsidRDefault="001557B7">
      <w:pPr>
        <w:pStyle w:val="AnnualReport2"/>
        <w:ind w:left="709" w:firstLine="0"/>
        <w:rPr>
          <w:noProof/>
        </w:rPr>
      </w:pPr>
    </w:p>
    <w:p w:rsidR="001557B7" w:rsidRDefault="00AD3265">
      <w:pPr>
        <w:spacing w:after="0"/>
        <w:jc w:val="left"/>
        <w:rPr>
          <w:rFonts w:ascii="Arial" w:hAnsi="Arial"/>
          <w:noProof/>
          <w:color w:val="002060"/>
          <w:sz w:val="22"/>
          <w:szCs w:val="22"/>
        </w:rPr>
      </w:pPr>
      <w:r>
        <w:rPr>
          <w:noProof/>
        </w:rPr>
        <w:br w:type="page"/>
      </w:r>
    </w:p>
    <w:p w:rsidR="001557B7" w:rsidRDefault="00AD3265">
      <w:pPr>
        <w:pStyle w:val="AnnualReport2"/>
        <w:numPr>
          <w:ilvl w:val="0"/>
          <w:numId w:val="181"/>
        </w:numPr>
        <w:ind w:left="709" w:hanging="425"/>
        <w:rPr>
          <w:noProof/>
        </w:rPr>
      </w:pPr>
      <w:r>
        <w:rPr>
          <w:noProof/>
        </w:rPr>
        <w:t>New</w:t>
      </w:r>
      <w:r>
        <w:rPr>
          <w:rStyle w:val="AnnualReport2Char"/>
          <w:noProof/>
        </w:rPr>
        <w:t xml:space="preserve"> late transposition infringement</w:t>
      </w:r>
      <w:r>
        <w:rPr>
          <w:noProof/>
        </w:rPr>
        <w:t xml:space="preserve"> cases opened in 2017: main policy areas</w:t>
      </w:r>
    </w:p>
    <w:p w:rsidR="001557B7" w:rsidRDefault="00AD3265">
      <w:pPr>
        <w:spacing w:after="200"/>
        <w:ind w:firstLine="709"/>
        <w:rPr>
          <w:rFonts w:ascii="Arial" w:hAnsi="Arial" w:cs="Arial"/>
          <w:noProof/>
          <w:sz w:val="20"/>
        </w:rPr>
      </w:pPr>
      <w:r>
        <w:rPr>
          <w:rFonts w:ascii="Arial" w:hAnsi="Arial" w:cs="Arial"/>
          <w:noProof/>
          <w:sz w:val="20"/>
          <w:lang w:eastAsia="en-GB"/>
        </w:rPr>
        <w:drawing>
          <wp:inline distT="0" distB="0" distL="0" distR="0" wp14:anchorId="59BB4982" wp14:editId="00FFDFD7">
            <wp:extent cx="4580255" cy="2647950"/>
            <wp:effectExtent l="0" t="0" r="10795" b="19050"/>
            <wp:docPr id="1011"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557B7" w:rsidRDefault="00AD3265">
      <w:pPr>
        <w:pStyle w:val="AnnualReport2"/>
        <w:numPr>
          <w:ilvl w:val="0"/>
          <w:numId w:val="181"/>
        </w:numPr>
        <w:ind w:left="709" w:hanging="425"/>
        <w:rPr>
          <w:noProof/>
        </w:rPr>
      </w:pPr>
      <w:r>
        <w:rPr>
          <w:noProof/>
        </w:rPr>
        <w:t>Referrals to the Court</w:t>
      </w:r>
    </w:p>
    <w:p w:rsidR="001557B7" w:rsidRDefault="00AD3265">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rsidR="001557B7" w:rsidRDefault="00AD3265">
      <w:pPr>
        <w:pStyle w:val="AnnualReport1"/>
        <w:numPr>
          <w:ilvl w:val="0"/>
          <w:numId w:val="134"/>
        </w:numPr>
        <w:spacing w:after="240"/>
        <w:ind w:left="709" w:hanging="425"/>
        <w:rPr>
          <w:caps w:val="0"/>
          <w:noProof/>
        </w:rPr>
      </w:pPr>
      <w:r>
        <w:rPr>
          <w:caps w:val="0"/>
          <w:noProof/>
        </w:rPr>
        <w:t>EARLY RESOLUTION OF INFRINGEMENT CASES</w:t>
      </w:r>
    </w:p>
    <w:p w:rsidR="001557B7" w:rsidRDefault="00AD3265">
      <w:pPr>
        <w:pStyle w:val="ListParagraph"/>
        <w:spacing w:before="240"/>
        <w:ind w:left="709"/>
        <w:jc w:val="left"/>
        <w:outlineLvl w:val="1"/>
        <w:rPr>
          <w:rFonts w:ascii="Arial" w:hAnsi="Arial"/>
          <w:noProof/>
          <w:color w:val="002060"/>
          <w:sz w:val="22"/>
          <w:szCs w:val="22"/>
        </w:rPr>
      </w:pPr>
      <w:r>
        <w:rPr>
          <w:rFonts w:ascii="Arial" w:hAnsi="Arial"/>
          <w:noProof/>
          <w:color w:val="002060"/>
          <w:sz w:val="22"/>
          <w:szCs w:val="22"/>
        </w:rPr>
        <w:t xml:space="preserve">Major cases closed without a </w:t>
      </w:r>
      <w:r>
        <w:rPr>
          <w:rFonts w:ascii="Arial" w:hAnsi="Arial"/>
          <w:noProof/>
          <w:color w:val="002060"/>
          <w:sz w:val="22"/>
          <w:szCs w:val="22"/>
        </w:rPr>
        <w:t>Court judgment in 2017</w:t>
      </w:r>
    </w:p>
    <w:p w:rsidR="001557B7" w:rsidRDefault="00AD3265">
      <w:pPr>
        <w:spacing w:before="120" w:after="120"/>
        <w:ind w:firstLine="709"/>
        <w:rPr>
          <w:rFonts w:ascii="Arial" w:hAnsi="Arial"/>
          <w:noProof/>
          <w:sz w:val="20"/>
        </w:rPr>
      </w:pPr>
      <w:r>
        <w:rPr>
          <w:rFonts w:ascii="Arial" w:hAnsi="Arial" w:cs="Arial"/>
          <w:noProof/>
          <w:sz w:val="20"/>
        </w:rPr>
        <w:t>These concerned:</w:t>
      </w:r>
    </w:p>
    <w:p w:rsidR="001557B7" w:rsidRDefault="00AD3265">
      <w:pPr>
        <w:numPr>
          <w:ilvl w:val="0"/>
          <w:numId w:val="2"/>
        </w:numPr>
        <w:spacing w:after="0"/>
        <w:ind w:left="1276" w:hanging="425"/>
        <w:contextualSpacing/>
        <w:rPr>
          <w:rFonts w:ascii="Arial" w:hAnsi="Arial" w:cs="Arial"/>
          <w:noProof/>
          <w:sz w:val="20"/>
        </w:rPr>
      </w:pPr>
      <w:r>
        <w:rPr>
          <w:rFonts w:ascii="Arial" w:hAnsi="Arial"/>
          <w:noProof/>
          <w:sz w:val="20"/>
        </w:rPr>
        <w:t>incorrect implementation of the EU Customs Code by not requiring certain data for a customs declaration</w:t>
      </w:r>
      <w:r>
        <w:rPr>
          <w:rStyle w:val="FootnoteReference"/>
          <w:rFonts w:ascii="Arial" w:hAnsi="Arial" w:cs="Arial"/>
          <w:noProof/>
          <w:sz w:val="20"/>
        </w:rPr>
        <w:footnoteReference w:id="94"/>
      </w:r>
      <w:r>
        <w:rPr>
          <w:rFonts w:ascii="Arial" w:hAnsi="Arial"/>
          <w:noProof/>
          <w:sz w:val="20"/>
        </w:rPr>
        <w:t>;</w:t>
      </w:r>
    </w:p>
    <w:p w:rsidR="001557B7" w:rsidRDefault="00AD3265">
      <w:pPr>
        <w:numPr>
          <w:ilvl w:val="0"/>
          <w:numId w:val="2"/>
        </w:numPr>
        <w:spacing w:after="0"/>
        <w:ind w:left="1276" w:hanging="425"/>
        <w:contextualSpacing/>
        <w:rPr>
          <w:rFonts w:ascii="Arial" w:hAnsi="Arial" w:cs="Arial"/>
          <w:noProof/>
          <w:sz w:val="20"/>
        </w:rPr>
      </w:pPr>
      <w:r>
        <w:rPr>
          <w:rFonts w:ascii="Arial" w:hAnsi="Arial" w:cs="Arial"/>
          <w:noProof/>
          <w:sz w:val="20"/>
        </w:rPr>
        <w:t>non-</w:t>
      </w:r>
      <w:r>
        <w:rPr>
          <w:rFonts w:ascii="Arial" w:hAnsi="Arial"/>
          <w:noProof/>
          <w:sz w:val="20"/>
        </w:rPr>
        <w:t>communication</w:t>
      </w:r>
      <w:r>
        <w:rPr>
          <w:rFonts w:ascii="Arial" w:hAnsi="Arial" w:cs="Arial"/>
          <w:noProof/>
          <w:sz w:val="20"/>
        </w:rPr>
        <w:t xml:space="preserve"> of national measures transposing the:</w:t>
      </w:r>
    </w:p>
    <w:p w:rsidR="001557B7" w:rsidRDefault="00AD3265">
      <w:pPr>
        <w:numPr>
          <w:ilvl w:val="1"/>
          <w:numId w:val="2"/>
        </w:numPr>
        <w:spacing w:after="0"/>
        <w:ind w:left="1843" w:hanging="403"/>
        <w:contextualSpacing/>
        <w:rPr>
          <w:rFonts w:ascii="Arial" w:hAnsi="Arial" w:cs="Arial"/>
          <w:noProof/>
          <w:sz w:val="20"/>
        </w:rPr>
      </w:pPr>
      <w:r>
        <w:rPr>
          <w:rFonts w:ascii="Arial" w:hAnsi="Arial" w:cs="Arial"/>
          <w:noProof/>
          <w:sz w:val="20"/>
        </w:rPr>
        <w:t>Commission Directive</w:t>
      </w:r>
      <w:r>
        <w:rPr>
          <w:rStyle w:val="FootnoteReference"/>
          <w:rFonts w:ascii="Arial" w:hAnsi="Arial" w:cs="Arial"/>
          <w:noProof/>
          <w:sz w:val="20"/>
        </w:rPr>
        <w:footnoteReference w:id="95"/>
      </w:r>
      <w:r>
        <w:rPr>
          <w:rFonts w:ascii="Arial" w:hAnsi="Arial" w:cs="Arial"/>
          <w:noProof/>
          <w:sz w:val="20"/>
        </w:rPr>
        <w:t xml:space="preserve"> amending the Groundwater Directive</w:t>
      </w:r>
      <w:r>
        <w:rPr>
          <w:rStyle w:val="FootnoteReference"/>
          <w:rFonts w:ascii="Arial" w:hAnsi="Arial" w:cs="Arial"/>
          <w:noProof/>
          <w:sz w:val="20"/>
        </w:rPr>
        <w:footnoteReference w:id="96"/>
      </w:r>
      <w:r>
        <w:rPr>
          <w:rFonts w:ascii="Arial" w:hAnsi="Arial" w:cs="Arial"/>
          <w:noProof/>
          <w:sz w:val="20"/>
        </w:rPr>
        <w:t>;</w:t>
      </w:r>
    </w:p>
    <w:p w:rsidR="001557B7" w:rsidRDefault="00AD3265">
      <w:pPr>
        <w:numPr>
          <w:ilvl w:val="1"/>
          <w:numId w:val="2"/>
        </w:numPr>
        <w:spacing w:after="0"/>
        <w:ind w:left="1843" w:hanging="403"/>
        <w:contextualSpacing/>
        <w:rPr>
          <w:rFonts w:ascii="Arial" w:hAnsi="Arial" w:cs="Arial"/>
          <w:noProof/>
          <w:sz w:val="20"/>
        </w:rPr>
      </w:pPr>
      <w:r>
        <w:rPr>
          <w:rFonts w:ascii="Arial" w:hAnsi="Arial" w:cs="Arial"/>
          <w:noProof/>
          <w:sz w:val="20"/>
        </w:rPr>
        <w:t xml:space="preserve">Directive on access to the activity of credit institutions and the prudential supervision of credit institutions and investment firms; Banking Recovery and Resolution Directive; and </w:t>
      </w:r>
      <w:r>
        <w:rPr>
          <w:rStyle w:val="FootnoteReference"/>
          <w:rFonts w:ascii="Arial" w:hAnsi="Arial" w:cs="Arial"/>
          <w:noProof/>
          <w:sz w:val="20"/>
        </w:rPr>
        <w:t xml:space="preserve"> </w:t>
      </w:r>
      <w:r>
        <w:rPr>
          <w:rFonts w:ascii="Arial" w:hAnsi="Arial" w:cs="Arial"/>
          <w:noProof/>
          <w:sz w:val="20"/>
        </w:rPr>
        <w:t>Transparency Directive;</w:t>
      </w:r>
      <w:r>
        <w:rPr>
          <w:rStyle w:val="FootnoteReference"/>
          <w:rFonts w:ascii="Arial" w:hAnsi="Arial" w:cs="Arial"/>
          <w:noProof/>
          <w:sz w:val="20"/>
        </w:rPr>
        <w:t xml:space="preserve"> </w:t>
      </w:r>
      <w:r>
        <w:rPr>
          <w:rStyle w:val="FootnoteReference"/>
          <w:rFonts w:ascii="Arial" w:hAnsi="Arial" w:cs="Arial"/>
          <w:noProof/>
          <w:sz w:val="20"/>
        </w:rPr>
        <w:footnoteReference w:id="97"/>
      </w:r>
    </w:p>
    <w:p w:rsidR="001557B7" w:rsidRDefault="00AD3265">
      <w:pPr>
        <w:numPr>
          <w:ilvl w:val="1"/>
          <w:numId w:val="2"/>
        </w:numPr>
        <w:spacing w:after="0"/>
        <w:ind w:left="1843" w:hanging="403"/>
        <w:contextualSpacing/>
        <w:rPr>
          <w:rStyle w:val="Strong"/>
          <w:rFonts w:ascii="Arial" w:hAnsi="Arial" w:cs="Arial"/>
          <w:b w:val="0"/>
          <w:bCs w:val="0"/>
          <w:noProof/>
          <w:sz w:val="20"/>
        </w:rPr>
      </w:pPr>
      <w:r>
        <w:rPr>
          <w:rFonts w:ascii="Arial" w:hAnsi="Arial" w:cs="Arial"/>
          <w:noProof/>
          <w:sz w:val="20"/>
        </w:rPr>
        <w:t>D</w:t>
      </w:r>
      <w:r>
        <w:rPr>
          <w:rStyle w:val="Strong"/>
          <w:rFonts w:ascii="Arial" w:hAnsi="Arial" w:cs="Arial"/>
          <w:b w:val="0"/>
          <w:noProof/>
          <w:sz w:val="20"/>
        </w:rPr>
        <w:t>irective</w:t>
      </w:r>
      <w:r>
        <w:rPr>
          <w:rStyle w:val="Strong"/>
          <w:rFonts w:ascii="Arial" w:hAnsi="Arial" w:cs="Arial"/>
          <w:b w:val="0"/>
          <w:noProof/>
          <w:sz w:val="20"/>
        </w:rPr>
        <w:t xml:space="preserve"> on placing on the market of explosives for civil uses</w:t>
      </w:r>
      <w:r>
        <w:rPr>
          <w:rStyle w:val="FootnoteReference"/>
          <w:rFonts w:ascii="Arial" w:hAnsi="Arial" w:cs="Arial"/>
          <w:bCs/>
          <w:noProof/>
          <w:sz w:val="20"/>
        </w:rPr>
        <w:footnoteReference w:id="98"/>
      </w:r>
      <w:r>
        <w:rPr>
          <w:rStyle w:val="Strong"/>
          <w:rFonts w:ascii="Arial" w:hAnsi="Arial" w:cs="Arial"/>
          <w:b w:val="0"/>
          <w:noProof/>
          <w:sz w:val="20"/>
        </w:rPr>
        <w:t>;</w:t>
      </w:r>
    </w:p>
    <w:p w:rsidR="001557B7" w:rsidRDefault="00AD3265">
      <w:pPr>
        <w:numPr>
          <w:ilvl w:val="1"/>
          <w:numId w:val="2"/>
        </w:numPr>
        <w:spacing w:after="0"/>
        <w:ind w:left="1843" w:hanging="403"/>
        <w:contextualSpacing/>
        <w:rPr>
          <w:rFonts w:ascii="Arial" w:hAnsi="Arial" w:cs="Arial"/>
          <w:noProof/>
          <w:sz w:val="20"/>
        </w:rPr>
      </w:pPr>
      <w:r>
        <w:rPr>
          <w:rFonts w:ascii="Arial" w:hAnsi="Arial" w:cs="Arial"/>
          <w:noProof/>
          <w:sz w:val="20"/>
        </w:rPr>
        <w:t>Directive on port reception facilities for ship-generated waste and cargo residues</w:t>
      </w:r>
      <w:r>
        <w:rPr>
          <w:rStyle w:val="FootnoteReference"/>
          <w:rFonts w:ascii="Arial" w:hAnsi="Arial" w:cs="Arial"/>
          <w:noProof/>
          <w:sz w:val="20"/>
        </w:rPr>
        <w:footnoteReference w:id="99"/>
      </w:r>
      <w:r>
        <w:rPr>
          <w:rFonts w:ascii="Arial" w:hAnsi="Arial" w:cs="Arial"/>
          <w:noProof/>
          <w:sz w:val="20"/>
        </w:rPr>
        <w:t>.</w:t>
      </w:r>
    </w:p>
    <w:p w:rsidR="001557B7" w:rsidRDefault="00AD3265">
      <w:pPr>
        <w:numPr>
          <w:ilvl w:val="0"/>
          <w:numId w:val="2"/>
        </w:numPr>
        <w:spacing w:after="0"/>
        <w:ind w:left="1276" w:hanging="425"/>
        <w:contextualSpacing/>
        <w:rPr>
          <w:rFonts w:ascii="Arial" w:hAnsi="Arial"/>
          <w:noProof/>
          <w:sz w:val="20"/>
        </w:rPr>
      </w:pPr>
      <w:r>
        <w:rPr>
          <w:rFonts w:ascii="Arial" w:hAnsi="Arial" w:cs="Arial"/>
          <w:noProof/>
          <w:sz w:val="20"/>
        </w:rPr>
        <w:t>failure to develop and report on the programmes of measures required by the Marine Strategy Framework Directive</w:t>
      </w:r>
      <w:r>
        <w:rPr>
          <w:rStyle w:val="FootnoteReference"/>
          <w:rFonts w:ascii="Arial" w:hAnsi="Arial" w:cs="Arial"/>
          <w:noProof/>
          <w:sz w:val="20"/>
        </w:rPr>
        <w:footnoteReference w:id="100"/>
      </w:r>
      <w:r>
        <w:rPr>
          <w:rFonts w:ascii="Arial" w:hAnsi="Arial" w:cs="Arial"/>
          <w:noProof/>
          <w:sz w:val="20"/>
        </w:rPr>
        <w:t>;</w:t>
      </w:r>
    </w:p>
    <w:p w:rsidR="001557B7" w:rsidRDefault="00AD3265">
      <w:pPr>
        <w:numPr>
          <w:ilvl w:val="0"/>
          <w:numId w:val="2"/>
        </w:numPr>
        <w:spacing w:after="0"/>
        <w:ind w:left="1276" w:hanging="425"/>
        <w:contextualSpacing/>
        <w:rPr>
          <w:rFonts w:ascii="Arial" w:hAnsi="Arial" w:cs="Arial"/>
          <w:noProof/>
          <w:sz w:val="20"/>
        </w:rPr>
      </w:pPr>
      <w:r>
        <w:rPr>
          <w:rFonts w:ascii="Arial" w:hAnsi="Arial" w:cs="Arial"/>
          <w:noProof/>
          <w:sz w:val="20"/>
        </w:rPr>
        <w:t>failure to adopt a national policy framework for the development and deployment of alternative fuels infrastructure</w:t>
      </w:r>
      <w:r>
        <w:rPr>
          <w:rStyle w:val="FootnoteReference"/>
          <w:rFonts w:ascii="Arial" w:hAnsi="Arial" w:cs="Arial"/>
          <w:noProof/>
          <w:sz w:val="20"/>
        </w:rPr>
        <w:footnoteReference w:id="101"/>
      </w:r>
      <w:r>
        <w:rPr>
          <w:rFonts w:ascii="Arial" w:hAnsi="Arial" w:cs="Arial"/>
          <w:noProof/>
          <w:sz w:val="20"/>
        </w:rPr>
        <w:t>;</w:t>
      </w:r>
    </w:p>
    <w:p w:rsidR="001557B7" w:rsidRDefault="00AD3265">
      <w:pPr>
        <w:numPr>
          <w:ilvl w:val="0"/>
          <w:numId w:val="2"/>
        </w:numPr>
        <w:spacing w:after="0"/>
        <w:ind w:left="1276" w:hanging="425"/>
        <w:contextualSpacing/>
        <w:rPr>
          <w:rFonts w:ascii="Arial" w:hAnsi="Arial" w:cs="Arial"/>
          <w:noProof/>
          <w:sz w:val="20"/>
        </w:rPr>
      </w:pPr>
      <w:r>
        <w:rPr>
          <w:rFonts w:ascii="Arial" w:hAnsi="Arial" w:cs="Arial"/>
          <w:noProof/>
          <w:sz w:val="20"/>
        </w:rPr>
        <w:t>incorrect transposition of Driving Licences Directive</w:t>
      </w:r>
      <w:r>
        <w:rPr>
          <w:rStyle w:val="FootnoteReference"/>
          <w:rFonts w:ascii="Arial" w:hAnsi="Arial" w:cs="Arial"/>
          <w:noProof/>
          <w:sz w:val="20"/>
        </w:rPr>
        <w:footnoteReference w:id="102"/>
      </w:r>
      <w:r>
        <w:rPr>
          <w:rFonts w:ascii="Arial" w:hAnsi="Arial" w:cs="Arial"/>
          <w:noProof/>
          <w:sz w:val="20"/>
        </w:rPr>
        <w:t>.</w:t>
      </w:r>
    </w:p>
    <w:p w:rsidR="001557B7" w:rsidRDefault="001557B7">
      <w:pPr>
        <w:pStyle w:val="AnnualReport1"/>
        <w:numPr>
          <w:ilvl w:val="0"/>
          <w:numId w:val="0"/>
        </w:numPr>
        <w:spacing w:after="240"/>
        <w:ind w:left="709"/>
        <w:rPr>
          <w:caps w:val="0"/>
          <w:noProof/>
        </w:rPr>
      </w:pPr>
    </w:p>
    <w:p w:rsidR="001557B7" w:rsidRDefault="00AD3265">
      <w:pPr>
        <w:pStyle w:val="AnnualReport1"/>
        <w:numPr>
          <w:ilvl w:val="0"/>
          <w:numId w:val="134"/>
        </w:numPr>
        <w:spacing w:after="240"/>
        <w:ind w:left="709" w:hanging="425"/>
        <w:rPr>
          <w:caps w:val="0"/>
          <w:noProof/>
        </w:rPr>
      </w:pPr>
      <w:r>
        <w:rPr>
          <w:caps w:val="0"/>
          <w:noProof/>
        </w:rPr>
        <w:t>IMPORTANT JUDGMENTS</w:t>
      </w:r>
    </w:p>
    <w:p w:rsidR="001557B7" w:rsidRDefault="00AD3265">
      <w:pPr>
        <w:pStyle w:val="AnnualReport2"/>
        <w:numPr>
          <w:ilvl w:val="0"/>
          <w:numId w:val="182"/>
        </w:numPr>
        <w:ind w:left="709" w:hanging="425"/>
        <w:rPr>
          <w:noProof/>
        </w:rPr>
      </w:pPr>
      <w:r>
        <w:rPr>
          <w:rStyle w:val="AnnualReport2Char"/>
          <w:noProof/>
        </w:rPr>
        <w:t>Court rulings</w:t>
      </w:r>
    </w:p>
    <w:p w:rsidR="001557B7" w:rsidRDefault="00AD3265">
      <w:pPr>
        <w:pStyle w:val="Body"/>
        <w:rPr>
          <w:noProof/>
          <w:lang w:val="en-GB"/>
        </w:rPr>
      </w:pPr>
      <w:r>
        <w:rPr>
          <w:noProof/>
          <w:lang w:val="en-GB"/>
        </w:rPr>
        <w:t>There were no major Court rulings in 2017.</w:t>
      </w:r>
    </w:p>
    <w:p w:rsidR="001557B7" w:rsidRDefault="00AD3265">
      <w:pPr>
        <w:pStyle w:val="AnnualReport2"/>
        <w:numPr>
          <w:ilvl w:val="0"/>
          <w:numId w:val="182"/>
        </w:numPr>
        <w:ind w:left="709" w:hanging="425"/>
        <w:rPr>
          <w:noProof/>
        </w:rPr>
      </w:pPr>
      <w:r>
        <w:rPr>
          <w:rStyle w:val="AnnualReport2Char"/>
          <w:noProof/>
        </w:rPr>
        <w:t>Preliminary</w:t>
      </w:r>
      <w:r>
        <w:rPr>
          <w:noProof/>
        </w:rPr>
        <w:t xml:space="preserve"> rulings</w:t>
      </w:r>
    </w:p>
    <w:p w:rsidR="001557B7" w:rsidRDefault="00AD3265">
      <w:pPr>
        <w:pStyle w:val="Body"/>
        <w:ind w:left="786" w:firstLine="0"/>
        <w:rPr>
          <w:noProof/>
          <w:lang w:val="en-GB"/>
        </w:rPr>
      </w:pPr>
      <w:r>
        <w:rPr>
          <w:noProof/>
          <w:lang w:val="en-GB"/>
        </w:rPr>
        <w:t>No major preliminary rulings were addressed to the Danish judiciary in 2017.</w:t>
      </w:r>
    </w:p>
    <w:p w:rsidR="001557B7" w:rsidRDefault="001557B7">
      <w:pPr>
        <w:pStyle w:val="Body"/>
        <w:rPr>
          <w:rFonts w:eastAsia="Calibri"/>
          <w:noProof/>
          <w:lang w:val="en-GB"/>
        </w:rPr>
      </w:pPr>
    </w:p>
    <w:p w:rsidR="001557B7" w:rsidRDefault="001557B7">
      <w:pPr>
        <w:pStyle w:val="Lijstje2"/>
        <w:numPr>
          <w:ilvl w:val="0"/>
          <w:numId w:val="0"/>
        </w:numPr>
        <w:ind w:left="1777"/>
        <w:rPr>
          <w:noProof/>
          <w:lang w:val="en-GB"/>
        </w:rPr>
        <w:sectPr w:rsidR="001557B7">
          <w:headerReference w:type="even" r:id="rId86"/>
          <w:headerReference w:type="default" r:id="rId87"/>
          <w:footerReference w:type="even" r:id="rId88"/>
          <w:footerReference w:type="default" r:id="rId89"/>
          <w:headerReference w:type="first" r:id="rId90"/>
          <w:footerReference w:type="first" r:id="rId91"/>
          <w:footnotePr>
            <w:numRestart w:val="eachSect"/>
          </w:footnotePr>
          <w:pgSz w:w="11906" w:h="16838"/>
          <w:pgMar w:top="1701" w:right="1417" w:bottom="1134" w:left="1417" w:header="567" w:footer="351" w:gutter="0"/>
          <w:cols w:space="708"/>
          <w:titlePg/>
          <w:docGrid w:linePitch="360"/>
        </w:sectPr>
      </w:pPr>
    </w:p>
    <w:p w:rsidR="001557B7" w:rsidRDefault="00AD3265">
      <w:pPr>
        <w:pStyle w:val="Heading1"/>
        <w:rPr>
          <w:noProof/>
          <w:szCs w:val="24"/>
        </w:rPr>
      </w:pPr>
      <w:bookmarkStart w:id="41" w:name="_Toc484622321"/>
      <w:bookmarkStart w:id="42" w:name="_Toc510015270"/>
      <w:bookmarkStart w:id="43" w:name="_Toc444769591"/>
      <w:bookmarkStart w:id="44" w:name="_Toc444772047"/>
      <w:bookmarkStart w:id="45" w:name="_Toc444773366"/>
      <w:bookmarkStart w:id="46" w:name="_Toc444776738"/>
      <w:bookmarkStart w:id="47" w:name="_Toc475974645"/>
      <w:bookmarkStart w:id="48" w:name="_Toc475980141"/>
      <w:bookmarkStart w:id="49" w:name="_Toc475981390"/>
      <w:r>
        <w:rPr>
          <w:noProof/>
          <w:szCs w:val="24"/>
        </w:rPr>
        <w:t>Germany</w:t>
      </w:r>
      <w:bookmarkEnd w:id="41"/>
      <w:bookmarkEnd w:id="42"/>
    </w:p>
    <w:p w:rsidR="001557B7" w:rsidRDefault="00AD3265">
      <w:pPr>
        <w:pStyle w:val="AnnualReport1"/>
        <w:numPr>
          <w:ilvl w:val="0"/>
          <w:numId w:val="136"/>
        </w:numPr>
        <w:spacing w:after="240"/>
        <w:ind w:left="709" w:hanging="425"/>
        <w:rPr>
          <w:noProof/>
        </w:rPr>
      </w:pPr>
      <w:r>
        <w:rPr>
          <w:caps w:val="0"/>
          <w:noProof/>
        </w:rPr>
        <w:t>COMPLAINTS</w:t>
      </w:r>
    </w:p>
    <w:p w:rsidR="001557B7" w:rsidRDefault="00AD3265">
      <w:pPr>
        <w:pStyle w:val="AnnualReport2"/>
        <w:numPr>
          <w:ilvl w:val="0"/>
          <w:numId w:val="200"/>
        </w:numPr>
        <w:ind w:left="709" w:hanging="425"/>
        <w:rPr>
          <w:noProof/>
        </w:rPr>
      </w:pPr>
      <w:r>
        <w:rPr>
          <w:noProof/>
        </w:rPr>
        <w:t xml:space="preserve">New </w:t>
      </w:r>
      <w:r>
        <w:rPr>
          <w:rStyle w:val="AnnualReport2Char"/>
          <w:noProof/>
        </w:rPr>
        <w:t>complaints</w:t>
      </w:r>
      <w:r>
        <w:rPr>
          <w:noProof/>
        </w:rPr>
        <w:t xml:space="preserve"> made against Germany by members of the public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733AE5E3" wp14:editId="35922ACE">
            <wp:extent cx="4596130" cy="2234565"/>
            <wp:effectExtent l="0" t="0" r="13970" b="13335"/>
            <wp:docPr id="101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557B7" w:rsidRDefault="00AD3265">
      <w:pPr>
        <w:pStyle w:val="AnnualReport2"/>
        <w:numPr>
          <w:ilvl w:val="0"/>
          <w:numId w:val="200"/>
        </w:numPr>
        <w:ind w:left="709" w:hanging="425"/>
        <w:rPr>
          <w:noProof/>
        </w:rPr>
      </w:pPr>
      <w:r>
        <w:rPr>
          <w:noProof/>
        </w:rPr>
        <w:t>Public complaints against Germany open at year-end</w:t>
      </w:r>
    </w:p>
    <w:tbl>
      <w:tblPr>
        <w:tblW w:w="0" w:type="auto"/>
        <w:jc w:val="center"/>
        <w:tblLook w:val="04A0" w:firstRow="1" w:lastRow="0" w:firstColumn="1" w:lastColumn="0" w:noHBand="0" w:noVBand="1"/>
      </w:tblPr>
      <w:tblGrid>
        <w:gridCol w:w="1697"/>
        <w:gridCol w:w="452"/>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254</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 xml:space="preserve">Complaints </w:t>
            </w:r>
            <w:r>
              <w:rPr>
                <w:rFonts w:ascii="Arial" w:hAnsi="Arial" w:cs="Arial"/>
                <w:noProof/>
                <w:color w:val="548DD4"/>
                <w:sz w:val="22"/>
                <w:szCs w:val="28"/>
                <w:lang w:eastAsia="en-GB"/>
              </w:rPr>
              <w:t>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297</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252</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299</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1557B7" w:rsidRDefault="00AD3265">
      <w:pPr>
        <w:pStyle w:val="AnnualReport2"/>
        <w:numPr>
          <w:ilvl w:val="0"/>
          <w:numId w:val="200"/>
        </w:numPr>
        <w:ind w:left="709" w:hanging="425"/>
        <w:rPr>
          <w:noProof/>
        </w:rPr>
      </w:pPr>
      <w:r>
        <w:rPr>
          <w:noProof/>
        </w:rPr>
        <w:t>New complaints registered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4380F116" wp14:editId="44ADA113">
            <wp:extent cx="4858385" cy="2480945"/>
            <wp:effectExtent l="0" t="0" r="18415" b="14605"/>
            <wp:docPr id="1009"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557B7" w:rsidRDefault="00AD3265">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rsidR="001557B7" w:rsidRDefault="001557B7">
      <w:pPr>
        <w:keepNext/>
        <w:keepLines/>
        <w:spacing w:after="120"/>
        <w:ind w:left="360"/>
        <w:outlineLvl w:val="1"/>
        <w:rPr>
          <w:rFonts w:ascii="Arial" w:eastAsia="MS Gothic" w:hAnsi="Arial" w:cs="Arial"/>
          <w:caps/>
          <w:noProof/>
          <w:color w:val="4F81BD"/>
          <w:kern w:val="20"/>
          <w:szCs w:val="24"/>
        </w:rPr>
      </w:pPr>
    </w:p>
    <w:p w:rsidR="001557B7" w:rsidRDefault="00AD3265">
      <w:pPr>
        <w:pStyle w:val="AnnualReport1"/>
        <w:numPr>
          <w:ilvl w:val="0"/>
          <w:numId w:val="136"/>
        </w:numPr>
        <w:spacing w:after="240"/>
        <w:ind w:left="709" w:hanging="425"/>
        <w:rPr>
          <w:caps w:val="0"/>
          <w:noProof/>
        </w:rPr>
      </w:pPr>
      <w:r>
        <w:rPr>
          <w:caps w:val="0"/>
          <w:noProof/>
        </w:rPr>
        <w:t>EU PILOT</w:t>
      </w:r>
    </w:p>
    <w:p w:rsidR="001557B7" w:rsidRDefault="00AD3265">
      <w:pPr>
        <w:pStyle w:val="AnnualReport2"/>
        <w:numPr>
          <w:ilvl w:val="0"/>
          <w:numId w:val="201"/>
        </w:numPr>
        <w:ind w:left="709" w:hanging="425"/>
        <w:rPr>
          <w:noProof/>
        </w:rPr>
      </w:pPr>
      <w:r>
        <w:rPr>
          <w:noProof/>
        </w:rPr>
        <w:t xml:space="preserve">New EU Pilot files opened </w:t>
      </w:r>
      <w:r>
        <w:rPr>
          <w:rStyle w:val="AnnualReport2Char"/>
          <w:noProof/>
        </w:rPr>
        <w:t>against</w:t>
      </w:r>
      <w:r>
        <w:rPr>
          <w:noProof/>
        </w:rPr>
        <w:t xml:space="preserve"> Germany (2013-2017)</w:t>
      </w:r>
    </w:p>
    <w:p w:rsidR="001557B7" w:rsidRDefault="00AD3265">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540925B3" wp14:editId="7DF82F06">
            <wp:extent cx="4587875" cy="2234565"/>
            <wp:effectExtent l="0" t="0" r="0" b="0"/>
            <wp:docPr id="100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557B7" w:rsidRDefault="00AD3265">
      <w:pPr>
        <w:pStyle w:val="AnnualReport2"/>
        <w:numPr>
          <w:ilvl w:val="0"/>
          <w:numId w:val="201"/>
        </w:numPr>
        <w:ind w:left="709" w:hanging="425"/>
        <w:rPr>
          <w:noProof/>
        </w:rPr>
      </w:pPr>
      <w:r>
        <w:rPr>
          <w:noProof/>
        </w:rPr>
        <w:t>Files relating to Germany open in EU Pilot at year-end</w:t>
      </w:r>
    </w:p>
    <w:p w:rsidR="001557B7" w:rsidRDefault="00AD3265">
      <w:pPr>
        <w:spacing w:after="0"/>
        <w:ind w:firstLine="709"/>
        <w:rPr>
          <w:rFonts w:ascii="Arial" w:hAnsi="Arial" w:cs="Arial"/>
          <w:noProof/>
          <w:sz w:val="20"/>
        </w:rPr>
      </w:pPr>
      <w:r>
        <w:rPr>
          <w:rFonts w:ascii="Arial" w:hAnsi="Arial" w:cs="Arial"/>
          <w:noProof/>
          <w:sz w:val="20"/>
          <w:lang w:eastAsia="en-GB"/>
        </w:rPr>
        <w:drawing>
          <wp:inline distT="0" distB="0" distL="0" distR="0" wp14:anchorId="3530E1B5" wp14:editId="2F4F9F37">
            <wp:extent cx="4587875" cy="2234565"/>
            <wp:effectExtent l="0" t="0" r="0" b="0"/>
            <wp:docPr id="100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557B7" w:rsidRDefault="00AD3265">
      <w:pPr>
        <w:pStyle w:val="AnnualReport2"/>
        <w:numPr>
          <w:ilvl w:val="0"/>
          <w:numId w:val="201"/>
        </w:numPr>
        <w:ind w:left="709" w:hanging="425"/>
        <w:rPr>
          <w:noProof/>
        </w:rPr>
      </w:pPr>
      <w:r>
        <w:rPr>
          <w:noProof/>
        </w:rPr>
        <w:t>New EU Pilot files opened in 2017: main policy areas</w:t>
      </w:r>
    </w:p>
    <w:p w:rsidR="001557B7" w:rsidRDefault="00AD3265">
      <w:pPr>
        <w:pStyle w:val="AnnualReport2"/>
        <w:ind w:left="709" w:firstLine="0"/>
        <w:rPr>
          <w:noProof/>
        </w:rPr>
      </w:pPr>
      <w:r>
        <w:rPr>
          <w:noProof/>
          <w:lang w:eastAsia="en-GB"/>
        </w:rPr>
        <w:drawing>
          <wp:inline distT="0" distB="0" distL="0" distR="0" wp14:anchorId="1C9BDF3E" wp14:editId="22D01455">
            <wp:extent cx="4632960" cy="2377440"/>
            <wp:effectExtent l="0" t="0" r="15240" b="22860"/>
            <wp:docPr id="1039" name="Chart 10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557B7" w:rsidRDefault="00AD3265">
      <w:pPr>
        <w:pStyle w:val="AnnualReport2"/>
        <w:numPr>
          <w:ilvl w:val="0"/>
          <w:numId w:val="201"/>
        </w:numPr>
        <w:ind w:left="709" w:hanging="425"/>
        <w:rPr>
          <w:noProof/>
        </w:rPr>
      </w:pPr>
      <w:r>
        <w:rPr>
          <w:noProof/>
        </w:rPr>
        <w:t>EU Pilot files: Germany’s resolution rate in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23A8CD4F" wp14:editId="1DD90DAB">
            <wp:extent cx="4612005" cy="2146935"/>
            <wp:effectExtent l="0" t="0" r="17145" b="5715"/>
            <wp:docPr id="100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557B7" w:rsidRDefault="00AD3265">
      <w:pPr>
        <w:pStyle w:val="AnnualReport1"/>
        <w:numPr>
          <w:ilvl w:val="0"/>
          <w:numId w:val="136"/>
        </w:numPr>
        <w:spacing w:after="240"/>
        <w:ind w:left="709" w:hanging="425"/>
        <w:rPr>
          <w:caps w:val="0"/>
          <w:noProof/>
        </w:rPr>
      </w:pPr>
      <w:r>
        <w:rPr>
          <w:caps w:val="0"/>
          <w:noProof/>
        </w:rPr>
        <w:t>INFRINGEMENT CASES</w:t>
      </w:r>
    </w:p>
    <w:p w:rsidR="001557B7" w:rsidRDefault="00AD3265">
      <w:pPr>
        <w:pStyle w:val="AnnualReport2"/>
        <w:numPr>
          <w:ilvl w:val="0"/>
          <w:numId w:val="202"/>
        </w:numPr>
        <w:ind w:left="709" w:hanging="425"/>
        <w:rPr>
          <w:noProof/>
        </w:rPr>
      </w:pPr>
      <w:r>
        <w:rPr>
          <w:noProof/>
        </w:rPr>
        <w:t>Infringement cases against Germany open on 31 December (2013-2017)</w:t>
      </w:r>
    </w:p>
    <w:p w:rsidR="001557B7" w:rsidRDefault="00AD3265">
      <w:pPr>
        <w:spacing w:after="120"/>
        <w:ind w:firstLine="709"/>
        <w:rPr>
          <w:rFonts w:ascii="Arial" w:hAnsi="Arial"/>
          <w:noProof/>
          <w:color w:val="002060"/>
          <w:sz w:val="22"/>
          <w:szCs w:val="22"/>
        </w:rPr>
      </w:pPr>
      <w:r>
        <w:rPr>
          <w:rFonts w:ascii="Arial" w:hAnsi="Arial" w:cs="Arial"/>
          <w:noProof/>
          <w:sz w:val="20"/>
          <w:lang w:eastAsia="en-GB"/>
        </w:rPr>
        <w:drawing>
          <wp:inline distT="0" distB="0" distL="0" distR="0" wp14:anchorId="2AEE14EA" wp14:editId="0AA52CE7">
            <wp:extent cx="4596130" cy="2106930"/>
            <wp:effectExtent l="0" t="0" r="0" b="0"/>
            <wp:docPr id="1004"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557B7" w:rsidRDefault="00AD3265">
      <w:pPr>
        <w:pStyle w:val="AnnualReport2"/>
        <w:numPr>
          <w:ilvl w:val="0"/>
          <w:numId w:val="202"/>
        </w:numPr>
        <w:ind w:left="709" w:hanging="425"/>
        <w:rPr>
          <w:noProof/>
        </w:rPr>
      </w:pPr>
      <w:r>
        <w:rPr>
          <w:noProof/>
        </w:rPr>
        <w:t>New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7DB84FDD" wp14:editId="22DCC919">
            <wp:extent cx="4587875" cy="2337435"/>
            <wp:effectExtent l="0" t="0" r="22225" b="24765"/>
            <wp:docPr id="1003"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557B7" w:rsidRDefault="001557B7">
      <w:pPr>
        <w:spacing w:after="120"/>
        <w:ind w:firstLine="709"/>
        <w:rPr>
          <w:rFonts w:ascii="Arial" w:hAnsi="Arial" w:cs="Arial"/>
          <w:noProof/>
          <w:sz w:val="20"/>
        </w:rPr>
      </w:pPr>
    </w:p>
    <w:p w:rsidR="001557B7" w:rsidRDefault="001557B7">
      <w:pPr>
        <w:spacing w:after="120"/>
        <w:ind w:firstLine="709"/>
        <w:rPr>
          <w:rFonts w:ascii="Arial" w:hAnsi="Arial" w:cs="Arial"/>
          <w:noProof/>
          <w:sz w:val="20"/>
        </w:rPr>
      </w:pPr>
    </w:p>
    <w:p w:rsidR="001557B7" w:rsidRDefault="00AD3265">
      <w:pPr>
        <w:pStyle w:val="AnnualReport2"/>
        <w:numPr>
          <w:ilvl w:val="0"/>
          <w:numId w:val="202"/>
        </w:numPr>
        <w:ind w:left="709" w:hanging="425"/>
        <w:rPr>
          <w:noProof/>
        </w:rPr>
      </w:pPr>
      <w:r>
        <w:rPr>
          <w:noProof/>
        </w:rPr>
        <w:t>Key infringement cases and referrals to the Court</w:t>
      </w:r>
    </w:p>
    <w:p w:rsidR="001557B7" w:rsidRDefault="00AD3265">
      <w:pPr>
        <w:pStyle w:val="Lijstje"/>
        <w:numPr>
          <w:ilvl w:val="0"/>
          <w:numId w:val="28"/>
        </w:numPr>
        <w:ind w:left="1276" w:hanging="425"/>
        <w:rPr>
          <w:noProof/>
        </w:rPr>
      </w:pPr>
      <w:r>
        <w:rPr>
          <w:noProof/>
        </w:rPr>
        <w:t>The Commission opened 23 new infringement cases against Germany in 2017. These, and other major ongoing infringement cases, include:</w:t>
      </w:r>
    </w:p>
    <w:p w:rsidR="001557B7" w:rsidRDefault="00AD3265">
      <w:pPr>
        <w:pStyle w:val="Lijstje2"/>
        <w:spacing w:after="200"/>
        <w:ind w:left="1843" w:hanging="425"/>
        <w:rPr>
          <w:rFonts w:ascii="Arial" w:hAnsi="Arial" w:cs="Arial"/>
          <w:noProof/>
          <w:lang w:val="en-GB"/>
        </w:rPr>
      </w:pPr>
      <w:r>
        <w:rPr>
          <w:rFonts w:ascii="Arial" w:hAnsi="Arial" w:cs="Arial"/>
          <w:noProof/>
          <w:lang w:val="en-GB"/>
        </w:rPr>
        <w:t xml:space="preserve">failure to </w:t>
      </w:r>
      <w:r>
        <w:rPr>
          <w:rFonts w:ascii="Arial" w:hAnsi="Arial" w:cs="Arial"/>
          <w:noProof/>
          <w:lang w:val="en-GB"/>
        </w:rPr>
        <w:t>comply with reporting obligations under EU waste legislation</w:t>
      </w:r>
      <w:r>
        <w:rPr>
          <w:rStyle w:val="FootnoteReference"/>
          <w:rFonts w:ascii="Arial" w:hAnsi="Arial" w:cs="Arial"/>
          <w:noProof/>
          <w:lang w:val="en-GB"/>
        </w:rPr>
        <w:footnoteReference w:id="103"/>
      </w:r>
      <w:r>
        <w:rPr>
          <w:rFonts w:ascii="Arial" w:hAnsi="Arial" w:cs="Arial"/>
          <w:noProof/>
          <w:lang w:val="en-GB"/>
        </w:rPr>
        <w:t>;</w:t>
      </w:r>
    </w:p>
    <w:p w:rsidR="001557B7" w:rsidRDefault="00AD3265">
      <w:pPr>
        <w:pStyle w:val="Lijstje2"/>
        <w:spacing w:after="200"/>
        <w:ind w:left="1843" w:hanging="425"/>
        <w:rPr>
          <w:rFonts w:ascii="Arial" w:hAnsi="Arial" w:cs="Arial"/>
          <w:i/>
          <w:noProof/>
          <w:lang w:val="en-GB"/>
        </w:rPr>
      </w:pPr>
      <w:r>
        <w:rPr>
          <w:rFonts w:ascii="Arial" w:hAnsi="Arial" w:cs="Arial"/>
          <w:noProof/>
          <w:lang w:val="en-GB"/>
        </w:rPr>
        <w:t>failure to comply with the NO</w:t>
      </w:r>
      <w:r>
        <w:rPr>
          <w:rFonts w:ascii="Arial" w:hAnsi="Arial" w:cs="Arial"/>
          <w:noProof/>
          <w:vertAlign w:val="subscript"/>
          <w:lang w:val="en-GB"/>
        </w:rPr>
        <w:t>2</w:t>
      </w:r>
      <w:r>
        <w:rPr>
          <w:rFonts w:ascii="Arial" w:hAnsi="Arial" w:cs="Arial"/>
          <w:noProof/>
          <w:lang w:val="en-GB"/>
        </w:rPr>
        <w:t xml:space="preserve"> limit values set by the Air Quality Directive</w:t>
      </w:r>
      <w:r>
        <w:rPr>
          <w:rStyle w:val="FootnoteReference"/>
          <w:rFonts w:ascii="Arial" w:hAnsi="Arial" w:cs="Arial"/>
          <w:noProof/>
          <w:lang w:val="en-GB"/>
        </w:rPr>
        <w:footnoteReference w:id="104"/>
      </w:r>
      <w:r>
        <w:rPr>
          <w:rFonts w:ascii="Arial" w:hAnsi="Arial" w:cs="Arial"/>
          <w:noProof/>
          <w:lang w:val="en-GB"/>
        </w:rPr>
        <w:t>;</w:t>
      </w:r>
    </w:p>
    <w:p w:rsidR="001557B7" w:rsidRDefault="00AD3265">
      <w:pPr>
        <w:pStyle w:val="Lijstje2"/>
        <w:spacing w:after="200"/>
        <w:ind w:left="1843" w:hanging="425"/>
        <w:rPr>
          <w:rFonts w:ascii="Arial" w:hAnsi="Arial" w:cs="Arial"/>
          <w:i/>
          <w:noProof/>
          <w:lang w:val="en-GB"/>
        </w:rPr>
      </w:pPr>
      <w:r>
        <w:rPr>
          <w:rFonts w:ascii="Arial" w:hAnsi="Arial" w:cs="Arial"/>
          <w:noProof/>
          <w:lang w:val="en-GB"/>
        </w:rPr>
        <w:t>failure to establish action plans required by the Noise Directive</w:t>
      </w:r>
      <w:r>
        <w:rPr>
          <w:rStyle w:val="FootnoteReference"/>
          <w:rFonts w:ascii="Arial" w:hAnsi="Arial" w:cs="Arial"/>
          <w:noProof/>
          <w:lang w:val="en-GB"/>
        </w:rPr>
        <w:footnoteReference w:id="105"/>
      </w:r>
      <w:r>
        <w:rPr>
          <w:rFonts w:ascii="Arial" w:hAnsi="Arial" w:cs="Arial"/>
          <w:noProof/>
          <w:lang w:val="en-GB"/>
        </w:rPr>
        <w:t>;</w:t>
      </w:r>
    </w:p>
    <w:p w:rsidR="001557B7" w:rsidRDefault="00AD3265">
      <w:pPr>
        <w:pStyle w:val="Lijstje2"/>
        <w:ind w:left="1843" w:hanging="425"/>
        <w:rPr>
          <w:rFonts w:ascii="Arial" w:hAnsi="Arial" w:cs="Arial"/>
          <w:noProof/>
          <w:lang w:val="en-GB"/>
        </w:rPr>
      </w:pPr>
      <w:r>
        <w:rPr>
          <w:rFonts w:ascii="Arial" w:hAnsi="Arial" w:cs="Arial"/>
          <w:noProof/>
          <w:lang w:val="en-GB"/>
        </w:rPr>
        <w:t>reluctance by the tax administration to inform</w:t>
      </w:r>
      <w:r>
        <w:rPr>
          <w:rFonts w:ascii="Arial" w:hAnsi="Arial" w:cs="Arial"/>
          <w:noProof/>
          <w:lang w:val="en-GB"/>
        </w:rPr>
        <w:t xml:space="preserve"> VAT refund applicants in certain cases, which may result in EU businesses losing those refund rights;</w:t>
      </w:r>
    </w:p>
    <w:p w:rsidR="001557B7" w:rsidRDefault="00AD3265">
      <w:pPr>
        <w:pStyle w:val="Lijstje2"/>
        <w:ind w:left="1843" w:hanging="425"/>
        <w:rPr>
          <w:rFonts w:ascii="Arial" w:hAnsi="Arial"/>
          <w:noProof/>
          <w:lang w:val="en-GB"/>
        </w:rPr>
      </w:pPr>
      <w:r>
        <w:rPr>
          <w:rFonts w:ascii="Arial" w:hAnsi="Arial" w:cs="Arial"/>
          <w:noProof/>
          <w:lang w:val="en-GB"/>
        </w:rPr>
        <w:t>non-compliance with the Directive on the interoperability of the rail system</w:t>
      </w:r>
      <w:r>
        <w:rPr>
          <w:rStyle w:val="FootnoteReference"/>
          <w:rFonts w:ascii="Arial" w:hAnsi="Arial" w:cs="Arial"/>
          <w:noProof/>
          <w:lang w:val="en-GB"/>
        </w:rPr>
        <w:footnoteReference w:id="106"/>
      </w:r>
      <w:r>
        <w:rPr>
          <w:rFonts w:ascii="Arial" w:hAnsi="Arial" w:cs="Arial"/>
          <w:noProof/>
          <w:lang w:val="en-GB"/>
        </w:rPr>
        <w:t>;</w:t>
      </w:r>
    </w:p>
    <w:p w:rsidR="001557B7" w:rsidRDefault="00AD3265">
      <w:pPr>
        <w:pStyle w:val="Lijstje2"/>
        <w:ind w:left="1843" w:hanging="425"/>
        <w:rPr>
          <w:rFonts w:ascii="Arial" w:hAnsi="Arial" w:cs="Arial"/>
          <w:noProof/>
          <w:lang w:val="en-GB"/>
        </w:rPr>
      </w:pPr>
      <w:r>
        <w:rPr>
          <w:rFonts w:ascii="Arial" w:hAnsi="Arial" w:cs="Arial"/>
          <w:noProof/>
          <w:lang w:val="en-GB"/>
        </w:rPr>
        <w:t>incorrect transposition of the Railway Safety Directive</w:t>
      </w:r>
      <w:r>
        <w:rPr>
          <w:rStyle w:val="FootnoteReference"/>
          <w:rFonts w:ascii="Arial" w:hAnsi="Arial" w:cs="Arial"/>
          <w:noProof/>
          <w:lang w:val="en-GB"/>
        </w:rPr>
        <w:footnoteReference w:id="107"/>
      </w:r>
      <w:r>
        <w:rPr>
          <w:rFonts w:ascii="Arial" w:hAnsi="Arial" w:cs="Arial"/>
          <w:noProof/>
          <w:lang w:val="en-GB"/>
        </w:rPr>
        <w:t>;</w:t>
      </w:r>
    </w:p>
    <w:p w:rsidR="001557B7" w:rsidRDefault="00AD3265">
      <w:pPr>
        <w:pStyle w:val="Lijstje2"/>
        <w:ind w:left="1843" w:hanging="425"/>
        <w:rPr>
          <w:rFonts w:ascii="Arial" w:hAnsi="Arial" w:cs="Arial"/>
          <w:noProof/>
          <w:lang w:val="en-GB"/>
        </w:rPr>
      </w:pPr>
      <w:r>
        <w:rPr>
          <w:rFonts w:ascii="Arial" w:hAnsi="Arial" w:cs="Arial"/>
          <w:noProof/>
          <w:lang w:val="en-GB"/>
        </w:rPr>
        <w:t>non-communicatio</w:t>
      </w:r>
      <w:r>
        <w:rPr>
          <w:rFonts w:ascii="Arial" w:hAnsi="Arial" w:cs="Arial"/>
          <w:noProof/>
          <w:lang w:val="en-GB"/>
        </w:rPr>
        <w:t>n of national measures transposing the:</w:t>
      </w:r>
    </w:p>
    <w:p w:rsidR="001557B7" w:rsidRDefault="00AD3265">
      <w:pPr>
        <w:pStyle w:val="Lijstje2"/>
        <w:numPr>
          <w:ilvl w:val="2"/>
          <w:numId w:val="2"/>
        </w:numPr>
        <w:ind w:left="2410" w:hanging="425"/>
        <w:rPr>
          <w:rFonts w:ascii="Arial" w:hAnsi="Arial" w:cs="Arial"/>
          <w:noProof/>
          <w:lang w:val="en-GB"/>
        </w:rPr>
      </w:pPr>
      <w:r>
        <w:rPr>
          <w:rFonts w:ascii="Arial" w:hAnsi="Arial" w:cs="Arial"/>
          <w:noProof/>
          <w:lang w:val="en-GB"/>
        </w:rPr>
        <w:t>Directive laying down calculation methods and reporting requirements</w:t>
      </w:r>
      <w:r>
        <w:rPr>
          <w:rStyle w:val="FootnoteReference"/>
          <w:rFonts w:ascii="Arial" w:hAnsi="Arial" w:cs="Arial"/>
          <w:noProof/>
          <w:lang w:val="en-GB"/>
        </w:rPr>
        <w:footnoteReference w:id="108"/>
      </w:r>
      <w:r>
        <w:rPr>
          <w:rFonts w:ascii="Arial" w:hAnsi="Arial" w:cs="Arial"/>
          <w:noProof/>
          <w:lang w:val="en-GB"/>
        </w:rPr>
        <w:t xml:space="preserve"> pursuant to a Directive relating to the quality of petrol and diesel fuels</w:t>
      </w:r>
      <w:r>
        <w:rPr>
          <w:rStyle w:val="FootnoteReference"/>
          <w:noProof/>
          <w:lang w:val="en-GB"/>
        </w:rPr>
        <w:footnoteReference w:id="109"/>
      </w:r>
      <w:r>
        <w:rPr>
          <w:rFonts w:ascii="Arial" w:hAnsi="Arial" w:cs="Arial"/>
          <w:noProof/>
          <w:lang w:val="en-GB"/>
        </w:rPr>
        <w:t>;</w:t>
      </w:r>
    </w:p>
    <w:p w:rsidR="001557B7" w:rsidRDefault="00AD3265">
      <w:pPr>
        <w:pStyle w:val="Lijstje2"/>
        <w:numPr>
          <w:ilvl w:val="2"/>
          <w:numId w:val="2"/>
        </w:numPr>
        <w:ind w:left="2410" w:hanging="425"/>
        <w:rPr>
          <w:rFonts w:ascii="Arial" w:hAnsi="Arial" w:cs="Arial"/>
          <w:noProof/>
          <w:lang w:val="en-GB"/>
        </w:rPr>
      </w:pPr>
      <w:r>
        <w:rPr>
          <w:rFonts w:ascii="Arial" w:hAnsi="Arial" w:cs="Arial"/>
          <w:noProof/>
          <w:lang w:val="en-GB"/>
        </w:rPr>
        <w:t>Directive on the organisation of working time in inland waterway tran</w:t>
      </w:r>
      <w:r>
        <w:rPr>
          <w:rFonts w:ascii="Arial" w:hAnsi="Arial" w:cs="Arial"/>
          <w:noProof/>
          <w:lang w:val="en-GB"/>
        </w:rPr>
        <w:t>sport</w:t>
      </w:r>
      <w:r>
        <w:rPr>
          <w:rStyle w:val="FootnoteReference"/>
          <w:rFonts w:ascii="Arial" w:hAnsi="Arial" w:cs="Arial"/>
          <w:noProof/>
          <w:lang w:val="en-GB"/>
        </w:rPr>
        <w:footnoteReference w:id="110"/>
      </w:r>
      <w:r>
        <w:rPr>
          <w:rFonts w:ascii="Arial" w:hAnsi="Arial" w:cs="Arial"/>
          <w:noProof/>
          <w:lang w:val="en-GB"/>
        </w:rPr>
        <w:t>;</w:t>
      </w:r>
    </w:p>
    <w:p w:rsidR="001557B7" w:rsidRDefault="00AD3265">
      <w:pPr>
        <w:pStyle w:val="Lijstje2"/>
        <w:numPr>
          <w:ilvl w:val="2"/>
          <w:numId w:val="2"/>
        </w:numPr>
        <w:ind w:left="2410" w:hanging="425"/>
        <w:rPr>
          <w:rFonts w:ascii="Arial" w:hAnsi="Arial" w:cs="Arial"/>
          <w:noProof/>
          <w:lang w:val="en-GB"/>
        </w:rPr>
      </w:pPr>
      <w:r>
        <w:rPr>
          <w:rFonts w:ascii="Arial" w:hAnsi="Arial" w:cs="Arial"/>
          <w:noProof/>
          <w:lang w:val="en-GB"/>
        </w:rPr>
        <w:t>Directives on the registration of suppliers and of varieties and the common list of varieties, on requirements for the labelling, sealing and packaging of fruit plant propagating material and on the specific requirements for the genus and species o</w:t>
      </w:r>
      <w:r>
        <w:rPr>
          <w:rFonts w:ascii="Arial" w:hAnsi="Arial" w:cs="Arial"/>
          <w:noProof/>
          <w:lang w:val="en-GB"/>
        </w:rPr>
        <w:t>f fruit plants</w:t>
      </w:r>
      <w:r>
        <w:rPr>
          <w:rStyle w:val="FootnoteReference"/>
          <w:rFonts w:ascii="Arial" w:hAnsi="Arial" w:cs="Arial"/>
          <w:noProof/>
          <w:lang w:val="en-GB"/>
        </w:rPr>
        <w:footnoteReference w:id="111"/>
      </w:r>
      <w:r>
        <w:rPr>
          <w:rFonts w:ascii="Arial" w:hAnsi="Arial" w:cs="Arial"/>
          <w:noProof/>
          <w:lang w:val="en-GB"/>
        </w:rPr>
        <w:t>.</w:t>
      </w:r>
    </w:p>
    <w:p w:rsidR="001557B7" w:rsidRDefault="00AD3265">
      <w:pPr>
        <w:pStyle w:val="Lijstje"/>
        <w:numPr>
          <w:ilvl w:val="0"/>
          <w:numId w:val="28"/>
        </w:numPr>
        <w:ind w:left="1276" w:hanging="425"/>
        <w:rPr>
          <w:noProof/>
        </w:rPr>
      </w:pPr>
      <w:r>
        <w:rPr>
          <w:noProof/>
        </w:rPr>
        <w:t>The Commission referred two cases to the Court under Article 258 TFEU. They concern:</w:t>
      </w:r>
    </w:p>
    <w:p w:rsidR="001557B7" w:rsidRDefault="00AD3265">
      <w:pPr>
        <w:pStyle w:val="Lijstje2"/>
        <w:spacing w:after="200"/>
        <w:ind w:left="1843" w:hanging="425"/>
        <w:rPr>
          <w:rFonts w:ascii="Arial" w:hAnsi="Arial" w:cs="Arial"/>
          <w:noProof/>
          <w:lang w:val="en-GB"/>
        </w:rPr>
      </w:pPr>
      <w:r>
        <w:rPr>
          <w:rFonts w:ascii="Arial" w:hAnsi="Arial" w:cs="Arial"/>
          <w:noProof/>
          <w:lang w:val="en-GB"/>
        </w:rPr>
        <w:t>authorisation of a car manufacturer to place vehicles on the EU market using a banned greenhouse gas in their air-conditioning systems</w:t>
      </w:r>
      <w:r>
        <w:rPr>
          <w:rStyle w:val="FootnoteReference"/>
          <w:rFonts w:ascii="Arial" w:hAnsi="Arial" w:cs="Arial"/>
          <w:noProof/>
          <w:lang w:val="en-GB"/>
        </w:rPr>
        <w:footnoteReference w:id="112"/>
      </w:r>
      <w:r>
        <w:rPr>
          <w:rFonts w:ascii="Arial" w:hAnsi="Arial" w:cs="Arial"/>
          <w:noProof/>
          <w:lang w:val="en-GB"/>
        </w:rPr>
        <w:t>;</w:t>
      </w:r>
    </w:p>
    <w:p w:rsidR="001557B7" w:rsidRDefault="00AD3265">
      <w:pPr>
        <w:pStyle w:val="Lijstje2"/>
        <w:spacing w:after="200"/>
        <w:ind w:left="1843" w:hanging="425"/>
        <w:rPr>
          <w:rFonts w:ascii="Arial" w:hAnsi="Arial" w:cs="Arial"/>
          <w:noProof/>
          <w:lang w:val="en-GB"/>
        </w:rPr>
      </w:pPr>
      <w:r>
        <w:rPr>
          <w:rFonts w:ascii="Arial" w:hAnsi="Arial" w:cs="Arial"/>
          <w:noProof/>
          <w:lang w:val="en-GB"/>
        </w:rPr>
        <w:t>imposition of exc</w:t>
      </w:r>
      <w:r>
        <w:rPr>
          <w:rFonts w:ascii="Arial" w:hAnsi="Arial" w:cs="Arial"/>
          <w:noProof/>
          <w:lang w:val="en-GB"/>
        </w:rPr>
        <w:t>essive and unjustified obstacles to the provision of services across the internal market</w:t>
      </w:r>
      <w:r>
        <w:rPr>
          <w:rStyle w:val="FootnoteReference"/>
          <w:rFonts w:ascii="Arial" w:hAnsi="Arial" w:cs="Arial"/>
          <w:noProof/>
          <w:lang w:val="en-GB"/>
        </w:rPr>
        <w:footnoteReference w:id="113"/>
      </w:r>
      <w:r>
        <w:rPr>
          <w:rFonts w:ascii="Arial" w:hAnsi="Arial"/>
          <w:noProof/>
          <w:lang w:val="en-GB"/>
        </w:rPr>
        <w:t>;</w:t>
      </w:r>
    </w:p>
    <w:p w:rsidR="001557B7" w:rsidRDefault="00AD3265">
      <w:pPr>
        <w:pStyle w:val="Lijstje"/>
        <w:numPr>
          <w:ilvl w:val="0"/>
          <w:numId w:val="28"/>
        </w:numPr>
        <w:ind w:left="1276" w:hanging="425"/>
        <w:rPr>
          <w:noProof/>
        </w:rPr>
      </w:pPr>
      <w:r>
        <w:rPr>
          <w:noProof/>
        </w:rPr>
        <w:t>The Commission did not refer any cases to the Court under Article 260(2) TFEU.</w:t>
      </w:r>
      <w:r>
        <w:rPr>
          <w:noProof/>
        </w:rPr>
        <w:br w:type="page"/>
      </w:r>
    </w:p>
    <w:p w:rsidR="001557B7" w:rsidRDefault="001557B7">
      <w:pPr>
        <w:pStyle w:val="Lijstje"/>
        <w:ind w:left="1276" w:firstLine="0"/>
        <w:rPr>
          <w:noProof/>
        </w:rPr>
      </w:pPr>
    </w:p>
    <w:p w:rsidR="001557B7" w:rsidRDefault="00AD3265">
      <w:pPr>
        <w:pStyle w:val="AnnualReport1"/>
        <w:numPr>
          <w:ilvl w:val="0"/>
          <w:numId w:val="136"/>
        </w:numPr>
        <w:spacing w:after="240"/>
        <w:ind w:left="709" w:hanging="425"/>
        <w:rPr>
          <w:caps w:val="0"/>
          <w:noProof/>
        </w:rPr>
      </w:pPr>
      <w:r>
        <w:rPr>
          <w:caps w:val="0"/>
          <w:noProof/>
        </w:rPr>
        <w:t>TRANSPOSITION OF DIRECTIVES</w:t>
      </w:r>
    </w:p>
    <w:p w:rsidR="001557B7" w:rsidRDefault="00AD3265">
      <w:pPr>
        <w:pStyle w:val="AnnualReport2"/>
        <w:numPr>
          <w:ilvl w:val="0"/>
          <w:numId w:val="203"/>
        </w:numPr>
        <w:ind w:left="709" w:hanging="425"/>
        <w:rPr>
          <w:noProof/>
        </w:rPr>
      </w:pPr>
      <w:r>
        <w:rPr>
          <w:noProof/>
        </w:rPr>
        <w:t xml:space="preserve">Late transposition infringement cases against Germany </w:t>
      </w:r>
      <w:r>
        <w:rPr>
          <w:noProof/>
        </w:rPr>
        <w:t>open on 31 December (2013-2017)</w:t>
      </w:r>
    </w:p>
    <w:p w:rsidR="001557B7" w:rsidRDefault="00AD3265">
      <w:pPr>
        <w:ind w:left="426" w:firstLine="283"/>
        <w:rPr>
          <w:noProof/>
        </w:rPr>
      </w:pPr>
      <w:r>
        <w:rPr>
          <w:noProof/>
          <w:lang w:eastAsia="en-GB"/>
        </w:rPr>
        <w:drawing>
          <wp:inline distT="0" distB="0" distL="0" distR="0" wp14:anchorId="0B1B88A5" wp14:editId="3A55DD23">
            <wp:extent cx="4587875" cy="2154555"/>
            <wp:effectExtent l="0" t="0" r="0" b="0"/>
            <wp:docPr id="100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557B7" w:rsidRDefault="00AD3265">
      <w:pPr>
        <w:pStyle w:val="AnnualReport2"/>
        <w:numPr>
          <w:ilvl w:val="0"/>
          <w:numId w:val="203"/>
        </w:numPr>
        <w:ind w:left="709" w:hanging="425"/>
        <w:rPr>
          <w:noProof/>
        </w:rPr>
      </w:pPr>
      <w:r>
        <w:rPr>
          <w:noProof/>
        </w:rPr>
        <w:t>New late transposition infringement cases against Germany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B114E3A" wp14:editId="31F2B7A0">
            <wp:extent cx="4587875" cy="2154555"/>
            <wp:effectExtent l="0" t="0" r="22225" b="17145"/>
            <wp:docPr id="100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Pr>
          <w:rFonts w:ascii="Arial" w:hAnsi="Arial" w:cs="Arial"/>
          <w:noProof/>
          <w:sz w:val="20"/>
        </w:rPr>
        <w:br w:type="page"/>
      </w:r>
    </w:p>
    <w:p w:rsidR="001557B7" w:rsidRDefault="001557B7">
      <w:pPr>
        <w:spacing w:after="120"/>
        <w:ind w:firstLine="709"/>
        <w:rPr>
          <w:rFonts w:ascii="Arial" w:hAnsi="Arial" w:cs="Arial"/>
          <w:noProof/>
          <w:sz w:val="20"/>
        </w:rPr>
      </w:pPr>
    </w:p>
    <w:p w:rsidR="001557B7" w:rsidRDefault="00AD3265">
      <w:pPr>
        <w:pStyle w:val="AnnualReport2"/>
        <w:numPr>
          <w:ilvl w:val="0"/>
          <w:numId w:val="203"/>
        </w:numPr>
        <w:ind w:left="709" w:hanging="425"/>
        <w:rPr>
          <w:noProof/>
        </w:rPr>
      </w:pPr>
      <w:r>
        <w:rPr>
          <w:noProof/>
        </w:rPr>
        <w:t>New late transposition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477B4393" wp14:editId="5EDC3F0F">
            <wp:extent cx="4716780" cy="2423160"/>
            <wp:effectExtent l="0" t="0" r="26670" b="15240"/>
            <wp:docPr id="1000" name="Objec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557B7" w:rsidRDefault="00AD3265">
      <w:pPr>
        <w:pStyle w:val="AnnualReport2"/>
        <w:numPr>
          <w:ilvl w:val="0"/>
          <w:numId w:val="203"/>
        </w:numPr>
        <w:ind w:left="709" w:hanging="425"/>
        <w:rPr>
          <w:noProof/>
        </w:rPr>
      </w:pPr>
      <w:r>
        <w:rPr>
          <w:noProof/>
        </w:rPr>
        <w:t>Referrals to the Court</w:t>
      </w:r>
    </w:p>
    <w:p w:rsidR="001557B7" w:rsidRDefault="00AD3265">
      <w:pPr>
        <w:spacing w:after="120"/>
        <w:ind w:left="709"/>
        <w:rPr>
          <w:rFonts w:ascii="Arial" w:eastAsia="Calibri" w:hAnsi="Arial" w:cs="Arial"/>
          <w:noProof/>
          <w:kern w:val="20"/>
          <w:sz w:val="20"/>
        </w:rPr>
      </w:pPr>
      <w:r>
        <w:rPr>
          <w:rFonts w:ascii="Arial" w:eastAsia="Calibri" w:hAnsi="Arial" w:cs="Arial"/>
          <w:noProof/>
          <w:kern w:val="20"/>
          <w:sz w:val="20"/>
        </w:rPr>
        <w:t xml:space="preserve">The Commission did not refer any cases to the </w:t>
      </w:r>
      <w:r>
        <w:rPr>
          <w:rFonts w:ascii="Arial" w:eastAsia="Calibri" w:hAnsi="Arial" w:cs="Arial"/>
          <w:noProof/>
          <w:kern w:val="20"/>
          <w:sz w:val="20"/>
        </w:rPr>
        <w:t>Court under Articles 258 and 260(3) TFEU.</w:t>
      </w:r>
    </w:p>
    <w:p w:rsidR="001557B7" w:rsidRDefault="00AD3265">
      <w:pPr>
        <w:pStyle w:val="AnnualReport1"/>
        <w:numPr>
          <w:ilvl w:val="0"/>
          <w:numId w:val="136"/>
        </w:numPr>
        <w:spacing w:after="240"/>
        <w:ind w:left="709" w:hanging="425"/>
        <w:rPr>
          <w:caps w:val="0"/>
          <w:noProof/>
        </w:rPr>
      </w:pPr>
      <w:r>
        <w:rPr>
          <w:caps w:val="0"/>
          <w:noProof/>
        </w:rPr>
        <w:t>EARLY RESOLUTION OF INFRINGEMENT CASES</w:t>
      </w:r>
    </w:p>
    <w:p w:rsidR="001557B7" w:rsidRDefault="00AD3265">
      <w:pPr>
        <w:spacing w:after="60"/>
        <w:ind w:firstLine="709"/>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1557B7" w:rsidRDefault="00AD3265">
      <w:pPr>
        <w:spacing w:before="120" w:after="120"/>
        <w:ind w:firstLine="709"/>
        <w:rPr>
          <w:rFonts w:ascii="Arial" w:hAnsi="Arial" w:cs="Arial"/>
          <w:noProof/>
          <w:sz w:val="20"/>
        </w:rPr>
      </w:pPr>
      <w:r>
        <w:rPr>
          <w:rFonts w:ascii="Arial" w:hAnsi="Arial" w:cs="Arial"/>
          <w:noProof/>
          <w:sz w:val="20"/>
        </w:rPr>
        <w:t>These concerned the following.</w:t>
      </w:r>
    </w:p>
    <w:p w:rsidR="001557B7" w:rsidRDefault="00AD3265">
      <w:pPr>
        <w:numPr>
          <w:ilvl w:val="0"/>
          <w:numId w:val="2"/>
        </w:numPr>
        <w:spacing w:after="0"/>
        <w:ind w:left="1276" w:hanging="425"/>
        <w:rPr>
          <w:rFonts w:ascii="Arial" w:eastAsia="Calibri" w:hAnsi="Arial" w:cs="Arial"/>
          <w:noProof/>
          <w:kern w:val="20"/>
          <w:sz w:val="20"/>
        </w:rPr>
      </w:pPr>
      <w:r>
        <w:rPr>
          <w:rFonts w:ascii="Arial" w:eastAsia="Calibri" w:hAnsi="Arial"/>
          <w:noProof/>
          <w:kern w:val="20"/>
          <w:sz w:val="20"/>
        </w:rPr>
        <w:t>Incorrect</w:t>
      </w:r>
      <w:r>
        <w:rPr>
          <w:noProof/>
          <w:kern w:val="20"/>
          <w:sz w:val="20"/>
          <w:lang w:eastAsia="en-GB"/>
        </w:rPr>
        <w:t xml:space="preserve"> </w:t>
      </w:r>
      <w:r>
        <w:rPr>
          <w:rFonts w:ascii="Arial" w:eastAsia="Calibri" w:hAnsi="Arial"/>
          <w:noProof/>
          <w:kern w:val="20"/>
          <w:sz w:val="20"/>
        </w:rPr>
        <w:t>transposition into national law of the Directive on unfair commercial practices</w:t>
      </w:r>
      <w:r>
        <w:rPr>
          <w:rStyle w:val="FootnoteReference"/>
          <w:rFonts w:ascii="Arial" w:hAnsi="Arial"/>
          <w:noProof/>
          <w:sz w:val="20"/>
        </w:rPr>
        <w:footnoteReference w:id="114"/>
      </w:r>
      <w:r>
        <w:rPr>
          <w:rFonts w:ascii="Arial" w:eastAsia="Calibri" w:hAnsi="Arial"/>
          <w:noProof/>
          <w:kern w:val="20"/>
          <w:sz w:val="20"/>
        </w:rPr>
        <w:t>.</w:t>
      </w:r>
    </w:p>
    <w:p w:rsidR="001557B7" w:rsidRDefault="00AD3265">
      <w:pPr>
        <w:numPr>
          <w:ilvl w:val="0"/>
          <w:numId w:val="2"/>
        </w:numPr>
        <w:spacing w:after="0"/>
        <w:ind w:left="1276" w:hanging="425"/>
        <w:rPr>
          <w:rFonts w:ascii="Arial" w:eastAsia="Calibri" w:hAnsi="Arial" w:cs="Arial"/>
          <w:noProof/>
          <w:kern w:val="20"/>
          <w:sz w:val="20"/>
        </w:rPr>
      </w:pPr>
      <w:r>
        <w:rPr>
          <w:rFonts w:ascii="Arial" w:eastAsia="Calibri" w:hAnsi="Arial" w:cs="Arial"/>
          <w:noProof/>
          <w:kern w:val="20"/>
          <w:sz w:val="20"/>
        </w:rPr>
        <w:t>Non-implementation of Regulations in the area of aviation safety (lack of appropriate recourses)</w:t>
      </w:r>
      <w:r>
        <w:rPr>
          <w:rStyle w:val="FootnoteReference"/>
          <w:rFonts w:eastAsia="Calibri"/>
          <w:noProof/>
        </w:rPr>
        <w:footnoteReference w:id="115"/>
      </w:r>
      <w:r>
        <w:rPr>
          <w:rFonts w:ascii="Arial" w:eastAsia="Calibri" w:hAnsi="Arial" w:cs="Arial"/>
          <w:noProof/>
          <w:kern w:val="20"/>
          <w:sz w:val="20"/>
        </w:rPr>
        <w:t>.</w:t>
      </w:r>
    </w:p>
    <w:p w:rsidR="001557B7" w:rsidRDefault="00AD3265">
      <w:pPr>
        <w:numPr>
          <w:ilvl w:val="0"/>
          <w:numId w:val="2"/>
        </w:numPr>
        <w:spacing w:after="0"/>
        <w:ind w:left="1276" w:hanging="425"/>
        <w:rPr>
          <w:rFonts w:ascii="Arial" w:eastAsia="Calibri" w:hAnsi="Arial" w:cs="Arial"/>
          <w:noProof/>
          <w:kern w:val="20"/>
          <w:sz w:val="20"/>
        </w:rPr>
      </w:pPr>
      <w:r>
        <w:rPr>
          <w:rFonts w:ascii="Arial" w:hAnsi="Arial" w:cs="Arial"/>
          <w:noProof/>
          <w:sz w:val="20"/>
        </w:rPr>
        <w:t>Non-compliance with the Schengen Borders Code</w:t>
      </w:r>
      <w:r>
        <w:rPr>
          <w:rStyle w:val="FootnoteReference"/>
          <w:rFonts w:ascii="Arial" w:hAnsi="Arial" w:cs="Arial"/>
          <w:noProof/>
          <w:sz w:val="20"/>
        </w:rPr>
        <w:footnoteReference w:id="116"/>
      </w:r>
      <w:r>
        <w:rPr>
          <w:rFonts w:ascii="Arial" w:hAnsi="Arial" w:cs="Arial"/>
          <w:noProof/>
          <w:sz w:val="20"/>
        </w:rPr>
        <w:t>.</w:t>
      </w:r>
    </w:p>
    <w:p w:rsidR="001557B7" w:rsidRDefault="00AD3265">
      <w:pPr>
        <w:numPr>
          <w:ilvl w:val="0"/>
          <w:numId w:val="2"/>
        </w:numPr>
        <w:spacing w:after="0"/>
        <w:ind w:left="1276" w:hanging="425"/>
        <w:rPr>
          <w:rFonts w:ascii="Arial" w:hAnsi="Arial" w:cs="Arial"/>
          <w:noProof/>
          <w:sz w:val="20"/>
        </w:rPr>
      </w:pPr>
      <w:r>
        <w:rPr>
          <w:rFonts w:ascii="Arial" w:hAnsi="Arial" w:cs="Arial"/>
          <w:bCs/>
          <w:noProof/>
          <w:sz w:val="20"/>
        </w:rPr>
        <w:t>Incorrect</w:t>
      </w:r>
      <w:r>
        <w:rPr>
          <w:rFonts w:ascii="Arial" w:hAnsi="Arial" w:cs="Arial"/>
          <w:noProof/>
          <w:sz w:val="20"/>
        </w:rPr>
        <w:t xml:space="preserve"> transposition of the Waste Framework Directive</w:t>
      </w:r>
      <w:r>
        <w:rPr>
          <w:rStyle w:val="FootnoteReference"/>
          <w:rFonts w:ascii="Arial" w:hAnsi="Arial" w:cs="Arial"/>
          <w:noProof/>
          <w:sz w:val="20"/>
        </w:rPr>
        <w:footnoteReference w:id="117"/>
      </w:r>
      <w:r>
        <w:rPr>
          <w:rFonts w:ascii="Arial" w:hAnsi="Arial" w:cs="Arial"/>
          <w:noProof/>
          <w:sz w:val="20"/>
        </w:rPr>
        <w:t>.</w:t>
      </w:r>
    </w:p>
    <w:p w:rsidR="001557B7" w:rsidRDefault="00AD3265">
      <w:pPr>
        <w:numPr>
          <w:ilvl w:val="0"/>
          <w:numId w:val="2"/>
        </w:numPr>
        <w:spacing w:after="0"/>
        <w:ind w:left="1276" w:hanging="425"/>
        <w:rPr>
          <w:rFonts w:ascii="Arial" w:hAnsi="Arial" w:cs="Arial"/>
          <w:noProof/>
          <w:sz w:val="20"/>
        </w:rPr>
      </w:pPr>
      <w:r>
        <w:rPr>
          <w:rFonts w:ascii="Arial" w:hAnsi="Arial" w:cs="Arial"/>
          <w:noProof/>
          <w:sz w:val="20"/>
        </w:rPr>
        <w:t>Breach of EU law by German legislation on a user c</w:t>
      </w:r>
      <w:r>
        <w:rPr>
          <w:rFonts w:ascii="Arial" w:hAnsi="Arial" w:cs="Arial"/>
          <w:noProof/>
          <w:sz w:val="20"/>
        </w:rPr>
        <w:t>harge for passenger cars (‘PKW-Maut’).</w:t>
      </w:r>
    </w:p>
    <w:p w:rsidR="001557B7" w:rsidRDefault="00AD3265">
      <w:pPr>
        <w:numPr>
          <w:ilvl w:val="0"/>
          <w:numId w:val="2"/>
        </w:numPr>
        <w:spacing w:after="0"/>
        <w:ind w:left="1276" w:hanging="425"/>
        <w:rPr>
          <w:rFonts w:ascii="Arial" w:hAnsi="Arial" w:cs="Arial"/>
          <w:bCs/>
          <w:noProof/>
          <w:sz w:val="20"/>
        </w:rPr>
      </w:pPr>
      <w:r>
        <w:rPr>
          <w:rFonts w:ascii="Arial" w:hAnsi="Arial" w:cs="Arial"/>
          <w:noProof/>
          <w:sz w:val="20"/>
        </w:rPr>
        <w:t>Non-ratification and non-deposition of ratification instruments of the Revised Convention and the Protocol of Accession of the EC to the Eurocontrol</w:t>
      </w:r>
      <w:r>
        <w:rPr>
          <w:rFonts w:ascii="Arial" w:hAnsi="Arial" w:cs="Arial"/>
          <w:bCs/>
          <w:noProof/>
          <w:sz w:val="20"/>
        </w:rPr>
        <w:t xml:space="preserve"> International Convention.</w:t>
      </w:r>
    </w:p>
    <w:p w:rsidR="001557B7" w:rsidRDefault="00AD3265">
      <w:pPr>
        <w:numPr>
          <w:ilvl w:val="0"/>
          <w:numId w:val="2"/>
        </w:numPr>
        <w:spacing w:after="0"/>
        <w:ind w:left="1276" w:hanging="425"/>
        <w:rPr>
          <w:rFonts w:ascii="Arial" w:hAnsi="Arial" w:cs="Arial"/>
          <w:bCs/>
          <w:noProof/>
          <w:sz w:val="20"/>
        </w:rPr>
      </w:pPr>
      <w:r>
        <w:rPr>
          <w:rFonts w:ascii="Arial" w:hAnsi="Arial" w:cs="Arial"/>
          <w:bCs/>
          <w:noProof/>
          <w:sz w:val="20"/>
        </w:rPr>
        <w:t>Lack of resources to conduct duties attrib</w:t>
      </w:r>
      <w:r>
        <w:rPr>
          <w:rFonts w:ascii="Arial" w:hAnsi="Arial" w:cs="Arial"/>
          <w:bCs/>
          <w:noProof/>
          <w:sz w:val="20"/>
        </w:rPr>
        <w:t>uted to Civil Aviation Competent Authority</w:t>
      </w:r>
      <w:r>
        <w:rPr>
          <w:rStyle w:val="FootnoteReference"/>
          <w:rFonts w:ascii="Arial" w:hAnsi="Arial" w:cs="Arial"/>
          <w:bCs/>
          <w:noProof/>
          <w:sz w:val="20"/>
        </w:rPr>
        <w:footnoteReference w:id="118"/>
      </w:r>
      <w:r>
        <w:rPr>
          <w:rFonts w:ascii="Arial" w:hAnsi="Arial" w:cs="Arial"/>
          <w:bCs/>
          <w:noProof/>
          <w:sz w:val="20"/>
        </w:rPr>
        <w:t>.</w:t>
      </w:r>
    </w:p>
    <w:p w:rsidR="001557B7" w:rsidRDefault="00AD3265">
      <w:pPr>
        <w:numPr>
          <w:ilvl w:val="0"/>
          <w:numId w:val="2"/>
        </w:numPr>
        <w:spacing w:after="0"/>
        <w:ind w:left="1276" w:hanging="425"/>
        <w:rPr>
          <w:rFonts w:ascii="Arial" w:eastAsia="Calibri" w:hAnsi="Arial" w:cs="Arial"/>
          <w:noProof/>
          <w:kern w:val="20"/>
          <w:sz w:val="20"/>
        </w:rPr>
      </w:pPr>
      <w:r>
        <w:rPr>
          <w:rFonts w:ascii="Arial" w:hAnsi="Arial" w:cs="Arial"/>
          <w:noProof/>
          <w:sz w:val="20"/>
        </w:rPr>
        <w:t>Lack of definition of ‘normal residence’ for the purpose of temporary car import from another Member State; refusal to exempt from motor vehicle tax the cars of people who return to their non-German place of nor</w:t>
      </w:r>
      <w:r>
        <w:rPr>
          <w:rFonts w:ascii="Arial" w:hAnsi="Arial" w:cs="Arial"/>
          <w:noProof/>
          <w:sz w:val="20"/>
        </w:rPr>
        <w:t>mal residence every weekend but during the working week commute between their temporary residence and working place, both in Germany.</w:t>
      </w:r>
    </w:p>
    <w:p w:rsidR="001557B7" w:rsidRDefault="00AD3265">
      <w:pPr>
        <w:numPr>
          <w:ilvl w:val="0"/>
          <w:numId w:val="2"/>
        </w:numPr>
        <w:spacing w:after="0"/>
        <w:ind w:left="1276" w:hanging="425"/>
        <w:rPr>
          <w:rFonts w:ascii="Arial" w:eastAsia="Calibri" w:hAnsi="Arial" w:cs="Arial"/>
          <w:noProof/>
          <w:kern w:val="20"/>
          <w:sz w:val="20"/>
        </w:rPr>
      </w:pPr>
      <w:r>
        <w:rPr>
          <w:rFonts w:ascii="Arial" w:hAnsi="Arial" w:cs="Arial"/>
          <w:noProof/>
          <w:sz w:val="20"/>
        </w:rPr>
        <w:t>The special maintenance allowance under inheritance law. This was extended to non-German surviving spouses (registered par</w:t>
      </w:r>
      <w:r>
        <w:rPr>
          <w:rFonts w:ascii="Arial" w:hAnsi="Arial" w:cs="Arial"/>
          <w:noProof/>
          <w:sz w:val="20"/>
        </w:rPr>
        <w:t>tners) upon inheriting a German estate or investment when neither the deceased nor the heir are tax-resident in Germany</w:t>
      </w:r>
      <w:r>
        <w:rPr>
          <w:rStyle w:val="FootnoteReference"/>
          <w:rFonts w:ascii="Arial" w:hAnsi="Arial" w:cs="Arial"/>
          <w:noProof/>
          <w:sz w:val="20"/>
        </w:rPr>
        <w:footnoteReference w:id="119"/>
      </w:r>
      <w:r>
        <w:rPr>
          <w:rFonts w:ascii="Arial" w:hAnsi="Arial" w:cs="Arial"/>
          <w:noProof/>
          <w:sz w:val="20"/>
        </w:rPr>
        <w:t>.</w:t>
      </w:r>
    </w:p>
    <w:p w:rsidR="001557B7" w:rsidRDefault="00AD3265">
      <w:pPr>
        <w:spacing w:after="0"/>
        <w:jc w:val="left"/>
        <w:rPr>
          <w:rFonts w:ascii="Arial" w:eastAsia="Calibri" w:hAnsi="Arial" w:cs="Arial"/>
          <w:noProof/>
          <w:kern w:val="20"/>
          <w:sz w:val="20"/>
        </w:rPr>
      </w:pPr>
      <w:r>
        <w:rPr>
          <w:rFonts w:ascii="Arial" w:eastAsia="Calibri" w:hAnsi="Arial" w:cs="Arial"/>
          <w:noProof/>
          <w:kern w:val="20"/>
          <w:sz w:val="20"/>
        </w:rPr>
        <w:br w:type="page"/>
      </w:r>
    </w:p>
    <w:p w:rsidR="001557B7" w:rsidRDefault="00AD3265">
      <w:pPr>
        <w:numPr>
          <w:ilvl w:val="0"/>
          <w:numId w:val="2"/>
        </w:numPr>
        <w:spacing w:after="0"/>
        <w:ind w:left="1276" w:hanging="425"/>
        <w:rPr>
          <w:rFonts w:ascii="Arial" w:eastAsia="Calibri" w:hAnsi="Arial" w:cs="Arial"/>
          <w:noProof/>
          <w:kern w:val="20"/>
          <w:sz w:val="20"/>
        </w:rPr>
      </w:pPr>
      <w:r>
        <w:rPr>
          <w:rFonts w:ascii="Arial" w:eastAsia="Calibri" w:hAnsi="Arial" w:cs="Arial"/>
          <w:noProof/>
          <w:kern w:val="20"/>
          <w:sz w:val="20"/>
        </w:rPr>
        <w:t>non-communication of measures transposing the:</w:t>
      </w:r>
    </w:p>
    <w:p w:rsidR="001557B7" w:rsidRDefault="00AD3265">
      <w:pPr>
        <w:numPr>
          <w:ilvl w:val="2"/>
          <w:numId w:val="2"/>
        </w:numPr>
        <w:spacing w:after="0"/>
        <w:ind w:left="1843" w:hanging="425"/>
        <w:rPr>
          <w:rFonts w:ascii="Arial" w:eastAsia="Calibri" w:hAnsi="Arial" w:cs="Arial"/>
          <w:noProof/>
          <w:kern w:val="20"/>
          <w:sz w:val="20"/>
        </w:rPr>
      </w:pPr>
      <w:r>
        <w:rPr>
          <w:rFonts w:ascii="Arial" w:eastAsia="Calibri" w:hAnsi="Arial" w:cs="Arial"/>
          <w:iCs/>
          <w:noProof/>
          <w:kern w:val="20"/>
          <w:sz w:val="20"/>
        </w:rPr>
        <w:t xml:space="preserve">Directive on the harmonisation of the laws of the Member States relating to the </w:t>
      </w:r>
      <w:r>
        <w:rPr>
          <w:rFonts w:ascii="Arial" w:eastAsia="Calibri" w:hAnsi="Arial" w:cs="Arial"/>
          <w:iCs/>
          <w:noProof/>
          <w:kern w:val="20"/>
          <w:sz w:val="20"/>
        </w:rPr>
        <w:t>making available on the market of pyrotechnic articles</w:t>
      </w:r>
      <w:r>
        <w:rPr>
          <w:rStyle w:val="FootnoteReference"/>
          <w:rFonts w:eastAsia="Calibri"/>
          <w:noProof/>
        </w:rPr>
        <w:footnoteReference w:id="120"/>
      </w:r>
      <w:r>
        <w:rPr>
          <w:rFonts w:ascii="Arial" w:eastAsia="Calibri" w:hAnsi="Arial" w:cs="Arial"/>
          <w:iCs/>
          <w:noProof/>
          <w:kern w:val="20"/>
          <w:sz w:val="20"/>
        </w:rPr>
        <w:t>;</w:t>
      </w:r>
    </w:p>
    <w:p w:rsidR="001557B7" w:rsidRDefault="00AD3265">
      <w:pPr>
        <w:numPr>
          <w:ilvl w:val="2"/>
          <w:numId w:val="2"/>
        </w:numPr>
        <w:spacing w:after="0"/>
        <w:ind w:left="1843" w:hanging="425"/>
        <w:rPr>
          <w:rFonts w:ascii="Arial" w:eastAsia="Calibri" w:hAnsi="Arial" w:cs="Arial"/>
          <w:noProof/>
          <w:kern w:val="20"/>
          <w:sz w:val="20"/>
        </w:rPr>
      </w:pPr>
      <w:r>
        <w:rPr>
          <w:rFonts w:ascii="Arial" w:hAnsi="Arial" w:cs="Arial"/>
          <w:noProof/>
          <w:sz w:val="20"/>
        </w:rPr>
        <w:t>Directive on trafficking in human beings</w:t>
      </w:r>
      <w:r>
        <w:rPr>
          <w:rStyle w:val="FootnoteReference"/>
          <w:rFonts w:ascii="Arial" w:hAnsi="Arial" w:cs="Arial"/>
          <w:noProof/>
          <w:sz w:val="20"/>
        </w:rPr>
        <w:footnoteReference w:id="121"/>
      </w:r>
      <w:r>
        <w:rPr>
          <w:rFonts w:ascii="Arial" w:hAnsi="Arial" w:cs="Arial"/>
          <w:noProof/>
          <w:sz w:val="20"/>
        </w:rPr>
        <w:t>;</w:t>
      </w:r>
    </w:p>
    <w:p w:rsidR="001557B7" w:rsidRDefault="00AD3265">
      <w:pPr>
        <w:numPr>
          <w:ilvl w:val="2"/>
          <w:numId w:val="2"/>
        </w:numPr>
        <w:spacing w:after="0"/>
        <w:ind w:left="1843" w:hanging="425"/>
        <w:rPr>
          <w:rFonts w:ascii="Arial" w:eastAsia="Calibri" w:hAnsi="Arial" w:cs="Arial"/>
          <w:noProof/>
          <w:kern w:val="20"/>
          <w:sz w:val="20"/>
        </w:rPr>
      </w:pPr>
      <w:r>
        <w:rPr>
          <w:rFonts w:ascii="Arial" w:hAnsi="Arial" w:cs="Arial"/>
          <w:noProof/>
          <w:sz w:val="20"/>
        </w:rPr>
        <w:t>Directive on port reception facilities for ship-generated waste and cargo residues</w:t>
      </w:r>
      <w:r>
        <w:rPr>
          <w:rStyle w:val="FootnoteReference"/>
          <w:noProof/>
        </w:rPr>
        <w:footnoteReference w:id="122"/>
      </w:r>
      <w:r>
        <w:rPr>
          <w:rFonts w:ascii="Arial" w:hAnsi="Arial" w:cs="Arial"/>
          <w:noProof/>
          <w:sz w:val="20"/>
        </w:rPr>
        <w:t>;</w:t>
      </w:r>
    </w:p>
    <w:p w:rsidR="001557B7" w:rsidRDefault="00AD3265">
      <w:pPr>
        <w:numPr>
          <w:ilvl w:val="2"/>
          <w:numId w:val="2"/>
        </w:numPr>
        <w:spacing w:after="0"/>
        <w:ind w:left="1843" w:hanging="425"/>
        <w:rPr>
          <w:rFonts w:ascii="Arial" w:eastAsia="Calibri" w:hAnsi="Arial" w:cs="Arial"/>
          <w:noProof/>
          <w:kern w:val="20"/>
          <w:sz w:val="20"/>
        </w:rPr>
      </w:pPr>
      <w:r>
        <w:rPr>
          <w:rFonts w:ascii="Arial" w:eastAsia="Calibri" w:hAnsi="Arial" w:cs="Arial"/>
          <w:noProof/>
          <w:kern w:val="20"/>
          <w:sz w:val="20"/>
        </w:rPr>
        <w:t xml:space="preserve">Directive on disclosure of non-financial and diversity information by </w:t>
      </w:r>
      <w:r>
        <w:rPr>
          <w:rFonts w:ascii="Arial" w:eastAsia="Calibri" w:hAnsi="Arial" w:cs="Arial"/>
          <w:noProof/>
          <w:kern w:val="20"/>
          <w:sz w:val="20"/>
        </w:rPr>
        <w:t>certain large undertakings</w:t>
      </w:r>
      <w:r>
        <w:rPr>
          <w:rStyle w:val="FootnoteReference"/>
          <w:rFonts w:eastAsia="Calibri"/>
          <w:noProof/>
        </w:rPr>
        <w:footnoteReference w:id="123"/>
      </w:r>
      <w:r>
        <w:rPr>
          <w:rFonts w:ascii="Arial" w:eastAsia="Calibri" w:hAnsi="Arial" w:cs="Arial"/>
          <w:noProof/>
          <w:kern w:val="20"/>
          <w:sz w:val="20"/>
        </w:rPr>
        <w:t>.</w:t>
      </w:r>
    </w:p>
    <w:p w:rsidR="001557B7" w:rsidRDefault="00AD3265">
      <w:pPr>
        <w:pStyle w:val="AnnualReport1"/>
        <w:numPr>
          <w:ilvl w:val="0"/>
          <w:numId w:val="136"/>
        </w:numPr>
        <w:spacing w:after="240"/>
        <w:ind w:left="709" w:hanging="425"/>
        <w:rPr>
          <w:caps w:val="0"/>
          <w:noProof/>
        </w:rPr>
      </w:pPr>
      <w:r>
        <w:rPr>
          <w:caps w:val="0"/>
          <w:noProof/>
        </w:rPr>
        <w:t>IMPORTANT JUDGMENTS</w:t>
      </w:r>
    </w:p>
    <w:p w:rsidR="001557B7" w:rsidRDefault="00AD3265">
      <w:pPr>
        <w:pStyle w:val="AnnualReport2"/>
        <w:numPr>
          <w:ilvl w:val="0"/>
          <w:numId w:val="204"/>
        </w:numPr>
        <w:ind w:left="709" w:hanging="425"/>
        <w:rPr>
          <w:noProof/>
        </w:rPr>
      </w:pPr>
      <w:r>
        <w:rPr>
          <w:noProof/>
        </w:rPr>
        <w:t>Court rulings</w:t>
      </w:r>
      <w:r>
        <w:rPr>
          <w:rStyle w:val="FootnoteReference"/>
          <w:noProof/>
        </w:rPr>
        <w:footnoteReference w:id="124"/>
      </w:r>
    </w:p>
    <w:p w:rsidR="001557B7" w:rsidRDefault="00AD3265">
      <w:pPr>
        <w:pStyle w:val="Body"/>
        <w:rPr>
          <w:noProof/>
          <w:lang w:val="en-GB"/>
        </w:rPr>
      </w:pPr>
      <w:r>
        <w:rPr>
          <w:noProof/>
          <w:lang w:val="en-GB"/>
        </w:rPr>
        <w:t>The Court gave the following rulings.</w:t>
      </w:r>
    </w:p>
    <w:p w:rsidR="001557B7" w:rsidRDefault="00AD3265">
      <w:pPr>
        <w:pStyle w:val="Lijstje2"/>
        <w:ind w:left="1276" w:hanging="425"/>
        <w:rPr>
          <w:rFonts w:ascii="Arial" w:hAnsi="Arial" w:cs="Arial"/>
          <w:noProof/>
          <w:lang w:val="en-GB"/>
        </w:rPr>
      </w:pPr>
      <w:r>
        <w:rPr>
          <w:rFonts w:ascii="Arial" w:hAnsi="Arial"/>
          <w:noProof/>
          <w:lang w:val="en-GB"/>
        </w:rPr>
        <w:t>Germany</w:t>
      </w:r>
      <w:r>
        <w:rPr>
          <w:rFonts w:ascii="Arial" w:hAnsi="Arial" w:cs="Arial"/>
          <w:noProof/>
          <w:lang w:val="en-GB"/>
        </w:rPr>
        <w:t xml:space="preserve"> failed to fulfil its obligations under the Habitats Directive by authorising the construction of a coal-fired power plant in Moorburg, near Hambur</w:t>
      </w:r>
      <w:r>
        <w:rPr>
          <w:rFonts w:ascii="Arial" w:hAnsi="Arial" w:cs="Arial"/>
          <w:noProof/>
          <w:lang w:val="en-GB"/>
        </w:rPr>
        <w:t>g, without conducting an appropriate and comprehensive assessment of its implications</w:t>
      </w:r>
      <w:r>
        <w:rPr>
          <w:rStyle w:val="FootnoteReference"/>
          <w:rFonts w:ascii="Arial" w:hAnsi="Arial" w:cs="Arial"/>
          <w:bCs/>
          <w:noProof/>
          <w:lang w:val="en-GB"/>
        </w:rPr>
        <w:footnoteReference w:id="125"/>
      </w:r>
      <w:r>
        <w:rPr>
          <w:rFonts w:ascii="Arial" w:hAnsi="Arial" w:cs="Arial"/>
          <w:noProof/>
          <w:lang w:val="en-GB"/>
        </w:rPr>
        <w:t>.</w:t>
      </w:r>
    </w:p>
    <w:p w:rsidR="001557B7" w:rsidRDefault="00AD3265">
      <w:pPr>
        <w:pStyle w:val="Lijstje2"/>
        <w:ind w:left="1276" w:hanging="425"/>
        <w:rPr>
          <w:rFonts w:ascii="Arial" w:hAnsi="Arial" w:cs="Arial"/>
          <w:noProof/>
          <w:lang w:val="en-GB"/>
        </w:rPr>
      </w:pPr>
      <w:r>
        <w:rPr>
          <w:rFonts w:ascii="Arial" w:hAnsi="Arial" w:cs="Arial"/>
          <w:noProof/>
          <w:lang w:val="en-GB"/>
        </w:rPr>
        <w:t>Germany failed to fulfil its port security obligations in relation to port boundaries, port security assessments and port security officers</w:t>
      </w:r>
      <w:r>
        <w:rPr>
          <w:rStyle w:val="FootnoteReference"/>
          <w:noProof/>
          <w:lang w:val="en-GB"/>
        </w:rPr>
        <w:footnoteReference w:id="126"/>
      </w:r>
      <w:r>
        <w:rPr>
          <w:rFonts w:ascii="Arial" w:hAnsi="Arial" w:cs="Arial"/>
          <w:noProof/>
          <w:lang w:val="en-GB"/>
        </w:rPr>
        <w:t>.</w:t>
      </w:r>
    </w:p>
    <w:p w:rsidR="001557B7" w:rsidRDefault="00AD3265">
      <w:pPr>
        <w:pStyle w:val="Lijstje2"/>
        <w:ind w:left="1276" w:hanging="425"/>
        <w:rPr>
          <w:rFonts w:ascii="Arial" w:hAnsi="Arial" w:cs="Arial"/>
          <w:noProof/>
          <w:lang w:val="en-GB"/>
        </w:rPr>
      </w:pPr>
      <w:r>
        <w:rPr>
          <w:rFonts w:ascii="Arial" w:hAnsi="Arial" w:cs="Arial"/>
          <w:noProof/>
          <w:lang w:val="en-GB"/>
        </w:rPr>
        <w:t xml:space="preserve">As the VAT Directive </w:t>
      </w:r>
      <w:r>
        <w:rPr>
          <w:rFonts w:ascii="Arial" w:hAnsi="Arial" w:cs="Arial"/>
          <w:noProof/>
          <w:lang w:val="en-GB"/>
        </w:rPr>
        <w:t>exempts from VAT all services provided by cost-sharing groups</w:t>
      </w:r>
      <w:r>
        <w:rPr>
          <w:rStyle w:val="FootnoteReference"/>
          <w:rFonts w:ascii="Arial" w:hAnsi="Arial" w:cs="Arial"/>
          <w:noProof/>
          <w:lang w:val="en-GB"/>
        </w:rPr>
        <w:footnoteReference w:id="127"/>
      </w:r>
      <w:r>
        <w:rPr>
          <w:rFonts w:ascii="Arial" w:hAnsi="Arial" w:cs="Arial"/>
          <w:noProof/>
          <w:lang w:val="en-GB"/>
        </w:rPr>
        <w:t xml:space="preserve"> to their members (under certain common conditions), the German rule that restricted this kind of VAT exemption to cost-sharing groups operating in the medical and healthcare sector violated EU </w:t>
      </w:r>
      <w:r>
        <w:rPr>
          <w:rFonts w:ascii="Arial" w:hAnsi="Arial" w:cs="Arial"/>
          <w:noProof/>
          <w:lang w:val="en-GB"/>
        </w:rPr>
        <w:t>law</w:t>
      </w:r>
      <w:r>
        <w:rPr>
          <w:rStyle w:val="FootnoteReference"/>
          <w:rFonts w:ascii="Arial" w:hAnsi="Arial" w:cs="Arial"/>
          <w:noProof/>
          <w:lang w:val="en-GB"/>
        </w:rPr>
        <w:footnoteReference w:id="128"/>
      </w:r>
      <w:r>
        <w:rPr>
          <w:rFonts w:ascii="Arial" w:hAnsi="Arial" w:cs="Arial"/>
          <w:noProof/>
          <w:lang w:val="en-GB"/>
        </w:rPr>
        <w:t>.</w:t>
      </w:r>
    </w:p>
    <w:p w:rsidR="001557B7" w:rsidRDefault="00AD3265">
      <w:pPr>
        <w:pStyle w:val="Lijstje2"/>
        <w:ind w:left="1276" w:hanging="425"/>
        <w:rPr>
          <w:rFonts w:ascii="Arial" w:hAnsi="Arial"/>
          <w:noProof/>
          <w:lang w:val="en-GB"/>
        </w:rPr>
      </w:pPr>
      <w:r>
        <w:rPr>
          <w:rFonts w:ascii="Arial" w:hAnsi="Arial" w:cs="Arial"/>
          <w:noProof/>
          <w:lang w:val="en-GB"/>
        </w:rPr>
        <w:t>Member Sta</w:t>
      </w:r>
      <w:r>
        <w:rPr>
          <w:rFonts w:ascii="Arial" w:hAnsi="Arial"/>
          <w:noProof/>
          <w:lang w:val="en-GB"/>
        </w:rPr>
        <w:t xml:space="preserve">tes have to ensure that the accounts of railway undertakings are kept in a way </w:t>
      </w:r>
      <w:r>
        <w:rPr>
          <w:rFonts w:ascii="Arial" w:hAnsi="Arial" w:cs="Arial"/>
          <w:noProof/>
          <w:lang w:val="en-GB"/>
        </w:rPr>
        <w:t xml:space="preserve">that makes it possible </w:t>
      </w:r>
      <w:r>
        <w:rPr>
          <w:rStyle w:val="bold"/>
          <w:rFonts w:ascii="Arial" w:hAnsi="Arial" w:cs="Arial"/>
          <w:noProof/>
          <w:lang w:val="en-GB"/>
        </w:rPr>
        <w:t>to monitor the prohibition of transferring public funds earmarked for the management of railway infrastructure to transport services</w:t>
      </w:r>
      <w:r>
        <w:rPr>
          <w:rStyle w:val="FootnoteReference"/>
          <w:rFonts w:ascii="Arial" w:hAnsi="Arial"/>
          <w:noProof/>
          <w:lang w:val="en-GB"/>
        </w:rPr>
        <w:footnoteReference w:id="129"/>
      </w:r>
      <w:r>
        <w:rPr>
          <w:rFonts w:ascii="Arial" w:hAnsi="Arial"/>
          <w:noProof/>
          <w:lang w:val="en-GB"/>
        </w:rPr>
        <w:t>.</w:t>
      </w:r>
    </w:p>
    <w:p w:rsidR="001557B7" w:rsidRDefault="00AD3265">
      <w:pPr>
        <w:pStyle w:val="Lijstje2"/>
        <w:ind w:left="1276" w:hanging="425"/>
        <w:rPr>
          <w:rFonts w:ascii="Arial" w:hAnsi="Arial"/>
          <w:noProof/>
          <w:lang w:val="en-GB"/>
        </w:rPr>
      </w:pPr>
      <w:r>
        <w:rPr>
          <w:rFonts w:ascii="Arial" w:hAnsi="Arial" w:cs="Arial"/>
          <w:noProof/>
          <w:lang w:val="en-GB"/>
        </w:rPr>
        <w:t xml:space="preserve">As </w:t>
      </w:r>
      <w:r>
        <w:rPr>
          <w:rFonts w:ascii="Arial" w:hAnsi="Arial" w:cs="Arial"/>
          <w:noProof/>
          <w:lang w:val="en-GB"/>
        </w:rPr>
        <w:t>the European Commission did not adopt a financial correction decision related to the European Regional Development Fund within the six-month deadline indicated in the relevant Regulation, the decision has been annualed on procedural grounds</w:t>
      </w:r>
      <w:r>
        <w:rPr>
          <w:rStyle w:val="FootnoteReference"/>
          <w:rFonts w:ascii="Arial" w:hAnsi="Arial"/>
          <w:noProof/>
          <w:lang w:val="en-GB"/>
        </w:rPr>
        <w:footnoteReference w:id="130"/>
      </w:r>
      <w:r>
        <w:rPr>
          <w:rFonts w:ascii="Arial" w:hAnsi="Arial" w:cs="Arial"/>
          <w:noProof/>
          <w:lang w:val="en-GB"/>
        </w:rPr>
        <w:t>.</w:t>
      </w:r>
    </w:p>
    <w:p w:rsidR="001557B7" w:rsidRDefault="00AD3265">
      <w:pPr>
        <w:pStyle w:val="AnnualReport2"/>
        <w:numPr>
          <w:ilvl w:val="0"/>
          <w:numId w:val="204"/>
        </w:numPr>
        <w:ind w:left="709" w:hanging="425"/>
        <w:rPr>
          <w:noProof/>
        </w:rPr>
      </w:pPr>
      <w:r>
        <w:rPr>
          <w:noProof/>
        </w:rPr>
        <w:t>Preliminary r</w:t>
      </w:r>
      <w:r>
        <w:rPr>
          <w:noProof/>
        </w:rPr>
        <w:t>ulings</w:t>
      </w:r>
    </w:p>
    <w:p w:rsidR="001557B7" w:rsidRDefault="00AD3265">
      <w:pPr>
        <w:pStyle w:val="Body"/>
        <w:ind w:left="786" w:firstLine="0"/>
        <w:rPr>
          <w:noProof/>
          <w:lang w:val="en-GB"/>
        </w:rPr>
      </w:pPr>
      <w:r>
        <w:rPr>
          <w:noProof/>
          <w:lang w:val="en-GB"/>
        </w:rPr>
        <w:t>The Court addressed the following preliminary rulings to the German judiciary.</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Purely plant-based products cannot, in principle, be marketed with designations such as ‘milk’, ‘cream’, ‘butter’, ‘cheese’ or ‘yoghurt’, which are reserved by EU law for</w:t>
      </w:r>
      <w:r>
        <w:rPr>
          <w:rFonts w:ascii="Arial" w:hAnsi="Arial" w:cs="Arial"/>
          <w:noProof/>
          <w:lang w:val="en-GB"/>
        </w:rPr>
        <w:t xml:space="preserve"> animal products. This prohibition applies even if those designations are accompanied by clarifying or descriptive terms indicating the plant origin of the product concerned. This prohibition however does not apply if the product is mentioned on a list of </w:t>
      </w:r>
      <w:r>
        <w:rPr>
          <w:rFonts w:ascii="Arial" w:hAnsi="Arial" w:cs="Arial"/>
          <w:noProof/>
          <w:lang w:val="en-GB"/>
        </w:rPr>
        <w:t>exceptions set out in a Commission decision</w:t>
      </w:r>
      <w:r>
        <w:rPr>
          <w:rStyle w:val="FootnoteReference"/>
          <w:rFonts w:ascii="Arial" w:hAnsi="Arial" w:cs="Arial"/>
          <w:noProof/>
          <w:lang w:val="en-GB"/>
        </w:rPr>
        <w:footnoteReference w:id="131"/>
      </w:r>
      <w:r>
        <w:rPr>
          <w:rFonts w:ascii="Arial" w:hAnsi="Arial" w:cs="Arial"/>
          <w:noProof/>
          <w:lang w:val="en-GB"/>
        </w:rPr>
        <w:t>.</w:t>
      </w:r>
    </w:p>
    <w:p w:rsidR="001557B7" w:rsidRDefault="00AD3265">
      <w:pPr>
        <w:pStyle w:val="Lijstje2"/>
        <w:numPr>
          <w:ilvl w:val="0"/>
          <w:numId w:val="219"/>
        </w:numPr>
        <w:contextualSpacing w:val="0"/>
        <w:rPr>
          <w:rFonts w:ascii="Arial" w:hAnsi="Arial" w:cs="Arial"/>
          <w:noProof/>
          <w:lang w:val="en-GB"/>
        </w:rPr>
      </w:pPr>
      <w:r>
        <w:rPr>
          <w:rFonts w:ascii="Arial" w:hAnsi="Arial" w:cs="Arial"/>
          <w:noProof/>
          <w:lang w:val="en-GB"/>
        </w:rPr>
        <w:t xml:space="preserve">A sorbet may be sold under the name ‘Champagner Sorbet’ if it has, as one of its essential characteristics, a taste attributable primarily to champagne. If that is the case, that product name does not take </w:t>
      </w:r>
      <w:r>
        <w:rPr>
          <w:rFonts w:ascii="Arial" w:hAnsi="Arial" w:cs="Arial"/>
          <w:noProof/>
          <w:lang w:val="en-GB"/>
        </w:rPr>
        <w:t>undue advantage (and therefore does not exploit the reputation) of the protected designation of origin (PDO) ‘champagne’. A PDO is protected not only against false or misleading indications which may create a false impression as to the origin of the produc</w:t>
      </w:r>
      <w:r>
        <w:rPr>
          <w:rFonts w:ascii="Arial" w:hAnsi="Arial" w:cs="Arial"/>
          <w:noProof/>
          <w:lang w:val="en-GB"/>
        </w:rPr>
        <w:t>t, but also against false or misleading indications relating to the nature or essential qualities of the product</w:t>
      </w:r>
      <w:r>
        <w:rPr>
          <w:rStyle w:val="FootnoteReference"/>
          <w:rFonts w:ascii="Arial" w:hAnsi="Arial" w:cs="Arial"/>
          <w:noProof/>
          <w:lang w:val="en-GB"/>
        </w:rPr>
        <w:footnoteReference w:id="132"/>
      </w:r>
      <w:r>
        <w:rPr>
          <w:rFonts w:ascii="Arial" w:hAnsi="Arial" w:cs="Arial"/>
          <w:noProof/>
          <w:lang w:val="en-GB"/>
        </w:rPr>
        <w:t>.</w:t>
      </w:r>
    </w:p>
    <w:p w:rsidR="001557B7" w:rsidRDefault="00AD3265">
      <w:pPr>
        <w:pStyle w:val="Lijstje2"/>
        <w:ind w:left="1276" w:hanging="425"/>
        <w:contextualSpacing w:val="0"/>
        <w:rPr>
          <w:rFonts w:ascii="Arial" w:hAnsi="Arial" w:cs="Arial"/>
          <w:i/>
          <w:noProof/>
          <w:lang w:val="en-GB"/>
        </w:rPr>
      </w:pPr>
      <w:r>
        <w:rPr>
          <w:rFonts w:ascii="Arial" w:hAnsi="Arial" w:cs="Arial"/>
          <w:noProof/>
          <w:lang w:val="en-GB"/>
        </w:rPr>
        <w:t xml:space="preserve">Substances which have not be registered at the time of their import into the territory of the EU in accordance with the REACH Regulation may </w:t>
      </w:r>
      <w:r>
        <w:rPr>
          <w:rFonts w:ascii="Arial" w:hAnsi="Arial" w:cs="Arial"/>
          <w:noProof/>
          <w:lang w:val="en-GB"/>
        </w:rPr>
        <w:t>be exported outside that territory</w:t>
      </w:r>
      <w:r>
        <w:rPr>
          <w:rStyle w:val="FootnoteReference"/>
          <w:rFonts w:ascii="Arial" w:hAnsi="Arial" w:cs="Arial"/>
          <w:noProof/>
          <w:lang w:val="en-GB"/>
        </w:rPr>
        <w:footnoteReference w:id="133"/>
      </w:r>
      <w:r>
        <w:rPr>
          <w:rFonts w:ascii="Arial" w:hAnsi="Arial" w:cs="Arial"/>
          <w:noProof/>
          <w:lang w:val="en-GB"/>
        </w:rPr>
        <w:t>.</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The legal aid granted by the Member State of the court hearing a case, in which a natural person domiciled or resident in another Member State has submitted a legal aid application in the context of a cross-border dispu</w:t>
      </w:r>
      <w:r>
        <w:rPr>
          <w:rFonts w:ascii="Arial" w:hAnsi="Arial" w:cs="Arial"/>
          <w:noProof/>
          <w:lang w:val="en-GB"/>
        </w:rPr>
        <w:t>te, also covers the costs paid by that person for the translation of the supporting documents necessary for the processing of that application</w:t>
      </w:r>
      <w:r>
        <w:rPr>
          <w:rStyle w:val="FootnoteReference"/>
          <w:rFonts w:ascii="Arial" w:hAnsi="Arial" w:cs="Arial"/>
          <w:noProof/>
          <w:lang w:val="en-GB"/>
        </w:rPr>
        <w:footnoteReference w:id="134"/>
      </w:r>
      <w:r>
        <w:rPr>
          <w:rFonts w:ascii="Arial" w:hAnsi="Arial" w:cs="Arial"/>
          <w:noProof/>
          <w:lang w:val="en-GB"/>
        </w:rPr>
        <w:t>.</w:t>
      </w:r>
    </w:p>
    <w:p w:rsidR="001557B7" w:rsidRDefault="00AD3265">
      <w:pPr>
        <w:pStyle w:val="Lijstje2"/>
        <w:ind w:left="1276" w:hanging="425"/>
        <w:contextualSpacing w:val="0"/>
        <w:rPr>
          <w:rFonts w:ascii="Arial" w:hAnsi="Arial"/>
          <w:noProof/>
          <w:lang w:val="en-GB"/>
        </w:rPr>
      </w:pPr>
      <w:r>
        <w:rPr>
          <w:rFonts w:ascii="Arial" w:hAnsi="Arial" w:cs="Arial"/>
          <w:noProof/>
          <w:lang w:val="en-GB"/>
        </w:rPr>
        <w:t>The Rome III Regulation</w:t>
      </w:r>
      <w:r>
        <w:rPr>
          <w:rStyle w:val="FootnoteReference"/>
          <w:rFonts w:ascii="Arial" w:hAnsi="Arial" w:cs="Arial"/>
          <w:noProof/>
          <w:lang w:val="en-GB"/>
        </w:rPr>
        <w:footnoteReference w:id="135"/>
      </w:r>
      <w:r>
        <w:rPr>
          <w:rFonts w:ascii="Arial" w:hAnsi="Arial" w:cs="Arial"/>
          <w:noProof/>
          <w:lang w:val="en-GB"/>
        </w:rPr>
        <w:t xml:space="preserve"> does not apply to private divorce (i.e. a divorce which is not pronounced by a court o</w:t>
      </w:r>
      <w:r>
        <w:rPr>
          <w:rFonts w:ascii="Arial" w:hAnsi="Arial" w:cs="Arial"/>
          <w:noProof/>
          <w:lang w:val="en-GB"/>
        </w:rPr>
        <w:t xml:space="preserve">r public authority), such as a unilateral declaration made by a spouse before a religious court (for example, under sharia law). The Rome III Regulation aims at facilitating cross-border divorces by determining which national law, of all those potentially </w:t>
      </w:r>
      <w:r>
        <w:rPr>
          <w:rFonts w:ascii="Arial" w:hAnsi="Arial" w:cs="Arial"/>
          <w:noProof/>
          <w:lang w:val="en-GB"/>
        </w:rPr>
        <w:t>applicable, should be applied by the courts of Member States to resolve the divorce</w:t>
      </w:r>
      <w:r>
        <w:rPr>
          <w:rStyle w:val="FootnoteReference"/>
          <w:rFonts w:ascii="Arial" w:hAnsi="Arial" w:cs="Arial"/>
          <w:noProof/>
          <w:lang w:val="en-GB"/>
        </w:rPr>
        <w:footnoteReference w:id="136"/>
      </w:r>
      <w:r>
        <w:rPr>
          <w:rFonts w:ascii="Arial" w:hAnsi="Arial" w:cs="Arial"/>
          <w:noProof/>
          <w:lang w:val="en-GB"/>
        </w:rPr>
        <w:t>.</w:t>
      </w:r>
    </w:p>
    <w:p w:rsidR="001557B7" w:rsidRDefault="00AD3265">
      <w:pPr>
        <w:pStyle w:val="Lijstje2"/>
        <w:ind w:left="1276" w:hanging="425"/>
        <w:contextualSpacing w:val="0"/>
        <w:rPr>
          <w:rFonts w:ascii="Arial" w:hAnsi="Arial"/>
          <w:noProof/>
          <w:lang w:val="en-GB"/>
        </w:rPr>
      </w:pPr>
      <w:r>
        <w:rPr>
          <w:rFonts w:ascii="Arial" w:hAnsi="Arial" w:cs="Arial"/>
          <w:noProof/>
          <w:lang w:val="en-GB"/>
        </w:rPr>
        <w:t>The concept of ‘basic rate’, referred to in the Directive on consumer rights</w:t>
      </w:r>
      <w:r>
        <w:rPr>
          <w:rStyle w:val="FootnoteReference"/>
          <w:rFonts w:ascii="Arial" w:hAnsi="Arial" w:cs="Arial"/>
          <w:noProof/>
          <w:lang w:val="en-GB"/>
        </w:rPr>
        <w:footnoteReference w:id="137"/>
      </w:r>
      <w:r>
        <w:rPr>
          <w:rFonts w:ascii="Arial" w:hAnsi="Arial" w:cs="Arial"/>
          <w:noProof/>
          <w:lang w:val="en-GB"/>
        </w:rPr>
        <w:t xml:space="preserve">, means that charges for the use of a telephone helpline operated by the trader, in order to </w:t>
      </w:r>
      <w:r>
        <w:rPr>
          <w:rFonts w:ascii="Arial" w:hAnsi="Arial" w:cs="Arial"/>
          <w:noProof/>
          <w:lang w:val="en-GB"/>
        </w:rPr>
        <w:t>contact him in relation to a concluded contract, may not exceed the cost of a call to a standard geographic landline or mobile telephone line. This is regardless of whether the relevant trader does or does not make a profit through that telephone helpline</w:t>
      </w:r>
      <w:r>
        <w:rPr>
          <w:rStyle w:val="FootnoteReference"/>
          <w:rFonts w:ascii="Arial" w:hAnsi="Arial" w:cs="Arial"/>
          <w:noProof/>
          <w:lang w:val="en-GB"/>
        </w:rPr>
        <w:footnoteReference w:id="138"/>
      </w:r>
      <w:r>
        <w:rPr>
          <w:rFonts w:ascii="Arial" w:hAnsi="Arial" w:cs="Arial"/>
          <w:noProof/>
          <w:lang w:val="en-GB"/>
        </w:rPr>
        <w:t>.</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The efficient management of migration flows may justify a national measure requiring nationals of third countries under the age of 16 to hold a residence permit in order to enter and reside in that Member State. However, such a measure is not proportiona</w:t>
      </w:r>
      <w:r>
        <w:rPr>
          <w:rFonts w:ascii="Arial" w:hAnsi="Arial" w:cs="Arial"/>
          <w:noProof/>
          <w:lang w:val="en-GB"/>
        </w:rPr>
        <w:t>te when it concerns child nationals of third countries born in the Member State in question and one of whose parents is a Turkish worker lawfully residing in that Member State</w:t>
      </w:r>
      <w:r>
        <w:rPr>
          <w:rStyle w:val="FootnoteReference"/>
          <w:rFonts w:ascii="Arial" w:hAnsi="Arial" w:cs="Arial"/>
          <w:noProof/>
          <w:lang w:val="en-GB"/>
        </w:rPr>
        <w:footnoteReference w:id="139"/>
      </w:r>
      <w:r>
        <w:rPr>
          <w:rFonts w:ascii="Arial" w:hAnsi="Arial" w:cs="Arial"/>
          <w:noProof/>
          <w:lang w:val="en-GB"/>
        </w:rPr>
        <w:t>.</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Member States enjoy a wide discretion in refusing to admit third country stude</w:t>
      </w:r>
      <w:r>
        <w:rPr>
          <w:rFonts w:ascii="Arial" w:hAnsi="Arial" w:cs="Arial"/>
          <w:noProof/>
          <w:lang w:val="en-GB"/>
        </w:rPr>
        <w:t>nts who plan to carry out research in that Member State in a field that is sensitive for public security, if the elements available provide a sufficiently solid factual basis to fear that the knowledge acquired by that person during research may subsequent</w:t>
      </w:r>
      <w:r>
        <w:rPr>
          <w:rFonts w:ascii="Arial" w:hAnsi="Arial" w:cs="Arial"/>
          <w:noProof/>
          <w:lang w:val="en-GB"/>
        </w:rPr>
        <w:t xml:space="preserve">ly be used for purposes contrary to public security </w:t>
      </w:r>
      <w:r>
        <w:rPr>
          <w:rStyle w:val="FootnoteReference"/>
          <w:noProof/>
        </w:rPr>
        <w:footnoteReference w:id="140"/>
      </w:r>
      <w:r>
        <w:rPr>
          <w:rFonts w:ascii="Arial" w:hAnsi="Arial" w:cs="Arial"/>
          <w:noProof/>
          <w:lang w:val="en-GB"/>
        </w:rPr>
        <w:t>.</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EU law precludes the application of national provisions providing for a review of the equity of charges for the use of railway infrastructure, on a case-by-case basis, by the ordinary courts, and the p</w:t>
      </w:r>
      <w:r>
        <w:rPr>
          <w:rFonts w:ascii="Arial" w:hAnsi="Arial" w:cs="Arial"/>
          <w:noProof/>
          <w:lang w:val="en-GB"/>
        </w:rPr>
        <w:t>ossibility, if necessary, of amending the amount of those charges, independently of the monitoring performed by the regulatory body provided for in EU law</w:t>
      </w:r>
      <w:r>
        <w:rPr>
          <w:rStyle w:val="FootnoteReference"/>
          <w:rFonts w:ascii="Arial" w:hAnsi="Arial" w:cs="Arial"/>
          <w:noProof/>
          <w:lang w:val="en-GB"/>
        </w:rPr>
        <w:footnoteReference w:id="141"/>
      </w:r>
      <w:r>
        <w:rPr>
          <w:rFonts w:ascii="Arial" w:hAnsi="Arial" w:cs="Arial"/>
          <w:noProof/>
          <w:lang w:val="en-GB"/>
        </w:rPr>
        <w:t>.</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The representation and collective defence of the employees’ interests in the management or supervis</w:t>
      </w:r>
      <w:r>
        <w:rPr>
          <w:rFonts w:ascii="Arial" w:hAnsi="Arial" w:cs="Arial"/>
          <w:noProof/>
          <w:lang w:val="en-GB"/>
        </w:rPr>
        <w:t>ory bodies of a company founded under national law is a non-harmonised and non-coordinated field from the point of view of EU law. A Member State may therefore adopt legislation applicable only to workers employed by companies located in its national terri</w:t>
      </w:r>
      <w:r>
        <w:rPr>
          <w:rFonts w:ascii="Arial" w:hAnsi="Arial" w:cs="Arial"/>
          <w:noProof/>
          <w:lang w:val="en-GB"/>
        </w:rPr>
        <w:t>tory</w:t>
      </w:r>
      <w:r>
        <w:rPr>
          <w:rStyle w:val="FootnoteReference"/>
          <w:rFonts w:ascii="Arial" w:hAnsi="Arial" w:cs="Arial"/>
          <w:noProof/>
          <w:lang w:val="en-GB"/>
        </w:rPr>
        <w:footnoteReference w:id="142"/>
      </w:r>
      <w:r>
        <w:rPr>
          <w:rFonts w:ascii="Arial" w:hAnsi="Arial" w:cs="Arial"/>
          <w:noProof/>
          <w:lang w:val="en-GB"/>
        </w:rPr>
        <w:t>.</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The German anti-abuse measures concerning dividend payments to foreign companies without genuine activity were incompatible, in the respective tax years, with both the Parent-Subsidiary Directive and the freedom of establishment</w:t>
      </w:r>
      <w:r>
        <w:rPr>
          <w:rStyle w:val="FootnoteReference"/>
          <w:rFonts w:ascii="Arial" w:hAnsi="Arial" w:cs="Arial"/>
          <w:noProof/>
          <w:lang w:val="en-GB"/>
        </w:rPr>
        <w:footnoteReference w:id="143"/>
      </w:r>
      <w:r>
        <w:rPr>
          <w:rFonts w:ascii="Arial" w:hAnsi="Arial" w:cs="Arial"/>
          <w:noProof/>
          <w:lang w:val="en-GB"/>
        </w:rPr>
        <w:t>.</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It is incompatible</w:t>
      </w:r>
      <w:r>
        <w:rPr>
          <w:rFonts w:ascii="Arial" w:hAnsi="Arial" w:cs="Arial"/>
          <w:noProof/>
          <w:lang w:val="en-GB"/>
        </w:rPr>
        <w:t xml:space="preserve"> with the free movement of workers that the German law does not allow residents working in another Member State to deduct, from their income tax base, their pension and health insurance contributions which were deducted from their wages in the Member State</w:t>
      </w:r>
      <w:r>
        <w:rPr>
          <w:rFonts w:ascii="Arial" w:hAnsi="Arial" w:cs="Arial"/>
          <w:noProof/>
          <w:lang w:val="en-GB"/>
        </w:rPr>
        <w:t xml:space="preserve"> of employment, in contrast to comparable contributions paid to the German social security. This also applies where under a double-taxation Convention the income from the source state must not be taxed in the worker’s Member State of residence but merely i</w:t>
      </w:r>
      <w:r>
        <w:rPr>
          <w:rFonts w:ascii="Arial" w:hAnsi="Arial" w:cs="Arial"/>
          <w:noProof/>
          <w:lang w:val="en-GB"/>
        </w:rPr>
        <w:t>ncreases the tax rate to be applied to other income</w:t>
      </w:r>
      <w:r>
        <w:rPr>
          <w:rStyle w:val="FootnoteReference"/>
          <w:rFonts w:ascii="Arial" w:hAnsi="Arial" w:cs="Arial"/>
          <w:noProof/>
          <w:lang w:val="en-GB"/>
        </w:rPr>
        <w:footnoteReference w:id="144"/>
      </w:r>
      <w:r>
        <w:rPr>
          <w:rFonts w:ascii="Arial" w:hAnsi="Arial" w:cs="Arial"/>
          <w:noProof/>
          <w:lang w:val="en-GB"/>
        </w:rPr>
        <w:t>.</w:t>
      </w:r>
    </w:p>
    <w:p w:rsidR="001557B7" w:rsidRDefault="00AD3265">
      <w:pPr>
        <w:pStyle w:val="Lijstje2"/>
        <w:ind w:left="1276" w:hanging="425"/>
        <w:contextualSpacing w:val="0"/>
        <w:rPr>
          <w:rFonts w:ascii="Arial" w:hAnsi="Arial"/>
          <w:noProof/>
          <w:lang w:val="en-GB"/>
        </w:rPr>
      </w:pPr>
      <w:r>
        <w:rPr>
          <w:rFonts w:ascii="Arial" w:hAnsi="Arial"/>
          <w:noProof/>
          <w:lang w:val="en-GB"/>
        </w:rPr>
        <w:t>The authorities of a Member State may not refuse to recognise the change of name by a dual EU-national in one of the Member States of his nationalities, subject to the condition that that name must have</w:t>
      </w:r>
      <w:r>
        <w:rPr>
          <w:rFonts w:ascii="Arial" w:hAnsi="Arial"/>
          <w:noProof/>
          <w:lang w:val="en-GB"/>
        </w:rPr>
        <w:t xml:space="preserve"> been acquired during a period of habitual residence in that other Member State, unless there are other provisions of national law which effectively allow the recognition of that name</w:t>
      </w:r>
      <w:r>
        <w:rPr>
          <w:rStyle w:val="FootnoteReference"/>
          <w:rFonts w:ascii="Arial" w:hAnsi="Arial"/>
          <w:noProof/>
          <w:lang w:val="en-GB"/>
        </w:rPr>
        <w:footnoteReference w:id="145"/>
      </w:r>
      <w:r>
        <w:rPr>
          <w:rFonts w:ascii="Arial" w:hAnsi="Arial"/>
          <w:noProof/>
          <w:lang w:val="en-GB"/>
        </w:rPr>
        <w:t>.</w:t>
      </w:r>
    </w:p>
    <w:p w:rsidR="001557B7" w:rsidRDefault="00AD3265">
      <w:pPr>
        <w:pStyle w:val="Lijstje2"/>
        <w:ind w:left="1276" w:hanging="425"/>
        <w:contextualSpacing w:val="0"/>
        <w:rPr>
          <w:rFonts w:ascii="Arial" w:hAnsi="Arial"/>
          <w:noProof/>
          <w:lang w:val="en-GB"/>
        </w:rPr>
      </w:pPr>
      <w:r>
        <w:rPr>
          <w:rFonts w:ascii="Arial" w:hAnsi="Arial"/>
          <w:noProof/>
          <w:lang w:val="en-GB"/>
        </w:rPr>
        <w:t>In relation to customs valuation, a flat-rate adjustment based on tran</w:t>
      </w:r>
      <w:r>
        <w:rPr>
          <w:rFonts w:ascii="Arial" w:hAnsi="Arial"/>
          <w:noProof/>
          <w:lang w:val="en-GB"/>
        </w:rPr>
        <w:t>sfer pricing arrangements, and made after the accounting period, cannot be taken into account when establishing the transaction value of imported goods</w:t>
      </w:r>
      <w:r>
        <w:rPr>
          <w:rStyle w:val="FootnoteReference"/>
          <w:rFonts w:ascii="Arial" w:hAnsi="Arial" w:cs="Arial"/>
          <w:noProof/>
          <w:lang w:val="en-GB"/>
        </w:rPr>
        <w:footnoteReference w:id="146"/>
      </w:r>
      <w:r>
        <w:rPr>
          <w:rFonts w:ascii="Arial" w:hAnsi="Arial" w:cs="Arial"/>
          <w:noProof/>
          <w:lang w:val="en-GB"/>
        </w:rPr>
        <w:t>.</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The age limit of 65 years established under EU legislation for pilots of commercial aircraft transport</w:t>
      </w:r>
      <w:r>
        <w:rPr>
          <w:rFonts w:ascii="Arial" w:hAnsi="Arial" w:cs="Arial"/>
          <w:noProof/>
          <w:lang w:val="en-GB"/>
        </w:rPr>
        <w:t>ing passengers, cargo or mail is justified by the aim of ensuring civil aviation safety</w:t>
      </w:r>
      <w:r>
        <w:rPr>
          <w:rStyle w:val="FootnoteReference"/>
          <w:rFonts w:ascii="Arial" w:hAnsi="Arial" w:cs="Arial"/>
          <w:noProof/>
          <w:lang w:val="en-GB"/>
        </w:rPr>
        <w:footnoteReference w:id="147"/>
      </w:r>
      <w:r>
        <w:rPr>
          <w:rFonts w:ascii="Arial" w:hAnsi="Arial" w:cs="Arial"/>
          <w:noProof/>
          <w:lang w:val="en-GB"/>
        </w:rPr>
        <w:t>.</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The general rules protecting consumers also apply against unfair terms in contracts of carriage by air. When publishing their air fares, air carriers must specify sep</w:t>
      </w:r>
      <w:r>
        <w:rPr>
          <w:rFonts w:ascii="Arial" w:hAnsi="Arial" w:cs="Arial"/>
          <w:noProof/>
          <w:lang w:val="en-GB"/>
        </w:rPr>
        <w:t>arately the amounts payable in respect of taxes, airport charges and other charges, surcharges or fees</w:t>
      </w:r>
      <w:r>
        <w:rPr>
          <w:rStyle w:val="FootnoteReference"/>
          <w:rFonts w:ascii="Arial" w:hAnsi="Arial" w:cs="Arial"/>
          <w:noProof/>
          <w:lang w:val="en-GB"/>
        </w:rPr>
        <w:footnoteReference w:id="148"/>
      </w:r>
      <w:r>
        <w:rPr>
          <w:rFonts w:ascii="Arial" w:hAnsi="Arial" w:cs="Arial"/>
          <w:noProof/>
          <w:lang w:val="en-GB"/>
        </w:rPr>
        <w:t>.</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For the purpose of calculating compensation payable to passengers in the event of cancellation or long delay of a connecting flight, the concept of ‘di</w:t>
      </w:r>
      <w:r>
        <w:rPr>
          <w:rFonts w:ascii="Arial" w:hAnsi="Arial" w:cs="Arial"/>
          <w:noProof/>
          <w:lang w:val="en-GB"/>
        </w:rPr>
        <w:t>stance’ relates only to the radial distance. This is the distance calculated between the first point of departure and the final destination on the basis of the ‘great circle’ method and regardless of the actual distance flown</w:t>
      </w:r>
      <w:r>
        <w:rPr>
          <w:rStyle w:val="FootnoteReference"/>
          <w:rFonts w:ascii="Arial" w:hAnsi="Arial" w:cs="Arial"/>
          <w:noProof/>
          <w:lang w:val="en-GB"/>
        </w:rPr>
        <w:footnoteReference w:id="149"/>
      </w:r>
      <w:r>
        <w:rPr>
          <w:rFonts w:ascii="Arial" w:hAnsi="Arial" w:cs="Arial"/>
          <w:noProof/>
          <w:lang w:val="en-GB"/>
        </w:rPr>
        <w:t>.</w:t>
      </w:r>
    </w:p>
    <w:p w:rsidR="001557B7" w:rsidRDefault="001557B7">
      <w:pPr>
        <w:spacing w:after="0"/>
        <w:jc w:val="left"/>
        <w:rPr>
          <w:noProof/>
        </w:rPr>
      </w:pPr>
    </w:p>
    <w:p w:rsidR="001557B7" w:rsidRDefault="001557B7">
      <w:pPr>
        <w:spacing w:after="0"/>
        <w:jc w:val="left"/>
        <w:rPr>
          <w:noProof/>
        </w:rPr>
        <w:sectPr w:rsidR="001557B7">
          <w:headerReference w:type="even" r:id="rId103"/>
          <w:headerReference w:type="default" r:id="rId104"/>
          <w:footerReference w:type="even" r:id="rId105"/>
          <w:footerReference w:type="default" r:id="rId106"/>
          <w:headerReference w:type="first" r:id="rId107"/>
          <w:footerReference w:type="first" r:id="rId108"/>
          <w:footnotePr>
            <w:numRestart w:val="eachSect"/>
          </w:footnotePr>
          <w:pgSz w:w="11906" w:h="16838"/>
          <w:pgMar w:top="1702" w:right="1417" w:bottom="1134" w:left="1417" w:header="567" w:footer="351" w:gutter="0"/>
          <w:cols w:space="708"/>
          <w:titlePg/>
          <w:docGrid w:linePitch="360"/>
        </w:sectPr>
      </w:pPr>
    </w:p>
    <w:p w:rsidR="001557B7" w:rsidRDefault="00AD3265">
      <w:pPr>
        <w:pStyle w:val="Heading1"/>
        <w:rPr>
          <w:noProof/>
        </w:rPr>
      </w:pPr>
      <w:bookmarkStart w:id="50" w:name="_Toc484622322"/>
      <w:bookmarkStart w:id="51" w:name="_Toc510015271"/>
      <w:r>
        <w:rPr>
          <w:noProof/>
        </w:rPr>
        <w:t>Estonia</w:t>
      </w:r>
      <w:bookmarkEnd w:id="43"/>
      <w:bookmarkEnd w:id="44"/>
      <w:bookmarkEnd w:id="45"/>
      <w:bookmarkEnd w:id="46"/>
      <w:bookmarkEnd w:id="47"/>
      <w:bookmarkEnd w:id="48"/>
      <w:bookmarkEnd w:id="49"/>
      <w:bookmarkEnd w:id="50"/>
      <w:bookmarkEnd w:id="51"/>
    </w:p>
    <w:p w:rsidR="001557B7" w:rsidRDefault="00AD3265">
      <w:pPr>
        <w:pStyle w:val="kop2"/>
        <w:numPr>
          <w:ilvl w:val="0"/>
          <w:numId w:val="24"/>
        </w:numPr>
        <w:spacing w:before="360" w:after="240"/>
        <w:ind w:left="709" w:hanging="425"/>
        <w:rPr>
          <w:noProof/>
        </w:rPr>
      </w:pPr>
      <w:r>
        <w:rPr>
          <w:noProof/>
        </w:rPr>
        <w:t>COMPLAINTS</w:t>
      </w:r>
    </w:p>
    <w:p w:rsidR="001557B7" w:rsidRDefault="00AD3265">
      <w:pPr>
        <w:pStyle w:val="AnnualReport2"/>
        <w:numPr>
          <w:ilvl w:val="0"/>
          <w:numId w:val="102"/>
        </w:numPr>
        <w:ind w:left="709" w:hanging="425"/>
        <w:rPr>
          <w:noProof/>
        </w:rPr>
      </w:pPr>
      <w:r>
        <w:rPr>
          <w:noProof/>
        </w:rPr>
        <w:t xml:space="preserve">New complaints </w:t>
      </w:r>
      <w:r>
        <w:rPr>
          <w:noProof/>
        </w:rPr>
        <w:t>made against Estonia by members of the public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426C086D" wp14:editId="458C1F9B">
            <wp:extent cx="4596130" cy="1924050"/>
            <wp:effectExtent l="0" t="0" r="0" b="0"/>
            <wp:docPr id="99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557B7" w:rsidRDefault="00AD3265">
      <w:pPr>
        <w:pStyle w:val="AnnualReport2"/>
        <w:numPr>
          <w:ilvl w:val="0"/>
          <w:numId w:val="102"/>
        </w:numPr>
        <w:ind w:left="709" w:hanging="425"/>
        <w:rPr>
          <w:noProof/>
        </w:rPr>
      </w:pPr>
      <w:r>
        <w:rPr>
          <w:noProof/>
        </w:rPr>
        <w:t>Public complaints against Estonia open at year-end</w:t>
      </w:r>
    </w:p>
    <w:tbl>
      <w:tblPr>
        <w:tblW w:w="0" w:type="auto"/>
        <w:jc w:val="center"/>
        <w:tblLook w:val="04A0" w:firstRow="1" w:lastRow="0" w:firstColumn="1" w:lastColumn="0" w:noHBand="0" w:noVBand="1"/>
      </w:tblPr>
      <w:tblGrid>
        <w:gridCol w:w="1697"/>
        <w:gridCol w:w="452"/>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C00000"/>
                <w:sz w:val="22"/>
                <w:szCs w:val="28"/>
                <w:lang w:eastAsia="en-GB"/>
              </w:rPr>
              <w:t>17</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31</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30</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18</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1557B7" w:rsidRDefault="00AD3265">
      <w:pPr>
        <w:pStyle w:val="AnnualReport2"/>
        <w:numPr>
          <w:ilvl w:val="0"/>
          <w:numId w:val="102"/>
        </w:numPr>
        <w:ind w:left="709" w:hanging="425"/>
        <w:rPr>
          <w:noProof/>
        </w:rPr>
      </w:pPr>
      <w:r>
        <w:rPr>
          <w:noProof/>
        </w:rPr>
        <w:t>New complaints registered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2BA54744" wp14:editId="7EABB9E4">
            <wp:extent cx="4754880" cy="2499360"/>
            <wp:effectExtent l="0" t="0" r="7620" b="15240"/>
            <wp:docPr id="998"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557B7" w:rsidRDefault="00AD3265">
      <w:pPr>
        <w:spacing w:after="200" w:line="276" w:lineRule="auto"/>
        <w:jc w:val="left"/>
        <w:rPr>
          <w:rFonts w:ascii="Arial" w:hAnsi="Arial" w:cs="Arial"/>
          <w:noProof/>
          <w:sz w:val="20"/>
        </w:rPr>
      </w:pPr>
      <w:r>
        <w:rPr>
          <w:noProof/>
        </w:rPr>
        <w:br w:type="page"/>
      </w:r>
    </w:p>
    <w:p w:rsidR="001557B7" w:rsidRDefault="00AD3265">
      <w:pPr>
        <w:pStyle w:val="kop2"/>
        <w:numPr>
          <w:ilvl w:val="0"/>
          <w:numId w:val="24"/>
        </w:numPr>
        <w:spacing w:before="360" w:after="240"/>
        <w:ind w:left="709" w:hanging="425"/>
        <w:rPr>
          <w:caps w:val="0"/>
          <w:noProof/>
        </w:rPr>
      </w:pPr>
      <w:r>
        <w:rPr>
          <w:noProof/>
        </w:rPr>
        <w:t>EU</w:t>
      </w:r>
      <w:r>
        <w:rPr>
          <w:caps w:val="0"/>
          <w:noProof/>
        </w:rPr>
        <w:t xml:space="preserve"> PILOT</w:t>
      </w:r>
    </w:p>
    <w:p w:rsidR="001557B7" w:rsidRDefault="00AD3265">
      <w:pPr>
        <w:pStyle w:val="AnnualReport2"/>
        <w:numPr>
          <w:ilvl w:val="0"/>
          <w:numId w:val="103"/>
        </w:numPr>
        <w:ind w:left="709" w:hanging="425"/>
        <w:rPr>
          <w:noProof/>
        </w:rPr>
      </w:pPr>
      <w:r>
        <w:rPr>
          <w:noProof/>
        </w:rPr>
        <w:t>New EU Pilot files opened against Estonia (2013-2017)</w:t>
      </w:r>
    </w:p>
    <w:p w:rsidR="001557B7" w:rsidRDefault="00AD3265">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1D0756E4" wp14:editId="3D9D346E">
            <wp:extent cx="4612005" cy="2170430"/>
            <wp:effectExtent l="0" t="0" r="17145" b="20320"/>
            <wp:docPr id="99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557B7" w:rsidRDefault="00AD3265">
      <w:pPr>
        <w:pStyle w:val="AnnualReport2"/>
        <w:numPr>
          <w:ilvl w:val="0"/>
          <w:numId w:val="103"/>
        </w:numPr>
        <w:ind w:left="709" w:hanging="425"/>
        <w:rPr>
          <w:noProof/>
        </w:rPr>
      </w:pPr>
      <w:r>
        <w:rPr>
          <w:noProof/>
        </w:rPr>
        <w:t>Files relating to Estonia open in EU Pilot at year-end</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52F1445D" wp14:editId="0CD88CEA">
            <wp:extent cx="4612005" cy="2170430"/>
            <wp:effectExtent l="0" t="0" r="17145" b="20320"/>
            <wp:docPr id="99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1557B7" w:rsidRDefault="00AD3265">
      <w:pPr>
        <w:pStyle w:val="AnnualReport2"/>
        <w:numPr>
          <w:ilvl w:val="0"/>
          <w:numId w:val="103"/>
        </w:numPr>
        <w:ind w:left="709" w:hanging="425"/>
        <w:rPr>
          <w:noProof/>
        </w:rPr>
      </w:pPr>
      <w:r>
        <w:rPr>
          <w:noProof/>
        </w:rPr>
        <w:t>New EU Pilot files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6AA29A69" wp14:editId="7B0AB131">
            <wp:extent cx="4643755" cy="2506980"/>
            <wp:effectExtent l="0" t="0" r="4445" b="7620"/>
            <wp:docPr id="995"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1557B7" w:rsidRDefault="00AD3265">
      <w:pPr>
        <w:spacing w:after="0"/>
        <w:jc w:val="left"/>
        <w:rPr>
          <w:rFonts w:ascii="Arial" w:hAnsi="Arial"/>
          <w:noProof/>
          <w:color w:val="002060"/>
          <w:sz w:val="22"/>
          <w:szCs w:val="22"/>
        </w:rPr>
      </w:pPr>
      <w:r>
        <w:rPr>
          <w:noProof/>
        </w:rPr>
        <w:br w:type="page"/>
      </w:r>
    </w:p>
    <w:p w:rsidR="001557B7" w:rsidRDefault="00AD3265">
      <w:pPr>
        <w:pStyle w:val="AnnualReport2"/>
        <w:numPr>
          <w:ilvl w:val="0"/>
          <w:numId w:val="103"/>
        </w:numPr>
        <w:ind w:left="709" w:hanging="425"/>
        <w:rPr>
          <w:noProof/>
        </w:rPr>
      </w:pPr>
      <w:r>
        <w:rPr>
          <w:noProof/>
        </w:rPr>
        <w:t xml:space="preserve">EU Pilot files: </w:t>
      </w:r>
      <w:r>
        <w:rPr>
          <w:noProof/>
        </w:rPr>
        <w:t>Estonia’s resolution rate in 2013-2017</w:t>
      </w:r>
    </w:p>
    <w:p w:rsidR="001557B7" w:rsidRDefault="00AD3265">
      <w:pPr>
        <w:spacing w:after="200"/>
        <w:ind w:firstLine="709"/>
        <w:rPr>
          <w:rFonts w:ascii="Arial" w:hAnsi="Arial" w:cs="Arial"/>
          <w:noProof/>
          <w:sz w:val="20"/>
        </w:rPr>
      </w:pPr>
      <w:r>
        <w:rPr>
          <w:rFonts w:ascii="Arial" w:hAnsi="Arial" w:cs="Arial"/>
          <w:noProof/>
          <w:sz w:val="20"/>
          <w:lang w:eastAsia="en-GB"/>
        </w:rPr>
        <w:drawing>
          <wp:inline distT="0" distB="0" distL="0" distR="0" wp14:anchorId="643C9916" wp14:editId="03C9DD9A">
            <wp:extent cx="5128895" cy="2170430"/>
            <wp:effectExtent l="0" t="0" r="14605" b="20320"/>
            <wp:docPr id="99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557B7" w:rsidRDefault="00AD3265">
      <w:pPr>
        <w:pStyle w:val="kop2"/>
        <w:numPr>
          <w:ilvl w:val="0"/>
          <w:numId w:val="24"/>
        </w:numPr>
        <w:spacing w:before="360" w:after="240"/>
        <w:ind w:left="709" w:hanging="425"/>
        <w:rPr>
          <w:caps w:val="0"/>
          <w:noProof/>
        </w:rPr>
      </w:pPr>
      <w:r>
        <w:rPr>
          <w:caps w:val="0"/>
          <w:noProof/>
        </w:rPr>
        <w:t>INFRINGEMENT</w:t>
      </w:r>
      <w:r>
        <w:rPr>
          <w:noProof/>
        </w:rPr>
        <w:t xml:space="preserve"> </w:t>
      </w:r>
      <w:r>
        <w:rPr>
          <w:caps w:val="0"/>
          <w:noProof/>
        </w:rPr>
        <w:t>CASES</w:t>
      </w:r>
    </w:p>
    <w:p w:rsidR="001557B7" w:rsidRDefault="00AD3265">
      <w:pPr>
        <w:pStyle w:val="AnnualReport2"/>
        <w:numPr>
          <w:ilvl w:val="0"/>
          <w:numId w:val="104"/>
        </w:numPr>
        <w:ind w:left="709" w:hanging="425"/>
        <w:rPr>
          <w:noProof/>
        </w:rPr>
      </w:pPr>
      <w:r>
        <w:rPr>
          <w:noProof/>
        </w:rPr>
        <w:t>Infringement cases against Estonia open on 31 December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7247130A" wp14:editId="2BB26C62">
            <wp:extent cx="4587875" cy="2258060"/>
            <wp:effectExtent l="0" t="0" r="0" b="0"/>
            <wp:docPr id="993"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557B7" w:rsidRDefault="00AD3265">
      <w:pPr>
        <w:spacing w:after="200" w:line="276" w:lineRule="auto"/>
        <w:jc w:val="left"/>
        <w:rPr>
          <w:rFonts w:ascii="Arial" w:hAnsi="Arial"/>
          <w:noProof/>
          <w:color w:val="002060"/>
          <w:sz w:val="22"/>
          <w:szCs w:val="22"/>
        </w:rPr>
      </w:pPr>
      <w:r>
        <w:rPr>
          <w:noProof/>
        </w:rPr>
        <w:br w:type="page"/>
      </w:r>
    </w:p>
    <w:p w:rsidR="001557B7" w:rsidRDefault="00AD3265">
      <w:pPr>
        <w:pStyle w:val="AnnualReport2"/>
        <w:numPr>
          <w:ilvl w:val="0"/>
          <w:numId w:val="104"/>
        </w:numPr>
        <w:ind w:left="709" w:hanging="425"/>
        <w:rPr>
          <w:noProof/>
        </w:rPr>
      </w:pPr>
      <w:r>
        <w:rPr>
          <w:noProof/>
        </w:rPr>
        <w:t>New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76F4A7EA" wp14:editId="22DAC4AE">
            <wp:extent cx="4772025" cy="2491740"/>
            <wp:effectExtent l="0" t="0" r="9525" b="3810"/>
            <wp:docPr id="53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557B7" w:rsidRDefault="00AD3265">
      <w:pPr>
        <w:pStyle w:val="AnnualReport2"/>
        <w:numPr>
          <w:ilvl w:val="0"/>
          <w:numId w:val="104"/>
        </w:numPr>
        <w:ind w:left="709" w:hanging="425"/>
        <w:rPr>
          <w:noProof/>
        </w:rPr>
      </w:pPr>
      <w:r>
        <w:rPr>
          <w:noProof/>
        </w:rPr>
        <w:t>Key infringement cases and referrals to the Court</w:t>
      </w:r>
    </w:p>
    <w:p w:rsidR="001557B7" w:rsidRDefault="00AD3265">
      <w:pPr>
        <w:pStyle w:val="Lijstje"/>
        <w:numPr>
          <w:ilvl w:val="0"/>
          <w:numId w:val="25"/>
        </w:numPr>
        <w:ind w:left="1276" w:hanging="425"/>
        <w:rPr>
          <w:noProof/>
        </w:rPr>
      </w:pPr>
      <w:r>
        <w:rPr>
          <w:noProof/>
        </w:rPr>
        <w:t xml:space="preserve">The Commission </w:t>
      </w:r>
      <w:r>
        <w:rPr>
          <w:noProof/>
        </w:rPr>
        <w:t>opened 17 new infringement cases against Estonia in 2017. These, and other major ongoing infringement cases, include:</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incorrect transposition and implementation of the Third Energy Package Directives (Electricity and Gas Directives)</w:t>
      </w:r>
      <w:r>
        <w:rPr>
          <w:rStyle w:val="FootnoteReference"/>
          <w:noProof/>
          <w:lang w:val="en-GB"/>
        </w:rPr>
        <w:footnoteReference w:id="150"/>
      </w:r>
      <w:r>
        <w:rPr>
          <w:rFonts w:ascii="Arial" w:hAnsi="Arial" w:cs="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non-</w:t>
      </w:r>
      <w:r>
        <w:rPr>
          <w:rFonts w:ascii="Arial" w:hAnsi="Arial"/>
          <w:noProof/>
          <w:lang w:val="en-GB"/>
        </w:rPr>
        <w:t>communication</w:t>
      </w:r>
      <w:r>
        <w:rPr>
          <w:rFonts w:ascii="Arial" w:hAnsi="Arial" w:cs="Arial"/>
          <w:noProof/>
          <w:lang w:val="en-GB"/>
        </w:rPr>
        <w:t xml:space="preserve"> of </w:t>
      </w:r>
      <w:r>
        <w:rPr>
          <w:rFonts w:ascii="Arial" w:hAnsi="Arial" w:cs="Arial"/>
          <w:noProof/>
          <w:lang w:val="en-GB"/>
        </w:rPr>
        <w:t>national measures transposing the:</w:t>
      </w:r>
    </w:p>
    <w:p w:rsidR="001557B7" w:rsidRDefault="00AD3265">
      <w:pPr>
        <w:pStyle w:val="Lijstje2"/>
        <w:numPr>
          <w:ilvl w:val="2"/>
          <w:numId w:val="2"/>
        </w:numPr>
        <w:spacing w:after="200"/>
        <w:ind w:left="2410" w:hanging="425"/>
        <w:rPr>
          <w:rFonts w:ascii="Arial" w:hAnsi="Arial" w:cs="Arial"/>
          <w:noProof/>
          <w:lang w:val="en-GB"/>
        </w:rPr>
      </w:pPr>
      <w:r>
        <w:rPr>
          <w:rFonts w:ascii="Arial" w:hAnsi="Arial" w:cs="Arial"/>
          <w:noProof/>
          <w:lang w:val="en-GB"/>
        </w:rPr>
        <w:t>Markets in Financial Instruments Directive (MiFID II) and Audit Directive</w:t>
      </w:r>
      <w:r>
        <w:rPr>
          <w:rStyle w:val="FootnoteReference"/>
          <w:rFonts w:ascii="Arial" w:hAnsi="Arial" w:cs="Arial"/>
          <w:noProof/>
          <w:lang w:val="en-GB"/>
        </w:rPr>
        <w:footnoteReference w:id="151"/>
      </w:r>
      <w:r>
        <w:rPr>
          <w:rFonts w:ascii="Arial" w:hAnsi="Arial" w:cs="Arial"/>
          <w:noProof/>
          <w:lang w:val="en-GB"/>
        </w:rPr>
        <w:t>;</w:t>
      </w:r>
    </w:p>
    <w:p w:rsidR="001557B7" w:rsidRDefault="00AD3265">
      <w:pPr>
        <w:pStyle w:val="Lijstje2"/>
        <w:numPr>
          <w:ilvl w:val="2"/>
          <w:numId w:val="2"/>
        </w:numPr>
        <w:spacing w:after="200"/>
        <w:ind w:left="2410" w:hanging="425"/>
        <w:rPr>
          <w:rFonts w:ascii="Arial" w:hAnsi="Arial" w:cs="Arial"/>
          <w:noProof/>
          <w:lang w:val="en-GB"/>
        </w:rPr>
      </w:pPr>
      <w:r>
        <w:rPr>
          <w:rFonts w:ascii="Arial" w:hAnsi="Arial" w:cs="Arial"/>
          <w:noProof/>
          <w:lang w:val="en-GB"/>
        </w:rPr>
        <w:t>Fourth Anti-Money Laundering Directive</w:t>
      </w:r>
      <w:r>
        <w:rPr>
          <w:rStyle w:val="FootnoteReference"/>
          <w:rFonts w:ascii="Arial" w:hAnsi="Arial" w:cs="Arial"/>
          <w:noProof/>
          <w:lang w:val="en-GB"/>
        </w:rPr>
        <w:footnoteReference w:id="152"/>
      </w:r>
      <w:r>
        <w:rPr>
          <w:rFonts w:ascii="Arial" w:hAnsi="Arial" w:cs="Arial"/>
          <w:noProof/>
          <w:lang w:val="en-GB"/>
        </w:rPr>
        <w:t>;</w:t>
      </w:r>
    </w:p>
    <w:p w:rsidR="001557B7" w:rsidRDefault="00AD3265">
      <w:pPr>
        <w:pStyle w:val="Lijstje2"/>
        <w:numPr>
          <w:ilvl w:val="2"/>
          <w:numId w:val="2"/>
        </w:numPr>
        <w:spacing w:after="200"/>
        <w:ind w:left="2410" w:hanging="425"/>
        <w:rPr>
          <w:rFonts w:ascii="Arial" w:hAnsi="Arial" w:cs="Arial"/>
          <w:noProof/>
          <w:lang w:val="en-GB"/>
        </w:rPr>
      </w:pPr>
      <w:r>
        <w:rPr>
          <w:rFonts w:ascii="Arial" w:hAnsi="Arial" w:cs="Arial"/>
          <w:noProof/>
          <w:lang w:val="en-GB"/>
        </w:rPr>
        <w:t>Directive</w:t>
      </w:r>
      <w:r>
        <w:rPr>
          <w:rStyle w:val="FootnoteReference"/>
          <w:rFonts w:ascii="Arial" w:hAnsi="Arial" w:cs="Arial"/>
          <w:noProof/>
          <w:lang w:val="en-GB"/>
        </w:rPr>
        <w:footnoteReference w:id="153"/>
      </w:r>
      <w:r>
        <w:rPr>
          <w:rFonts w:ascii="Arial" w:hAnsi="Arial" w:cs="Arial"/>
          <w:noProof/>
          <w:lang w:val="en-GB"/>
        </w:rPr>
        <w:t xml:space="preserve"> laying down calculation methods and reporting requirements pursuant to the Directive on fuels quality</w:t>
      </w:r>
      <w:r>
        <w:rPr>
          <w:rStyle w:val="FootnoteReference"/>
          <w:rFonts w:ascii="Arial" w:hAnsi="Arial" w:cs="Arial"/>
          <w:noProof/>
          <w:lang w:val="en-GB"/>
        </w:rPr>
        <w:footnoteReference w:id="154"/>
      </w:r>
      <w:r>
        <w:rPr>
          <w:rFonts w:ascii="Arial" w:hAnsi="Arial" w:cs="Arial"/>
          <w:noProof/>
          <w:lang w:val="en-GB"/>
        </w:rPr>
        <w:t>;</w:t>
      </w:r>
    </w:p>
    <w:p w:rsidR="001557B7" w:rsidRDefault="00AD3265">
      <w:pPr>
        <w:pStyle w:val="Lijstje2"/>
        <w:numPr>
          <w:ilvl w:val="2"/>
          <w:numId w:val="2"/>
        </w:numPr>
        <w:spacing w:after="200"/>
        <w:ind w:left="2410" w:hanging="425"/>
        <w:rPr>
          <w:rFonts w:ascii="Arial" w:hAnsi="Arial" w:cs="Arial"/>
          <w:noProof/>
          <w:lang w:val="en-GB"/>
        </w:rPr>
      </w:pPr>
      <w:r>
        <w:rPr>
          <w:rFonts w:ascii="Arial" w:hAnsi="Arial" w:cs="Arial"/>
          <w:noProof/>
          <w:lang w:val="en-GB"/>
        </w:rPr>
        <w:t>Directive on the organisation of working time in inland waterway transport</w:t>
      </w:r>
      <w:r>
        <w:rPr>
          <w:rStyle w:val="FootnoteReference"/>
          <w:rFonts w:ascii="Arial" w:hAnsi="Arial" w:cs="Arial"/>
          <w:noProof/>
          <w:lang w:val="en-GB"/>
        </w:rPr>
        <w:footnoteReference w:id="155"/>
      </w:r>
      <w:r>
        <w:rPr>
          <w:rFonts w:ascii="Arial" w:hAnsi="Arial" w:cs="Arial"/>
          <w:noProof/>
          <w:lang w:val="en-GB"/>
        </w:rPr>
        <w:t>.</w:t>
      </w:r>
    </w:p>
    <w:p w:rsidR="001557B7" w:rsidRDefault="00AD3265">
      <w:pPr>
        <w:pStyle w:val="Lijstje"/>
        <w:numPr>
          <w:ilvl w:val="0"/>
          <w:numId w:val="25"/>
        </w:numPr>
        <w:ind w:left="1276" w:hanging="425"/>
        <w:rPr>
          <w:noProof/>
        </w:rPr>
      </w:pPr>
      <w:r>
        <w:rPr>
          <w:noProof/>
        </w:rPr>
        <w:t>The Commission did not refer any cases to the Court under Article 258 TFEU</w:t>
      </w:r>
      <w:r>
        <w:rPr>
          <w:noProof/>
        </w:rPr>
        <w:t>.</w:t>
      </w:r>
    </w:p>
    <w:p w:rsidR="001557B7" w:rsidRDefault="00AD3265">
      <w:pPr>
        <w:pStyle w:val="Lijstje"/>
        <w:numPr>
          <w:ilvl w:val="0"/>
          <w:numId w:val="25"/>
        </w:numPr>
        <w:ind w:left="1276" w:hanging="425"/>
        <w:rPr>
          <w:noProof/>
        </w:rPr>
      </w:pPr>
      <w:r>
        <w:rPr>
          <w:noProof/>
        </w:rPr>
        <w:t>The Commission did not refer any cases to the Court under Article 260(2) TFEU.</w:t>
      </w:r>
    </w:p>
    <w:p w:rsidR="001557B7" w:rsidRDefault="00AD3265">
      <w:pPr>
        <w:spacing w:after="200" w:line="276" w:lineRule="auto"/>
        <w:jc w:val="left"/>
        <w:rPr>
          <w:rFonts w:ascii="Arial" w:eastAsia="MS Gothic" w:hAnsi="Arial" w:cs="Arial"/>
          <w:caps/>
          <w:noProof/>
          <w:kern w:val="20"/>
          <w:sz w:val="20"/>
        </w:rPr>
      </w:pPr>
      <w:r>
        <w:rPr>
          <w:rFonts w:ascii="Arial" w:eastAsia="MS Gothic" w:hAnsi="Arial" w:cs="Arial"/>
          <w:caps/>
          <w:noProof/>
          <w:kern w:val="20"/>
          <w:sz w:val="20"/>
        </w:rPr>
        <w:br w:type="page"/>
      </w:r>
    </w:p>
    <w:p w:rsidR="001557B7" w:rsidRDefault="00AD3265">
      <w:pPr>
        <w:pStyle w:val="kop2"/>
        <w:numPr>
          <w:ilvl w:val="0"/>
          <w:numId w:val="24"/>
        </w:numPr>
        <w:spacing w:before="120" w:after="240"/>
        <w:ind w:left="709" w:hanging="425"/>
        <w:rPr>
          <w:caps w:val="0"/>
          <w:noProof/>
        </w:rPr>
      </w:pPr>
      <w:r>
        <w:rPr>
          <w:caps w:val="0"/>
          <w:noProof/>
        </w:rPr>
        <w:t>TRANSPOSITION OF DIRECTIVES</w:t>
      </w:r>
    </w:p>
    <w:p w:rsidR="001557B7" w:rsidRDefault="00AD3265">
      <w:pPr>
        <w:pStyle w:val="AnnualReport2"/>
        <w:numPr>
          <w:ilvl w:val="0"/>
          <w:numId w:val="105"/>
        </w:numPr>
        <w:ind w:left="709" w:hanging="425"/>
        <w:rPr>
          <w:noProof/>
        </w:rPr>
      </w:pPr>
      <w:r>
        <w:rPr>
          <w:noProof/>
        </w:rPr>
        <w:t>Late transposition infringement cases against Estonia open on 31 December (2013-2017)</w:t>
      </w:r>
    </w:p>
    <w:p w:rsidR="001557B7" w:rsidRDefault="00AD3265">
      <w:pPr>
        <w:ind w:left="426" w:firstLine="283"/>
        <w:rPr>
          <w:noProof/>
        </w:rPr>
      </w:pPr>
      <w:r>
        <w:rPr>
          <w:noProof/>
          <w:lang w:eastAsia="en-GB"/>
        </w:rPr>
        <w:drawing>
          <wp:inline distT="0" distB="0" distL="0" distR="0" wp14:anchorId="3DB806AD" wp14:editId="57E4EEEB">
            <wp:extent cx="4587875" cy="1971675"/>
            <wp:effectExtent l="0" t="0" r="0" b="0"/>
            <wp:docPr id="99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1557B7" w:rsidRDefault="00AD3265">
      <w:pPr>
        <w:pStyle w:val="AnnualReport2"/>
        <w:numPr>
          <w:ilvl w:val="0"/>
          <w:numId w:val="105"/>
        </w:numPr>
        <w:ind w:left="709" w:hanging="425"/>
        <w:rPr>
          <w:noProof/>
        </w:rPr>
      </w:pPr>
      <w:r>
        <w:rPr>
          <w:noProof/>
        </w:rPr>
        <w:t>New late transposition infringement cases against Estonia</w:t>
      </w:r>
      <w:r>
        <w:rPr>
          <w:noProof/>
        </w:rPr>
        <w:t xml:space="preserve">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4AE7F92" wp14:editId="3560C17B">
            <wp:extent cx="4587875" cy="2170430"/>
            <wp:effectExtent l="0" t="0" r="0" b="0"/>
            <wp:docPr id="99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1557B7" w:rsidRDefault="00AD3265">
      <w:pPr>
        <w:pStyle w:val="AnnualReport2"/>
        <w:numPr>
          <w:ilvl w:val="0"/>
          <w:numId w:val="105"/>
        </w:numPr>
        <w:ind w:left="709" w:hanging="425"/>
        <w:rPr>
          <w:noProof/>
        </w:rPr>
      </w:pPr>
      <w:r>
        <w:rPr>
          <w:noProof/>
        </w:rPr>
        <w:t>New late transposition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5BEB636C" wp14:editId="70521AF8">
            <wp:extent cx="4587240" cy="2697480"/>
            <wp:effectExtent l="0" t="0" r="22860" b="26670"/>
            <wp:docPr id="989" name="Objec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557B7" w:rsidRDefault="00AD3265">
      <w:pPr>
        <w:pStyle w:val="AnnualReport2"/>
        <w:numPr>
          <w:ilvl w:val="0"/>
          <w:numId w:val="105"/>
        </w:numPr>
        <w:ind w:left="709" w:hanging="425"/>
        <w:rPr>
          <w:noProof/>
        </w:rPr>
      </w:pPr>
      <w:r>
        <w:rPr>
          <w:noProof/>
        </w:rPr>
        <w:t>Referrals to the Court</w:t>
      </w:r>
    </w:p>
    <w:p w:rsidR="001557B7" w:rsidRDefault="00AD3265">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rsidR="001557B7" w:rsidRDefault="00AD3265">
      <w:pPr>
        <w:pStyle w:val="kop2"/>
        <w:numPr>
          <w:ilvl w:val="0"/>
          <w:numId w:val="24"/>
        </w:numPr>
        <w:spacing w:before="360" w:after="240"/>
        <w:ind w:left="709" w:hanging="425"/>
        <w:rPr>
          <w:caps w:val="0"/>
          <w:noProof/>
        </w:rPr>
      </w:pPr>
      <w:r>
        <w:rPr>
          <w:caps w:val="0"/>
          <w:noProof/>
        </w:rPr>
        <w:t>EARLY</w:t>
      </w:r>
      <w:r>
        <w:rPr>
          <w:noProof/>
        </w:rPr>
        <w:t xml:space="preserve"> RESOLUTION OF INFRINGEMENT CASES</w:t>
      </w:r>
    </w:p>
    <w:p w:rsidR="001557B7" w:rsidRDefault="00AD3265">
      <w:pPr>
        <w:pStyle w:val="ListParagraph"/>
        <w:spacing w:after="60"/>
        <w:ind w:left="709"/>
        <w:jc w:val="left"/>
        <w:outlineLvl w:val="1"/>
        <w:rPr>
          <w:rFonts w:ascii="Arial" w:hAnsi="Arial"/>
          <w:noProof/>
          <w:color w:val="002060"/>
          <w:sz w:val="22"/>
          <w:szCs w:val="22"/>
        </w:rPr>
      </w:pPr>
      <w:r>
        <w:rPr>
          <w:rFonts w:ascii="Arial" w:hAnsi="Arial"/>
          <w:noProof/>
          <w:color w:val="002060"/>
          <w:sz w:val="22"/>
          <w:szCs w:val="22"/>
        </w:rPr>
        <w:t xml:space="preserve">Major cases </w:t>
      </w:r>
      <w:r>
        <w:rPr>
          <w:rFonts w:ascii="Arial" w:hAnsi="Arial"/>
          <w:noProof/>
          <w:color w:val="002060"/>
          <w:sz w:val="22"/>
          <w:szCs w:val="22"/>
        </w:rPr>
        <w:t>closed without a Court judgment in 2017</w:t>
      </w:r>
    </w:p>
    <w:p w:rsidR="001557B7" w:rsidRDefault="00AD3265">
      <w:pPr>
        <w:spacing w:before="120" w:after="120"/>
        <w:ind w:firstLine="709"/>
        <w:rPr>
          <w:rFonts w:ascii="Arial" w:hAnsi="Arial" w:cs="Arial"/>
          <w:noProof/>
          <w:sz w:val="20"/>
        </w:rPr>
      </w:pPr>
      <w:r>
        <w:rPr>
          <w:rFonts w:ascii="Arial" w:hAnsi="Arial" w:cs="Arial"/>
          <w:noProof/>
          <w:sz w:val="20"/>
        </w:rPr>
        <w:t>These concerned:</w:t>
      </w:r>
    </w:p>
    <w:p w:rsidR="001557B7" w:rsidRDefault="00AD3265">
      <w:pPr>
        <w:numPr>
          <w:ilvl w:val="0"/>
          <w:numId w:val="2"/>
        </w:numPr>
        <w:spacing w:after="200"/>
        <w:ind w:left="1276" w:hanging="425"/>
        <w:contextualSpacing/>
        <w:rPr>
          <w:rFonts w:ascii="Arial" w:hAnsi="Arial" w:cs="Arial"/>
          <w:noProof/>
          <w:sz w:val="20"/>
        </w:rPr>
      </w:pPr>
      <w:r>
        <w:rPr>
          <w:rFonts w:ascii="Arial" w:hAnsi="Arial" w:cs="Arial"/>
          <w:noProof/>
          <w:sz w:val="20"/>
        </w:rPr>
        <w:t>lack of implementation of certain obligations under EU document security legislation</w:t>
      </w:r>
      <w:r>
        <w:rPr>
          <w:rStyle w:val="FootnoteReference"/>
          <w:rFonts w:ascii="Arial" w:hAnsi="Arial" w:cs="Arial"/>
          <w:noProof/>
          <w:sz w:val="20"/>
        </w:rPr>
        <w:footnoteReference w:id="156"/>
      </w:r>
      <w:r>
        <w:rPr>
          <w:rFonts w:ascii="Arial" w:hAnsi="Arial" w:cs="Arial"/>
          <w:noProof/>
          <w:sz w:val="20"/>
        </w:rPr>
        <w:t>;</w:t>
      </w:r>
    </w:p>
    <w:p w:rsidR="001557B7" w:rsidRDefault="00AD3265">
      <w:pPr>
        <w:numPr>
          <w:ilvl w:val="0"/>
          <w:numId w:val="2"/>
        </w:numPr>
        <w:spacing w:after="200"/>
        <w:ind w:left="1276" w:hanging="425"/>
        <w:contextualSpacing/>
        <w:rPr>
          <w:rFonts w:ascii="Arial" w:hAnsi="Arial" w:cs="Arial"/>
          <w:noProof/>
          <w:sz w:val="20"/>
        </w:rPr>
      </w:pPr>
      <w:r>
        <w:rPr>
          <w:rFonts w:ascii="Arial" w:hAnsi="Arial" w:cs="Arial"/>
          <w:bCs/>
          <w:noProof/>
          <w:sz w:val="20"/>
        </w:rPr>
        <w:t>non-communication of national measures transposing the:</w:t>
      </w:r>
    </w:p>
    <w:p w:rsidR="001557B7" w:rsidRDefault="00AD3265">
      <w:pPr>
        <w:numPr>
          <w:ilvl w:val="2"/>
          <w:numId w:val="2"/>
        </w:numPr>
        <w:spacing w:after="200"/>
        <w:ind w:left="1843" w:hanging="425"/>
        <w:contextualSpacing/>
        <w:rPr>
          <w:rFonts w:ascii="Arial" w:hAnsi="Arial" w:cs="Arial"/>
          <w:noProof/>
          <w:sz w:val="20"/>
        </w:rPr>
      </w:pPr>
      <w:r>
        <w:rPr>
          <w:rFonts w:ascii="Arial" w:hAnsi="Arial" w:cs="Arial"/>
          <w:bCs/>
          <w:noProof/>
          <w:sz w:val="20"/>
        </w:rPr>
        <w:t>Directive on seasonal workers</w:t>
      </w:r>
      <w:r>
        <w:rPr>
          <w:rStyle w:val="FootnoteReference"/>
          <w:rFonts w:ascii="Arial" w:hAnsi="Arial" w:cs="Arial"/>
          <w:bCs/>
          <w:noProof/>
          <w:sz w:val="20"/>
        </w:rPr>
        <w:footnoteReference w:id="157"/>
      </w:r>
      <w:r>
        <w:rPr>
          <w:rFonts w:ascii="Arial" w:hAnsi="Arial" w:cs="Arial"/>
          <w:bCs/>
          <w:noProof/>
          <w:sz w:val="20"/>
        </w:rPr>
        <w:t>;</w:t>
      </w:r>
    </w:p>
    <w:p w:rsidR="001557B7" w:rsidRDefault="00AD3265">
      <w:pPr>
        <w:numPr>
          <w:ilvl w:val="2"/>
          <w:numId w:val="2"/>
        </w:numPr>
        <w:spacing w:after="200"/>
        <w:ind w:left="1843" w:hanging="425"/>
        <w:contextualSpacing/>
        <w:rPr>
          <w:rFonts w:ascii="Arial" w:hAnsi="Arial" w:cs="Arial"/>
          <w:noProof/>
          <w:sz w:val="20"/>
        </w:rPr>
      </w:pPr>
      <w:r>
        <w:rPr>
          <w:rFonts w:ascii="Arial" w:hAnsi="Arial" w:cs="Arial"/>
          <w:noProof/>
          <w:sz w:val="20"/>
        </w:rPr>
        <w:t>Accounting Directive and</w:t>
      </w:r>
      <w:r>
        <w:rPr>
          <w:rFonts w:ascii="Arial" w:hAnsi="Arial" w:cs="Arial"/>
          <w:noProof/>
          <w:sz w:val="20"/>
        </w:rPr>
        <w:t xml:space="preserve"> Directive on undertakings for collective investment in transferable securities</w:t>
      </w:r>
      <w:r>
        <w:rPr>
          <w:rStyle w:val="FootnoteReference"/>
          <w:noProof/>
        </w:rPr>
        <w:footnoteReference w:id="158"/>
      </w:r>
      <w:r>
        <w:rPr>
          <w:rFonts w:ascii="Arial" w:hAnsi="Arial" w:cs="Arial"/>
          <w:noProof/>
          <w:sz w:val="20"/>
        </w:rPr>
        <w:t>;</w:t>
      </w:r>
    </w:p>
    <w:p w:rsidR="001557B7" w:rsidRDefault="00AD3265">
      <w:pPr>
        <w:numPr>
          <w:ilvl w:val="2"/>
          <w:numId w:val="2"/>
        </w:numPr>
        <w:spacing w:after="200"/>
        <w:ind w:left="1843" w:hanging="425"/>
        <w:contextualSpacing/>
        <w:rPr>
          <w:rFonts w:ascii="Arial" w:hAnsi="Arial" w:cs="Arial"/>
          <w:noProof/>
          <w:sz w:val="20"/>
        </w:rPr>
      </w:pPr>
      <w:r>
        <w:rPr>
          <w:rFonts w:ascii="Arial" w:hAnsi="Arial" w:cs="Arial"/>
          <w:noProof/>
          <w:sz w:val="20"/>
        </w:rPr>
        <w:t>Directive establishing a single European railway area</w:t>
      </w:r>
      <w:r>
        <w:rPr>
          <w:rStyle w:val="FootnoteReference"/>
          <w:rFonts w:ascii="Arial" w:hAnsi="Arial" w:cs="Arial"/>
          <w:noProof/>
          <w:sz w:val="20"/>
        </w:rPr>
        <w:footnoteReference w:id="159"/>
      </w:r>
      <w:r>
        <w:rPr>
          <w:rFonts w:ascii="Arial" w:hAnsi="Arial" w:cs="Arial"/>
          <w:noProof/>
          <w:sz w:val="20"/>
        </w:rPr>
        <w:t>;</w:t>
      </w:r>
    </w:p>
    <w:p w:rsidR="001557B7" w:rsidRDefault="00AD3265">
      <w:pPr>
        <w:numPr>
          <w:ilvl w:val="0"/>
          <w:numId w:val="2"/>
        </w:numPr>
        <w:spacing w:after="200"/>
        <w:ind w:left="1276" w:hanging="425"/>
        <w:contextualSpacing/>
        <w:rPr>
          <w:rFonts w:ascii="Arial" w:hAnsi="Arial" w:cs="Arial"/>
          <w:noProof/>
          <w:sz w:val="20"/>
        </w:rPr>
      </w:pPr>
      <w:r>
        <w:rPr>
          <w:rFonts w:ascii="Arial" w:hAnsi="Arial" w:cs="Arial"/>
          <w:noProof/>
          <w:sz w:val="20"/>
        </w:rPr>
        <w:t>failure to adopt a national policy framework for the development and deployment of alternative fuels infrastructure</w:t>
      </w:r>
      <w:r>
        <w:rPr>
          <w:rStyle w:val="FootnoteReference"/>
          <w:rFonts w:ascii="Arial" w:hAnsi="Arial" w:cs="Arial"/>
          <w:noProof/>
          <w:sz w:val="20"/>
        </w:rPr>
        <w:footnoteReference w:id="160"/>
      </w:r>
      <w:r>
        <w:rPr>
          <w:rFonts w:ascii="Arial" w:hAnsi="Arial" w:cs="Arial"/>
          <w:noProof/>
          <w:sz w:val="20"/>
        </w:rPr>
        <w:t>.</w:t>
      </w:r>
    </w:p>
    <w:p w:rsidR="001557B7" w:rsidRDefault="00AD3265">
      <w:pPr>
        <w:pStyle w:val="kop2"/>
        <w:numPr>
          <w:ilvl w:val="0"/>
          <w:numId w:val="24"/>
        </w:numPr>
        <w:spacing w:before="360" w:after="240"/>
        <w:ind w:left="709" w:hanging="425"/>
        <w:rPr>
          <w:caps w:val="0"/>
          <w:noProof/>
        </w:rPr>
      </w:pPr>
      <w:r>
        <w:rPr>
          <w:caps w:val="0"/>
          <w:noProof/>
        </w:rPr>
        <w:t>IMPORTANT</w:t>
      </w:r>
      <w:r>
        <w:rPr>
          <w:noProof/>
        </w:rPr>
        <w:t xml:space="preserve"> JUDGMENTS</w:t>
      </w:r>
    </w:p>
    <w:p w:rsidR="001557B7" w:rsidRDefault="00AD3265">
      <w:pPr>
        <w:pStyle w:val="AnnualReport2"/>
        <w:numPr>
          <w:ilvl w:val="0"/>
          <w:numId w:val="106"/>
        </w:numPr>
        <w:ind w:left="709" w:hanging="425"/>
        <w:rPr>
          <w:noProof/>
        </w:rPr>
      </w:pPr>
      <w:r>
        <w:rPr>
          <w:noProof/>
        </w:rPr>
        <w:t>Court rulings</w:t>
      </w:r>
      <w:r>
        <w:rPr>
          <w:rStyle w:val="FootnoteReference"/>
          <w:noProof/>
        </w:rPr>
        <w:footnoteReference w:id="161"/>
      </w:r>
    </w:p>
    <w:p w:rsidR="001557B7" w:rsidRDefault="00AD3265">
      <w:pPr>
        <w:pStyle w:val="Body"/>
        <w:rPr>
          <w:noProof/>
          <w:lang w:val="en-GB"/>
        </w:rPr>
      </w:pPr>
      <w:r>
        <w:rPr>
          <w:noProof/>
          <w:lang w:val="en-GB"/>
        </w:rPr>
        <w:t>There were no major Court rulings in 2017.</w:t>
      </w:r>
    </w:p>
    <w:p w:rsidR="001557B7" w:rsidRDefault="00AD3265">
      <w:pPr>
        <w:pStyle w:val="AnnualReport2"/>
        <w:numPr>
          <w:ilvl w:val="0"/>
          <w:numId w:val="63"/>
        </w:numPr>
        <w:ind w:left="709" w:hanging="425"/>
        <w:rPr>
          <w:noProof/>
        </w:rPr>
      </w:pPr>
      <w:r>
        <w:rPr>
          <w:noProof/>
        </w:rPr>
        <w:t>Preliminary rulings</w:t>
      </w:r>
    </w:p>
    <w:p w:rsidR="001557B7" w:rsidRDefault="00AD3265">
      <w:pPr>
        <w:pStyle w:val="Body"/>
        <w:rPr>
          <w:rFonts w:ascii="Verdana" w:eastAsia="Calibri" w:hAnsi="Verdana"/>
          <w:noProof/>
          <w:kern w:val="20"/>
          <w:lang w:val="en-GB"/>
        </w:rPr>
      </w:pPr>
      <w:r>
        <w:rPr>
          <w:noProof/>
          <w:lang w:val="en-GB"/>
        </w:rPr>
        <w:t>No major preliminary rulings were addressed to the Estonian judiciary in 2017.</w:t>
      </w:r>
    </w:p>
    <w:p w:rsidR="001557B7" w:rsidRDefault="001557B7">
      <w:pPr>
        <w:spacing w:after="0"/>
        <w:jc w:val="left"/>
        <w:rPr>
          <w:noProof/>
        </w:rPr>
        <w:sectPr w:rsidR="001557B7">
          <w:headerReference w:type="even" r:id="rId120"/>
          <w:headerReference w:type="default" r:id="rId121"/>
          <w:footerReference w:type="even" r:id="rId122"/>
          <w:footerReference w:type="default" r:id="rId123"/>
          <w:headerReference w:type="first" r:id="rId124"/>
          <w:footerReference w:type="first" r:id="rId125"/>
          <w:footnotePr>
            <w:numRestart w:val="eachSect"/>
          </w:footnotePr>
          <w:pgSz w:w="11906" w:h="16838"/>
          <w:pgMar w:top="1843" w:right="1417" w:bottom="1134" w:left="1417" w:header="567" w:footer="351" w:gutter="0"/>
          <w:cols w:space="708"/>
          <w:titlePg/>
          <w:docGrid w:linePitch="360"/>
        </w:sectPr>
      </w:pPr>
    </w:p>
    <w:p w:rsidR="001557B7" w:rsidRDefault="00AD3265">
      <w:pPr>
        <w:pStyle w:val="Heading1"/>
        <w:rPr>
          <w:noProof/>
        </w:rPr>
      </w:pPr>
      <w:bookmarkStart w:id="52" w:name="_Toc475974651"/>
      <w:bookmarkStart w:id="53" w:name="_Toc475980147"/>
      <w:bookmarkStart w:id="54" w:name="_Toc475981396"/>
      <w:bookmarkStart w:id="55" w:name="_Toc484622323"/>
      <w:bookmarkStart w:id="56" w:name="_Toc510015272"/>
      <w:bookmarkStart w:id="57" w:name="_Toc444769592"/>
      <w:bookmarkStart w:id="58" w:name="_Toc444772048"/>
      <w:bookmarkStart w:id="59" w:name="_Toc444773367"/>
      <w:bookmarkStart w:id="60" w:name="_Toc444776739"/>
      <w:bookmarkStart w:id="61" w:name="_Toc475974646"/>
      <w:bookmarkStart w:id="62" w:name="_Toc475980142"/>
      <w:bookmarkStart w:id="63" w:name="_Toc475981391"/>
      <w:r>
        <w:rPr>
          <w:noProof/>
        </w:rPr>
        <w:t>Ireland</w:t>
      </w:r>
      <w:bookmarkEnd w:id="52"/>
      <w:bookmarkEnd w:id="53"/>
      <w:bookmarkEnd w:id="54"/>
      <w:bookmarkEnd w:id="55"/>
      <w:bookmarkEnd w:id="56"/>
    </w:p>
    <w:p w:rsidR="001557B7" w:rsidRDefault="00AD3265">
      <w:pPr>
        <w:pStyle w:val="AnnualReport1"/>
        <w:numPr>
          <w:ilvl w:val="0"/>
          <w:numId w:val="206"/>
        </w:numPr>
        <w:spacing w:after="240"/>
        <w:ind w:left="709" w:hanging="425"/>
        <w:rPr>
          <w:noProof/>
        </w:rPr>
      </w:pPr>
      <w:r>
        <w:rPr>
          <w:caps w:val="0"/>
          <w:noProof/>
        </w:rPr>
        <w:t>COMPLAINTS</w:t>
      </w:r>
    </w:p>
    <w:p w:rsidR="001557B7" w:rsidRDefault="00AD3265">
      <w:pPr>
        <w:pStyle w:val="AnnualReport2"/>
        <w:numPr>
          <w:ilvl w:val="0"/>
          <w:numId w:val="107"/>
        </w:numPr>
        <w:ind w:left="709" w:hanging="425"/>
        <w:rPr>
          <w:noProof/>
        </w:rPr>
      </w:pPr>
      <w:r>
        <w:rPr>
          <w:noProof/>
        </w:rPr>
        <w:t xml:space="preserve">New complaints made against Ireland by members of the public </w:t>
      </w:r>
      <w:r>
        <w:rPr>
          <w:noProof/>
        </w:rPr>
        <w:t>(2013-2017)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18E19C26" wp14:editId="2230219E">
            <wp:extent cx="4587875" cy="2329815"/>
            <wp:effectExtent l="0" t="0" r="22225" b="13335"/>
            <wp:docPr id="98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1557B7" w:rsidRDefault="00AD3265">
      <w:pPr>
        <w:pStyle w:val="AnnualReport2"/>
        <w:numPr>
          <w:ilvl w:val="0"/>
          <w:numId w:val="63"/>
        </w:numPr>
        <w:ind w:left="709" w:hanging="425"/>
        <w:rPr>
          <w:noProof/>
        </w:rPr>
      </w:pPr>
      <w:r>
        <w:rPr>
          <w:noProof/>
        </w:rPr>
        <w:t>Public complaints against Ireland open at year-end</w:t>
      </w:r>
    </w:p>
    <w:tbl>
      <w:tblPr>
        <w:tblW w:w="0" w:type="auto"/>
        <w:jc w:val="center"/>
        <w:tblLook w:val="04A0" w:firstRow="1" w:lastRow="0" w:firstColumn="1" w:lastColumn="0" w:noHBand="0" w:noVBand="1"/>
      </w:tblPr>
      <w:tblGrid>
        <w:gridCol w:w="1697"/>
        <w:gridCol w:w="355"/>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254</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130</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105</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279</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1557B7" w:rsidRDefault="00AD3265">
      <w:pPr>
        <w:pStyle w:val="AnnualReport2"/>
        <w:numPr>
          <w:ilvl w:val="0"/>
          <w:numId w:val="63"/>
        </w:numPr>
        <w:ind w:left="709" w:hanging="425"/>
        <w:rPr>
          <w:noProof/>
        </w:rPr>
      </w:pPr>
      <w:r>
        <w:rPr>
          <w:noProof/>
        </w:rPr>
        <w:t xml:space="preserve">New complaints registered in 2017: main </w:t>
      </w:r>
      <w:r>
        <w:rPr>
          <w:noProof/>
        </w:rPr>
        <w:t>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2B866CA3" wp14:editId="5F027291">
            <wp:extent cx="4627880" cy="2250440"/>
            <wp:effectExtent l="0" t="0" r="20320" b="16510"/>
            <wp:docPr id="987"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1557B7" w:rsidRDefault="00AD3265">
      <w:pPr>
        <w:spacing w:after="200" w:line="276" w:lineRule="auto"/>
        <w:jc w:val="left"/>
        <w:rPr>
          <w:rFonts w:ascii="Arial" w:hAnsi="Arial" w:cs="Arial"/>
          <w:noProof/>
          <w:sz w:val="20"/>
        </w:rPr>
      </w:pPr>
      <w:r>
        <w:rPr>
          <w:noProof/>
        </w:rPr>
        <w:br w:type="page"/>
      </w:r>
    </w:p>
    <w:p w:rsidR="001557B7" w:rsidRDefault="00AD3265">
      <w:pPr>
        <w:pStyle w:val="AnnualReport1"/>
        <w:numPr>
          <w:ilvl w:val="0"/>
          <w:numId w:val="206"/>
        </w:numPr>
        <w:spacing w:before="240" w:after="240"/>
        <w:ind w:left="709" w:hanging="425"/>
        <w:rPr>
          <w:caps w:val="0"/>
          <w:noProof/>
        </w:rPr>
      </w:pPr>
      <w:r>
        <w:rPr>
          <w:caps w:val="0"/>
          <w:noProof/>
        </w:rPr>
        <w:t>EU PILOT</w:t>
      </w:r>
    </w:p>
    <w:p w:rsidR="001557B7" w:rsidRDefault="00AD3265">
      <w:pPr>
        <w:pStyle w:val="AnnualReport2"/>
        <w:numPr>
          <w:ilvl w:val="0"/>
          <w:numId w:val="108"/>
        </w:numPr>
        <w:ind w:left="709" w:hanging="425"/>
        <w:rPr>
          <w:noProof/>
        </w:rPr>
      </w:pPr>
      <w:r>
        <w:rPr>
          <w:noProof/>
        </w:rPr>
        <w:t>New EU Pilot files opened against Ireland (2013-2017)</w:t>
      </w:r>
    </w:p>
    <w:p w:rsidR="001557B7" w:rsidRDefault="00AD3265">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7BF21E35" wp14:editId="127DC8EC">
            <wp:extent cx="4587875" cy="2273935"/>
            <wp:effectExtent l="0" t="0" r="22225" b="12065"/>
            <wp:docPr id="98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1557B7" w:rsidRDefault="00AD3265">
      <w:pPr>
        <w:pStyle w:val="AnnualReport2"/>
        <w:numPr>
          <w:ilvl w:val="0"/>
          <w:numId w:val="63"/>
        </w:numPr>
        <w:ind w:left="709" w:hanging="425"/>
        <w:rPr>
          <w:noProof/>
        </w:rPr>
      </w:pPr>
      <w:r>
        <w:rPr>
          <w:noProof/>
        </w:rPr>
        <w:t>Files relating to Ireland open in EU Pilot at year-end</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7E91CE56" wp14:editId="3AA5B9D2">
            <wp:extent cx="4587875" cy="2273935"/>
            <wp:effectExtent l="0" t="0" r="3175" b="12065"/>
            <wp:docPr id="97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1557B7" w:rsidRDefault="00AD3265">
      <w:pPr>
        <w:pStyle w:val="AnnualReport2"/>
        <w:numPr>
          <w:ilvl w:val="0"/>
          <w:numId w:val="63"/>
        </w:numPr>
        <w:ind w:left="709" w:hanging="425"/>
        <w:rPr>
          <w:noProof/>
        </w:rPr>
      </w:pPr>
      <w:r>
        <w:rPr>
          <w:noProof/>
        </w:rPr>
        <w:t>New EU Pilot files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2D67B71" wp14:editId="794A62D5">
            <wp:extent cx="4643755" cy="2361565"/>
            <wp:effectExtent l="0" t="0" r="23495" b="19685"/>
            <wp:docPr id="976"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1557B7" w:rsidRDefault="00AD3265">
      <w:pPr>
        <w:spacing w:after="0"/>
        <w:jc w:val="left"/>
        <w:rPr>
          <w:rFonts w:ascii="Arial" w:hAnsi="Arial"/>
          <w:noProof/>
          <w:color w:val="002060"/>
          <w:sz w:val="22"/>
          <w:szCs w:val="22"/>
        </w:rPr>
      </w:pPr>
      <w:r>
        <w:rPr>
          <w:noProof/>
        </w:rPr>
        <w:br w:type="page"/>
      </w:r>
    </w:p>
    <w:p w:rsidR="001557B7" w:rsidRDefault="00AD3265">
      <w:pPr>
        <w:pStyle w:val="AnnualReport2"/>
        <w:numPr>
          <w:ilvl w:val="0"/>
          <w:numId w:val="63"/>
        </w:numPr>
        <w:ind w:left="709" w:hanging="425"/>
        <w:rPr>
          <w:noProof/>
        </w:rPr>
      </w:pPr>
      <w:r>
        <w:rPr>
          <w:noProof/>
        </w:rPr>
        <w:t>EU Pilot files: Ireland’s resolution rate in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35BE7BD8" wp14:editId="67A1DE9D">
            <wp:extent cx="4587875" cy="2289810"/>
            <wp:effectExtent l="0" t="0" r="22225" b="15240"/>
            <wp:docPr id="97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1557B7" w:rsidRDefault="00AD3265">
      <w:pPr>
        <w:pStyle w:val="kop2"/>
        <w:numPr>
          <w:ilvl w:val="0"/>
          <w:numId w:val="24"/>
        </w:numPr>
        <w:spacing w:before="360" w:after="240"/>
        <w:ind w:left="709" w:hanging="425"/>
        <w:rPr>
          <w:caps w:val="0"/>
          <w:noProof/>
        </w:rPr>
      </w:pPr>
      <w:r>
        <w:rPr>
          <w:caps w:val="0"/>
          <w:noProof/>
        </w:rPr>
        <w:t>INFRINGEMENT CASES</w:t>
      </w:r>
    </w:p>
    <w:p w:rsidR="001557B7" w:rsidRDefault="00AD3265">
      <w:pPr>
        <w:pStyle w:val="AnnualReport2"/>
        <w:numPr>
          <w:ilvl w:val="0"/>
          <w:numId w:val="142"/>
        </w:numPr>
        <w:ind w:left="709" w:hanging="425"/>
        <w:rPr>
          <w:noProof/>
        </w:rPr>
      </w:pPr>
      <w:r>
        <w:rPr>
          <w:noProof/>
        </w:rPr>
        <w:t>Infringement cases against Ireland open on 31 December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47E6225F" wp14:editId="62C18195">
            <wp:extent cx="4587875" cy="2218690"/>
            <wp:effectExtent l="0" t="0" r="22225" b="10160"/>
            <wp:docPr id="974"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1557B7" w:rsidRDefault="00AD3265">
      <w:pPr>
        <w:pStyle w:val="AnnualReport2"/>
        <w:numPr>
          <w:ilvl w:val="0"/>
          <w:numId w:val="142"/>
        </w:numPr>
        <w:ind w:left="709" w:hanging="425"/>
        <w:rPr>
          <w:noProof/>
        </w:rPr>
      </w:pPr>
      <w:r>
        <w:rPr>
          <w:noProof/>
        </w:rPr>
        <w:t>New infringement cases opened in 2017: main policy areas</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349520A0" wp14:editId="58115864">
            <wp:extent cx="4643755" cy="2282190"/>
            <wp:effectExtent l="0" t="0" r="23495" b="22860"/>
            <wp:docPr id="973" name="Objec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1557B7" w:rsidRDefault="00AD3265">
      <w:pPr>
        <w:spacing w:after="0"/>
        <w:jc w:val="left"/>
        <w:rPr>
          <w:rFonts w:ascii="Arial" w:hAnsi="Arial"/>
          <w:noProof/>
          <w:color w:val="002060"/>
          <w:sz w:val="22"/>
          <w:szCs w:val="22"/>
        </w:rPr>
      </w:pPr>
      <w:r>
        <w:rPr>
          <w:noProof/>
        </w:rPr>
        <w:br w:type="page"/>
      </w:r>
    </w:p>
    <w:p w:rsidR="001557B7" w:rsidRDefault="00AD3265">
      <w:pPr>
        <w:pStyle w:val="AnnualReport2"/>
        <w:numPr>
          <w:ilvl w:val="0"/>
          <w:numId w:val="142"/>
        </w:numPr>
        <w:ind w:left="709" w:hanging="425"/>
        <w:rPr>
          <w:noProof/>
        </w:rPr>
      </w:pPr>
      <w:r>
        <w:rPr>
          <w:noProof/>
        </w:rPr>
        <w:t>Key infringement cases and referrals to the Court</w:t>
      </w:r>
    </w:p>
    <w:p w:rsidR="001557B7" w:rsidRDefault="00AD3265">
      <w:pPr>
        <w:pStyle w:val="Lijstje"/>
        <w:numPr>
          <w:ilvl w:val="0"/>
          <w:numId w:val="9"/>
        </w:numPr>
        <w:ind w:left="1276" w:hanging="425"/>
        <w:rPr>
          <w:noProof/>
        </w:rPr>
      </w:pPr>
      <w:r>
        <w:rPr>
          <w:noProof/>
        </w:rPr>
        <w:t>The Commission opened 29 new infringement cases against I</w:t>
      </w:r>
      <w:r>
        <w:rPr>
          <w:noProof/>
        </w:rPr>
        <w:t>reland in 2017. These, and other major ongoing infringement cases, include:</w:t>
      </w:r>
    </w:p>
    <w:p w:rsidR="001557B7" w:rsidRDefault="00AD3265">
      <w:pPr>
        <w:pStyle w:val="Lijstje2"/>
        <w:spacing w:after="200"/>
        <w:ind w:left="1843" w:hanging="426"/>
        <w:rPr>
          <w:rFonts w:ascii="Arial" w:hAnsi="Arial"/>
          <w:noProof/>
          <w:lang w:val="en-GB"/>
        </w:rPr>
      </w:pPr>
      <w:r>
        <w:rPr>
          <w:rFonts w:ascii="Arial" w:hAnsi="Arial" w:cs="Arial"/>
          <w:noProof/>
          <w:lang w:val="en-GB"/>
        </w:rPr>
        <w:t xml:space="preserve">failure to implement the Schengen Information </w:t>
      </w:r>
      <w:r>
        <w:rPr>
          <w:rFonts w:ascii="Arial" w:hAnsi="Arial"/>
          <w:noProof/>
          <w:lang w:val="en-GB"/>
        </w:rPr>
        <w:t>System</w:t>
      </w:r>
      <w:r>
        <w:rPr>
          <w:rStyle w:val="FootnoteReference"/>
          <w:rFonts w:ascii="Arial" w:hAnsi="Arial" w:cs="Arial"/>
          <w:noProof/>
          <w:lang w:val="en-GB"/>
        </w:rPr>
        <w:footnoteReference w:id="162"/>
      </w:r>
      <w:r>
        <w:rPr>
          <w:rFonts w:ascii="Arial" w:hAnsi="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 xml:space="preserve">failing to fully implement the Prüm Decisions, which set up an information-exchange tool that can offer automated comparison </w:t>
      </w:r>
      <w:r>
        <w:rPr>
          <w:rFonts w:ascii="Arial" w:hAnsi="Arial" w:cs="Arial"/>
          <w:noProof/>
          <w:lang w:val="en-GB"/>
        </w:rPr>
        <w:t xml:space="preserve">of DNA profiles, fingerprint data and vehicle registration </w:t>
      </w:r>
      <w:r>
        <w:rPr>
          <w:rFonts w:ascii="Arial" w:hAnsi="Arial"/>
          <w:noProof/>
          <w:lang w:val="en-GB"/>
        </w:rPr>
        <w:t>data</w:t>
      </w:r>
      <w:r>
        <w:rPr>
          <w:rStyle w:val="FootnoteReference"/>
          <w:rFonts w:ascii="Arial" w:hAnsi="Arial" w:cs="Arial"/>
          <w:noProof/>
          <w:lang w:val="en-GB"/>
        </w:rPr>
        <w:footnoteReference w:id="163"/>
      </w:r>
      <w:r>
        <w:rPr>
          <w:rFonts w:ascii="Arial" w:hAnsi="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failure to comply with reporting obligations under EU waste legislation</w:t>
      </w:r>
      <w:r>
        <w:rPr>
          <w:rStyle w:val="FootnoteReference"/>
          <w:rFonts w:ascii="Arial" w:hAnsi="Arial" w:cs="Arial"/>
          <w:noProof/>
          <w:lang w:val="en-GB"/>
        </w:rPr>
        <w:footnoteReference w:id="164"/>
      </w:r>
      <w:r>
        <w:rPr>
          <w:rFonts w:ascii="Arial" w:hAnsi="Arial" w:cs="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non-reporting of flood risk management plans under the Floods Directive</w:t>
      </w:r>
      <w:r>
        <w:rPr>
          <w:rStyle w:val="FootnoteReference"/>
          <w:rFonts w:ascii="Arial" w:hAnsi="Arial" w:cs="Arial"/>
          <w:noProof/>
          <w:lang w:val="en-GB"/>
        </w:rPr>
        <w:footnoteReference w:id="165"/>
      </w:r>
      <w:r>
        <w:rPr>
          <w:rFonts w:ascii="Arial" w:hAnsi="Arial" w:cs="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late adoption of the second round of river</w:t>
      </w:r>
      <w:r>
        <w:rPr>
          <w:rFonts w:ascii="Arial" w:hAnsi="Arial" w:cs="Arial"/>
          <w:noProof/>
          <w:lang w:val="en-GB"/>
        </w:rPr>
        <w:t xml:space="preserve"> basin management plans under the Water Framework Directive</w:t>
      </w:r>
      <w:r>
        <w:rPr>
          <w:rStyle w:val="FootnoteReference"/>
          <w:rFonts w:ascii="Arial" w:hAnsi="Arial" w:cs="Arial"/>
          <w:noProof/>
          <w:lang w:val="en-GB"/>
        </w:rPr>
        <w:footnoteReference w:id="166"/>
      </w:r>
      <w:r>
        <w:rPr>
          <w:rFonts w:ascii="Arial" w:hAnsi="Arial" w:cs="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incorrect application of the Directive on the mutual recognition of seafarers’ certificates issued by Member States</w:t>
      </w:r>
      <w:r>
        <w:rPr>
          <w:rStyle w:val="FootnoteReference"/>
          <w:rFonts w:ascii="Arial" w:hAnsi="Arial" w:cs="Arial"/>
          <w:noProof/>
          <w:lang w:val="en-GB"/>
        </w:rPr>
        <w:footnoteReference w:id="167"/>
      </w:r>
      <w:r>
        <w:rPr>
          <w:rFonts w:ascii="Arial" w:hAnsi="Arial" w:cs="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 xml:space="preserve">failure </w:t>
      </w:r>
      <w:r>
        <w:rPr>
          <w:rFonts w:ascii="Arial" w:hAnsi="Arial" w:cs="Arial"/>
          <w:bCs/>
          <w:noProof/>
          <w:lang w:val="en-GB"/>
        </w:rPr>
        <w:t>to carry out analysis of the relevant telecom markets on time</w:t>
      </w:r>
      <w:r>
        <w:rPr>
          <w:rStyle w:val="FootnoteReference"/>
          <w:noProof/>
          <w:lang w:val="en-GB"/>
        </w:rPr>
        <w:footnoteReference w:id="168"/>
      </w:r>
      <w:r>
        <w:rPr>
          <w:rFonts w:ascii="Arial" w:hAnsi="Arial" w:cs="Arial"/>
          <w:bCs/>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 xml:space="preserve">bad </w:t>
      </w:r>
      <w:r>
        <w:rPr>
          <w:rFonts w:ascii="Arial" w:hAnsi="Arial" w:cs="Arial"/>
          <w:noProof/>
          <w:lang w:val="en-GB"/>
        </w:rPr>
        <w:t xml:space="preserve">application of the Directive </w:t>
      </w:r>
      <w:r>
        <w:rPr>
          <w:rFonts w:ascii="Arial" w:hAnsi="Arial" w:cs="Arial"/>
          <w:bCs/>
          <w:noProof/>
          <w:lang w:val="en-GB"/>
        </w:rPr>
        <w:t>establishing the fundamental principles governing the investigation of accidents in the maritime transport sector</w:t>
      </w:r>
      <w:r>
        <w:rPr>
          <w:rStyle w:val="FootnoteReference"/>
          <w:rFonts w:ascii="Arial" w:hAnsi="Arial" w:cs="Arial"/>
          <w:bCs/>
          <w:noProof/>
          <w:lang w:val="en-GB"/>
        </w:rPr>
        <w:footnoteReference w:id="169"/>
      </w:r>
      <w:r>
        <w:rPr>
          <w:rFonts w:ascii="Arial" w:hAnsi="Arial" w:cs="Arial"/>
          <w:bCs/>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non-communication of national measures transposing the:</w:t>
      </w:r>
    </w:p>
    <w:p w:rsidR="001557B7" w:rsidRDefault="00AD3265">
      <w:pPr>
        <w:pStyle w:val="Lijstje2"/>
        <w:numPr>
          <w:ilvl w:val="2"/>
          <w:numId w:val="2"/>
        </w:numPr>
        <w:spacing w:after="200"/>
        <w:ind w:left="2410" w:hanging="425"/>
        <w:rPr>
          <w:rFonts w:ascii="Arial" w:hAnsi="Arial" w:cs="Arial"/>
          <w:noProof/>
          <w:lang w:val="en-GB"/>
        </w:rPr>
      </w:pPr>
      <w:r>
        <w:rPr>
          <w:rFonts w:ascii="Arial" w:hAnsi="Arial" w:cs="Arial"/>
          <w:noProof/>
          <w:lang w:val="en-GB"/>
        </w:rPr>
        <w:t>Fourth Anti-Money Laundering Directive</w:t>
      </w:r>
      <w:r>
        <w:rPr>
          <w:rStyle w:val="FootnoteReference"/>
          <w:rFonts w:ascii="Arial" w:hAnsi="Arial" w:cs="Arial"/>
          <w:noProof/>
          <w:lang w:val="en-GB"/>
        </w:rPr>
        <w:footnoteReference w:id="170"/>
      </w:r>
      <w:r>
        <w:rPr>
          <w:rFonts w:ascii="Arial" w:hAnsi="Arial" w:cs="Arial"/>
          <w:noProof/>
          <w:lang w:val="en-GB"/>
        </w:rPr>
        <w:t>;</w:t>
      </w:r>
    </w:p>
    <w:p w:rsidR="001557B7" w:rsidRDefault="00AD3265">
      <w:pPr>
        <w:pStyle w:val="Lijstje2"/>
        <w:numPr>
          <w:ilvl w:val="2"/>
          <w:numId w:val="2"/>
        </w:numPr>
        <w:spacing w:after="200"/>
        <w:ind w:left="2410" w:hanging="425"/>
        <w:rPr>
          <w:rFonts w:ascii="Arial" w:hAnsi="Arial" w:cs="Arial"/>
          <w:noProof/>
          <w:lang w:val="en-GB"/>
        </w:rPr>
      </w:pPr>
      <w:r>
        <w:rPr>
          <w:rFonts w:ascii="Arial" w:hAnsi="Arial" w:cs="Arial"/>
          <w:noProof/>
          <w:lang w:val="en-GB"/>
        </w:rPr>
        <w:t>Directive on d</w:t>
      </w:r>
      <w:r>
        <w:rPr>
          <w:rFonts w:ascii="Arial" w:hAnsi="Arial" w:cs="Arial"/>
          <w:noProof/>
          <w:lang w:val="en-GB"/>
        </w:rPr>
        <w:t>isclosure of non-financial and diversity information by certain large undertakings</w:t>
      </w:r>
      <w:r>
        <w:rPr>
          <w:rStyle w:val="FootnoteReference"/>
          <w:rFonts w:ascii="Arial" w:hAnsi="Arial" w:cs="Arial"/>
          <w:noProof/>
          <w:lang w:val="en-GB"/>
        </w:rPr>
        <w:footnoteReference w:id="171"/>
      </w:r>
      <w:r>
        <w:rPr>
          <w:rFonts w:ascii="Arial" w:hAnsi="Arial" w:cs="Arial"/>
          <w:noProof/>
          <w:lang w:val="en-GB"/>
        </w:rPr>
        <w:t>;</w:t>
      </w:r>
    </w:p>
    <w:p w:rsidR="001557B7" w:rsidRDefault="00AD3265">
      <w:pPr>
        <w:pStyle w:val="Lijstje2"/>
        <w:numPr>
          <w:ilvl w:val="2"/>
          <w:numId w:val="2"/>
        </w:numPr>
        <w:spacing w:after="200"/>
        <w:ind w:left="2410" w:hanging="425"/>
        <w:rPr>
          <w:rFonts w:ascii="Arial" w:hAnsi="Arial" w:cs="Arial"/>
          <w:noProof/>
          <w:lang w:val="en-GB"/>
        </w:rPr>
      </w:pPr>
      <w:r>
        <w:rPr>
          <w:rFonts w:ascii="Arial" w:hAnsi="Arial" w:cs="Arial"/>
          <w:noProof/>
          <w:lang w:val="en-GB"/>
        </w:rPr>
        <w:t>Directive on seafarers</w:t>
      </w:r>
      <w:r>
        <w:rPr>
          <w:rStyle w:val="FootnoteReference"/>
          <w:rFonts w:ascii="Arial" w:hAnsi="Arial" w:cs="Arial"/>
          <w:noProof/>
          <w:lang w:val="en-GB"/>
        </w:rPr>
        <w:footnoteReference w:id="172"/>
      </w:r>
      <w:r>
        <w:rPr>
          <w:rFonts w:ascii="Arial" w:hAnsi="Arial" w:cs="Arial"/>
          <w:noProof/>
          <w:lang w:val="en-GB"/>
        </w:rPr>
        <w:t>.</w:t>
      </w:r>
    </w:p>
    <w:p w:rsidR="001557B7" w:rsidRDefault="00AD3265">
      <w:pPr>
        <w:pStyle w:val="Lijstje"/>
        <w:numPr>
          <w:ilvl w:val="0"/>
          <w:numId w:val="9"/>
        </w:numPr>
        <w:ind w:left="1276" w:hanging="425"/>
        <w:rPr>
          <w:noProof/>
        </w:rPr>
      </w:pPr>
      <w:r>
        <w:rPr>
          <w:noProof/>
        </w:rPr>
        <w:t>The Commission referred two cases to the Court under Article 258 TFEU. They involve the following infringements.</w:t>
      </w:r>
    </w:p>
    <w:p w:rsidR="001557B7" w:rsidRDefault="00AD3265">
      <w:pPr>
        <w:pStyle w:val="Lijstje"/>
        <w:numPr>
          <w:ilvl w:val="0"/>
          <w:numId w:val="62"/>
        </w:numPr>
        <w:spacing w:after="0"/>
        <w:ind w:left="1843" w:hanging="425"/>
        <w:rPr>
          <w:noProof/>
        </w:rPr>
      </w:pPr>
      <w:r>
        <w:rPr>
          <w:noProof/>
        </w:rPr>
        <w:t>Failure to ensure adequate collec</w:t>
      </w:r>
      <w:r>
        <w:rPr>
          <w:noProof/>
        </w:rPr>
        <w:t>tion and treatment of urban waste water</w:t>
      </w:r>
      <w:r>
        <w:rPr>
          <w:rStyle w:val="FootnoteReference"/>
          <w:noProof/>
        </w:rPr>
        <w:footnoteReference w:id="173"/>
      </w:r>
      <w:r>
        <w:rPr>
          <w:noProof/>
        </w:rPr>
        <w:t>.</w:t>
      </w:r>
    </w:p>
    <w:p w:rsidR="001557B7" w:rsidRDefault="00AD3265">
      <w:pPr>
        <w:pStyle w:val="Lijstje"/>
        <w:numPr>
          <w:ilvl w:val="0"/>
          <w:numId w:val="62"/>
        </w:numPr>
        <w:ind w:left="1843" w:hanging="425"/>
        <w:rPr>
          <w:noProof/>
        </w:rPr>
      </w:pPr>
      <w:r>
        <w:rPr>
          <w:noProof/>
        </w:rPr>
        <w:t>Failure to apply properly the EU rules on fiscal marking</w:t>
      </w:r>
      <w:r>
        <w:rPr>
          <w:rStyle w:val="FootnoteReference"/>
          <w:noProof/>
        </w:rPr>
        <w:footnoteReference w:id="174"/>
      </w:r>
      <w:r>
        <w:rPr>
          <w:noProof/>
        </w:rPr>
        <w:t xml:space="preserve"> of fuel. Under the rules fishing vessels (among others) may benefit from a lower tax rate on their fuels; however, private leisure boats must use fuel subje</w:t>
      </w:r>
      <w:r>
        <w:rPr>
          <w:noProof/>
        </w:rPr>
        <w:t>ct to a standard rate. In addition, private leisure boats using marked fuel risk heavy penalties abroad charged by the authorities of other Member States</w:t>
      </w:r>
      <w:r>
        <w:rPr>
          <w:rStyle w:val="FootnoteReference"/>
          <w:noProof/>
        </w:rPr>
        <w:footnoteReference w:id="175"/>
      </w:r>
      <w:r>
        <w:rPr>
          <w:noProof/>
        </w:rPr>
        <w:t>.</w:t>
      </w:r>
    </w:p>
    <w:p w:rsidR="001557B7" w:rsidRDefault="00AD3265">
      <w:pPr>
        <w:pStyle w:val="Lijstje"/>
        <w:numPr>
          <w:ilvl w:val="0"/>
          <w:numId w:val="9"/>
        </w:numPr>
        <w:ind w:left="1276" w:hanging="425"/>
        <w:rPr>
          <w:noProof/>
        </w:rPr>
      </w:pPr>
      <w:r>
        <w:rPr>
          <w:noProof/>
        </w:rPr>
        <w:t>The Commission did not refer any cases to the Court under Article 260(2) TFEU.</w:t>
      </w:r>
      <w:r>
        <w:rPr>
          <w:noProof/>
        </w:rPr>
        <w:br w:type="page"/>
      </w:r>
    </w:p>
    <w:p w:rsidR="001557B7" w:rsidRDefault="00AD3265">
      <w:pPr>
        <w:pStyle w:val="kop2"/>
        <w:numPr>
          <w:ilvl w:val="0"/>
          <w:numId w:val="24"/>
        </w:numPr>
        <w:spacing w:before="360" w:after="240"/>
        <w:ind w:left="709" w:hanging="425"/>
        <w:rPr>
          <w:caps w:val="0"/>
          <w:noProof/>
        </w:rPr>
      </w:pPr>
      <w:r>
        <w:rPr>
          <w:caps w:val="0"/>
          <w:noProof/>
        </w:rPr>
        <w:t>TRANSPOSITION OF DIR</w:t>
      </w:r>
      <w:r>
        <w:rPr>
          <w:caps w:val="0"/>
          <w:noProof/>
        </w:rPr>
        <w:t>ECTIVES</w:t>
      </w:r>
    </w:p>
    <w:p w:rsidR="001557B7" w:rsidRDefault="00AD3265">
      <w:pPr>
        <w:pStyle w:val="AnnualReport2"/>
        <w:numPr>
          <w:ilvl w:val="0"/>
          <w:numId w:val="143"/>
        </w:numPr>
        <w:ind w:left="709" w:hanging="425"/>
        <w:rPr>
          <w:noProof/>
        </w:rPr>
      </w:pPr>
      <w:r>
        <w:rPr>
          <w:noProof/>
        </w:rPr>
        <w:t>Late transposition infringement cases against Ireland open on 31 December (2013-2017)</w:t>
      </w:r>
    </w:p>
    <w:p w:rsidR="001557B7" w:rsidRDefault="00AD3265">
      <w:pPr>
        <w:ind w:left="426" w:firstLine="283"/>
        <w:rPr>
          <w:noProof/>
        </w:rPr>
      </w:pPr>
      <w:r>
        <w:rPr>
          <w:noProof/>
          <w:lang w:eastAsia="en-GB"/>
        </w:rPr>
        <w:drawing>
          <wp:inline distT="0" distB="0" distL="0" distR="0" wp14:anchorId="2C78CBFF" wp14:editId="3136BD0B">
            <wp:extent cx="4587875" cy="2226310"/>
            <wp:effectExtent l="0" t="0" r="22225" b="21590"/>
            <wp:docPr id="97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1557B7" w:rsidRDefault="00AD3265">
      <w:pPr>
        <w:pStyle w:val="AnnualReport2"/>
        <w:numPr>
          <w:ilvl w:val="0"/>
          <w:numId w:val="143"/>
        </w:numPr>
        <w:ind w:left="709" w:hanging="425"/>
        <w:rPr>
          <w:noProof/>
        </w:rPr>
      </w:pPr>
      <w:r>
        <w:rPr>
          <w:noProof/>
        </w:rPr>
        <w:t>New late transposition infringement cases against Ireland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1BFF2CCF" wp14:editId="2766C490">
            <wp:extent cx="4587875" cy="2170430"/>
            <wp:effectExtent l="0" t="0" r="22225" b="20320"/>
            <wp:docPr id="7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1557B7" w:rsidRDefault="00AD3265">
      <w:pPr>
        <w:pStyle w:val="AnnualReport2"/>
        <w:numPr>
          <w:ilvl w:val="0"/>
          <w:numId w:val="143"/>
        </w:numPr>
        <w:ind w:left="709" w:hanging="425"/>
        <w:rPr>
          <w:noProof/>
        </w:rPr>
      </w:pPr>
      <w:r>
        <w:rPr>
          <w:noProof/>
        </w:rPr>
        <w:t>New late transposition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2C8F871B" wp14:editId="193ED287">
            <wp:extent cx="4960620" cy="2537460"/>
            <wp:effectExtent l="0" t="0" r="11430" b="15240"/>
            <wp:docPr id="78" name="Object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1557B7" w:rsidRDefault="00AD3265">
      <w:pPr>
        <w:pStyle w:val="AnnualReport2"/>
        <w:numPr>
          <w:ilvl w:val="0"/>
          <w:numId w:val="143"/>
        </w:numPr>
        <w:ind w:left="709" w:hanging="425"/>
        <w:rPr>
          <w:noProof/>
        </w:rPr>
      </w:pPr>
      <w:r>
        <w:rPr>
          <w:noProof/>
        </w:rPr>
        <w:t xml:space="preserve">Referrals </w:t>
      </w:r>
      <w:r>
        <w:rPr>
          <w:noProof/>
        </w:rPr>
        <w:t>to the Court</w:t>
      </w:r>
    </w:p>
    <w:p w:rsidR="001557B7" w:rsidRDefault="00AD3265">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rsidR="001557B7" w:rsidRDefault="00AD3265">
      <w:pPr>
        <w:pStyle w:val="kop2"/>
        <w:numPr>
          <w:ilvl w:val="0"/>
          <w:numId w:val="24"/>
        </w:numPr>
        <w:spacing w:before="360" w:after="240"/>
        <w:ind w:left="709" w:hanging="425"/>
        <w:rPr>
          <w:caps w:val="0"/>
          <w:noProof/>
        </w:rPr>
      </w:pPr>
      <w:r>
        <w:rPr>
          <w:caps w:val="0"/>
          <w:noProof/>
        </w:rPr>
        <w:t>EARLY RESOLUTION OF INFRINGEMENT CASES</w:t>
      </w:r>
    </w:p>
    <w:p w:rsidR="001557B7" w:rsidRDefault="00AD3265">
      <w:pPr>
        <w:pStyle w:val="ListParagraph"/>
        <w:spacing w:after="60"/>
        <w:ind w:left="709"/>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1557B7" w:rsidRDefault="00AD3265">
      <w:pPr>
        <w:spacing w:before="120" w:after="120"/>
        <w:ind w:firstLine="709"/>
        <w:rPr>
          <w:rFonts w:ascii="Arial" w:hAnsi="Arial" w:cs="Arial"/>
          <w:noProof/>
          <w:sz w:val="20"/>
        </w:rPr>
      </w:pPr>
      <w:r>
        <w:rPr>
          <w:rFonts w:ascii="Arial" w:hAnsi="Arial" w:cs="Arial"/>
          <w:noProof/>
          <w:sz w:val="20"/>
        </w:rPr>
        <w:t>These concerned:</w:t>
      </w:r>
    </w:p>
    <w:p w:rsidR="001557B7" w:rsidRDefault="00AD3265">
      <w:pPr>
        <w:pStyle w:val="ListParagraph"/>
        <w:numPr>
          <w:ilvl w:val="0"/>
          <w:numId w:val="33"/>
        </w:numPr>
        <w:autoSpaceDE w:val="0"/>
        <w:autoSpaceDN w:val="0"/>
        <w:adjustRightInd w:val="0"/>
        <w:spacing w:after="0"/>
        <w:ind w:hanging="425"/>
        <w:rPr>
          <w:rFonts w:ascii="Arial" w:hAnsi="Arial" w:cs="Arial"/>
          <w:noProof/>
          <w:sz w:val="20"/>
        </w:rPr>
      </w:pPr>
      <w:r>
        <w:rPr>
          <w:rFonts w:ascii="Arial" w:hAnsi="Arial" w:cs="Arial"/>
          <w:noProof/>
          <w:sz w:val="20"/>
        </w:rPr>
        <w:t>failure to adopt a national policy framework fo</w:t>
      </w:r>
      <w:r>
        <w:rPr>
          <w:rFonts w:ascii="Arial" w:hAnsi="Arial" w:cs="Arial"/>
          <w:noProof/>
          <w:sz w:val="20"/>
        </w:rPr>
        <w:t>r the development and deployment of alternative fuels infrastructure</w:t>
      </w:r>
      <w:r>
        <w:rPr>
          <w:rStyle w:val="FootnoteReference"/>
          <w:rFonts w:ascii="Arial" w:hAnsi="Arial" w:cs="Arial"/>
          <w:noProof/>
          <w:sz w:val="20"/>
        </w:rPr>
        <w:footnoteReference w:id="176"/>
      </w:r>
      <w:r>
        <w:rPr>
          <w:rFonts w:ascii="Arial" w:hAnsi="Arial" w:cs="Arial"/>
          <w:noProof/>
          <w:sz w:val="20"/>
        </w:rPr>
        <w:t>;</w:t>
      </w:r>
    </w:p>
    <w:p w:rsidR="001557B7" w:rsidRDefault="00AD3265">
      <w:pPr>
        <w:numPr>
          <w:ilvl w:val="0"/>
          <w:numId w:val="33"/>
        </w:numPr>
        <w:spacing w:after="200"/>
        <w:contextualSpacing/>
        <w:rPr>
          <w:rFonts w:ascii="Arial" w:hAnsi="Arial" w:cs="Arial"/>
          <w:bCs/>
          <w:noProof/>
          <w:sz w:val="20"/>
        </w:rPr>
      </w:pPr>
      <w:r>
        <w:rPr>
          <w:rFonts w:ascii="Arial" w:hAnsi="Arial" w:cs="Arial"/>
          <w:bCs/>
          <w:noProof/>
          <w:sz w:val="20"/>
        </w:rPr>
        <w:t>non-communication of national measures transposing the:</w:t>
      </w:r>
    </w:p>
    <w:p w:rsidR="001557B7" w:rsidRDefault="00AD3265">
      <w:pPr>
        <w:numPr>
          <w:ilvl w:val="1"/>
          <w:numId w:val="33"/>
        </w:numPr>
        <w:spacing w:after="200"/>
        <w:ind w:left="1843" w:hanging="425"/>
        <w:contextualSpacing/>
        <w:rPr>
          <w:rFonts w:ascii="Arial" w:hAnsi="Arial" w:cs="Arial"/>
          <w:bCs/>
          <w:noProof/>
          <w:sz w:val="20"/>
        </w:rPr>
      </w:pPr>
      <w:r>
        <w:rPr>
          <w:rFonts w:ascii="Arial" w:hAnsi="Arial" w:cs="Arial"/>
          <w:bCs/>
          <w:noProof/>
          <w:sz w:val="20"/>
        </w:rPr>
        <w:t>Directive on recognition of professional qualifications</w:t>
      </w:r>
      <w:r>
        <w:rPr>
          <w:rStyle w:val="FootnoteReference"/>
          <w:noProof/>
        </w:rPr>
        <w:footnoteReference w:id="177"/>
      </w:r>
      <w:r>
        <w:rPr>
          <w:rFonts w:ascii="Arial" w:hAnsi="Arial" w:cs="Arial"/>
          <w:bCs/>
          <w:noProof/>
          <w:sz w:val="20"/>
        </w:rPr>
        <w:t>;</w:t>
      </w:r>
    </w:p>
    <w:p w:rsidR="001557B7" w:rsidRDefault="00AD3265">
      <w:pPr>
        <w:numPr>
          <w:ilvl w:val="1"/>
          <w:numId w:val="33"/>
        </w:numPr>
        <w:spacing w:after="200"/>
        <w:ind w:left="1843" w:hanging="425"/>
        <w:contextualSpacing/>
        <w:rPr>
          <w:rFonts w:ascii="Arial" w:eastAsia="Calibri" w:hAnsi="Arial" w:cs="Arial"/>
          <w:noProof/>
          <w:sz w:val="20"/>
        </w:rPr>
      </w:pPr>
      <w:r>
        <w:rPr>
          <w:rFonts w:ascii="Arial" w:hAnsi="Arial" w:cs="Arial"/>
          <w:bCs/>
          <w:noProof/>
          <w:sz w:val="20"/>
        </w:rPr>
        <w:t>Directive on attacks against information systems</w:t>
      </w:r>
      <w:r>
        <w:rPr>
          <w:rStyle w:val="FootnoteReference"/>
          <w:rFonts w:cs="Arial"/>
          <w:noProof/>
        </w:rPr>
        <w:footnoteReference w:id="178"/>
      </w:r>
      <w:r>
        <w:rPr>
          <w:rFonts w:ascii="Arial" w:hAnsi="Arial" w:cs="Arial"/>
          <w:bCs/>
          <w:noProof/>
          <w:sz w:val="20"/>
        </w:rPr>
        <w:t>;</w:t>
      </w:r>
    </w:p>
    <w:p w:rsidR="001557B7" w:rsidRDefault="00AD3265">
      <w:pPr>
        <w:numPr>
          <w:ilvl w:val="1"/>
          <w:numId w:val="33"/>
        </w:numPr>
        <w:spacing w:after="200"/>
        <w:ind w:left="1843" w:hanging="425"/>
        <w:contextualSpacing/>
        <w:rPr>
          <w:rFonts w:ascii="Arial" w:hAnsi="Arial" w:cs="Arial"/>
          <w:bCs/>
          <w:noProof/>
          <w:sz w:val="20"/>
        </w:rPr>
      </w:pPr>
      <w:r>
        <w:rPr>
          <w:rFonts w:ascii="Arial" w:hAnsi="Arial" w:cs="Arial"/>
          <w:bCs/>
          <w:noProof/>
          <w:sz w:val="20"/>
        </w:rPr>
        <w:t xml:space="preserve">Directive on </w:t>
      </w:r>
      <w:r>
        <w:rPr>
          <w:rFonts w:ascii="Arial" w:hAnsi="Arial" w:cs="Arial"/>
          <w:bCs/>
          <w:noProof/>
          <w:sz w:val="20"/>
        </w:rPr>
        <w:t>over-reliance on credit ratings</w:t>
      </w:r>
      <w:r>
        <w:rPr>
          <w:rStyle w:val="FootnoteReference"/>
          <w:rFonts w:cs="Arial"/>
          <w:noProof/>
        </w:rPr>
        <w:footnoteReference w:id="179"/>
      </w:r>
      <w:r>
        <w:rPr>
          <w:rFonts w:ascii="Arial" w:hAnsi="Arial" w:cs="Arial"/>
          <w:bCs/>
          <w:noProof/>
          <w:sz w:val="20"/>
        </w:rPr>
        <w:t>.</w:t>
      </w:r>
    </w:p>
    <w:p w:rsidR="001557B7" w:rsidRDefault="00AD3265">
      <w:pPr>
        <w:pStyle w:val="kop2"/>
        <w:numPr>
          <w:ilvl w:val="0"/>
          <w:numId w:val="24"/>
        </w:numPr>
        <w:spacing w:before="360" w:after="240"/>
        <w:ind w:left="709" w:hanging="425"/>
        <w:rPr>
          <w:caps w:val="0"/>
          <w:noProof/>
        </w:rPr>
      </w:pPr>
      <w:r>
        <w:rPr>
          <w:caps w:val="0"/>
          <w:noProof/>
        </w:rPr>
        <w:t>IMPORTANT JUDGMENTS</w:t>
      </w:r>
    </w:p>
    <w:p w:rsidR="001557B7" w:rsidRDefault="00AD3265">
      <w:pPr>
        <w:pStyle w:val="AnnualReport2"/>
        <w:numPr>
          <w:ilvl w:val="0"/>
          <w:numId w:val="109"/>
        </w:numPr>
        <w:ind w:left="709" w:hanging="425"/>
        <w:rPr>
          <w:noProof/>
        </w:rPr>
      </w:pPr>
      <w:r>
        <w:rPr>
          <w:noProof/>
        </w:rPr>
        <w:t>Court ruling</w:t>
      </w:r>
      <w:r>
        <w:rPr>
          <w:rStyle w:val="FootnoteReference"/>
          <w:noProof/>
        </w:rPr>
        <w:footnoteReference w:id="180"/>
      </w:r>
    </w:p>
    <w:p w:rsidR="001557B7" w:rsidRDefault="00AD3265">
      <w:pPr>
        <w:pStyle w:val="Lijstje2"/>
        <w:spacing w:after="200"/>
        <w:ind w:left="1276" w:hanging="425"/>
        <w:rPr>
          <w:rFonts w:ascii="Arial" w:hAnsi="Arial" w:cs="Arial"/>
          <w:noProof/>
          <w:lang w:val="en-GB"/>
        </w:rPr>
      </w:pPr>
      <w:r>
        <w:rPr>
          <w:noProof/>
          <w:lang w:val="en-GB"/>
        </w:rPr>
        <w:t xml:space="preserve">The Court ruled that Ireland’s </w:t>
      </w:r>
      <w:r>
        <w:rPr>
          <w:rFonts w:ascii="Arial" w:hAnsi="Arial" w:cs="Arial"/>
          <w:noProof/>
          <w:lang w:val="en-GB"/>
        </w:rPr>
        <w:t xml:space="preserve">legislation levied the full amount of car tax on leased or rented vehicles even if the precise duration of the lease or rent is known (e.g. based on a </w:t>
      </w:r>
      <w:r>
        <w:rPr>
          <w:rFonts w:ascii="Arial" w:hAnsi="Arial" w:cs="Arial"/>
          <w:noProof/>
          <w:lang w:val="en-GB"/>
        </w:rPr>
        <w:t>leasing or rental contract). Even though the amount levied in excess is refunded once the vehicle is registered in another country, the rules qualify as a disproportionate obstacle to the freedom to provide services</w:t>
      </w:r>
      <w:r>
        <w:rPr>
          <w:rStyle w:val="FootnoteReference"/>
          <w:rFonts w:ascii="Arial" w:hAnsi="Arial" w:cs="Arial"/>
          <w:noProof/>
          <w:lang w:val="en-GB"/>
        </w:rPr>
        <w:footnoteReference w:id="181"/>
      </w:r>
      <w:r>
        <w:rPr>
          <w:rFonts w:ascii="Arial" w:hAnsi="Arial" w:cs="Arial"/>
          <w:noProof/>
          <w:lang w:val="en-GB"/>
        </w:rPr>
        <w:t>.</w:t>
      </w:r>
    </w:p>
    <w:p w:rsidR="001557B7" w:rsidRDefault="00AD3265">
      <w:pPr>
        <w:pStyle w:val="AnnualReport2"/>
        <w:numPr>
          <w:ilvl w:val="0"/>
          <w:numId w:val="109"/>
        </w:numPr>
        <w:ind w:left="709" w:hanging="425"/>
        <w:rPr>
          <w:noProof/>
        </w:rPr>
      </w:pPr>
      <w:r>
        <w:rPr>
          <w:noProof/>
        </w:rPr>
        <w:t>Preliminary rulings</w:t>
      </w:r>
    </w:p>
    <w:p w:rsidR="001557B7" w:rsidRDefault="00AD3265">
      <w:pPr>
        <w:pStyle w:val="Body"/>
        <w:ind w:left="426" w:firstLine="294"/>
        <w:rPr>
          <w:noProof/>
          <w:lang w:val="en-GB"/>
        </w:rPr>
      </w:pPr>
      <w:r>
        <w:rPr>
          <w:noProof/>
          <w:lang w:val="en-GB"/>
        </w:rPr>
        <w:t>The Court addresse</w:t>
      </w:r>
      <w:r>
        <w:rPr>
          <w:noProof/>
          <w:lang w:val="en-GB"/>
        </w:rPr>
        <w:t>d the following preliminary ruling to the Irish judiciary.</w:t>
      </w:r>
    </w:p>
    <w:p w:rsidR="001557B7" w:rsidRDefault="00AD3265">
      <w:pPr>
        <w:pStyle w:val="Lijstje2"/>
        <w:ind w:left="1276" w:hanging="425"/>
        <w:rPr>
          <w:rFonts w:ascii="Arial" w:hAnsi="Arial" w:cs="Arial"/>
          <w:noProof/>
          <w:lang w:val="en-GB"/>
        </w:rPr>
      </w:pPr>
      <w:r>
        <w:rPr>
          <w:rFonts w:ascii="Arial" w:hAnsi="Arial" w:cs="Arial"/>
          <w:noProof/>
          <w:lang w:val="en-GB"/>
        </w:rPr>
        <w:t>An EU citizen who, after more than 1 year, has ceased to work in a self-employed capacity in another Member State for reasons beyond his control retains the status of self-employed person and, cons</w:t>
      </w:r>
      <w:r>
        <w:rPr>
          <w:rFonts w:ascii="Arial" w:hAnsi="Arial" w:cs="Arial"/>
          <w:noProof/>
          <w:lang w:val="en-GB"/>
        </w:rPr>
        <w:t>equently, a right to reside in that Member State</w:t>
      </w:r>
      <w:r>
        <w:rPr>
          <w:rStyle w:val="FootnoteReference"/>
          <w:rFonts w:ascii="Arial" w:hAnsi="Arial" w:cs="Arial"/>
          <w:noProof/>
          <w:lang w:val="en-GB"/>
        </w:rPr>
        <w:footnoteReference w:id="182"/>
      </w:r>
      <w:r>
        <w:rPr>
          <w:rFonts w:ascii="Arial" w:hAnsi="Arial" w:cs="Arial"/>
          <w:noProof/>
          <w:lang w:val="en-GB"/>
        </w:rPr>
        <w:t>.</w:t>
      </w:r>
    </w:p>
    <w:p w:rsidR="001557B7" w:rsidRDefault="001557B7">
      <w:pPr>
        <w:pStyle w:val="Body"/>
        <w:ind w:firstLine="720"/>
        <w:rPr>
          <w:noProof/>
          <w:lang w:val="en-GB"/>
        </w:rPr>
      </w:pPr>
    </w:p>
    <w:p w:rsidR="001557B7" w:rsidRDefault="001557B7">
      <w:pPr>
        <w:pStyle w:val="ListParagraph"/>
        <w:spacing w:after="0"/>
        <w:ind w:left="1276"/>
        <w:rPr>
          <w:noProof/>
        </w:rPr>
        <w:sectPr w:rsidR="001557B7">
          <w:headerReference w:type="even" r:id="rId137"/>
          <w:headerReference w:type="default" r:id="rId138"/>
          <w:footerReference w:type="even" r:id="rId139"/>
          <w:footerReference w:type="default" r:id="rId140"/>
          <w:headerReference w:type="first" r:id="rId141"/>
          <w:footerReference w:type="first" r:id="rId142"/>
          <w:footnotePr>
            <w:numRestart w:val="eachSect"/>
          </w:footnotePr>
          <w:pgSz w:w="11906" w:h="16838"/>
          <w:pgMar w:top="1702" w:right="1417" w:bottom="1134" w:left="1417" w:header="567" w:footer="351" w:gutter="0"/>
          <w:cols w:space="708"/>
          <w:titlePg/>
          <w:docGrid w:linePitch="360"/>
        </w:sectPr>
      </w:pPr>
    </w:p>
    <w:p w:rsidR="001557B7" w:rsidRDefault="00AD3265">
      <w:pPr>
        <w:pStyle w:val="Heading1"/>
        <w:rPr>
          <w:noProof/>
        </w:rPr>
      </w:pPr>
      <w:bookmarkStart w:id="64" w:name="_Toc444769595"/>
      <w:bookmarkStart w:id="65" w:name="_Toc444772051"/>
      <w:bookmarkStart w:id="66" w:name="_Toc444773370"/>
      <w:bookmarkStart w:id="67" w:name="_Toc444776742"/>
      <w:bookmarkStart w:id="68" w:name="_Toc475974649"/>
      <w:bookmarkStart w:id="69" w:name="_Toc475980145"/>
      <w:bookmarkStart w:id="70" w:name="_Toc475981394"/>
      <w:bookmarkStart w:id="71" w:name="_Toc484622324"/>
      <w:bookmarkStart w:id="72" w:name="_Toc510015273"/>
      <w:bookmarkStart w:id="73" w:name="_Toc444769593"/>
      <w:bookmarkStart w:id="74" w:name="_Toc444772049"/>
      <w:bookmarkStart w:id="75" w:name="_Toc444773368"/>
      <w:bookmarkStart w:id="76" w:name="_Toc444776740"/>
      <w:bookmarkStart w:id="77" w:name="_Toc475974647"/>
      <w:bookmarkStart w:id="78" w:name="_Toc475980143"/>
      <w:bookmarkStart w:id="79" w:name="_Toc475981392"/>
      <w:bookmarkEnd w:id="57"/>
      <w:bookmarkEnd w:id="58"/>
      <w:bookmarkEnd w:id="59"/>
      <w:bookmarkEnd w:id="60"/>
      <w:bookmarkEnd w:id="61"/>
      <w:bookmarkEnd w:id="62"/>
      <w:bookmarkEnd w:id="63"/>
      <w:r>
        <w:rPr>
          <w:noProof/>
        </w:rPr>
        <w:t>Greece</w:t>
      </w:r>
      <w:bookmarkEnd w:id="64"/>
      <w:bookmarkEnd w:id="65"/>
      <w:bookmarkEnd w:id="66"/>
      <w:bookmarkEnd w:id="67"/>
      <w:bookmarkEnd w:id="68"/>
      <w:bookmarkEnd w:id="69"/>
      <w:bookmarkEnd w:id="70"/>
      <w:bookmarkEnd w:id="71"/>
      <w:bookmarkEnd w:id="72"/>
    </w:p>
    <w:p w:rsidR="001557B7" w:rsidRDefault="00AD3265">
      <w:pPr>
        <w:pStyle w:val="kop2"/>
        <w:numPr>
          <w:ilvl w:val="0"/>
          <w:numId w:val="29"/>
        </w:numPr>
        <w:spacing w:before="360" w:after="240"/>
        <w:ind w:left="709" w:hanging="425"/>
        <w:rPr>
          <w:noProof/>
        </w:rPr>
      </w:pPr>
      <w:r>
        <w:rPr>
          <w:noProof/>
        </w:rPr>
        <w:t>COMPLAINTS</w:t>
      </w:r>
    </w:p>
    <w:p w:rsidR="001557B7" w:rsidRDefault="00AD3265">
      <w:pPr>
        <w:pStyle w:val="AnnualReport2"/>
        <w:numPr>
          <w:ilvl w:val="0"/>
          <w:numId w:val="110"/>
        </w:numPr>
        <w:ind w:left="709" w:hanging="425"/>
        <w:rPr>
          <w:noProof/>
        </w:rPr>
      </w:pPr>
      <w:r>
        <w:rPr>
          <w:noProof/>
        </w:rPr>
        <w:t>New complaints made against Greece by members of the public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1A1F55F8" wp14:editId="3F31C52A">
            <wp:extent cx="4587875" cy="1868805"/>
            <wp:effectExtent l="0" t="0" r="22225" b="17145"/>
            <wp:docPr id="7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1557B7" w:rsidRDefault="00AD3265">
      <w:pPr>
        <w:pStyle w:val="AnnualReport2"/>
        <w:numPr>
          <w:ilvl w:val="0"/>
          <w:numId w:val="63"/>
        </w:numPr>
        <w:ind w:left="709" w:hanging="425"/>
        <w:rPr>
          <w:noProof/>
        </w:rPr>
      </w:pPr>
      <w:r>
        <w:rPr>
          <w:noProof/>
        </w:rPr>
        <w:t>Public complaints against Greece open at year-end</w:t>
      </w:r>
    </w:p>
    <w:tbl>
      <w:tblPr>
        <w:tblW w:w="0" w:type="auto"/>
        <w:jc w:val="center"/>
        <w:tblLook w:val="04A0" w:firstRow="1" w:lastRow="0" w:firstColumn="1" w:lastColumn="0" w:noHBand="0" w:noVBand="1"/>
      </w:tblPr>
      <w:tblGrid>
        <w:gridCol w:w="1697"/>
        <w:gridCol w:w="452"/>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112</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166</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 xml:space="preserve">New complaints </w:t>
            </w:r>
            <w:r>
              <w:rPr>
                <w:rFonts w:ascii="Arial" w:hAnsi="Arial" w:cs="Arial"/>
                <w:noProof/>
                <w:color w:val="548DD4"/>
                <w:sz w:val="22"/>
                <w:szCs w:val="28"/>
                <w:lang w:eastAsia="en-GB"/>
              </w:rPr>
              <w:t>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169</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109</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1557B7" w:rsidRDefault="00AD3265">
      <w:pPr>
        <w:pStyle w:val="AnnualReport2"/>
        <w:numPr>
          <w:ilvl w:val="0"/>
          <w:numId w:val="63"/>
        </w:numPr>
        <w:ind w:left="709" w:hanging="425"/>
        <w:rPr>
          <w:noProof/>
        </w:rPr>
      </w:pPr>
      <w:r>
        <w:rPr>
          <w:noProof/>
        </w:rPr>
        <w:t>New complaints registered in 2017: main policy areas</w:t>
      </w:r>
    </w:p>
    <w:p w:rsidR="001557B7" w:rsidRDefault="00AD3265">
      <w:pPr>
        <w:spacing w:after="200" w:line="276" w:lineRule="auto"/>
        <w:ind w:firstLine="709"/>
        <w:jc w:val="left"/>
        <w:rPr>
          <w:noProof/>
        </w:rPr>
      </w:pPr>
      <w:r>
        <w:rPr>
          <w:rFonts w:ascii="Arial" w:hAnsi="Arial" w:cs="Arial"/>
          <w:noProof/>
          <w:sz w:val="20"/>
          <w:lang w:eastAsia="en-GB"/>
        </w:rPr>
        <w:drawing>
          <wp:inline distT="0" distB="0" distL="0" distR="0" wp14:anchorId="7365AD54" wp14:editId="1EB75DE3">
            <wp:extent cx="4858385" cy="2480945"/>
            <wp:effectExtent l="0" t="0" r="18415" b="14605"/>
            <wp:docPr id="971" name="Object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1557B7" w:rsidRDefault="00AD3265">
      <w:pPr>
        <w:spacing w:after="200" w:line="276" w:lineRule="auto"/>
        <w:ind w:firstLine="709"/>
        <w:jc w:val="left"/>
        <w:rPr>
          <w:rFonts w:ascii="Arial" w:hAnsi="Arial" w:cs="Arial"/>
          <w:noProof/>
          <w:sz w:val="20"/>
        </w:rPr>
      </w:pPr>
      <w:r>
        <w:rPr>
          <w:noProof/>
        </w:rPr>
        <w:br w:type="page"/>
      </w:r>
    </w:p>
    <w:p w:rsidR="001557B7" w:rsidRDefault="00AD3265">
      <w:pPr>
        <w:pStyle w:val="kop2"/>
        <w:numPr>
          <w:ilvl w:val="0"/>
          <w:numId w:val="29"/>
        </w:numPr>
        <w:spacing w:before="240" w:after="240"/>
        <w:ind w:left="709" w:hanging="425"/>
        <w:rPr>
          <w:caps w:val="0"/>
          <w:noProof/>
        </w:rPr>
      </w:pPr>
      <w:r>
        <w:rPr>
          <w:caps w:val="0"/>
          <w:noProof/>
        </w:rPr>
        <w:t>EU PILOT</w:t>
      </w:r>
    </w:p>
    <w:p w:rsidR="001557B7" w:rsidRDefault="00AD3265">
      <w:pPr>
        <w:pStyle w:val="AnnualReport2"/>
        <w:numPr>
          <w:ilvl w:val="0"/>
          <w:numId w:val="111"/>
        </w:numPr>
        <w:ind w:left="709" w:hanging="425"/>
        <w:rPr>
          <w:noProof/>
        </w:rPr>
      </w:pPr>
      <w:r>
        <w:rPr>
          <w:noProof/>
        </w:rPr>
        <w:t>New EU Pilot files opened against Greece (2013-2017)</w:t>
      </w:r>
    </w:p>
    <w:p w:rsidR="001557B7" w:rsidRDefault="00AD3265">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7B99965E" wp14:editId="4E2A8A3C">
            <wp:extent cx="4596130" cy="2186305"/>
            <wp:effectExtent l="0" t="0" r="0" b="0"/>
            <wp:docPr id="8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1557B7" w:rsidRDefault="00AD3265">
      <w:pPr>
        <w:pStyle w:val="AnnualReport2"/>
        <w:numPr>
          <w:ilvl w:val="0"/>
          <w:numId w:val="63"/>
        </w:numPr>
        <w:ind w:left="709" w:hanging="425"/>
        <w:rPr>
          <w:noProof/>
        </w:rPr>
      </w:pPr>
      <w:r>
        <w:rPr>
          <w:noProof/>
        </w:rPr>
        <w:t>Files relating to Greece open in EU Pilot at</w:t>
      </w:r>
      <w:r>
        <w:rPr>
          <w:noProof/>
        </w:rPr>
        <w:t xml:space="preserve"> year-end</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510603D3" wp14:editId="6ECDA24C">
            <wp:extent cx="4596130" cy="2186305"/>
            <wp:effectExtent l="0" t="0" r="0" b="0"/>
            <wp:docPr id="8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1557B7" w:rsidRDefault="00AD3265">
      <w:pPr>
        <w:pStyle w:val="AnnualReport2"/>
        <w:numPr>
          <w:ilvl w:val="0"/>
          <w:numId w:val="63"/>
        </w:numPr>
        <w:ind w:left="709" w:hanging="425"/>
        <w:rPr>
          <w:noProof/>
        </w:rPr>
      </w:pPr>
      <w:r>
        <w:rPr>
          <w:noProof/>
        </w:rPr>
        <w:t>New EU Pilot files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61D825FC" wp14:editId="3C360F6F">
            <wp:extent cx="4627880" cy="2425065"/>
            <wp:effectExtent l="0" t="0" r="20320" b="13335"/>
            <wp:docPr id="83" name="Objec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1557B7" w:rsidRDefault="00AD3265">
      <w:pPr>
        <w:spacing w:after="0"/>
        <w:jc w:val="left"/>
        <w:rPr>
          <w:rFonts w:ascii="Arial" w:hAnsi="Arial"/>
          <w:noProof/>
          <w:color w:val="002060"/>
          <w:sz w:val="22"/>
          <w:szCs w:val="22"/>
        </w:rPr>
      </w:pPr>
      <w:r>
        <w:rPr>
          <w:noProof/>
        </w:rPr>
        <w:br w:type="page"/>
      </w:r>
    </w:p>
    <w:p w:rsidR="001557B7" w:rsidRDefault="00AD3265">
      <w:pPr>
        <w:pStyle w:val="AnnualReport2"/>
        <w:numPr>
          <w:ilvl w:val="0"/>
          <w:numId w:val="63"/>
        </w:numPr>
        <w:ind w:left="709" w:hanging="425"/>
        <w:rPr>
          <w:noProof/>
        </w:rPr>
      </w:pPr>
      <w:r>
        <w:rPr>
          <w:noProof/>
        </w:rPr>
        <w:t>EU Pilot files: Greece’s resolution rate in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00FAFBD5" wp14:editId="379BBA13">
            <wp:extent cx="4612005" cy="2258060"/>
            <wp:effectExtent l="0" t="0" r="17145" b="27940"/>
            <wp:docPr id="8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1557B7" w:rsidRDefault="00AD3265">
      <w:pPr>
        <w:pStyle w:val="kop2"/>
        <w:numPr>
          <w:ilvl w:val="0"/>
          <w:numId w:val="29"/>
        </w:numPr>
        <w:spacing w:before="360" w:after="240"/>
        <w:ind w:left="709" w:hanging="425"/>
        <w:rPr>
          <w:caps w:val="0"/>
          <w:noProof/>
        </w:rPr>
      </w:pPr>
      <w:r>
        <w:rPr>
          <w:noProof/>
        </w:rPr>
        <w:t>INFRINGEMENT</w:t>
      </w:r>
      <w:r>
        <w:rPr>
          <w:caps w:val="0"/>
          <w:noProof/>
        </w:rPr>
        <w:t xml:space="preserve"> CASES</w:t>
      </w:r>
    </w:p>
    <w:p w:rsidR="001557B7" w:rsidRDefault="00AD3265">
      <w:pPr>
        <w:pStyle w:val="AnnualReport2"/>
        <w:numPr>
          <w:ilvl w:val="0"/>
          <w:numId w:val="112"/>
        </w:numPr>
        <w:ind w:left="709" w:hanging="425"/>
        <w:rPr>
          <w:noProof/>
        </w:rPr>
      </w:pPr>
      <w:r>
        <w:rPr>
          <w:noProof/>
        </w:rPr>
        <w:t>Infringement cases against Greece open on 31 December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6C3E3E5F" wp14:editId="2AEBB527">
            <wp:extent cx="4587875" cy="1971675"/>
            <wp:effectExtent l="0" t="0" r="22225" b="9525"/>
            <wp:docPr id="85"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1557B7" w:rsidRDefault="00AD3265">
      <w:pPr>
        <w:pStyle w:val="AnnualReport2"/>
        <w:numPr>
          <w:ilvl w:val="0"/>
          <w:numId w:val="63"/>
        </w:numPr>
        <w:ind w:left="709" w:hanging="425"/>
        <w:rPr>
          <w:noProof/>
        </w:rPr>
      </w:pPr>
      <w:r>
        <w:rPr>
          <w:noProof/>
        </w:rPr>
        <w:t xml:space="preserve">New infringement cases opened in 2017: main </w:t>
      </w:r>
      <w:r>
        <w:rPr>
          <w:noProof/>
        </w:rPr>
        <w:t>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2F916F90" wp14:editId="7971AB58">
            <wp:extent cx="4460875" cy="2393315"/>
            <wp:effectExtent l="0" t="0" r="15875" b="26035"/>
            <wp:docPr id="86" name="Object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1557B7" w:rsidRDefault="00AD3265">
      <w:pPr>
        <w:spacing w:after="0"/>
        <w:jc w:val="left"/>
        <w:rPr>
          <w:rFonts w:ascii="Arial" w:hAnsi="Arial"/>
          <w:noProof/>
          <w:color w:val="002060"/>
          <w:sz w:val="22"/>
          <w:szCs w:val="22"/>
        </w:rPr>
      </w:pPr>
      <w:r>
        <w:rPr>
          <w:noProof/>
        </w:rPr>
        <w:br w:type="page"/>
      </w:r>
    </w:p>
    <w:p w:rsidR="001557B7" w:rsidRDefault="00AD3265">
      <w:pPr>
        <w:pStyle w:val="AnnualReport2"/>
        <w:numPr>
          <w:ilvl w:val="0"/>
          <w:numId w:val="63"/>
        </w:numPr>
        <w:ind w:left="709" w:hanging="425"/>
        <w:rPr>
          <w:noProof/>
        </w:rPr>
      </w:pPr>
      <w:r>
        <w:rPr>
          <w:noProof/>
        </w:rPr>
        <w:t>Key infringement cases and referrals to the Court</w:t>
      </w:r>
    </w:p>
    <w:p w:rsidR="001557B7" w:rsidRDefault="00AD3265">
      <w:pPr>
        <w:pStyle w:val="Lijstje"/>
        <w:numPr>
          <w:ilvl w:val="0"/>
          <w:numId w:val="30"/>
        </w:numPr>
        <w:ind w:left="1276" w:hanging="425"/>
        <w:rPr>
          <w:noProof/>
        </w:rPr>
      </w:pPr>
      <w:r>
        <w:rPr>
          <w:noProof/>
        </w:rPr>
        <w:t>The Commission opened 30 new infringement cases against Greece in 2017. These, and other major ongoing infringement cases, include:</w:t>
      </w:r>
    </w:p>
    <w:p w:rsidR="001557B7" w:rsidRDefault="00AD3265">
      <w:pPr>
        <w:pStyle w:val="Lijstje2"/>
        <w:spacing w:after="0"/>
        <w:ind w:left="1843" w:hanging="425"/>
        <w:rPr>
          <w:rFonts w:ascii="Arial" w:hAnsi="Arial"/>
          <w:noProof/>
          <w:lang w:val="en-GB"/>
        </w:rPr>
      </w:pPr>
      <w:r>
        <w:rPr>
          <w:rFonts w:ascii="Arial" w:hAnsi="Arial"/>
          <w:noProof/>
          <w:lang w:val="en-GB"/>
        </w:rPr>
        <w:t>non-</w:t>
      </w:r>
      <w:r>
        <w:rPr>
          <w:rFonts w:ascii="Arial" w:hAnsi="Arial" w:cs="Arial"/>
          <w:noProof/>
          <w:lang w:val="en-GB"/>
        </w:rPr>
        <w:t>communication</w:t>
      </w:r>
      <w:r>
        <w:rPr>
          <w:rFonts w:ascii="Arial" w:hAnsi="Arial"/>
          <w:noProof/>
          <w:lang w:val="en-GB"/>
        </w:rPr>
        <w:t xml:space="preserve"> of national measures transposing the:</w:t>
      </w:r>
    </w:p>
    <w:p w:rsidR="001557B7" w:rsidRDefault="00AD3265">
      <w:pPr>
        <w:numPr>
          <w:ilvl w:val="2"/>
          <w:numId w:val="2"/>
        </w:numPr>
        <w:spacing w:after="200"/>
        <w:ind w:left="2410" w:hanging="425"/>
        <w:contextualSpacing/>
        <w:rPr>
          <w:rFonts w:ascii="Arial" w:hAnsi="Arial" w:cs="Arial"/>
          <w:noProof/>
          <w:sz w:val="20"/>
        </w:rPr>
      </w:pPr>
      <w:r>
        <w:rPr>
          <w:rFonts w:ascii="Arial" w:hAnsi="Arial"/>
          <w:noProof/>
          <w:sz w:val="20"/>
        </w:rPr>
        <w:t>F</w:t>
      </w:r>
      <w:r>
        <w:rPr>
          <w:rFonts w:ascii="Arial" w:hAnsi="Arial"/>
          <w:noProof/>
          <w:sz w:val="20"/>
        </w:rPr>
        <w:t>ourth Anti-Money Laundering Directive</w:t>
      </w:r>
      <w:r>
        <w:rPr>
          <w:rStyle w:val="FootnoteReference"/>
          <w:rFonts w:ascii="Arial" w:hAnsi="Arial"/>
          <w:noProof/>
          <w:sz w:val="20"/>
        </w:rPr>
        <w:footnoteReference w:id="183"/>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Markets in Financial Instruments Directive (MiFID II)</w:t>
      </w:r>
      <w:r>
        <w:rPr>
          <w:rStyle w:val="FootnoteReference"/>
          <w:rFonts w:ascii="Arial" w:hAnsi="Arial" w:cs="Arial"/>
          <w:noProof/>
          <w:sz w:val="20"/>
        </w:rPr>
        <w:footnoteReference w:id="184"/>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Directive on seafarers</w:t>
      </w:r>
      <w:r>
        <w:rPr>
          <w:rStyle w:val="FootnoteReference"/>
          <w:rFonts w:ascii="Arial" w:hAnsi="Arial" w:cs="Arial"/>
          <w:noProof/>
          <w:sz w:val="20"/>
        </w:rPr>
        <w:footnoteReference w:id="185"/>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Directive</w:t>
      </w:r>
      <w:r>
        <w:rPr>
          <w:rStyle w:val="FootnoteReference"/>
          <w:rFonts w:ascii="Arial" w:hAnsi="Arial" w:cs="Arial"/>
          <w:noProof/>
          <w:sz w:val="20"/>
        </w:rPr>
        <w:footnoteReference w:id="186"/>
      </w:r>
      <w:r>
        <w:rPr>
          <w:rFonts w:ascii="Arial" w:hAnsi="Arial" w:cs="Arial"/>
          <w:noProof/>
          <w:sz w:val="20"/>
        </w:rPr>
        <w:t xml:space="preserve"> laying down calculation methods and reporting requirements pursuant to the Directive on fuels quality</w:t>
      </w:r>
      <w:r>
        <w:rPr>
          <w:rStyle w:val="FootnoteReference"/>
          <w:rFonts w:ascii="Arial" w:hAnsi="Arial" w:cs="Arial"/>
          <w:noProof/>
          <w:sz w:val="20"/>
        </w:rPr>
        <w:footnoteReference w:id="187"/>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 xml:space="preserve">Directive on </w:t>
      </w:r>
      <w:r>
        <w:rPr>
          <w:rFonts w:ascii="Arial" w:hAnsi="Arial" w:cs="Arial"/>
          <w:noProof/>
          <w:sz w:val="20"/>
        </w:rPr>
        <w:t>recognition of professional qualifications</w:t>
      </w:r>
      <w:r>
        <w:rPr>
          <w:rStyle w:val="FootnoteReference"/>
          <w:noProof/>
        </w:rPr>
        <w:footnoteReference w:id="188"/>
      </w:r>
      <w:r>
        <w:rPr>
          <w:rFonts w:ascii="Arial" w:hAnsi="Arial" w:cs="Arial"/>
          <w:noProof/>
          <w:sz w:val="20"/>
        </w:rPr>
        <w:t>;</w:t>
      </w:r>
    </w:p>
    <w:p w:rsidR="001557B7" w:rsidRDefault="00AD3265">
      <w:pPr>
        <w:numPr>
          <w:ilvl w:val="2"/>
          <w:numId w:val="2"/>
        </w:numPr>
        <w:spacing w:after="0"/>
        <w:ind w:left="2410" w:hanging="425"/>
        <w:contextualSpacing/>
        <w:rPr>
          <w:rFonts w:ascii="Arial" w:hAnsi="Arial" w:cs="Arial"/>
          <w:noProof/>
          <w:sz w:val="20"/>
        </w:rPr>
      </w:pPr>
      <w:r>
        <w:rPr>
          <w:rFonts w:ascii="Arial" w:hAnsi="Arial" w:cs="Arial"/>
          <w:noProof/>
          <w:sz w:val="20"/>
        </w:rPr>
        <w:t>Maritime Spatial Planning Directive</w:t>
      </w:r>
      <w:r>
        <w:rPr>
          <w:rStyle w:val="FootnoteReference"/>
          <w:rFonts w:ascii="Arial" w:hAnsi="Arial" w:cs="Arial"/>
          <w:noProof/>
          <w:sz w:val="20"/>
        </w:rPr>
        <w:footnoteReference w:id="189"/>
      </w:r>
      <w:r>
        <w:rPr>
          <w:rFonts w:ascii="Arial" w:hAnsi="Arial" w:cs="Arial"/>
          <w:noProof/>
          <w:sz w:val="20"/>
        </w:rPr>
        <w:t>.</w:t>
      </w:r>
    </w:p>
    <w:p w:rsidR="001557B7" w:rsidRDefault="00AD3265">
      <w:pPr>
        <w:pStyle w:val="Lijstje2"/>
        <w:spacing w:after="200"/>
        <w:ind w:left="1843" w:hanging="426"/>
        <w:rPr>
          <w:rFonts w:ascii="Arial" w:hAnsi="Arial"/>
          <w:noProof/>
          <w:lang w:val="en-GB" w:eastAsia="en-GB"/>
        </w:rPr>
      </w:pPr>
      <w:r>
        <w:rPr>
          <w:rFonts w:ascii="Arial" w:hAnsi="Arial"/>
          <w:noProof/>
          <w:lang w:val="en-GB" w:eastAsia="en-GB"/>
        </w:rPr>
        <w:t>incorrect transposition and application of the Energy Performance of Buildings Directive</w:t>
      </w:r>
      <w:r>
        <w:rPr>
          <w:rStyle w:val="FootnoteReference"/>
          <w:noProof/>
          <w:lang w:val="en-GB"/>
        </w:rPr>
        <w:footnoteReference w:id="190"/>
      </w:r>
      <w:r>
        <w:rPr>
          <w:rFonts w:ascii="Arial" w:hAnsi="Arial"/>
          <w:noProof/>
          <w:lang w:val="en-GB" w:eastAsia="en-GB"/>
        </w:rPr>
        <w:t>;</w:t>
      </w:r>
    </w:p>
    <w:p w:rsidR="001557B7" w:rsidRDefault="00AD3265">
      <w:pPr>
        <w:pStyle w:val="Lijstje2"/>
        <w:ind w:left="1843" w:hanging="425"/>
        <w:rPr>
          <w:rFonts w:ascii="Arial" w:hAnsi="Arial" w:cs="Arial"/>
          <w:noProof/>
          <w:lang w:val="en-GB"/>
        </w:rPr>
      </w:pPr>
      <w:r>
        <w:rPr>
          <w:rFonts w:ascii="Arial" w:hAnsi="Arial" w:cs="Arial"/>
          <w:noProof/>
          <w:lang w:val="en-GB"/>
        </w:rPr>
        <w:t>failing to fully implement the Prüm Decisions, which set up an information-exchang</w:t>
      </w:r>
      <w:r>
        <w:rPr>
          <w:rFonts w:ascii="Arial" w:hAnsi="Arial" w:cs="Arial"/>
          <w:noProof/>
          <w:lang w:val="en-GB"/>
        </w:rPr>
        <w:t>e tool that can offer automated comparison of DNA profiles, fingerprint data and vehicle registration data</w:t>
      </w:r>
      <w:r>
        <w:rPr>
          <w:rStyle w:val="FootnoteReference"/>
          <w:rFonts w:ascii="Arial" w:hAnsi="Arial" w:cs="Arial"/>
          <w:noProof/>
          <w:lang w:val="en-GB"/>
        </w:rPr>
        <w:footnoteReference w:id="191"/>
      </w:r>
      <w:r>
        <w:rPr>
          <w:rFonts w:ascii="Arial" w:hAnsi="Arial" w:cs="Arial"/>
          <w:noProof/>
          <w:lang w:val="en-GB"/>
        </w:rPr>
        <w:t>;</w:t>
      </w:r>
    </w:p>
    <w:p w:rsidR="001557B7" w:rsidRDefault="00AD3265">
      <w:pPr>
        <w:pStyle w:val="Lijstje2"/>
        <w:ind w:left="1843" w:hanging="425"/>
        <w:rPr>
          <w:rFonts w:ascii="Arial" w:hAnsi="Arial" w:cs="Arial"/>
          <w:noProof/>
          <w:lang w:val="en-GB"/>
        </w:rPr>
      </w:pPr>
      <w:r>
        <w:rPr>
          <w:rFonts w:ascii="Arial" w:hAnsi="Arial" w:cs="Arial"/>
          <w:noProof/>
          <w:lang w:val="en-GB"/>
        </w:rPr>
        <w:t>disproportionate charges for residence permits under the Directives on legal migration</w:t>
      </w:r>
      <w:r>
        <w:rPr>
          <w:rStyle w:val="FootnoteReference"/>
          <w:rFonts w:ascii="Arial" w:hAnsi="Arial" w:cs="Arial"/>
          <w:noProof/>
          <w:lang w:val="en-GB"/>
        </w:rPr>
        <w:footnoteReference w:id="192"/>
      </w:r>
      <w:r>
        <w:rPr>
          <w:rFonts w:ascii="Arial" w:hAnsi="Arial" w:cs="Arial"/>
          <w:noProof/>
          <w:lang w:val="en-GB"/>
        </w:rPr>
        <w:t>;</w:t>
      </w:r>
    </w:p>
    <w:p w:rsidR="001557B7" w:rsidRDefault="00AD3265">
      <w:pPr>
        <w:pStyle w:val="Lijstje2"/>
        <w:ind w:left="1843" w:hanging="425"/>
        <w:rPr>
          <w:rFonts w:ascii="Arial" w:hAnsi="Arial" w:cs="Arial"/>
          <w:noProof/>
          <w:lang w:val="en-GB"/>
        </w:rPr>
      </w:pPr>
      <w:r>
        <w:rPr>
          <w:rFonts w:ascii="Arial" w:hAnsi="Arial" w:cs="Arial"/>
          <w:noProof/>
          <w:lang w:val="en-GB"/>
        </w:rPr>
        <w:t>failure to establish nitrates action programmes for all ni</w:t>
      </w:r>
      <w:r>
        <w:rPr>
          <w:rFonts w:ascii="Arial" w:hAnsi="Arial" w:cs="Arial"/>
          <w:noProof/>
          <w:lang w:val="en-GB"/>
        </w:rPr>
        <w:t>trate vulnerable zones, as required under the Nitrates Directive</w:t>
      </w:r>
      <w:r>
        <w:rPr>
          <w:rStyle w:val="FootnoteReference"/>
          <w:rFonts w:ascii="Arial" w:hAnsi="Arial" w:cs="Arial"/>
          <w:noProof/>
          <w:lang w:val="en-GB"/>
        </w:rPr>
        <w:footnoteReference w:id="193"/>
      </w:r>
      <w:r>
        <w:rPr>
          <w:rFonts w:ascii="Arial" w:hAnsi="Arial" w:cs="Arial"/>
          <w:noProof/>
          <w:lang w:val="en-GB"/>
        </w:rPr>
        <w:t>;</w:t>
      </w:r>
    </w:p>
    <w:p w:rsidR="001557B7" w:rsidRDefault="00AD3265">
      <w:pPr>
        <w:pStyle w:val="Lijstje2"/>
        <w:ind w:left="1843" w:hanging="425"/>
        <w:rPr>
          <w:rFonts w:ascii="Arial" w:hAnsi="Arial" w:cs="Arial"/>
          <w:noProof/>
          <w:lang w:val="en-GB"/>
        </w:rPr>
      </w:pPr>
      <w:r>
        <w:rPr>
          <w:rFonts w:ascii="Arial" w:hAnsi="Arial" w:cs="Arial"/>
          <w:noProof/>
          <w:lang w:val="en-GB"/>
        </w:rPr>
        <w:t>failure to comply with reporting obligations under EU waste legislation</w:t>
      </w:r>
      <w:r>
        <w:rPr>
          <w:rStyle w:val="FootnoteReference"/>
          <w:rFonts w:ascii="Arial" w:hAnsi="Arial" w:cs="Arial"/>
          <w:noProof/>
          <w:lang w:val="en-GB"/>
        </w:rPr>
        <w:footnoteReference w:id="194"/>
      </w:r>
      <w:r>
        <w:rPr>
          <w:rFonts w:ascii="Arial" w:hAnsi="Arial" w:cs="Arial"/>
          <w:noProof/>
          <w:lang w:val="en-GB"/>
        </w:rPr>
        <w:t>;</w:t>
      </w:r>
    </w:p>
    <w:p w:rsidR="001557B7" w:rsidRDefault="00AD3265">
      <w:pPr>
        <w:pStyle w:val="Lijstje2"/>
        <w:ind w:left="1843" w:hanging="425"/>
        <w:rPr>
          <w:rFonts w:ascii="Arial" w:hAnsi="Arial" w:cs="Arial"/>
          <w:noProof/>
          <w:lang w:val="en-GB"/>
        </w:rPr>
      </w:pPr>
      <w:r>
        <w:rPr>
          <w:rFonts w:ascii="Arial" w:hAnsi="Arial" w:cs="Arial"/>
          <w:noProof/>
          <w:lang w:val="en-GB"/>
        </w:rPr>
        <w:t>non-reporting of flood risk management plans under the Floods Directive</w:t>
      </w:r>
      <w:r>
        <w:rPr>
          <w:rStyle w:val="FootnoteReference"/>
          <w:rFonts w:ascii="Arial" w:hAnsi="Arial" w:cs="Arial"/>
          <w:noProof/>
          <w:lang w:val="en-GB"/>
        </w:rPr>
        <w:footnoteReference w:id="195"/>
      </w:r>
      <w:r>
        <w:rPr>
          <w:rFonts w:ascii="Arial" w:hAnsi="Arial" w:cs="Arial"/>
          <w:noProof/>
          <w:lang w:val="en-GB"/>
        </w:rPr>
        <w:t>;</w:t>
      </w:r>
    </w:p>
    <w:p w:rsidR="001557B7" w:rsidRDefault="00AD3265">
      <w:pPr>
        <w:pStyle w:val="Lijstje2"/>
        <w:ind w:left="1843" w:hanging="425"/>
        <w:rPr>
          <w:rFonts w:ascii="Arial" w:hAnsi="Arial" w:cs="Arial"/>
          <w:noProof/>
          <w:lang w:val="en-GB"/>
        </w:rPr>
      </w:pPr>
      <w:r>
        <w:rPr>
          <w:rFonts w:ascii="Arial" w:hAnsi="Arial" w:cs="Arial"/>
          <w:noProof/>
          <w:lang w:val="en-GB"/>
        </w:rPr>
        <w:t xml:space="preserve">late adoption of the second round of </w:t>
      </w:r>
      <w:r>
        <w:rPr>
          <w:rFonts w:ascii="Arial" w:hAnsi="Arial" w:cs="Arial"/>
          <w:noProof/>
          <w:lang w:val="en-GB"/>
        </w:rPr>
        <w:t>river basin management plans under the Water Framework Directive</w:t>
      </w:r>
      <w:r>
        <w:rPr>
          <w:rStyle w:val="FootnoteReference"/>
          <w:rFonts w:ascii="Arial" w:hAnsi="Arial" w:cs="Arial"/>
          <w:noProof/>
          <w:lang w:val="en-GB"/>
        </w:rPr>
        <w:footnoteReference w:id="196"/>
      </w:r>
      <w:r>
        <w:rPr>
          <w:rFonts w:ascii="Arial" w:hAnsi="Arial" w:cs="Arial"/>
          <w:noProof/>
          <w:lang w:val="en-GB"/>
        </w:rPr>
        <w:t>;</w:t>
      </w:r>
    </w:p>
    <w:p w:rsidR="001557B7" w:rsidRDefault="00AD3265">
      <w:pPr>
        <w:pStyle w:val="Lijstje2"/>
        <w:ind w:left="1843" w:hanging="425"/>
        <w:rPr>
          <w:rFonts w:ascii="Arial" w:hAnsi="Arial" w:cs="Arial"/>
          <w:i/>
          <w:noProof/>
          <w:lang w:val="en-GB"/>
        </w:rPr>
      </w:pPr>
      <w:r>
        <w:rPr>
          <w:rFonts w:ascii="Arial" w:hAnsi="Arial" w:cs="Arial"/>
          <w:noProof/>
          <w:lang w:val="en-GB"/>
        </w:rPr>
        <w:t>failure to develop and report on the programmes of measures required by the Marine Strategy Framework Directive</w:t>
      </w:r>
      <w:r>
        <w:rPr>
          <w:rStyle w:val="FootnoteReference"/>
          <w:rFonts w:ascii="Arial" w:hAnsi="Arial" w:cs="Arial"/>
          <w:noProof/>
          <w:lang w:val="en-GB"/>
        </w:rPr>
        <w:footnoteReference w:id="197"/>
      </w:r>
      <w:r>
        <w:rPr>
          <w:rFonts w:ascii="Arial" w:hAnsi="Arial" w:cs="Arial"/>
          <w:noProof/>
          <w:lang w:val="en-GB"/>
        </w:rPr>
        <w:t>;</w:t>
      </w:r>
    </w:p>
    <w:p w:rsidR="001557B7" w:rsidRDefault="00AD3265">
      <w:pPr>
        <w:pStyle w:val="Lijstje2"/>
        <w:ind w:left="1843" w:hanging="425"/>
        <w:rPr>
          <w:rFonts w:ascii="Arial" w:hAnsi="Arial" w:cs="Arial"/>
          <w:i/>
          <w:noProof/>
          <w:lang w:val="en-GB"/>
        </w:rPr>
      </w:pPr>
      <w:r>
        <w:rPr>
          <w:rFonts w:ascii="Arial" w:hAnsi="Arial" w:cs="Arial"/>
          <w:noProof/>
          <w:lang w:val="en-GB"/>
        </w:rPr>
        <w:t xml:space="preserve">failure to establish strategic noise maps and action plans required by the </w:t>
      </w:r>
      <w:r>
        <w:rPr>
          <w:rFonts w:ascii="Arial" w:hAnsi="Arial" w:cs="Arial"/>
          <w:noProof/>
          <w:lang w:val="en-GB"/>
        </w:rPr>
        <w:t>Noise Directive</w:t>
      </w:r>
      <w:r>
        <w:rPr>
          <w:rStyle w:val="FootnoteReference"/>
          <w:rFonts w:ascii="Arial" w:hAnsi="Arial" w:cs="Arial"/>
          <w:noProof/>
          <w:lang w:val="en-GB"/>
        </w:rPr>
        <w:footnoteReference w:id="198"/>
      </w:r>
      <w:r>
        <w:rPr>
          <w:rFonts w:ascii="Arial" w:hAnsi="Arial" w:cs="Arial"/>
          <w:noProof/>
          <w:lang w:val="en-GB"/>
        </w:rPr>
        <w:t>;</w:t>
      </w:r>
    </w:p>
    <w:p w:rsidR="001557B7" w:rsidRDefault="00AD3265">
      <w:pPr>
        <w:pStyle w:val="Lijstje2"/>
        <w:ind w:left="1843" w:hanging="425"/>
        <w:rPr>
          <w:rFonts w:ascii="Arial" w:hAnsi="Arial" w:cs="Arial"/>
          <w:noProof/>
          <w:lang w:val="en-GB"/>
        </w:rPr>
      </w:pPr>
      <w:r>
        <w:rPr>
          <w:rFonts w:ascii="Arial" w:hAnsi="Arial" w:cs="Arial"/>
          <w:noProof/>
          <w:lang w:val="en-GB"/>
        </w:rPr>
        <w:t>excessive delays in the examination of applications for recognition of professional qualifications from other Member States;</w:t>
      </w:r>
    </w:p>
    <w:p w:rsidR="001557B7" w:rsidRDefault="00AD3265">
      <w:pPr>
        <w:pStyle w:val="Lijstje2"/>
        <w:ind w:left="1843" w:hanging="425"/>
        <w:rPr>
          <w:rFonts w:ascii="Arial" w:hAnsi="Arial" w:cs="Arial"/>
          <w:noProof/>
          <w:lang w:val="en-GB"/>
        </w:rPr>
      </w:pPr>
      <w:r>
        <w:rPr>
          <w:rFonts w:ascii="Arial" w:hAnsi="Arial" w:cs="Arial"/>
          <w:noProof/>
          <w:lang w:val="en-GB"/>
        </w:rPr>
        <w:t>failure to comply with EU rules on late payments</w:t>
      </w:r>
      <w:r>
        <w:rPr>
          <w:rStyle w:val="FootnoteReference"/>
          <w:rFonts w:ascii="Arial" w:hAnsi="Arial" w:cs="Arial"/>
          <w:noProof/>
          <w:lang w:val="en-GB"/>
        </w:rPr>
        <w:footnoteReference w:id="199"/>
      </w:r>
      <w:r>
        <w:rPr>
          <w:rFonts w:ascii="Arial" w:hAnsi="Arial" w:cs="Arial"/>
          <w:noProof/>
          <w:lang w:val="en-GB"/>
        </w:rPr>
        <w:t>.</w:t>
      </w:r>
    </w:p>
    <w:p w:rsidR="001557B7" w:rsidRDefault="00AD3265">
      <w:pPr>
        <w:pStyle w:val="Lijstje"/>
        <w:numPr>
          <w:ilvl w:val="0"/>
          <w:numId w:val="30"/>
        </w:numPr>
        <w:ind w:left="1276" w:hanging="425"/>
        <w:rPr>
          <w:noProof/>
        </w:rPr>
      </w:pPr>
      <w:r>
        <w:rPr>
          <w:noProof/>
        </w:rPr>
        <w:t>The Commission did not refer any cases to the Court under Arti</w:t>
      </w:r>
      <w:r>
        <w:rPr>
          <w:noProof/>
        </w:rPr>
        <w:t>cle 258 TFEU.</w:t>
      </w:r>
    </w:p>
    <w:p w:rsidR="001557B7" w:rsidRDefault="00AD3265">
      <w:pPr>
        <w:pStyle w:val="Lijstje"/>
        <w:numPr>
          <w:ilvl w:val="0"/>
          <w:numId w:val="30"/>
        </w:numPr>
        <w:ind w:left="1276" w:hanging="425"/>
        <w:rPr>
          <w:noProof/>
        </w:rPr>
      </w:pPr>
      <w:r>
        <w:rPr>
          <w:noProof/>
        </w:rPr>
        <w:t xml:space="preserve">The Commission referred one case to the Court under Article 260(2) TFEU. </w:t>
      </w:r>
    </w:p>
    <w:p w:rsidR="001557B7" w:rsidRDefault="00AD3265">
      <w:pPr>
        <w:numPr>
          <w:ilvl w:val="0"/>
          <w:numId w:val="221"/>
        </w:numPr>
        <w:spacing w:after="200"/>
        <w:rPr>
          <w:rFonts w:ascii="Arial" w:eastAsia="Calibri" w:hAnsi="Arial" w:cs="Arial"/>
          <w:noProof/>
          <w:sz w:val="20"/>
        </w:rPr>
      </w:pPr>
      <w:r>
        <w:rPr>
          <w:rFonts w:ascii="Arial" w:eastAsia="Calibri" w:hAnsi="Arial" w:cs="Arial"/>
          <w:noProof/>
          <w:kern w:val="20"/>
          <w:sz w:val="20"/>
        </w:rPr>
        <w:t xml:space="preserve">This concerns a failure to </w:t>
      </w:r>
      <w:r>
        <w:rPr>
          <w:rFonts w:ascii="Arial" w:hAnsi="Arial" w:cs="Arial"/>
          <w:noProof/>
          <w:sz w:val="20"/>
        </w:rPr>
        <w:t>comply with a 2008 Commission decision ordering the recovery of unlawful State aid from Hellenic Shipyards, and with a 2012 Court ruling find</w:t>
      </w:r>
      <w:r>
        <w:rPr>
          <w:rFonts w:ascii="Arial" w:hAnsi="Arial" w:cs="Arial"/>
          <w:noProof/>
          <w:sz w:val="20"/>
        </w:rPr>
        <w:t>ing that Greece had failed to implement the said Commission decision</w:t>
      </w:r>
      <w:r>
        <w:rPr>
          <w:rFonts w:ascii="Arial" w:eastAsia="Calibri" w:hAnsi="Arial" w:cs="Arial"/>
          <w:noProof/>
          <w:sz w:val="20"/>
        </w:rPr>
        <w:t xml:space="preserve">. </w:t>
      </w:r>
      <w:r>
        <w:rPr>
          <w:rFonts w:ascii="Arial" w:hAnsi="Arial" w:cs="Arial"/>
          <w:noProof/>
          <w:sz w:val="20"/>
        </w:rPr>
        <w:t>The Commission asked the Court to impose a daily penalty payment of EUR 34 974 until full compliance with EU law is ensured, as well as a lump sum payment. The Commission proposed the la</w:t>
      </w:r>
      <w:r>
        <w:rPr>
          <w:rFonts w:ascii="Arial" w:hAnsi="Arial" w:cs="Arial"/>
          <w:noProof/>
          <w:sz w:val="20"/>
        </w:rPr>
        <w:t>tter should be  calculated by multiplying EUR 3 828 by the number of days elapsed between the date of the first Court judgment and the date of compliance or the date of the second Court judgment</w:t>
      </w:r>
      <w:r>
        <w:rPr>
          <w:rStyle w:val="FootnoteReference"/>
          <w:rFonts w:ascii="Arial" w:eastAsia="Calibri" w:hAnsi="Arial" w:cs="Arial"/>
          <w:noProof/>
          <w:kern w:val="20"/>
          <w:sz w:val="20"/>
        </w:rPr>
        <w:footnoteReference w:id="200"/>
      </w:r>
      <w:r>
        <w:rPr>
          <w:rFonts w:ascii="Arial" w:hAnsi="Arial" w:cs="Arial"/>
          <w:noProof/>
          <w:sz w:val="20"/>
        </w:rPr>
        <w:t>.</w:t>
      </w:r>
    </w:p>
    <w:p w:rsidR="001557B7" w:rsidRDefault="00AD3265">
      <w:pPr>
        <w:pStyle w:val="kop2"/>
        <w:numPr>
          <w:ilvl w:val="0"/>
          <w:numId w:val="29"/>
        </w:numPr>
        <w:spacing w:before="360" w:after="240"/>
        <w:ind w:left="709" w:hanging="425"/>
        <w:rPr>
          <w:caps w:val="0"/>
          <w:noProof/>
        </w:rPr>
      </w:pPr>
      <w:r>
        <w:rPr>
          <w:caps w:val="0"/>
          <w:noProof/>
        </w:rPr>
        <w:t>TRANSPOSITION OF DIRECTIVES</w:t>
      </w:r>
    </w:p>
    <w:p w:rsidR="001557B7" w:rsidRDefault="00AD3265">
      <w:pPr>
        <w:pStyle w:val="AnnualReport2"/>
        <w:numPr>
          <w:ilvl w:val="0"/>
          <w:numId w:val="113"/>
        </w:numPr>
        <w:ind w:left="709" w:hanging="425"/>
        <w:rPr>
          <w:noProof/>
        </w:rPr>
      </w:pPr>
      <w:r>
        <w:rPr>
          <w:noProof/>
        </w:rPr>
        <w:t>Late transposition infringement</w:t>
      </w:r>
      <w:r>
        <w:rPr>
          <w:noProof/>
        </w:rPr>
        <w:t xml:space="preserve"> cases against Greece open on 31 December (2013-2017)</w:t>
      </w:r>
    </w:p>
    <w:p w:rsidR="001557B7" w:rsidRDefault="00AD3265">
      <w:pPr>
        <w:ind w:left="426" w:firstLine="283"/>
        <w:rPr>
          <w:noProof/>
        </w:rPr>
      </w:pPr>
      <w:r>
        <w:rPr>
          <w:noProof/>
          <w:lang w:eastAsia="en-GB"/>
        </w:rPr>
        <w:drawing>
          <wp:inline distT="0" distB="0" distL="0" distR="0" wp14:anchorId="18C74C7A" wp14:editId="30CDA163">
            <wp:extent cx="4547870" cy="2051685"/>
            <wp:effectExtent l="0" t="0" r="0" b="0"/>
            <wp:docPr id="8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1557B7" w:rsidRDefault="00AD3265">
      <w:pPr>
        <w:pStyle w:val="AnnualReport2"/>
        <w:numPr>
          <w:ilvl w:val="0"/>
          <w:numId w:val="63"/>
        </w:numPr>
        <w:ind w:left="709" w:hanging="425"/>
        <w:rPr>
          <w:noProof/>
        </w:rPr>
      </w:pPr>
      <w:r>
        <w:rPr>
          <w:noProof/>
        </w:rPr>
        <w:t>New late transposition infringement cases against Greece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5BB52E3A" wp14:editId="50BB4A0D">
            <wp:extent cx="4547870" cy="2051685"/>
            <wp:effectExtent l="0" t="0" r="24130" b="24765"/>
            <wp:docPr id="88"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r>
        <w:rPr>
          <w:rFonts w:ascii="Arial" w:hAnsi="Arial" w:cs="Arial"/>
          <w:noProof/>
          <w:sz w:val="20"/>
        </w:rPr>
        <w:br w:type="page"/>
      </w:r>
    </w:p>
    <w:p w:rsidR="001557B7" w:rsidRDefault="00AD3265">
      <w:pPr>
        <w:pStyle w:val="AnnualReport2"/>
        <w:numPr>
          <w:ilvl w:val="0"/>
          <w:numId w:val="63"/>
        </w:numPr>
        <w:ind w:left="709" w:hanging="425"/>
        <w:rPr>
          <w:noProof/>
        </w:rPr>
      </w:pPr>
      <w:r>
        <w:rPr>
          <w:noProof/>
        </w:rPr>
        <w:t>New late transposition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3C14AC8A" wp14:editId="002BFF7B">
            <wp:extent cx="4325620" cy="2647950"/>
            <wp:effectExtent l="0" t="0" r="17780" b="19050"/>
            <wp:docPr id="970" name="Object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1557B7" w:rsidRDefault="00AD3265">
      <w:pPr>
        <w:pStyle w:val="AnnualReport2"/>
        <w:numPr>
          <w:ilvl w:val="0"/>
          <w:numId w:val="63"/>
        </w:numPr>
        <w:ind w:left="709" w:hanging="425"/>
        <w:rPr>
          <w:noProof/>
        </w:rPr>
      </w:pPr>
      <w:r>
        <w:rPr>
          <w:noProof/>
        </w:rPr>
        <w:t>Referrals to the Court</w:t>
      </w:r>
    </w:p>
    <w:p w:rsidR="001557B7" w:rsidRDefault="00AD3265">
      <w:pPr>
        <w:spacing w:before="120" w:after="120"/>
        <w:ind w:left="709"/>
        <w:rPr>
          <w:rFonts w:ascii="Arial" w:eastAsia="Calibri" w:hAnsi="Arial" w:cs="Arial"/>
          <w:noProof/>
          <w:kern w:val="20"/>
          <w:sz w:val="20"/>
        </w:rPr>
      </w:pPr>
      <w:r>
        <w:rPr>
          <w:rFonts w:ascii="Arial" w:eastAsia="Calibri" w:hAnsi="Arial" w:cs="Arial"/>
          <w:noProof/>
          <w:kern w:val="20"/>
          <w:sz w:val="20"/>
        </w:rPr>
        <w:t xml:space="preserve">The Commission did not </w:t>
      </w:r>
      <w:r>
        <w:rPr>
          <w:rFonts w:ascii="Arial" w:eastAsia="Calibri" w:hAnsi="Arial" w:cs="Arial"/>
          <w:noProof/>
          <w:kern w:val="20"/>
          <w:sz w:val="20"/>
        </w:rPr>
        <w:t>refer any cases to the Court under Articles 258 and 260(3) TFEU.</w:t>
      </w:r>
    </w:p>
    <w:p w:rsidR="001557B7" w:rsidRDefault="00AD3265">
      <w:pPr>
        <w:keepNext/>
        <w:keepLines/>
        <w:numPr>
          <w:ilvl w:val="0"/>
          <w:numId w:val="1"/>
        </w:numPr>
        <w:spacing w:before="360" w:after="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rsidR="001557B7" w:rsidRDefault="00AD3265">
      <w:pPr>
        <w:pStyle w:val="ListParagraph"/>
        <w:spacing w:before="240"/>
        <w:ind w:left="709"/>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1557B7" w:rsidRDefault="00AD3265">
      <w:pPr>
        <w:spacing w:after="120"/>
        <w:ind w:firstLine="709"/>
        <w:rPr>
          <w:rFonts w:ascii="Arial" w:hAnsi="Arial" w:cs="Arial"/>
          <w:noProof/>
          <w:sz w:val="20"/>
        </w:rPr>
      </w:pPr>
      <w:r>
        <w:rPr>
          <w:rFonts w:ascii="Arial" w:hAnsi="Arial" w:cs="Arial"/>
          <w:noProof/>
          <w:sz w:val="20"/>
        </w:rPr>
        <w:t>These concerned:</w:t>
      </w:r>
    </w:p>
    <w:p w:rsidR="001557B7" w:rsidRDefault="00AD3265">
      <w:pPr>
        <w:pStyle w:val="Lijstje2"/>
        <w:spacing w:after="0"/>
        <w:ind w:left="1276" w:hanging="425"/>
        <w:rPr>
          <w:rFonts w:ascii="Arial" w:hAnsi="Arial" w:cs="Arial"/>
          <w:noProof/>
          <w:lang w:val="en-GB"/>
        </w:rPr>
      </w:pPr>
      <w:r>
        <w:rPr>
          <w:rFonts w:ascii="Arial" w:hAnsi="Arial" w:cs="Arial"/>
          <w:noProof/>
          <w:lang w:val="en-GB"/>
        </w:rPr>
        <w:t>non-communication of national measures transposing the:</w:t>
      </w:r>
    </w:p>
    <w:p w:rsidR="001557B7" w:rsidRDefault="00AD3265">
      <w:pPr>
        <w:numPr>
          <w:ilvl w:val="2"/>
          <w:numId w:val="2"/>
        </w:numPr>
        <w:spacing w:after="200"/>
        <w:ind w:left="1843" w:hanging="425"/>
        <w:contextualSpacing/>
        <w:rPr>
          <w:rFonts w:ascii="Arial" w:hAnsi="Arial" w:cs="Arial"/>
          <w:noProof/>
          <w:sz w:val="20"/>
        </w:rPr>
      </w:pPr>
      <w:r>
        <w:rPr>
          <w:rFonts w:ascii="Arial" w:hAnsi="Arial" w:cs="Arial"/>
          <w:noProof/>
          <w:sz w:val="20"/>
        </w:rPr>
        <w:t>Directive on recognition of</w:t>
      </w:r>
      <w:r>
        <w:rPr>
          <w:rFonts w:ascii="Arial" w:hAnsi="Arial" w:cs="Arial"/>
          <w:noProof/>
          <w:sz w:val="20"/>
        </w:rPr>
        <w:t xml:space="preserve"> professional qualifications</w:t>
      </w:r>
      <w:r>
        <w:rPr>
          <w:rStyle w:val="FootnoteReference"/>
          <w:noProof/>
        </w:rPr>
        <w:footnoteReference w:id="201"/>
      </w:r>
      <w:r>
        <w:rPr>
          <w:rFonts w:ascii="Arial" w:hAnsi="Arial" w:cs="Arial"/>
          <w:noProof/>
          <w:sz w:val="20"/>
        </w:rPr>
        <w:t>;</w:t>
      </w:r>
    </w:p>
    <w:p w:rsidR="001557B7" w:rsidRDefault="00AD3265">
      <w:pPr>
        <w:numPr>
          <w:ilvl w:val="2"/>
          <w:numId w:val="2"/>
        </w:numPr>
        <w:spacing w:after="200"/>
        <w:ind w:left="1843" w:hanging="425"/>
        <w:contextualSpacing/>
        <w:rPr>
          <w:rFonts w:ascii="Arial" w:hAnsi="Arial" w:cs="Arial"/>
          <w:noProof/>
          <w:sz w:val="20"/>
        </w:rPr>
      </w:pPr>
      <w:r>
        <w:rPr>
          <w:rFonts w:ascii="Arial" w:hAnsi="Arial" w:cs="Arial"/>
          <w:noProof/>
          <w:sz w:val="20"/>
        </w:rPr>
        <w:t>Directive on explosives for civil uses</w:t>
      </w:r>
      <w:r>
        <w:rPr>
          <w:rStyle w:val="FootnoteReference"/>
          <w:rFonts w:ascii="Arial" w:hAnsi="Arial" w:cs="Arial"/>
          <w:noProof/>
          <w:sz w:val="20"/>
        </w:rPr>
        <w:footnoteReference w:id="202"/>
      </w:r>
      <w:r>
        <w:rPr>
          <w:rFonts w:ascii="Arial" w:hAnsi="Arial" w:cs="Arial"/>
          <w:noProof/>
          <w:sz w:val="20"/>
        </w:rPr>
        <w:t>;</w:t>
      </w:r>
    </w:p>
    <w:p w:rsidR="001557B7" w:rsidRDefault="00AD3265">
      <w:pPr>
        <w:numPr>
          <w:ilvl w:val="2"/>
          <w:numId w:val="2"/>
        </w:numPr>
        <w:spacing w:after="200"/>
        <w:ind w:left="1843" w:hanging="425"/>
        <w:contextualSpacing/>
        <w:rPr>
          <w:rFonts w:ascii="Arial" w:hAnsi="Arial" w:cs="Arial"/>
          <w:noProof/>
          <w:sz w:val="20"/>
        </w:rPr>
      </w:pPr>
      <w:r>
        <w:rPr>
          <w:rFonts w:ascii="Arial" w:hAnsi="Arial"/>
          <w:noProof/>
          <w:sz w:val="20"/>
          <w:lang w:eastAsia="en-GB"/>
        </w:rPr>
        <w:t>Solvency II Directive</w:t>
      </w:r>
      <w:r>
        <w:rPr>
          <w:rStyle w:val="FootnoteReference"/>
          <w:rFonts w:cs="Arial"/>
          <w:noProof/>
        </w:rPr>
        <w:footnoteReference w:id="203"/>
      </w:r>
      <w:r>
        <w:rPr>
          <w:rFonts w:ascii="Arial" w:hAnsi="Arial" w:cs="Arial"/>
          <w:noProof/>
          <w:sz w:val="20"/>
          <w:lang w:eastAsia="en-GB"/>
        </w:rPr>
        <w:t>;</w:t>
      </w:r>
    </w:p>
    <w:p w:rsidR="001557B7" w:rsidRDefault="00AD3265">
      <w:pPr>
        <w:numPr>
          <w:ilvl w:val="2"/>
          <w:numId w:val="2"/>
        </w:numPr>
        <w:spacing w:after="200"/>
        <w:ind w:left="1843" w:hanging="425"/>
        <w:contextualSpacing/>
        <w:rPr>
          <w:rFonts w:ascii="Arial" w:hAnsi="Arial" w:cs="Arial"/>
          <w:noProof/>
          <w:sz w:val="20"/>
        </w:rPr>
      </w:pPr>
      <w:r>
        <w:rPr>
          <w:rFonts w:ascii="Arial" w:hAnsi="Arial" w:cs="Arial"/>
          <w:noProof/>
          <w:sz w:val="20"/>
          <w:lang w:eastAsia="en-GB"/>
        </w:rPr>
        <w:t>Transparency Directive</w:t>
      </w:r>
      <w:r>
        <w:rPr>
          <w:rStyle w:val="FootnoteReference"/>
          <w:rFonts w:cs="Arial"/>
          <w:noProof/>
        </w:rPr>
        <w:footnoteReference w:id="204"/>
      </w:r>
      <w:r>
        <w:rPr>
          <w:rFonts w:ascii="Arial" w:hAnsi="Arial" w:cs="Arial"/>
          <w:noProof/>
          <w:sz w:val="20"/>
          <w:lang w:eastAsia="en-GB"/>
        </w:rPr>
        <w:t>;</w:t>
      </w:r>
    </w:p>
    <w:p w:rsidR="001557B7" w:rsidRDefault="00AD3265">
      <w:pPr>
        <w:numPr>
          <w:ilvl w:val="2"/>
          <w:numId w:val="2"/>
        </w:numPr>
        <w:spacing w:after="200"/>
        <w:ind w:left="1843" w:hanging="425"/>
        <w:contextualSpacing/>
        <w:rPr>
          <w:rFonts w:ascii="Arial" w:hAnsi="Arial" w:cs="Arial"/>
          <w:noProof/>
          <w:sz w:val="20"/>
        </w:rPr>
      </w:pPr>
      <w:r>
        <w:rPr>
          <w:rFonts w:ascii="Arial" w:hAnsi="Arial"/>
          <w:noProof/>
          <w:sz w:val="20"/>
        </w:rPr>
        <w:t>Accounting Directive</w:t>
      </w:r>
      <w:r>
        <w:rPr>
          <w:rStyle w:val="FootnoteReference"/>
          <w:rFonts w:ascii="Arial" w:hAnsi="Arial"/>
          <w:noProof/>
          <w:sz w:val="20"/>
        </w:rPr>
        <w:footnoteReference w:id="205"/>
      </w:r>
      <w:r>
        <w:rPr>
          <w:rFonts w:ascii="Arial" w:hAnsi="Arial"/>
          <w:noProof/>
          <w:sz w:val="20"/>
        </w:rPr>
        <w:t>;</w:t>
      </w:r>
    </w:p>
    <w:p w:rsidR="001557B7" w:rsidRDefault="00AD3265">
      <w:pPr>
        <w:numPr>
          <w:ilvl w:val="2"/>
          <w:numId w:val="2"/>
        </w:numPr>
        <w:spacing w:after="0"/>
        <w:ind w:left="1843" w:hanging="425"/>
        <w:contextualSpacing/>
        <w:rPr>
          <w:rFonts w:ascii="Arial" w:hAnsi="Arial" w:cs="Arial"/>
          <w:noProof/>
          <w:sz w:val="20"/>
        </w:rPr>
      </w:pPr>
      <w:r>
        <w:rPr>
          <w:rFonts w:ascii="Arial" w:hAnsi="Arial" w:cs="Arial"/>
          <w:noProof/>
          <w:sz w:val="20"/>
        </w:rPr>
        <w:t>Omnibus II Directive, in respect of the powers of the European Insurance and Occupational Pensions Authority and</w:t>
      </w:r>
      <w:r>
        <w:rPr>
          <w:rFonts w:ascii="Arial" w:hAnsi="Arial" w:cs="Arial"/>
          <w:noProof/>
          <w:sz w:val="20"/>
        </w:rPr>
        <w:t xml:space="preserve"> the European Securities and Markets Authority</w:t>
      </w:r>
      <w:r>
        <w:rPr>
          <w:rStyle w:val="FootnoteReference"/>
          <w:noProof/>
        </w:rPr>
        <w:footnoteReference w:id="206"/>
      </w:r>
      <w:r>
        <w:rPr>
          <w:rFonts w:ascii="Arial" w:hAnsi="Arial" w:cs="Arial"/>
          <w:noProof/>
          <w:sz w:val="20"/>
        </w:rPr>
        <w:t>.</w:t>
      </w:r>
    </w:p>
    <w:p w:rsidR="001557B7" w:rsidRDefault="00AD3265">
      <w:pPr>
        <w:pStyle w:val="Lijstje2"/>
        <w:spacing w:after="0"/>
        <w:ind w:left="1276" w:hanging="425"/>
        <w:rPr>
          <w:rFonts w:ascii="Arial" w:hAnsi="Arial" w:cs="Arial"/>
          <w:noProof/>
          <w:lang w:val="en-GB"/>
        </w:rPr>
      </w:pPr>
      <w:r>
        <w:rPr>
          <w:rFonts w:ascii="Arial" w:hAnsi="Arial" w:cs="Arial"/>
          <w:noProof/>
          <w:lang w:val="en-GB"/>
        </w:rPr>
        <w:t>lack of implementation of certain obligations under EU document security legislation</w:t>
      </w:r>
      <w:r>
        <w:rPr>
          <w:rStyle w:val="FootnoteReference"/>
          <w:noProof/>
          <w:lang w:val="en-GB"/>
        </w:rPr>
        <w:footnoteReference w:id="207"/>
      </w:r>
      <w:r>
        <w:rPr>
          <w:rFonts w:ascii="Arial" w:hAnsi="Arial" w:cs="Arial"/>
          <w:noProof/>
          <w:lang w:val="en-GB"/>
        </w:rPr>
        <w:t>;</w:t>
      </w:r>
    </w:p>
    <w:p w:rsidR="001557B7" w:rsidRDefault="00AD3265">
      <w:pPr>
        <w:pStyle w:val="Lijstje2"/>
        <w:spacing w:after="0"/>
        <w:ind w:left="1276" w:hanging="425"/>
        <w:rPr>
          <w:rFonts w:ascii="Arial" w:hAnsi="Arial" w:cs="Arial"/>
          <w:noProof/>
          <w:lang w:val="en-GB"/>
        </w:rPr>
      </w:pPr>
      <w:r>
        <w:rPr>
          <w:rFonts w:ascii="Arial" w:hAnsi="Arial" w:cs="Arial"/>
          <w:noProof/>
          <w:lang w:val="en-GB"/>
        </w:rPr>
        <w:t>excessive delays in the examination of applications for recognition of professional qualifications from other Member Sta</w:t>
      </w:r>
      <w:r>
        <w:rPr>
          <w:rFonts w:ascii="Arial" w:hAnsi="Arial" w:cs="Arial"/>
          <w:noProof/>
          <w:lang w:val="en-GB"/>
        </w:rPr>
        <w:t>tes;</w:t>
      </w:r>
    </w:p>
    <w:p w:rsidR="001557B7" w:rsidRDefault="00AD3265">
      <w:pPr>
        <w:pStyle w:val="Lijstje2"/>
        <w:spacing w:after="0"/>
        <w:ind w:left="1276" w:hanging="425"/>
        <w:rPr>
          <w:rFonts w:ascii="Arial" w:hAnsi="Arial" w:cs="Arial"/>
          <w:noProof/>
          <w:lang w:val="en-GB"/>
        </w:rPr>
      </w:pPr>
      <w:r>
        <w:rPr>
          <w:rFonts w:ascii="Arial" w:hAnsi="Arial" w:cs="Arial"/>
          <w:noProof/>
          <w:lang w:val="en-GB"/>
        </w:rPr>
        <w:t>non-compliance of national legislation on gambling with EU rules;</w:t>
      </w:r>
      <w:r>
        <w:rPr>
          <w:rStyle w:val="FootnoteReference"/>
          <w:rFonts w:ascii="Arial" w:hAnsi="Arial" w:cs="Arial"/>
          <w:noProof/>
          <w:lang w:val="en-GB"/>
        </w:rPr>
        <w:footnoteReference w:id="208"/>
      </w:r>
      <w:r>
        <w:rPr>
          <w:rFonts w:ascii="Arial" w:hAnsi="Arial" w:cs="Arial"/>
          <w:noProof/>
          <w:lang w:val="en-GB"/>
        </w:rPr>
        <w:t>;</w:t>
      </w:r>
    </w:p>
    <w:p w:rsidR="001557B7" w:rsidRDefault="00AD3265">
      <w:pPr>
        <w:pStyle w:val="Lijstje2"/>
        <w:spacing w:after="0"/>
        <w:ind w:left="1276" w:hanging="425"/>
        <w:rPr>
          <w:rFonts w:ascii="Arial" w:hAnsi="Arial" w:cs="Arial"/>
          <w:noProof/>
          <w:lang w:val="en-GB"/>
        </w:rPr>
      </w:pPr>
      <w:r>
        <w:rPr>
          <w:rFonts w:ascii="Arial" w:hAnsi="Arial" w:cs="Arial"/>
          <w:noProof/>
          <w:lang w:val="en-GB"/>
        </w:rPr>
        <w:t>failure to make available to the Commission flood hazard and risk maps;</w:t>
      </w:r>
    </w:p>
    <w:p w:rsidR="001557B7" w:rsidRDefault="00AD3265">
      <w:pPr>
        <w:pStyle w:val="Lijstje2"/>
        <w:spacing w:after="200"/>
        <w:ind w:left="1276" w:hanging="425"/>
        <w:rPr>
          <w:rFonts w:ascii="Arial" w:hAnsi="Arial" w:cs="Arial"/>
          <w:noProof/>
          <w:lang w:val="en-GB"/>
        </w:rPr>
      </w:pPr>
      <w:r>
        <w:rPr>
          <w:rFonts w:ascii="Arial" w:hAnsi="Arial" w:cs="Arial"/>
          <w:noProof/>
          <w:lang w:val="en-GB"/>
        </w:rPr>
        <w:t>failure to prepare and communicate the monitoring programmes required by the Marine Strategy Framework Directiv</w:t>
      </w:r>
      <w:r>
        <w:rPr>
          <w:rFonts w:ascii="Arial" w:hAnsi="Arial" w:cs="Arial"/>
          <w:noProof/>
          <w:lang w:val="en-GB"/>
        </w:rPr>
        <w:t>e</w:t>
      </w:r>
      <w:r>
        <w:rPr>
          <w:rStyle w:val="FootnoteReference"/>
          <w:rFonts w:ascii="Arial" w:hAnsi="Arial" w:cs="Arial"/>
          <w:noProof/>
          <w:lang w:val="en-GB"/>
        </w:rPr>
        <w:footnoteReference w:id="209"/>
      </w:r>
      <w:r>
        <w:rPr>
          <w:rFonts w:ascii="Arial" w:hAnsi="Arial" w:cs="Arial"/>
          <w:noProof/>
          <w:lang w:val="en-GB"/>
        </w:rPr>
        <w:t>;</w:t>
      </w:r>
    </w:p>
    <w:p w:rsidR="001557B7" w:rsidRDefault="00AD3265">
      <w:pPr>
        <w:pStyle w:val="Lijstje2"/>
        <w:spacing w:after="200"/>
        <w:ind w:left="1276" w:hanging="425"/>
        <w:rPr>
          <w:rFonts w:ascii="Arial" w:hAnsi="Arial"/>
          <w:noProof/>
          <w:lang w:val="en-GB" w:eastAsia="en-GB"/>
        </w:rPr>
      </w:pPr>
      <w:r>
        <w:rPr>
          <w:rFonts w:ascii="Arial" w:hAnsi="Arial"/>
          <w:noProof/>
          <w:lang w:val="en-GB"/>
        </w:rPr>
        <w:t>non-</w:t>
      </w:r>
      <w:r>
        <w:rPr>
          <w:rFonts w:ascii="Arial" w:hAnsi="Arial" w:cs="Arial"/>
          <w:noProof/>
          <w:lang w:val="en-GB"/>
        </w:rPr>
        <w:t>compliance</w:t>
      </w:r>
      <w:r>
        <w:rPr>
          <w:rFonts w:ascii="Arial" w:hAnsi="Arial"/>
          <w:noProof/>
          <w:lang w:val="en-GB"/>
        </w:rPr>
        <w:t xml:space="preserve"> with the </w:t>
      </w:r>
      <w:r>
        <w:rPr>
          <w:rFonts w:ascii="Arial" w:hAnsi="Arial" w:cs="Arial"/>
          <w:noProof/>
          <w:lang w:val="en-GB"/>
        </w:rPr>
        <w:t xml:space="preserve">Regulation on </w:t>
      </w:r>
      <w:r>
        <w:rPr>
          <w:rFonts w:ascii="Arial" w:hAnsi="Arial" w:cs="Arial"/>
          <w:bCs/>
          <w:noProof/>
          <w:lang w:val="en-GB"/>
        </w:rPr>
        <w:t>management measures for the sustainable exploitation of fishery resources in the Mediterranean Sea</w:t>
      </w:r>
      <w:r>
        <w:rPr>
          <w:rFonts w:ascii="Arial" w:hAnsi="Arial" w:cs="Arial"/>
          <w:noProof/>
          <w:lang w:val="en-GB"/>
        </w:rPr>
        <w:t xml:space="preserve">  regarding the obligation to adopt a national management plan for fisheries conducted by boat seines within its territorial waters</w:t>
      </w:r>
      <w:r>
        <w:rPr>
          <w:rStyle w:val="FootnoteReference"/>
          <w:rFonts w:ascii="Arial" w:hAnsi="Arial"/>
          <w:noProof/>
          <w:lang w:val="en-GB"/>
        </w:rPr>
        <w:footnoteReference w:id="210"/>
      </w:r>
      <w:r>
        <w:rPr>
          <w:rFonts w:ascii="Arial" w:hAnsi="Arial"/>
          <w:noProof/>
          <w:lang w:val="en-GB"/>
        </w:rPr>
        <w:t>;</w:t>
      </w:r>
    </w:p>
    <w:p w:rsidR="001557B7" w:rsidRDefault="00AD3265">
      <w:pPr>
        <w:pStyle w:val="Lijstje2"/>
        <w:spacing w:after="200"/>
        <w:ind w:left="1276" w:hanging="425"/>
        <w:rPr>
          <w:rFonts w:ascii="Arial" w:hAnsi="Arial" w:cs="Arial"/>
          <w:noProof/>
          <w:lang w:val="en-GB" w:eastAsia="en-GB"/>
        </w:rPr>
      </w:pPr>
      <w:r>
        <w:rPr>
          <w:rFonts w:ascii="Arial" w:hAnsi="Arial"/>
          <w:noProof/>
          <w:lang w:val="en-GB"/>
        </w:rPr>
        <w:t>incorrect</w:t>
      </w:r>
      <w:r>
        <w:rPr>
          <w:rFonts w:ascii="Arial" w:hAnsi="Arial" w:cs="Arial"/>
          <w:noProof/>
          <w:lang w:val="en-GB" w:eastAsia="en-GB"/>
        </w:rPr>
        <w:t xml:space="preserve"> application of the Regulation on waterborne passenger rights</w:t>
      </w:r>
      <w:r>
        <w:rPr>
          <w:rStyle w:val="FootnoteReference"/>
          <w:rFonts w:ascii="Arial" w:hAnsi="Arial" w:cs="Arial"/>
          <w:noProof/>
          <w:lang w:val="en-GB" w:eastAsia="en-GB"/>
        </w:rPr>
        <w:footnoteReference w:id="211"/>
      </w:r>
      <w:r>
        <w:rPr>
          <w:rFonts w:ascii="Arial" w:hAnsi="Arial" w:cs="Arial"/>
          <w:noProof/>
          <w:lang w:val="en-GB" w:eastAsia="en-GB"/>
        </w:rPr>
        <w:t>;</w:t>
      </w:r>
    </w:p>
    <w:p w:rsidR="001557B7" w:rsidRDefault="00AD3265">
      <w:pPr>
        <w:pStyle w:val="Lijstje2"/>
        <w:spacing w:after="200"/>
        <w:ind w:left="1276" w:hanging="425"/>
        <w:rPr>
          <w:rFonts w:ascii="Arial" w:hAnsi="Arial" w:cs="Arial"/>
          <w:noProof/>
          <w:lang w:val="en-GB"/>
        </w:rPr>
      </w:pPr>
      <w:r>
        <w:rPr>
          <w:rFonts w:ascii="Arial" w:hAnsi="Arial" w:cs="Arial"/>
          <w:noProof/>
          <w:lang w:val="en-GB"/>
        </w:rPr>
        <w:t>restrictions</w:t>
      </w:r>
      <w:r>
        <w:rPr>
          <w:rFonts w:ascii="Arial" w:hAnsi="Arial" w:cs="Arial"/>
          <w:noProof/>
          <w:lang w:val="en-GB" w:eastAsia="en-GB"/>
        </w:rPr>
        <w:t xml:space="preserve"> on free movement of capital in the H</w:t>
      </w:r>
      <w:r>
        <w:rPr>
          <w:rFonts w:ascii="Arial" w:hAnsi="Arial" w:cs="Arial"/>
          <w:noProof/>
          <w:lang w:val="en-GB" w:eastAsia="en-GB"/>
        </w:rPr>
        <w:t>ellenic Telecommunications Company (OTE)</w:t>
      </w:r>
      <w:r>
        <w:rPr>
          <w:rFonts w:ascii="Arial" w:hAnsi="Arial" w:cs="Arial"/>
          <w:noProof/>
          <w:lang w:val="en-GB"/>
        </w:rPr>
        <w:t>.</w:t>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rsidR="001557B7" w:rsidRDefault="00AD3265">
      <w:pPr>
        <w:pStyle w:val="AnnualReport2"/>
        <w:numPr>
          <w:ilvl w:val="0"/>
          <w:numId w:val="114"/>
        </w:numPr>
        <w:ind w:left="709" w:hanging="425"/>
        <w:rPr>
          <w:noProof/>
        </w:rPr>
      </w:pPr>
      <w:r>
        <w:rPr>
          <w:noProof/>
        </w:rPr>
        <w:t>Court rulings</w:t>
      </w:r>
      <w:r>
        <w:rPr>
          <w:rStyle w:val="FootnoteReference"/>
          <w:noProof/>
        </w:rPr>
        <w:footnoteReference w:id="212"/>
      </w:r>
    </w:p>
    <w:p w:rsidR="001557B7" w:rsidRDefault="00AD3265">
      <w:pPr>
        <w:pStyle w:val="Body"/>
        <w:ind w:left="709" w:firstLine="0"/>
        <w:rPr>
          <w:noProof/>
          <w:lang w:val="en-GB"/>
        </w:rPr>
      </w:pPr>
      <w:r>
        <w:rPr>
          <w:noProof/>
          <w:lang w:val="en-GB"/>
        </w:rPr>
        <w:t>The Court gave the following rulings.</w:t>
      </w:r>
    </w:p>
    <w:p w:rsidR="001557B7" w:rsidRDefault="00AD3265">
      <w:pPr>
        <w:pStyle w:val="Lijstje2"/>
        <w:ind w:left="1276" w:hanging="425"/>
        <w:rPr>
          <w:rFonts w:ascii="Arial" w:hAnsi="Arial" w:cs="Arial"/>
          <w:noProof/>
          <w:lang w:val="en-GB"/>
        </w:rPr>
      </w:pPr>
      <w:r>
        <w:rPr>
          <w:rFonts w:ascii="Arial" w:hAnsi="Arial" w:cs="Arial"/>
          <w:noProof/>
          <w:lang w:val="en-GB"/>
        </w:rPr>
        <w:t>Greece</w:t>
      </w:r>
      <w:r>
        <w:rPr>
          <w:rFonts w:ascii="Arial" w:hAnsi="Arial" w:cs="Arial"/>
          <w:i/>
          <w:noProof/>
          <w:lang w:val="en-GB"/>
        </w:rPr>
        <w:t xml:space="preserve"> </w:t>
      </w:r>
      <w:r>
        <w:rPr>
          <w:rFonts w:ascii="Arial" w:hAnsi="Arial" w:cs="Arial"/>
          <w:noProof/>
          <w:lang w:val="en-GB"/>
        </w:rPr>
        <w:t xml:space="preserve">has failed to fulfil its obligations under EU law by tolerating the operation of the Temploni waste landfill on the island of Corfu, </w:t>
      </w:r>
      <w:r>
        <w:rPr>
          <w:rFonts w:ascii="Arial" w:hAnsi="Arial" w:cs="Arial"/>
          <w:noProof/>
          <w:lang w:val="en-GB"/>
        </w:rPr>
        <w:t>which does not satisfy the conditions and requirements laid down by EU directives on waste</w:t>
      </w:r>
      <w:r>
        <w:rPr>
          <w:rStyle w:val="FootnoteReference"/>
          <w:rFonts w:ascii="Arial" w:hAnsi="Arial" w:cs="Arial"/>
          <w:bCs/>
          <w:noProof/>
          <w:lang w:val="en-GB"/>
        </w:rPr>
        <w:footnoteReference w:id="213"/>
      </w:r>
      <w:r>
        <w:rPr>
          <w:rFonts w:ascii="Arial" w:hAnsi="Arial" w:cs="Arial"/>
          <w:noProof/>
          <w:lang w:val="en-GB"/>
        </w:rPr>
        <w:t>.</w:t>
      </w:r>
    </w:p>
    <w:p w:rsidR="001557B7" w:rsidRDefault="00AD3265">
      <w:pPr>
        <w:pStyle w:val="Lijstje2"/>
        <w:ind w:left="1276" w:hanging="425"/>
        <w:rPr>
          <w:rFonts w:ascii="Arial" w:hAnsi="Arial" w:cs="Arial"/>
          <w:noProof/>
          <w:lang w:val="en-GB"/>
        </w:rPr>
      </w:pPr>
      <w:r>
        <w:rPr>
          <w:rFonts w:ascii="Arial" w:hAnsi="Arial" w:cs="Arial"/>
          <w:noProof/>
          <w:lang w:val="en-GB"/>
        </w:rPr>
        <w:t>Greece</w:t>
      </w:r>
      <w:r>
        <w:rPr>
          <w:rFonts w:ascii="Arial" w:hAnsi="Arial" w:cs="Arial"/>
          <w:i/>
          <w:noProof/>
          <w:lang w:val="en-GB"/>
        </w:rPr>
        <w:t xml:space="preserve"> </w:t>
      </w:r>
      <w:r>
        <w:rPr>
          <w:rFonts w:ascii="Arial" w:hAnsi="Arial" w:cs="Arial"/>
          <w:noProof/>
          <w:lang w:val="en-GB"/>
        </w:rPr>
        <w:t>has failed to provide adequate treatment of urban waste water in several smaller agglomerations</w:t>
      </w:r>
      <w:r>
        <w:rPr>
          <w:rStyle w:val="FootnoteReference"/>
          <w:rFonts w:ascii="Arial" w:hAnsi="Arial" w:cs="Arial"/>
          <w:bCs/>
          <w:noProof/>
          <w:lang w:val="en-GB"/>
        </w:rPr>
        <w:footnoteReference w:id="214"/>
      </w:r>
      <w:r>
        <w:rPr>
          <w:rFonts w:ascii="Arial" w:hAnsi="Arial" w:cs="Arial"/>
          <w:noProof/>
          <w:lang w:val="en-GB"/>
        </w:rPr>
        <w:t>.</w:t>
      </w:r>
    </w:p>
    <w:p w:rsidR="001557B7" w:rsidRDefault="00AD3265">
      <w:pPr>
        <w:pStyle w:val="Lijstje2"/>
        <w:ind w:left="1276" w:hanging="425"/>
        <w:rPr>
          <w:rFonts w:ascii="Arial" w:hAnsi="Arial" w:cs="Arial"/>
          <w:noProof/>
          <w:lang w:val="en-GB"/>
        </w:rPr>
      </w:pPr>
      <w:r>
        <w:rPr>
          <w:rFonts w:ascii="Arial" w:hAnsi="Arial" w:cs="Arial"/>
          <w:noProof/>
          <w:lang w:val="en-GB"/>
        </w:rPr>
        <w:t>Greece has failed to calculate and report on the cost-opti</w:t>
      </w:r>
      <w:r>
        <w:rPr>
          <w:rFonts w:ascii="Arial" w:hAnsi="Arial" w:cs="Arial"/>
          <w:noProof/>
          <w:lang w:val="en-GB"/>
        </w:rPr>
        <w:t xml:space="preserve">mal levels for the energy performance requirements in buildings, in violation of the </w:t>
      </w:r>
      <w:r>
        <w:rPr>
          <w:rFonts w:ascii="Arial" w:hAnsi="Arial" w:cs="Arial"/>
          <w:bCs/>
          <w:iCs/>
          <w:noProof/>
          <w:lang w:val="en-GB"/>
        </w:rPr>
        <w:t>Energy Performance of Buildings Directive</w:t>
      </w:r>
      <w:r>
        <w:rPr>
          <w:rStyle w:val="FootnoteReference"/>
          <w:rFonts w:ascii="Arial" w:hAnsi="Arial" w:cs="Arial"/>
          <w:bCs/>
          <w:iCs/>
          <w:noProof/>
          <w:lang w:val="en-GB"/>
        </w:rPr>
        <w:footnoteReference w:id="215"/>
      </w:r>
      <w:r>
        <w:rPr>
          <w:rFonts w:ascii="Arial" w:hAnsi="Arial" w:cs="Arial"/>
          <w:bCs/>
          <w:iCs/>
          <w:noProof/>
          <w:lang w:val="en-GB"/>
        </w:rPr>
        <w:t>.</w:t>
      </w:r>
    </w:p>
    <w:p w:rsidR="001557B7" w:rsidRDefault="00AD3265">
      <w:pPr>
        <w:pStyle w:val="Lijstje2"/>
        <w:ind w:left="1276" w:hanging="425"/>
        <w:rPr>
          <w:rFonts w:ascii="Arial" w:hAnsi="Arial" w:cs="Arial"/>
          <w:noProof/>
          <w:lang w:val="en-GB"/>
        </w:rPr>
      </w:pPr>
      <w:r>
        <w:rPr>
          <w:rFonts w:ascii="Arial" w:hAnsi="Arial" w:cs="Arial"/>
          <w:noProof/>
          <w:lang w:val="en-GB"/>
        </w:rPr>
        <w:t xml:space="preserve">Legacies bestowed on certain non-profit entities established in Greece benefited automatically from a preferential tax rate of </w:t>
      </w:r>
      <w:r>
        <w:rPr>
          <w:rFonts w:ascii="Arial" w:hAnsi="Arial" w:cs="Arial"/>
          <w:noProof/>
          <w:lang w:val="en-GB"/>
        </w:rPr>
        <w:t>0.5 %; however, similar non-profit entities from other Member States could benefit from this tax rate only in case of reciprocity (without it, the tax rate varied 20-40 %). As the Greek measure could vastly reduce the value of the bequeathed property, it r</w:t>
      </w:r>
      <w:r>
        <w:rPr>
          <w:rFonts w:ascii="Arial" w:hAnsi="Arial" w:cs="Arial"/>
          <w:noProof/>
          <w:lang w:val="en-GB"/>
        </w:rPr>
        <w:t>estricted the free movement of capital</w:t>
      </w:r>
      <w:r>
        <w:rPr>
          <w:rStyle w:val="FootnoteReference"/>
          <w:rFonts w:cs="Arial"/>
          <w:noProof/>
          <w:lang w:val="en-GB"/>
        </w:rPr>
        <w:footnoteReference w:id="216"/>
      </w:r>
      <w:r>
        <w:rPr>
          <w:rFonts w:ascii="Arial" w:hAnsi="Arial" w:cs="Arial"/>
          <w:noProof/>
          <w:lang w:val="en-GB"/>
        </w:rPr>
        <w:t>.</w:t>
      </w:r>
    </w:p>
    <w:p w:rsidR="001557B7" w:rsidRDefault="00AD3265">
      <w:pPr>
        <w:pStyle w:val="AnnualReport2"/>
        <w:numPr>
          <w:ilvl w:val="0"/>
          <w:numId w:val="63"/>
        </w:numPr>
        <w:ind w:left="709" w:hanging="425"/>
        <w:rPr>
          <w:noProof/>
        </w:rPr>
      </w:pPr>
      <w:r>
        <w:rPr>
          <w:noProof/>
        </w:rPr>
        <w:t>Preliminary rulings</w:t>
      </w:r>
    </w:p>
    <w:p w:rsidR="001557B7" w:rsidRDefault="00AD3265">
      <w:pPr>
        <w:pStyle w:val="Body"/>
        <w:ind w:left="709" w:firstLine="0"/>
        <w:rPr>
          <w:noProof/>
          <w:lang w:val="en-GB"/>
        </w:rPr>
      </w:pPr>
      <w:r>
        <w:rPr>
          <w:noProof/>
          <w:lang w:val="en-GB"/>
        </w:rPr>
        <w:t>The Court addressed the following preliminary rulings to the Greek judiciary.</w:t>
      </w:r>
    </w:p>
    <w:p w:rsidR="001557B7" w:rsidRDefault="00AD3265">
      <w:pPr>
        <w:pStyle w:val="Body"/>
        <w:numPr>
          <w:ilvl w:val="0"/>
          <w:numId w:val="62"/>
        </w:numPr>
        <w:spacing w:after="0"/>
        <w:ind w:left="1276" w:hanging="425"/>
        <w:rPr>
          <w:noProof/>
          <w:lang w:val="en-GB"/>
        </w:rPr>
      </w:pPr>
      <w:r>
        <w:rPr>
          <w:noProof/>
          <w:lang w:val="en-GB"/>
        </w:rPr>
        <w:t>A law that lays down, as a criterion for admission to a police school, a minimum height requirement irrespective of s</w:t>
      </w:r>
      <w:r>
        <w:rPr>
          <w:noProof/>
          <w:lang w:val="en-GB"/>
        </w:rPr>
        <w:t xml:space="preserve">ex may constitute indirect sex discrimination against women. </w:t>
      </w:r>
      <w:r>
        <w:rPr>
          <w:iCs/>
          <w:noProof/>
          <w:lang w:val="en-GB"/>
        </w:rPr>
        <w:t xml:space="preserve">The </w:t>
      </w:r>
      <w:r>
        <w:rPr>
          <w:noProof/>
          <w:lang w:val="en-GB"/>
        </w:rPr>
        <w:t>objective of ensuring the effective accomplishment of the task of the police could be achieved by measures that are less disadvantageous to women, such as a pre-selection of candidates allowi</w:t>
      </w:r>
      <w:r>
        <w:rPr>
          <w:noProof/>
          <w:lang w:val="en-GB"/>
        </w:rPr>
        <w:t>ng their physical ability to be assessed</w:t>
      </w:r>
      <w:r>
        <w:rPr>
          <w:rStyle w:val="FootnoteReference"/>
          <w:iCs/>
          <w:noProof/>
          <w:lang w:val="en-GB"/>
        </w:rPr>
        <w:footnoteReference w:id="217"/>
      </w:r>
      <w:r>
        <w:rPr>
          <w:noProof/>
          <w:lang w:val="en-GB"/>
        </w:rPr>
        <w:t>.</w:t>
      </w:r>
    </w:p>
    <w:p w:rsidR="001557B7" w:rsidRDefault="00AD3265">
      <w:pPr>
        <w:pStyle w:val="Body"/>
        <w:numPr>
          <w:ilvl w:val="0"/>
          <w:numId w:val="62"/>
        </w:numPr>
        <w:ind w:left="1276" w:hanging="425"/>
        <w:rPr>
          <w:noProof/>
          <w:lang w:val="en-GB"/>
        </w:rPr>
      </w:pPr>
      <w:r>
        <w:rPr>
          <w:noProof/>
          <w:lang w:val="en-GB"/>
        </w:rPr>
        <w:t>A Member State may adopt an order for the removal of a citizen who constitutes a serious threat to public security based on the sole finding that a previous exclusion order was still valid</w:t>
      </w:r>
      <w:r>
        <w:rPr>
          <w:rStyle w:val="FootnoteReference"/>
          <w:noProof/>
          <w:lang w:val="en-GB"/>
        </w:rPr>
        <w:footnoteReference w:id="218"/>
      </w:r>
      <w:r>
        <w:rPr>
          <w:noProof/>
          <w:lang w:val="en-GB"/>
        </w:rPr>
        <w:t>.</w:t>
      </w:r>
    </w:p>
    <w:p w:rsidR="001557B7" w:rsidRDefault="001557B7">
      <w:pPr>
        <w:pStyle w:val="Body"/>
        <w:ind w:left="786" w:firstLine="0"/>
        <w:rPr>
          <w:noProof/>
          <w:lang w:val="en-GB"/>
        </w:rPr>
      </w:pPr>
    </w:p>
    <w:p w:rsidR="001557B7" w:rsidRDefault="001557B7">
      <w:pPr>
        <w:pStyle w:val="Body"/>
        <w:ind w:left="786" w:firstLine="0"/>
        <w:rPr>
          <w:noProof/>
          <w:lang w:val="en-GB"/>
        </w:rPr>
      </w:pPr>
    </w:p>
    <w:p w:rsidR="001557B7" w:rsidRDefault="001557B7">
      <w:pPr>
        <w:spacing w:after="120"/>
        <w:contextualSpacing/>
        <w:rPr>
          <w:rFonts w:ascii="Verdana" w:eastAsia="Calibri" w:hAnsi="Verdana"/>
          <w:noProof/>
          <w:kern w:val="20"/>
          <w:sz w:val="20"/>
        </w:rPr>
        <w:sectPr w:rsidR="001557B7">
          <w:headerReference w:type="even" r:id="rId154"/>
          <w:headerReference w:type="default" r:id="rId155"/>
          <w:footerReference w:type="even" r:id="rId156"/>
          <w:footerReference w:type="default" r:id="rId157"/>
          <w:headerReference w:type="first" r:id="rId158"/>
          <w:footerReference w:type="first" r:id="rId159"/>
          <w:footnotePr>
            <w:numRestart w:val="eachSect"/>
          </w:footnotePr>
          <w:pgSz w:w="11906" w:h="16838"/>
          <w:pgMar w:top="1843" w:right="1417" w:bottom="1134" w:left="1417" w:header="567" w:footer="351" w:gutter="0"/>
          <w:cols w:space="708"/>
          <w:titlePg/>
          <w:docGrid w:linePitch="360"/>
        </w:sectPr>
      </w:pPr>
    </w:p>
    <w:p w:rsidR="001557B7" w:rsidRDefault="00AD3265">
      <w:pPr>
        <w:pStyle w:val="Heading1"/>
        <w:rPr>
          <w:noProof/>
          <w:szCs w:val="24"/>
        </w:rPr>
      </w:pPr>
      <w:bookmarkStart w:id="80" w:name="_Toc475974663"/>
      <w:bookmarkStart w:id="81" w:name="_Toc475980159"/>
      <w:bookmarkStart w:id="82" w:name="_Toc475981408"/>
      <w:bookmarkStart w:id="83" w:name="_Toc484622325"/>
      <w:bookmarkStart w:id="84" w:name="_Toc510015274"/>
      <w:r>
        <w:rPr>
          <w:noProof/>
          <w:szCs w:val="24"/>
        </w:rPr>
        <w:t>Spain</w:t>
      </w:r>
      <w:bookmarkEnd w:id="80"/>
      <w:bookmarkEnd w:id="81"/>
      <w:bookmarkEnd w:id="82"/>
      <w:bookmarkEnd w:id="83"/>
      <w:bookmarkEnd w:id="84"/>
    </w:p>
    <w:p w:rsidR="001557B7" w:rsidRDefault="00AD3265">
      <w:pPr>
        <w:pStyle w:val="kop2"/>
        <w:numPr>
          <w:ilvl w:val="0"/>
          <w:numId w:val="7"/>
        </w:numPr>
        <w:spacing w:before="360" w:after="240"/>
        <w:ind w:left="709" w:hanging="425"/>
        <w:rPr>
          <w:noProof/>
        </w:rPr>
      </w:pPr>
      <w:r>
        <w:rPr>
          <w:noProof/>
        </w:rPr>
        <w:t>COMPLAINTS</w:t>
      </w:r>
    </w:p>
    <w:p w:rsidR="001557B7" w:rsidRDefault="00AD3265">
      <w:pPr>
        <w:pStyle w:val="AnnualReport2"/>
        <w:numPr>
          <w:ilvl w:val="0"/>
          <w:numId w:val="115"/>
        </w:numPr>
        <w:ind w:left="709" w:hanging="425"/>
        <w:rPr>
          <w:noProof/>
        </w:rPr>
      </w:pPr>
      <w:r>
        <w:rPr>
          <w:noProof/>
        </w:rPr>
        <w:t xml:space="preserve">New </w:t>
      </w:r>
      <w:r>
        <w:rPr>
          <w:noProof/>
        </w:rPr>
        <w:t>complaints made against Spain by members of the public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32F4C0E4" wp14:editId="7298AEF0">
            <wp:extent cx="4596130" cy="2186305"/>
            <wp:effectExtent l="0" t="0" r="13970" b="23495"/>
            <wp:docPr id="96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1557B7" w:rsidRDefault="00AD3265">
      <w:pPr>
        <w:pStyle w:val="AnnualReport2"/>
        <w:numPr>
          <w:ilvl w:val="0"/>
          <w:numId w:val="63"/>
        </w:numPr>
        <w:ind w:left="709" w:hanging="425"/>
        <w:rPr>
          <w:noProof/>
        </w:rPr>
      </w:pPr>
      <w:r>
        <w:rPr>
          <w:noProof/>
        </w:rPr>
        <w:t>Public complaints against Spain open at year-end</w:t>
      </w:r>
    </w:p>
    <w:tbl>
      <w:tblPr>
        <w:tblW w:w="0" w:type="auto"/>
        <w:jc w:val="center"/>
        <w:tblLook w:val="04A0" w:firstRow="1" w:lastRow="0" w:firstColumn="1" w:lastColumn="0" w:noHBand="0" w:noVBand="1"/>
      </w:tblPr>
      <w:tblGrid>
        <w:gridCol w:w="1697"/>
        <w:gridCol w:w="452"/>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356</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437</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426</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367</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 xml:space="preserve">Complaints open at </w:t>
            </w:r>
            <w:r>
              <w:rPr>
                <w:rFonts w:ascii="Arial" w:hAnsi="Arial" w:cs="Arial"/>
                <w:noProof/>
                <w:color w:val="548DD4"/>
                <w:sz w:val="22"/>
                <w:szCs w:val="28"/>
                <w:lang w:eastAsia="en-GB"/>
              </w:rPr>
              <w:t>end-2017</w:t>
            </w:r>
          </w:p>
        </w:tc>
      </w:tr>
    </w:tbl>
    <w:p w:rsidR="001557B7" w:rsidRDefault="00AD3265">
      <w:pPr>
        <w:pStyle w:val="AnnualReport2"/>
        <w:numPr>
          <w:ilvl w:val="0"/>
          <w:numId w:val="63"/>
        </w:numPr>
        <w:ind w:left="709" w:hanging="425"/>
        <w:rPr>
          <w:noProof/>
        </w:rPr>
      </w:pPr>
      <w:r>
        <w:rPr>
          <w:noProof/>
        </w:rPr>
        <w:t>New complaints registered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667C19AF" wp14:editId="41F22903">
            <wp:extent cx="4627880" cy="2321560"/>
            <wp:effectExtent l="0" t="0" r="20320" b="21590"/>
            <wp:docPr id="968"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1557B7" w:rsidRDefault="00AD3265">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rsidR="001557B7" w:rsidRDefault="00AD3265">
      <w:pPr>
        <w:pStyle w:val="AnnualReport2"/>
        <w:numPr>
          <w:ilvl w:val="0"/>
          <w:numId w:val="116"/>
        </w:numPr>
        <w:ind w:left="709" w:hanging="425"/>
        <w:rPr>
          <w:noProof/>
        </w:rPr>
      </w:pPr>
      <w:r>
        <w:rPr>
          <w:noProof/>
        </w:rPr>
        <w:t>New EU Pilot files opened against Spain (2011-2017)</w:t>
      </w:r>
    </w:p>
    <w:p w:rsidR="001557B7" w:rsidRDefault="00AD3265">
      <w:pPr>
        <w:pStyle w:val="Body"/>
        <w:rPr>
          <w:noProof/>
          <w:lang w:val="en-GB"/>
        </w:rPr>
      </w:pPr>
      <w:r>
        <w:rPr>
          <w:noProof/>
          <w:lang w:val="en-GB" w:eastAsia="en-GB"/>
        </w:rPr>
        <w:drawing>
          <wp:inline distT="0" distB="0" distL="0" distR="0" wp14:anchorId="021C3B26" wp14:editId="1015D93B">
            <wp:extent cx="4587875" cy="2353310"/>
            <wp:effectExtent l="0" t="0" r="0" b="0"/>
            <wp:docPr id="96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1557B7" w:rsidRDefault="00AD3265">
      <w:pPr>
        <w:pStyle w:val="AnnualReport2"/>
        <w:numPr>
          <w:ilvl w:val="0"/>
          <w:numId w:val="63"/>
        </w:numPr>
        <w:rPr>
          <w:noProof/>
        </w:rPr>
      </w:pPr>
      <w:r>
        <w:rPr>
          <w:noProof/>
        </w:rPr>
        <w:t>Files relating to Spain open in EU Pilot at year-end</w:t>
      </w:r>
    </w:p>
    <w:p w:rsidR="001557B7" w:rsidRDefault="00AD3265">
      <w:pPr>
        <w:spacing w:after="120"/>
        <w:ind w:firstLine="709"/>
        <w:rPr>
          <w:rFonts w:ascii="Arial" w:hAnsi="Arial" w:cs="Arial"/>
          <w:noProof/>
          <w:sz w:val="20"/>
        </w:rPr>
      </w:pPr>
      <w:r>
        <w:rPr>
          <w:rFonts w:cs="Arial"/>
          <w:noProof/>
          <w:sz w:val="20"/>
          <w:lang w:eastAsia="en-GB"/>
        </w:rPr>
        <w:drawing>
          <wp:inline distT="0" distB="0" distL="0" distR="0" wp14:anchorId="313B574C" wp14:editId="4C90C531">
            <wp:extent cx="4587875" cy="2353310"/>
            <wp:effectExtent l="0" t="0" r="0" b="0"/>
            <wp:docPr id="96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1557B7" w:rsidRDefault="00AD3265">
      <w:pPr>
        <w:pStyle w:val="AnnualReport2"/>
        <w:numPr>
          <w:ilvl w:val="0"/>
          <w:numId w:val="63"/>
        </w:numPr>
        <w:rPr>
          <w:noProof/>
        </w:rPr>
      </w:pPr>
      <w:r>
        <w:rPr>
          <w:noProof/>
        </w:rPr>
        <w:t>New EU Pilot files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68E9C6AF" wp14:editId="6B781844">
            <wp:extent cx="4643755" cy="2401570"/>
            <wp:effectExtent l="0" t="0" r="23495" b="17780"/>
            <wp:docPr id="965"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1557B7" w:rsidRDefault="00AD3265">
      <w:pPr>
        <w:pStyle w:val="AnnualReport2"/>
        <w:numPr>
          <w:ilvl w:val="0"/>
          <w:numId w:val="63"/>
        </w:numPr>
        <w:ind w:left="709" w:hanging="425"/>
        <w:rPr>
          <w:noProof/>
        </w:rPr>
      </w:pPr>
      <w:r>
        <w:rPr>
          <w:noProof/>
        </w:rPr>
        <w:t xml:space="preserve">EU Pilot files: </w:t>
      </w:r>
      <w:r>
        <w:rPr>
          <w:noProof/>
        </w:rPr>
        <w:t>Spain’s resolution rate in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7947C9BB" wp14:editId="521313D4">
            <wp:extent cx="4587875" cy="2353310"/>
            <wp:effectExtent l="0" t="0" r="3175" b="8890"/>
            <wp:docPr id="96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1557B7" w:rsidRDefault="00AD3265">
      <w:pPr>
        <w:keepNext/>
        <w:keepLines/>
        <w:numPr>
          <w:ilvl w:val="0"/>
          <w:numId w:val="1"/>
        </w:numPr>
        <w:spacing w:before="360" w:after="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rsidR="001557B7" w:rsidRDefault="00AD3265">
      <w:pPr>
        <w:pStyle w:val="AnnualReport2"/>
        <w:numPr>
          <w:ilvl w:val="0"/>
          <w:numId w:val="117"/>
        </w:numPr>
        <w:ind w:left="709" w:hanging="425"/>
        <w:rPr>
          <w:noProof/>
        </w:rPr>
      </w:pPr>
      <w:r>
        <w:rPr>
          <w:noProof/>
        </w:rPr>
        <w:t>Infringement cases against Spain open on 31 December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40EC8076" wp14:editId="4C08FD8B">
            <wp:extent cx="4563745" cy="2289810"/>
            <wp:effectExtent l="0" t="0" r="0" b="0"/>
            <wp:docPr id="963"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1557B7" w:rsidRDefault="00AD3265">
      <w:pPr>
        <w:pStyle w:val="AnnualReport2"/>
        <w:numPr>
          <w:ilvl w:val="0"/>
          <w:numId w:val="63"/>
        </w:numPr>
        <w:ind w:left="709" w:hanging="425"/>
        <w:rPr>
          <w:noProof/>
        </w:rPr>
      </w:pPr>
      <w:r>
        <w:rPr>
          <w:noProof/>
        </w:rPr>
        <w:t>New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FF38CB3" wp14:editId="0D696248">
            <wp:extent cx="4341495" cy="2393315"/>
            <wp:effectExtent l="0" t="0" r="20955" b="26035"/>
            <wp:docPr id="962" name="Object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1557B7" w:rsidRDefault="00AD3265">
      <w:pPr>
        <w:pStyle w:val="AnnualReport2"/>
        <w:numPr>
          <w:ilvl w:val="0"/>
          <w:numId w:val="63"/>
        </w:numPr>
        <w:ind w:left="709" w:hanging="425"/>
        <w:rPr>
          <w:noProof/>
        </w:rPr>
      </w:pPr>
      <w:r>
        <w:rPr>
          <w:noProof/>
        </w:rPr>
        <w:t>Key infringement cases and referrals to the Court</w:t>
      </w:r>
    </w:p>
    <w:p w:rsidR="001557B7" w:rsidRDefault="00AD3265">
      <w:pPr>
        <w:pStyle w:val="Lijstje"/>
        <w:numPr>
          <w:ilvl w:val="0"/>
          <w:numId w:val="12"/>
        </w:numPr>
        <w:ind w:left="1276" w:hanging="426"/>
        <w:rPr>
          <w:noProof/>
        </w:rPr>
      </w:pPr>
      <w:r>
        <w:rPr>
          <w:noProof/>
        </w:rPr>
        <w:t xml:space="preserve">The Commission opened </w:t>
      </w:r>
      <w:r>
        <w:rPr>
          <w:noProof/>
        </w:rPr>
        <w:t>27 new infringement cases against Spain in 2017. These, and other major ongoing infringement cases, include:</w:t>
      </w:r>
    </w:p>
    <w:p w:rsidR="001557B7" w:rsidRDefault="00AD3265">
      <w:pPr>
        <w:pStyle w:val="Lijstje2"/>
        <w:spacing w:after="0"/>
        <w:ind w:left="1843" w:hanging="425"/>
        <w:rPr>
          <w:rFonts w:ascii="Arial" w:hAnsi="Arial" w:cs="Arial"/>
          <w:noProof/>
          <w:lang w:val="en-GB"/>
        </w:rPr>
      </w:pPr>
      <w:r>
        <w:rPr>
          <w:rFonts w:ascii="Arial" w:hAnsi="Arial" w:cs="Arial"/>
          <w:noProof/>
          <w:lang w:val="en-GB"/>
        </w:rPr>
        <w:t>non-</w:t>
      </w:r>
      <w:r>
        <w:rPr>
          <w:rFonts w:ascii="Arial" w:hAnsi="Arial"/>
          <w:noProof/>
          <w:lang w:val="en-GB"/>
        </w:rPr>
        <w:t>communication</w:t>
      </w:r>
      <w:r>
        <w:rPr>
          <w:rFonts w:ascii="Arial" w:hAnsi="Arial" w:cs="Arial"/>
          <w:noProof/>
          <w:lang w:val="en-GB"/>
        </w:rPr>
        <w:t xml:space="preserve"> of national measures transposing the:</w:t>
      </w:r>
    </w:p>
    <w:p w:rsidR="001557B7" w:rsidRDefault="00AD3265">
      <w:pPr>
        <w:numPr>
          <w:ilvl w:val="2"/>
          <w:numId w:val="2"/>
        </w:numPr>
        <w:spacing w:after="200"/>
        <w:ind w:left="2410" w:hanging="425"/>
        <w:contextualSpacing/>
        <w:rPr>
          <w:rFonts w:ascii="Arial" w:hAnsi="Arial" w:cs="Arial"/>
          <w:noProof/>
          <w:sz w:val="20"/>
        </w:rPr>
      </w:pPr>
      <w:r>
        <w:rPr>
          <w:rFonts w:ascii="Arial" w:hAnsi="Arial"/>
          <w:noProof/>
          <w:sz w:val="20"/>
        </w:rPr>
        <w:t>Fourth Anti-Money Laundering Directive</w:t>
      </w:r>
      <w:r>
        <w:rPr>
          <w:rStyle w:val="FootnoteReference"/>
          <w:rFonts w:ascii="Arial" w:hAnsi="Arial"/>
          <w:noProof/>
          <w:sz w:val="20"/>
        </w:rPr>
        <w:footnoteReference w:id="219"/>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 xml:space="preserve">Directive establishing a single European railway </w:t>
      </w:r>
      <w:r>
        <w:rPr>
          <w:rFonts w:ascii="Arial" w:hAnsi="Arial" w:cs="Arial"/>
          <w:noProof/>
          <w:sz w:val="20"/>
        </w:rPr>
        <w:t>area</w:t>
      </w:r>
      <w:r>
        <w:rPr>
          <w:rStyle w:val="FootnoteReference"/>
          <w:rFonts w:ascii="Arial" w:hAnsi="Arial" w:cs="Arial"/>
          <w:noProof/>
          <w:sz w:val="20"/>
        </w:rPr>
        <w:footnoteReference w:id="220"/>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Directive on recognition of professional qualifications</w:t>
      </w:r>
      <w:r>
        <w:rPr>
          <w:rStyle w:val="FootnoteReference"/>
          <w:rFonts w:ascii="Arial" w:hAnsi="Arial" w:cs="Arial"/>
          <w:noProof/>
          <w:sz w:val="20"/>
        </w:rPr>
        <w:footnoteReference w:id="221"/>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Directive</w:t>
      </w:r>
      <w:r>
        <w:rPr>
          <w:rStyle w:val="FootnoteReference"/>
          <w:rFonts w:ascii="Arial" w:hAnsi="Arial" w:cs="Arial"/>
          <w:noProof/>
          <w:sz w:val="20"/>
        </w:rPr>
        <w:footnoteReference w:id="222"/>
      </w:r>
      <w:r>
        <w:rPr>
          <w:rFonts w:ascii="Arial" w:hAnsi="Arial" w:cs="Arial"/>
          <w:noProof/>
          <w:sz w:val="20"/>
        </w:rPr>
        <w:t xml:space="preserve"> laying down calculation methods and reporting requirements pursuant to the Directive on fuels quality</w:t>
      </w:r>
      <w:r>
        <w:rPr>
          <w:rStyle w:val="FootnoteReference"/>
          <w:rFonts w:ascii="Arial" w:hAnsi="Arial" w:cs="Arial"/>
          <w:noProof/>
          <w:sz w:val="20"/>
        </w:rPr>
        <w:footnoteReference w:id="223"/>
      </w:r>
      <w:r>
        <w:rPr>
          <w:rFonts w:ascii="Arial" w:hAnsi="Arial" w:cs="Arial"/>
          <w:noProof/>
          <w:sz w:val="20"/>
        </w:rPr>
        <w:t>;</w:t>
      </w:r>
    </w:p>
    <w:p w:rsidR="001557B7" w:rsidRDefault="001557B7">
      <w:pPr>
        <w:spacing w:after="200"/>
        <w:ind w:left="2410"/>
        <w:contextualSpacing/>
        <w:rPr>
          <w:rFonts w:ascii="Arial" w:hAnsi="Arial" w:cs="Arial"/>
          <w:noProof/>
          <w:sz w:val="20"/>
        </w:rPr>
      </w:pP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Markets in Financial Instruments Directive (MiFID II)</w:t>
      </w:r>
      <w:r>
        <w:rPr>
          <w:rStyle w:val="FootnoteReference"/>
          <w:rFonts w:ascii="Arial" w:hAnsi="Arial" w:cs="Arial"/>
          <w:noProof/>
          <w:sz w:val="20"/>
        </w:rPr>
        <w:footnoteReference w:id="224"/>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 xml:space="preserve">Payment Accounts </w:t>
      </w:r>
      <w:r>
        <w:rPr>
          <w:rFonts w:ascii="Arial" w:hAnsi="Arial" w:cs="Arial"/>
          <w:noProof/>
          <w:sz w:val="20"/>
        </w:rPr>
        <w:t>Directive</w:t>
      </w:r>
      <w:r>
        <w:rPr>
          <w:rStyle w:val="FootnoteReference"/>
          <w:rFonts w:ascii="Arial" w:hAnsi="Arial" w:cs="Arial"/>
          <w:noProof/>
          <w:sz w:val="20"/>
        </w:rPr>
        <w:footnoteReference w:id="225"/>
      </w:r>
      <w:r>
        <w:rPr>
          <w:rFonts w:ascii="Arial" w:hAnsi="Arial" w:cs="Arial"/>
          <w:noProof/>
          <w:sz w:val="20"/>
        </w:rPr>
        <w:t>;</w:t>
      </w:r>
    </w:p>
    <w:p w:rsidR="001557B7" w:rsidRDefault="00AD3265">
      <w:pPr>
        <w:numPr>
          <w:ilvl w:val="2"/>
          <w:numId w:val="2"/>
        </w:numPr>
        <w:spacing w:after="0"/>
        <w:ind w:left="2410" w:hanging="425"/>
        <w:contextualSpacing/>
        <w:rPr>
          <w:rFonts w:ascii="Arial" w:hAnsi="Arial" w:cs="Arial"/>
          <w:noProof/>
          <w:sz w:val="20"/>
        </w:rPr>
      </w:pPr>
      <w:r>
        <w:rPr>
          <w:rFonts w:ascii="Arial" w:hAnsi="Arial" w:cs="Arial"/>
          <w:noProof/>
          <w:sz w:val="20"/>
        </w:rPr>
        <w:t>Directive on disclosure of non-financial and diversity information by certain large undertakings</w:t>
      </w:r>
      <w:r>
        <w:rPr>
          <w:rStyle w:val="FootnoteReference"/>
          <w:rFonts w:ascii="Arial" w:hAnsi="Arial" w:cs="Arial"/>
          <w:noProof/>
          <w:sz w:val="20"/>
        </w:rPr>
        <w:footnoteReference w:id="226"/>
      </w:r>
      <w:r>
        <w:rPr>
          <w:rFonts w:ascii="Arial" w:hAnsi="Arial" w:cs="Arial"/>
          <w:noProof/>
          <w:sz w:val="20"/>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 xml:space="preserve">the penalty regime under the </w:t>
      </w:r>
      <w:r>
        <w:rPr>
          <w:rFonts w:ascii="Arial" w:hAnsi="Arial" w:cs="Arial"/>
          <w:i/>
          <w:noProof/>
          <w:lang w:val="en-GB"/>
        </w:rPr>
        <w:t>‘</w:t>
      </w:r>
      <w:r>
        <w:rPr>
          <w:rFonts w:ascii="Arial" w:hAnsi="Arial" w:cs="Arial"/>
          <w:noProof/>
          <w:lang w:val="en-GB"/>
        </w:rPr>
        <w:t>Modelo 720’</w:t>
      </w:r>
      <w:r>
        <w:rPr>
          <w:rFonts w:ascii="Arial" w:hAnsi="Arial" w:cs="Arial"/>
          <w:i/>
          <w:noProof/>
          <w:lang w:val="en-GB"/>
        </w:rPr>
        <w:t xml:space="preserve"> </w:t>
      </w:r>
      <w:r>
        <w:rPr>
          <w:rFonts w:ascii="Arial" w:hAnsi="Arial" w:cs="Arial"/>
          <w:noProof/>
          <w:lang w:val="en-GB"/>
        </w:rPr>
        <w:t>(a compulsory declaration on tax residents’ assets located abroad) may be disproportionate and thus con</w:t>
      </w:r>
      <w:r>
        <w:rPr>
          <w:rFonts w:ascii="Arial" w:hAnsi="Arial" w:cs="Arial"/>
          <w:noProof/>
          <w:lang w:val="en-GB"/>
        </w:rPr>
        <w:t>trary to, among other things, the free movement of capital</w:t>
      </w:r>
      <w:r>
        <w:rPr>
          <w:rStyle w:val="FootnoteReference"/>
          <w:rFonts w:ascii="Arial" w:hAnsi="Arial" w:cs="Arial"/>
          <w:noProof/>
          <w:lang w:val="en-GB"/>
        </w:rPr>
        <w:footnoteReference w:id="227"/>
      </w:r>
      <w:r>
        <w:rPr>
          <w:rFonts w:ascii="Arial" w:hAnsi="Arial" w:cs="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discriminatory practices affecting the marketing of food supplements</w:t>
      </w:r>
      <w:r>
        <w:rPr>
          <w:rStyle w:val="FootnoteReference"/>
          <w:rFonts w:ascii="Arial" w:hAnsi="Arial" w:cs="Arial"/>
          <w:noProof/>
          <w:lang w:val="en-GB"/>
        </w:rPr>
        <w:footnoteReference w:id="228"/>
      </w:r>
      <w:r>
        <w:rPr>
          <w:rFonts w:ascii="Arial" w:hAnsi="Arial" w:cs="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bCs/>
          <w:noProof/>
          <w:lang w:val="en-GB"/>
        </w:rPr>
        <w:t>restrictions on imports of homeopathic medicines</w:t>
      </w:r>
      <w:r>
        <w:rPr>
          <w:rStyle w:val="FootnoteReference"/>
          <w:rFonts w:ascii="Arial" w:hAnsi="Arial" w:cs="Arial"/>
          <w:bCs/>
          <w:noProof/>
          <w:lang w:val="en-GB"/>
        </w:rPr>
        <w:footnoteReference w:id="229"/>
      </w:r>
      <w:r>
        <w:rPr>
          <w:rFonts w:ascii="Arial" w:hAnsi="Arial" w:cs="Arial"/>
          <w:bCs/>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failure to comply with the Late Payment Directive</w:t>
      </w:r>
      <w:r>
        <w:rPr>
          <w:rStyle w:val="FootnoteReference"/>
          <w:rFonts w:ascii="Arial" w:hAnsi="Arial" w:cs="Arial"/>
          <w:noProof/>
          <w:lang w:val="en-GB"/>
        </w:rPr>
        <w:footnoteReference w:id="230"/>
      </w:r>
      <w:r>
        <w:rPr>
          <w:rFonts w:ascii="Arial" w:hAnsi="Arial" w:cs="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bCs/>
          <w:noProof/>
          <w:lang w:val="en-GB"/>
        </w:rPr>
        <w:t xml:space="preserve">failure to carry out </w:t>
      </w:r>
      <w:r>
        <w:rPr>
          <w:rFonts w:ascii="Arial" w:hAnsi="Arial" w:cs="Arial"/>
          <w:bCs/>
          <w:noProof/>
          <w:lang w:val="en-GB"/>
        </w:rPr>
        <w:t>analysis of the relevant telecom markets on time</w:t>
      </w:r>
      <w:r>
        <w:rPr>
          <w:rStyle w:val="FootnoteReference"/>
          <w:noProof/>
          <w:lang w:val="en-GB"/>
        </w:rPr>
        <w:footnoteReference w:id="231"/>
      </w:r>
      <w:r>
        <w:rPr>
          <w:rFonts w:ascii="Arial" w:hAnsi="Arial" w:cs="Arial"/>
          <w:bCs/>
          <w:noProof/>
          <w:lang w:val="en-GB"/>
        </w:rPr>
        <w:t>;</w:t>
      </w:r>
    </w:p>
    <w:p w:rsidR="001557B7" w:rsidRDefault="00AD3265">
      <w:pPr>
        <w:pStyle w:val="Lijstje2"/>
        <w:spacing w:after="200"/>
        <w:ind w:left="1843" w:hanging="426"/>
        <w:rPr>
          <w:rFonts w:ascii="Arial" w:hAnsi="Arial" w:cs="Arial"/>
          <w:i/>
          <w:noProof/>
          <w:lang w:val="en-GB"/>
        </w:rPr>
      </w:pPr>
      <w:r>
        <w:rPr>
          <w:rFonts w:ascii="Arial" w:hAnsi="Arial" w:cs="Arial"/>
          <w:bCs/>
          <w:noProof/>
          <w:lang w:val="en-GB"/>
        </w:rPr>
        <w:t>failure</w:t>
      </w:r>
      <w:r>
        <w:rPr>
          <w:rFonts w:ascii="Arial" w:hAnsi="Arial" w:cs="Arial"/>
          <w:noProof/>
          <w:lang w:val="en-GB"/>
        </w:rPr>
        <w:t xml:space="preserve"> to comply with the Energy Efficiency Directive</w:t>
      </w:r>
      <w:r>
        <w:rPr>
          <w:rStyle w:val="FootnoteReference"/>
          <w:noProof/>
          <w:lang w:val="en-GB"/>
        </w:rPr>
        <w:footnoteReference w:id="232"/>
      </w:r>
      <w:r>
        <w:rPr>
          <w:rFonts w:ascii="Arial" w:hAnsi="Arial" w:cs="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lack of waste management plans required under the Waste Framework Directive</w:t>
      </w:r>
      <w:r>
        <w:rPr>
          <w:rStyle w:val="FootnoteReference"/>
          <w:rFonts w:ascii="Arial" w:hAnsi="Arial" w:cs="Arial"/>
          <w:noProof/>
          <w:lang w:val="en-GB"/>
        </w:rPr>
        <w:footnoteReference w:id="233"/>
      </w:r>
      <w:r>
        <w:rPr>
          <w:rFonts w:ascii="Arial" w:hAnsi="Arial" w:cs="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failure to comply with reporting obligations under EU waste legislatio</w:t>
      </w:r>
      <w:r>
        <w:rPr>
          <w:rFonts w:ascii="Arial" w:hAnsi="Arial" w:cs="Arial"/>
          <w:noProof/>
          <w:lang w:val="en-GB"/>
        </w:rPr>
        <w:t>n</w:t>
      </w:r>
      <w:r>
        <w:rPr>
          <w:rStyle w:val="FootnoteReference"/>
          <w:rFonts w:ascii="Arial" w:hAnsi="Arial" w:cs="Arial"/>
          <w:noProof/>
          <w:lang w:val="en-GB"/>
        </w:rPr>
        <w:footnoteReference w:id="234"/>
      </w:r>
      <w:r>
        <w:rPr>
          <w:rFonts w:ascii="Arial" w:hAnsi="Arial" w:cs="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persistence of illegal waste landfills, in violation of the Waste Framework Directive</w:t>
      </w:r>
      <w:r>
        <w:rPr>
          <w:rStyle w:val="FootnoteReference"/>
          <w:rFonts w:ascii="Arial" w:hAnsi="Arial" w:cs="Arial"/>
          <w:noProof/>
          <w:lang w:val="en-GB"/>
        </w:rPr>
        <w:footnoteReference w:id="235"/>
      </w:r>
      <w:r>
        <w:rPr>
          <w:rFonts w:ascii="Arial" w:hAnsi="Arial" w:cs="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failure to ensure that urban waste water is adequately treated</w:t>
      </w:r>
      <w:r>
        <w:rPr>
          <w:rStyle w:val="FootnoteReference"/>
          <w:rFonts w:ascii="Arial" w:hAnsi="Arial" w:cs="Arial"/>
          <w:noProof/>
          <w:lang w:val="en-GB"/>
        </w:rPr>
        <w:footnoteReference w:id="236"/>
      </w:r>
      <w:r>
        <w:rPr>
          <w:rFonts w:ascii="Arial" w:hAnsi="Arial" w:cs="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late adoption of the second round of river basin management plans under the Water Framework Directi</w:t>
      </w:r>
      <w:r>
        <w:rPr>
          <w:rFonts w:ascii="Arial" w:hAnsi="Arial" w:cs="Arial"/>
          <w:noProof/>
          <w:lang w:val="en-GB"/>
        </w:rPr>
        <w:t>ve</w:t>
      </w:r>
      <w:r>
        <w:rPr>
          <w:rStyle w:val="FootnoteReference"/>
          <w:rFonts w:ascii="Arial" w:hAnsi="Arial" w:cs="Arial"/>
          <w:noProof/>
          <w:lang w:val="en-GB"/>
        </w:rPr>
        <w:footnoteReference w:id="237"/>
      </w:r>
      <w:r>
        <w:rPr>
          <w:rFonts w:ascii="Arial" w:hAnsi="Arial" w:cs="Arial"/>
          <w:noProof/>
          <w:lang w:val="en-GB"/>
        </w:rPr>
        <w:t>;</w:t>
      </w:r>
    </w:p>
    <w:p w:rsidR="001557B7" w:rsidRDefault="00AD3265">
      <w:pPr>
        <w:pStyle w:val="Lijstje2"/>
        <w:spacing w:after="200"/>
        <w:ind w:left="1843" w:hanging="426"/>
        <w:rPr>
          <w:rFonts w:ascii="Arial" w:hAnsi="Arial" w:cs="Arial"/>
          <w:i/>
          <w:noProof/>
          <w:lang w:val="en-GB"/>
        </w:rPr>
      </w:pPr>
      <w:r>
        <w:rPr>
          <w:rFonts w:ascii="Arial" w:hAnsi="Arial" w:cs="Arial"/>
          <w:noProof/>
          <w:lang w:val="en-GB"/>
        </w:rPr>
        <w:t>failure to comply with the NO</w:t>
      </w:r>
      <w:r>
        <w:rPr>
          <w:rFonts w:ascii="Arial" w:hAnsi="Arial" w:cs="Arial"/>
          <w:noProof/>
          <w:vertAlign w:val="subscript"/>
          <w:lang w:val="en-GB"/>
        </w:rPr>
        <w:t>2</w:t>
      </w:r>
      <w:r>
        <w:rPr>
          <w:rFonts w:ascii="Arial" w:hAnsi="Arial" w:cs="Arial"/>
          <w:noProof/>
          <w:lang w:val="en-GB"/>
        </w:rPr>
        <w:t xml:space="preserve"> limit values set by the Air Quality Directive</w:t>
      </w:r>
      <w:r>
        <w:rPr>
          <w:rStyle w:val="FootnoteReference"/>
          <w:rFonts w:ascii="Arial" w:hAnsi="Arial" w:cs="Arial"/>
          <w:noProof/>
          <w:lang w:val="en-GB"/>
        </w:rPr>
        <w:footnoteReference w:id="238"/>
      </w:r>
      <w:r>
        <w:rPr>
          <w:rFonts w:ascii="Arial" w:hAnsi="Arial" w:cs="Arial"/>
          <w:noProof/>
          <w:lang w:val="en-GB"/>
        </w:rPr>
        <w:t>.</w:t>
      </w:r>
    </w:p>
    <w:p w:rsidR="001557B7" w:rsidRDefault="00AD3265">
      <w:pPr>
        <w:pStyle w:val="Lijstje"/>
        <w:numPr>
          <w:ilvl w:val="0"/>
          <w:numId w:val="12"/>
        </w:numPr>
        <w:ind w:left="1276" w:hanging="426"/>
        <w:rPr>
          <w:noProof/>
        </w:rPr>
      </w:pPr>
      <w:r>
        <w:rPr>
          <w:noProof/>
        </w:rPr>
        <w:t>The Commission referred two cases to the Court under Article 258 TFEU. They concerned:</w:t>
      </w:r>
    </w:p>
    <w:p w:rsidR="001557B7" w:rsidRDefault="00AD3265">
      <w:pPr>
        <w:pStyle w:val="Lijstje"/>
        <w:numPr>
          <w:ilvl w:val="0"/>
          <w:numId w:val="62"/>
        </w:numPr>
        <w:spacing w:after="0"/>
        <w:ind w:left="1843" w:hanging="425"/>
        <w:rPr>
          <w:noProof/>
        </w:rPr>
      </w:pPr>
      <w:r>
        <w:rPr>
          <w:noProof/>
        </w:rPr>
        <w:t>failure to comply with the rules on access to the occupation of road transport operat</w:t>
      </w:r>
      <w:r>
        <w:rPr>
          <w:noProof/>
        </w:rPr>
        <w:t>or</w:t>
      </w:r>
      <w:r>
        <w:rPr>
          <w:rStyle w:val="FootnoteReference"/>
          <w:noProof/>
        </w:rPr>
        <w:footnoteReference w:id="239"/>
      </w:r>
      <w:r>
        <w:rPr>
          <w:noProof/>
        </w:rPr>
        <w:t>;</w:t>
      </w:r>
    </w:p>
    <w:p w:rsidR="001557B7" w:rsidRDefault="00AD3265">
      <w:pPr>
        <w:pStyle w:val="Lijstje"/>
        <w:numPr>
          <w:ilvl w:val="0"/>
          <w:numId w:val="62"/>
        </w:numPr>
        <w:ind w:left="1843" w:hanging="425"/>
        <w:rPr>
          <w:noProof/>
        </w:rPr>
      </w:pPr>
      <w:r>
        <w:rPr>
          <w:noProof/>
        </w:rPr>
        <w:t>late transposition of the so-called ‘Whistle-blowing’ Directive</w:t>
      </w:r>
      <w:r>
        <w:rPr>
          <w:rStyle w:val="FootnoteReference"/>
          <w:noProof/>
        </w:rPr>
        <w:footnoteReference w:id="240"/>
      </w:r>
      <w:r>
        <w:rPr>
          <w:noProof/>
        </w:rPr>
        <w:t>.</w:t>
      </w:r>
    </w:p>
    <w:p w:rsidR="001557B7" w:rsidRDefault="00AD3265">
      <w:pPr>
        <w:pStyle w:val="Lijstje"/>
        <w:numPr>
          <w:ilvl w:val="0"/>
          <w:numId w:val="12"/>
        </w:numPr>
        <w:ind w:left="1276" w:hanging="426"/>
        <w:rPr>
          <w:noProof/>
        </w:rPr>
      </w:pPr>
      <w:r>
        <w:rPr>
          <w:noProof/>
        </w:rPr>
        <w:t xml:space="preserve">The Commission referred one case to the Court under Article 260(2) TFEU. </w:t>
      </w:r>
    </w:p>
    <w:p w:rsidR="001557B7" w:rsidRDefault="00AD3265">
      <w:pPr>
        <w:numPr>
          <w:ilvl w:val="0"/>
          <w:numId w:val="2"/>
        </w:numPr>
        <w:spacing w:after="200"/>
        <w:ind w:left="1843" w:hanging="425"/>
        <w:rPr>
          <w:rFonts w:ascii="Arial" w:eastAsia="Calibri" w:hAnsi="Arial"/>
          <w:noProof/>
          <w:sz w:val="20"/>
        </w:rPr>
      </w:pPr>
      <w:r>
        <w:rPr>
          <w:rFonts w:ascii="Arial" w:eastAsia="Calibri" w:hAnsi="Arial" w:cs="Arial"/>
          <w:noProof/>
          <w:kern w:val="20"/>
          <w:sz w:val="20"/>
        </w:rPr>
        <w:t xml:space="preserve">This concerns a failure to comply with a Court judgment finding that Spain had failed to adequately </w:t>
      </w:r>
      <w:r>
        <w:rPr>
          <w:rFonts w:ascii="Arial" w:hAnsi="Arial" w:cs="Arial"/>
          <w:noProof/>
          <w:sz w:val="20"/>
        </w:rPr>
        <w:t>collect</w:t>
      </w:r>
      <w:r>
        <w:rPr>
          <w:rFonts w:ascii="Arial" w:eastAsia="Calibri" w:hAnsi="Arial" w:cs="Arial"/>
          <w:noProof/>
          <w:kern w:val="20"/>
          <w:sz w:val="20"/>
        </w:rPr>
        <w:t xml:space="preserve"> and treat waste water in a number of agglomerations. </w:t>
      </w:r>
      <w:r>
        <w:rPr>
          <w:rFonts w:ascii="Arial" w:hAnsi="Arial" w:cs="Arial"/>
          <w:noProof/>
          <w:sz w:val="20"/>
        </w:rPr>
        <w:t>The Commission asked the Court to impose a lump sum payment of EUR 46 522 999 and a daily penalty payment of EUR 171 217.20 until Spain fully complies with EU law</w:t>
      </w:r>
      <w:r>
        <w:rPr>
          <w:rStyle w:val="FootnoteReference"/>
          <w:rFonts w:ascii="Arial" w:eastAsia="Calibri" w:hAnsi="Arial" w:cs="Arial"/>
          <w:noProof/>
          <w:kern w:val="20"/>
          <w:sz w:val="20"/>
        </w:rPr>
        <w:footnoteReference w:id="241"/>
      </w:r>
      <w:r>
        <w:rPr>
          <w:rFonts w:ascii="Arial" w:hAnsi="Arial" w:cs="Arial"/>
          <w:noProof/>
          <w:sz w:val="20"/>
        </w:rPr>
        <w:t>.</w:t>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rsidR="001557B7" w:rsidRDefault="00AD3265">
      <w:pPr>
        <w:pStyle w:val="AnnualReport2"/>
        <w:numPr>
          <w:ilvl w:val="0"/>
          <w:numId w:val="144"/>
        </w:numPr>
        <w:ind w:left="709" w:hanging="425"/>
        <w:rPr>
          <w:noProof/>
        </w:rPr>
      </w:pPr>
      <w:r>
        <w:rPr>
          <w:noProof/>
        </w:rPr>
        <w:t>Late tran</w:t>
      </w:r>
      <w:r>
        <w:rPr>
          <w:noProof/>
        </w:rPr>
        <w:t>sposition infringement cases against Spain open on 31 December (2013-2017)</w:t>
      </w:r>
    </w:p>
    <w:p w:rsidR="001557B7" w:rsidRDefault="00AD3265">
      <w:pPr>
        <w:ind w:left="426" w:firstLine="283"/>
        <w:rPr>
          <w:rFonts w:ascii="Arial" w:hAnsi="Arial"/>
          <w:noProof/>
          <w:color w:val="002060"/>
          <w:sz w:val="22"/>
          <w:szCs w:val="22"/>
        </w:rPr>
      </w:pPr>
      <w:r>
        <w:rPr>
          <w:noProof/>
          <w:lang w:eastAsia="en-GB"/>
        </w:rPr>
        <w:drawing>
          <wp:inline distT="0" distB="0" distL="0" distR="0" wp14:anchorId="1EEC20ED" wp14:editId="63B7E37C">
            <wp:extent cx="4596130" cy="2472690"/>
            <wp:effectExtent l="0" t="0" r="0" b="0"/>
            <wp:docPr id="96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1557B7" w:rsidRDefault="00AD3265">
      <w:pPr>
        <w:pStyle w:val="AnnualReport2"/>
        <w:numPr>
          <w:ilvl w:val="0"/>
          <w:numId w:val="144"/>
        </w:numPr>
        <w:ind w:left="709" w:hanging="425"/>
        <w:rPr>
          <w:noProof/>
        </w:rPr>
      </w:pPr>
      <w:r>
        <w:rPr>
          <w:noProof/>
        </w:rPr>
        <w:t>New late transposition infringement cases against Spain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209EFF83" wp14:editId="0EBD1AE9">
            <wp:extent cx="4596130" cy="2472690"/>
            <wp:effectExtent l="0" t="0" r="13970" b="22860"/>
            <wp:docPr id="96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r>
        <w:rPr>
          <w:rFonts w:ascii="Arial" w:hAnsi="Arial" w:cs="Arial"/>
          <w:noProof/>
          <w:sz w:val="20"/>
        </w:rPr>
        <w:br w:type="page"/>
      </w:r>
    </w:p>
    <w:p w:rsidR="001557B7" w:rsidRDefault="001557B7">
      <w:pPr>
        <w:spacing w:after="120"/>
        <w:ind w:firstLine="709"/>
        <w:rPr>
          <w:rFonts w:ascii="Arial" w:hAnsi="Arial" w:cs="Arial"/>
          <w:noProof/>
          <w:sz w:val="20"/>
        </w:rPr>
      </w:pPr>
    </w:p>
    <w:p w:rsidR="001557B7" w:rsidRDefault="00AD3265">
      <w:pPr>
        <w:pStyle w:val="AnnualReport2"/>
        <w:numPr>
          <w:ilvl w:val="0"/>
          <w:numId w:val="144"/>
        </w:numPr>
        <w:ind w:left="709" w:hanging="425"/>
        <w:rPr>
          <w:noProof/>
        </w:rPr>
      </w:pPr>
      <w:r>
        <w:rPr>
          <w:noProof/>
        </w:rPr>
        <w:t>New late transposition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7BE19B7" wp14:editId="22ED3662">
            <wp:extent cx="4580255" cy="2393315"/>
            <wp:effectExtent l="0" t="0" r="10795" b="26035"/>
            <wp:docPr id="52" name="Object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1557B7" w:rsidRDefault="00AD3265">
      <w:pPr>
        <w:pStyle w:val="AnnualReport2"/>
        <w:numPr>
          <w:ilvl w:val="0"/>
          <w:numId w:val="144"/>
        </w:numPr>
        <w:ind w:left="709" w:hanging="425"/>
        <w:rPr>
          <w:noProof/>
        </w:rPr>
      </w:pPr>
      <w:r>
        <w:rPr>
          <w:noProof/>
        </w:rPr>
        <w:t>Referrals to the Court</w:t>
      </w:r>
    </w:p>
    <w:p w:rsidR="001557B7" w:rsidRDefault="00AD3265">
      <w:pPr>
        <w:spacing w:after="120"/>
        <w:ind w:left="709"/>
        <w:rPr>
          <w:rFonts w:ascii="Arial" w:eastAsia="Calibri" w:hAnsi="Arial" w:cs="Arial"/>
          <w:noProof/>
          <w:kern w:val="20"/>
          <w:sz w:val="20"/>
        </w:rPr>
      </w:pPr>
      <w:r>
        <w:rPr>
          <w:rFonts w:ascii="Arial" w:eastAsia="Calibri" w:hAnsi="Arial" w:cs="Arial"/>
          <w:noProof/>
          <w:kern w:val="20"/>
          <w:sz w:val="20"/>
        </w:rPr>
        <w:t xml:space="preserve">The </w:t>
      </w:r>
      <w:r>
        <w:rPr>
          <w:rFonts w:ascii="Arial" w:eastAsia="Calibri" w:hAnsi="Arial" w:cs="Arial"/>
          <w:noProof/>
          <w:kern w:val="20"/>
          <w:sz w:val="20"/>
        </w:rPr>
        <w:t>Commission referred Spain to the Court under Articles 258 and 260(3) TFEU in the following case:</w:t>
      </w:r>
    </w:p>
    <w:p w:rsidR="001557B7" w:rsidRDefault="00AD3265">
      <w:pPr>
        <w:pStyle w:val="Lijstje2"/>
        <w:spacing w:after="200"/>
        <w:ind w:left="1276" w:hanging="425"/>
        <w:rPr>
          <w:rFonts w:ascii="Arial" w:hAnsi="Arial"/>
          <w:noProof/>
          <w:lang w:val="en-GB"/>
        </w:rPr>
      </w:pPr>
      <w:r>
        <w:rPr>
          <w:rFonts w:ascii="Arial" w:hAnsi="Arial"/>
          <w:noProof/>
          <w:lang w:val="en-GB"/>
        </w:rPr>
        <w:t>failure to fully transpose the Mortgage Credit Directive</w:t>
      </w:r>
      <w:r>
        <w:rPr>
          <w:rStyle w:val="FootnoteReference"/>
          <w:noProof/>
        </w:rPr>
        <w:footnoteReference w:id="242"/>
      </w:r>
      <w:r>
        <w:rPr>
          <w:rFonts w:ascii="Arial" w:hAnsi="Arial"/>
          <w:noProof/>
          <w:lang w:val="en-GB"/>
        </w:rPr>
        <w:t>.</w:t>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rsidR="001557B7" w:rsidRDefault="00AD3265">
      <w:pPr>
        <w:pStyle w:val="ListParagraph"/>
        <w:spacing w:after="60"/>
        <w:ind w:left="709"/>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1557B7" w:rsidRDefault="00AD3265">
      <w:pPr>
        <w:spacing w:before="120" w:after="120"/>
        <w:ind w:firstLine="709"/>
        <w:rPr>
          <w:rFonts w:ascii="Arial" w:hAnsi="Arial" w:cs="Arial"/>
          <w:noProof/>
          <w:sz w:val="20"/>
        </w:rPr>
      </w:pPr>
      <w:r>
        <w:rPr>
          <w:rFonts w:ascii="Arial" w:hAnsi="Arial" w:cs="Arial"/>
          <w:noProof/>
          <w:sz w:val="20"/>
        </w:rPr>
        <w:t xml:space="preserve">These </w:t>
      </w:r>
      <w:r>
        <w:rPr>
          <w:rFonts w:ascii="Arial" w:hAnsi="Arial" w:cs="Arial"/>
          <w:noProof/>
          <w:sz w:val="20"/>
        </w:rPr>
        <w:t>concerned:</w:t>
      </w:r>
    </w:p>
    <w:p w:rsidR="001557B7" w:rsidRDefault="00AD3265">
      <w:pPr>
        <w:pStyle w:val="Lijstje2"/>
        <w:numPr>
          <w:ilvl w:val="1"/>
          <w:numId w:val="2"/>
        </w:numPr>
        <w:spacing w:after="0"/>
        <w:rPr>
          <w:rFonts w:ascii="Arial" w:hAnsi="Arial" w:cs="Arial"/>
          <w:noProof/>
          <w:lang w:val="en-GB"/>
        </w:rPr>
      </w:pPr>
      <w:r>
        <w:rPr>
          <w:rFonts w:ascii="Arial" w:hAnsi="Arial" w:cs="Arial"/>
          <w:noProof/>
          <w:lang w:val="en-GB"/>
        </w:rPr>
        <w:t>non-communication of national measures transposing the:</w:t>
      </w:r>
    </w:p>
    <w:p w:rsidR="001557B7" w:rsidRDefault="00AD3265">
      <w:pPr>
        <w:numPr>
          <w:ilvl w:val="3"/>
          <w:numId w:val="2"/>
        </w:numPr>
        <w:spacing w:after="200"/>
        <w:contextualSpacing/>
        <w:rPr>
          <w:rFonts w:ascii="Arial" w:hAnsi="Arial" w:cs="Arial"/>
          <w:noProof/>
          <w:sz w:val="20"/>
        </w:rPr>
      </w:pPr>
      <w:r>
        <w:rPr>
          <w:rFonts w:ascii="Arial" w:hAnsi="Arial" w:cs="Arial"/>
          <w:noProof/>
          <w:sz w:val="20"/>
        </w:rPr>
        <w:t>Directive on recognition of professional qualifications</w:t>
      </w:r>
      <w:r>
        <w:rPr>
          <w:rStyle w:val="FootnoteReference"/>
          <w:rFonts w:ascii="Arial" w:hAnsi="Arial" w:cs="Arial"/>
          <w:noProof/>
          <w:sz w:val="20"/>
        </w:rPr>
        <w:footnoteReference w:id="243"/>
      </w:r>
      <w:r>
        <w:rPr>
          <w:rFonts w:ascii="Arial" w:hAnsi="Arial" w:cs="Arial"/>
          <w:noProof/>
          <w:sz w:val="20"/>
        </w:rPr>
        <w:t>;</w:t>
      </w:r>
    </w:p>
    <w:p w:rsidR="001557B7" w:rsidRDefault="00AD3265">
      <w:pPr>
        <w:numPr>
          <w:ilvl w:val="3"/>
          <w:numId w:val="2"/>
        </w:numPr>
        <w:spacing w:after="200"/>
        <w:contextualSpacing/>
        <w:rPr>
          <w:rFonts w:ascii="Arial" w:hAnsi="Arial" w:cs="Arial"/>
          <w:noProof/>
          <w:sz w:val="20"/>
        </w:rPr>
      </w:pPr>
      <w:r>
        <w:rPr>
          <w:rFonts w:ascii="Arial" w:hAnsi="Arial" w:cs="Arial"/>
          <w:noProof/>
          <w:sz w:val="20"/>
        </w:rPr>
        <w:t>Solvency II Directive</w:t>
      </w:r>
      <w:r>
        <w:rPr>
          <w:rStyle w:val="FootnoteReference"/>
          <w:rFonts w:ascii="Arial" w:hAnsi="Arial" w:cs="Arial"/>
          <w:noProof/>
          <w:sz w:val="20"/>
        </w:rPr>
        <w:footnoteReference w:id="244"/>
      </w:r>
      <w:r>
        <w:rPr>
          <w:rFonts w:ascii="Arial" w:hAnsi="Arial" w:cs="Arial"/>
          <w:noProof/>
          <w:sz w:val="20"/>
        </w:rPr>
        <w:t>;</w:t>
      </w:r>
    </w:p>
    <w:p w:rsidR="001557B7" w:rsidRDefault="00AD3265">
      <w:pPr>
        <w:numPr>
          <w:ilvl w:val="3"/>
          <w:numId w:val="2"/>
        </w:numPr>
        <w:spacing w:after="200"/>
        <w:contextualSpacing/>
        <w:rPr>
          <w:rFonts w:ascii="Arial" w:hAnsi="Arial" w:cs="Arial"/>
          <w:noProof/>
          <w:sz w:val="20"/>
        </w:rPr>
      </w:pPr>
      <w:r>
        <w:rPr>
          <w:rFonts w:ascii="Arial" w:hAnsi="Arial" w:cs="Arial"/>
          <w:noProof/>
          <w:sz w:val="20"/>
        </w:rPr>
        <w:t xml:space="preserve">Omnibus II Directive, in respect of the powers of the European Insurance and Occupational Pensions </w:t>
      </w:r>
      <w:r>
        <w:rPr>
          <w:rFonts w:ascii="Arial" w:hAnsi="Arial" w:cs="Arial"/>
          <w:noProof/>
          <w:sz w:val="20"/>
        </w:rPr>
        <w:t>Authority and the European Securities and Markets Authority</w:t>
      </w:r>
      <w:r>
        <w:rPr>
          <w:rStyle w:val="FootnoteReference"/>
          <w:rFonts w:ascii="Arial" w:hAnsi="Arial" w:cs="Arial"/>
          <w:noProof/>
          <w:sz w:val="20"/>
        </w:rPr>
        <w:footnoteReference w:id="245"/>
      </w:r>
      <w:r>
        <w:rPr>
          <w:rFonts w:ascii="Arial" w:hAnsi="Arial" w:cs="Arial"/>
          <w:noProof/>
          <w:sz w:val="20"/>
        </w:rPr>
        <w:t>;</w:t>
      </w:r>
    </w:p>
    <w:p w:rsidR="001557B7" w:rsidRDefault="00AD3265">
      <w:pPr>
        <w:numPr>
          <w:ilvl w:val="3"/>
          <w:numId w:val="2"/>
        </w:numPr>
        <w:spacing w:after="200"/>
        <w:contextualSpacing/>
        <w:rPr>
          <w:rFonts w:ascii="Arial" w:hAnsi="Arial" w:cs="Arial"/>
          <w:noProof/>
          <w:sz w:val="20"/>
        </w:rPr>
      </w:pPr>
      <w:r>
        <w:rPr>
          <w:rFonts w:ascii="Arial" w:hAnsi="Arial" w:cs="Arial"/>
          <w:noProof/>
          <w:sz w:val="20"/>
        </w:rPr>
        <w:t>Accounting Directive</w:t>
      </w:r>
      <w:r>
        <w:rPr>
          <w:rStyle w:val="FootnoteReference"/>
          <w:rFonts w:ascii="Arial" w:hAnsi="Arial" w:cs="Arial"/>
          <w:noProof/>
          <w:sz w:val="20"/>
        </w:rPr>
        <w:footnoteReference w:id="246"/>
      </w:r>
      <w:r>
        <w:rPr>
          <w:rFonts w:ascii="Arial" w:hAnsi="Arial" w:cs="Arial"/>
          <w:noProof/>
          <w:sz w:val="20"/>
        </w:rPr>
        <w:t>;</w:t>
      </w:r>
    </w:p>
    <w:p w:rsidR="001557B7" w:rsidRDefault="00AD3265">
      <w:pPr>
        <w:numPr>
          <w:ilvl w:val="3"/>
          <w:numId w:val="2"/>
        </w:numPr>
        <w:spacing w:after="200"/>
        <w:contextualSpacing/>
        <w:rPr>
          <w:rFonts w:ascii="Arial" w:hAnsi="Arial" w:cs="Arial"/>
          <w:noProof/>
          <w:sz w:val="20"/>
        </w:rPr>
      </w:pPr>
      <w:r>
        <w:rPr>
          <w:rFonts w:ascii="Arial" w:hAnsi="Arial" w:cs="Arial"/>
          <w:noProof/>
          <w:sz w:val="20"/>
        </w:rPr>
        <w:t xml:space="preserve">amended </w:t>
      </w:r>
      <w:hyperlink r:id="rId171" w:history="1">
        <w:r>
          <w:rPr>
            <w:rFonts w:ascii="Arial" w:hAnsi="Arial" w:cs="Arial"/>
            <w:noProof/>
            <w:sz w:val="20"/>
          </w:rPr>
          <w:t>Settlement Finality</w:t>
        </w:r>
      </w:hyperlink>
      <w:r>
        <w:rPr>
          <w:rFonts w:ascii="Arial" w:hAnsi="Arial" w:cs="Arial"/>
          <w:noProof/>
          <w:sz w:val="20"/>
        </w:rPr>
        <w:t xml:space="preserve"> Directive</w:t>
      </w:r>
      <w:r>
        <w:rPr>
          <w:rStyle w:val="FootnoteReference"/>
          <w:rFonts w:ascii="Arial" w:hAnsi="Arial" w:cs="Arial"/>
          <w:noProof/>
          <w:sz w:val="20"/>
        </w:rPr>
        <w:footnoteReference w:id="247"/>
      </w:r>
      <w:r>
        <w:rPr>
          <w:rFonts w:ascii="Arial" w:hAnsi="Arial" w:cs="Arial"/>
          <w:noProof/>
          <w:sz w:val="20"/>
        </w:rPr>
        <w:t>;</w:t>
      </w:r>
    </w:p>
    <w:p w:rsidR="001557B7" w:rsidRDefault="00AD3265">
      <w:pPr>
        <w:numPr>
          <w:ilvl w:val="3"/>
          <w:numId w:val="2"/>
        </w:numPr>
        <w:spacing w:after="200"/>
        <w:contextualSpacing/>
        <w:rPr>
          <w:rFonts w:ascii="Arial" w:hAnsi="Arial" w:cs="Arial"/>
          <w:noProof/>
          <w:sz w:val="20"/>
        </w:rPr>
      </w:pPr>
      <w:r>
        <w:rPr>
          <w:rFonts w:ascii="Arial" w:hAnsi="Arial" w:cs="Arial"/>
          <w:noProof/>
          <w:sz w:val="20"/>
        </w:rPr>
        <w:t>Maritime Spatial Planning Directive</w:t>
      </w:r>
      <w:r>
        <w:rPr>
          <w:rStyle w:val="FootnoteReference"/>
          <w:rFonts w:ascii="Arial" w:hAnsi="Arial" w:cs="Arial"/>
          <w:noProof/>
          <w:sz w:val="20"/>
        </w:rPr>
        <w:footnoteReference w:id="248"/>
      </w:r>
      <w:r>
        <w:rPr>
          <w:rFonts w:ascii="Arial" w:hAnsi="Arial" w:cs="Arial"/>
          <w:noProof/>
          <w:sz w:val="20"/>
        </w:rPr>
        <w:t>;</w:t>
      </w:r>
    </w:p>
    <w:p w:rsidR="001557B7" w:rsidRDefault="00AD3265">
      <w:pPr>
        <w:numPr>
          <w:ilvl w:val="3"/>
          <w:numId w:val="2"/>
        </w:numPr>
        <w:spacing w:after="200"/>
        <w:contextualSpacing/>
        <w:rPr>
          <w:rStyle w:val="Strong"/>
          <w:rFonts w:ascii="Arial" w:hAnsi="Arial" w:cs="Arial"/>
          <w:b w:val="0"/>
          <w:bCs w:val="0"/>
          <w:noProof/>
          <w:sz w:val="20"/>
        </w:rPr>
      </w:pPr>
      <w:r>
        <w:rPr>
          <w:rFonts w:ascii="Arial" w:hAnsi="Arial" w:cs="Arial"/>
          <w:noProof/>
          <w:sz w:val="20"/>
        </w:rPr>
        <w:t>Direc</w:t>
      </w:r>
      <w:r>
        <w:rPr>
          <w:rFonts w:ascii="Arial" w:hAnsi="Arial" w:cs="Arial"/>
          <w:noProof/>
          <w:sz w:val="20"/>
        </w:rPr>
        <w:t>tive on the r</w:t>
      </w:r>
      <w:r>
        <w:rPr>
          <w:rStyle w:val="Strong"/>
          <w:rFonts w:ascii="Arial" w:hAnsi="Arial" w:cs="Arial"/>
          <w:b w:val="0"/>
          <w:noProof/>
          <w:sz w:val="20"/>
        </w:rPr>
        <w:t>eturn of unlawfully removed cultural goods</w:t>
      </w:r>
      <w:r>
        <w:rPr>
          <w:rStyle w:val="FootnoteReference"/>
          <w:rFonts w:ascii="Arial" w:hAnsi="Arial" w:cs="Arial"/>
          <w:bCs/>
          <w:noProof/>
          <w:sz w:val="20"/>
        </w:rPr>
        <w:footnoteReference w:id="249"/>
      </w:r>
      <w:r>
        <w:rPr>
          <w:rStyle w:val="Strong"/>
          <w:rFonts w:ascii="Arial" w:hAnsi="Arial" w:cs="Arial"/>
          <w:b w:val="0"/>
          <w:noProof/>
          <w:sz w:val="20"/>
        </w:rPr>
        <w:t>;</w:t>
      </w:r>
    </w:p>
    <w:p w:rsidR="001557B7" w:rsidRDefault="00AD3265">
      <w:pPr>
        <w:numPr>
          <w:ilvl w:val="3"/>
          <w:numId w:val="2"/>
        </w:numPr>
        <w:spacing w:after="0"/>
        <w:contextualSpacing/>
        <w:rPr>
          <w:rFonts w:ascii="Arial" w:hAnsi="Arial" w:cs="Arial"/>
          <w:noProof/>
          <w:sz w:val="20"/>
        </w:rPr>
      </w:pPr>
      <w:r>
        <w:rPr>
          <w:rFonts w:ascii="Arial" w:hAnsi="Arial" w:cs="Arial"/>
          <w:noProof/>
          <w:sz w:val="20"/>
        </w:rPr>
        <w:t>Directive on explosives for civil uses</w:t>
      </w:r>
      <w:r>
        <w:rPr>
          <w:rStyle w:val="FootnoteReference"/>
          <w:rFonts w:ascii="Arial" w:hAnsi="Arial" w:cs="Arial"/>
          <w:noProof/>
          <w:sz w:val="20"/>
        </w:rPr>
        <w:footnoteReference w:id="250"/>
      </w:r>
      <w:r>
        <w:rPr>
          <w:rFonts w:ascii="Arial" w:hAnsi="Arial" w:cs="Arial"/>
          <w:noProof/>
          <w:sz w:val="20"/>
        </w:rPr>
        <w:t>;</w:t>
      </w:r>
    </w:p>
    <w:p w:rsidR="001557B7" w:rsidRDefault="00AD3265">
      <w:pPr>
        <w:numPr>
          <w:ilvl w:val="3"/>
          <w:numId w:val="2"/>
        </w:numPr>
        <w:spacing w:after="0"/>
        <w:contextualSpacing/>
        <w:rPr>
          <w:rFonts w:ascii="Arial" w:hAnsi="Arial" w:cs="Arial"/>
          <w:noProof/>
          <w:sz w:val="20"/>
        </w:rPr>
      </w:pPr>
      <w:r>
        <w:rPr>
          <w:rFonts w:ascii="Arial" w:hAnsi="Arial" w:cs="Arial"/>
          <w:noProof/>
          <w:sz w:val="20"/>
        </w:rPr>
        <w:t>Directive on radioactive substances in water intended for human consumption</w:t>
      </w:r>
      <w:r>
        <w:rPr>
          <w:rStyle w:val="FootnoteReference"/>
          <w:rFonts w:ascii="Arial" w:hAnsi="Arial" w:cs="Arial"/>
          <w:bCs/>
          <w:noProof/>
          <w:sz w:val="20"/>
        </w:rPr>
        <w:footnoteReference w:id="251"/>
      </w:r>
      <w:r>
        <w:rPr>
          <w:rStyle w:val="FootnoteReference"/>
          <w:rFonts w:ascii="Arial" w:hAnsi="Arial" w:cs="Arial"/>
          <w:bCs/>
          <w:noProof/>
          <w:sz w:val="20"/>
        </w:rPr>
        <w:t>;</w:t>
      </w:r>
    </w:p>
    <w:p w:rsidR="001557B7" w:rsidRDefault="00AD3265">
      <w:pPr>
        <w:numPr>
          <w:ilvl w:val="2"/>
          <w:numId w:val="2"/>
        </w:numPr>
        <w:spacing w:after="0"/>
        <w:ind w:left="1843" w:hanging="425"/>
        <w:contextualSpacing/>
        <w:rPr>
          <w:rFonts w:ascii="Arial" w:hAnsi="Arial" w:cs="Arial"/>
          <w:noProof/>
          <w:sz w:val="20"/>
        </w:rPr>
      </w:pPr>
      <w:r>
        <w:rPr>
          <w:rFonts w:ascii="Arial" w:eastAsia="Calibri" w:hAnsi="Arial" w:cs="Arial"/>
          <w:noProof/>
          <w:kern w:val="20"/>
          <w:sz w:val="20"/>
        </w:rPr>
        <w:t>the Directive on radioactive substances in water intended for human consumption</w:t>
      </w:r>
      <w:r>
        <w:rPr>
          <w:rStyle w:val="FootnoteReference"/>
          <w:rFonts w:ascii="Arial" w:eastAsia="Calibri" w:hAnsi="Arial" w:cs="Arial"/>
          <w:noProof/>
          <w:kern w:val="20"/>
          <w:sz w:val="20"/>
        </w:rPr>
        <w:footnoteReference w:id="252"/>
      </w:r>
      <w:r>
        <w:rPr>
          <w:rFonts w:ascii="Arial" w:eastAsia="Calibri" w:hAnsi="Arial" w:cs="Arial"/>
          <w:noProof/>
          <w:kern w:val="20"/>
          <w:sz w:val="20"/>
        </w:rPr>
        <w:t>.</w:t>
      </w:r>
    </w:p>
    <w:p w:rsidR="001557B7" w:rsidRDefault="00AD3265">
      <w:pPr>
        <w:pStyle w:val="Lijstje2"/>
        <w:spacing w:after="0"/>
        <w:ind w:left="1276" w:hanging="425"/>
        <w:rPr>
          <w:rFonts w:ascii="Arial" w:hAnsi="Arial"/>
          <w:noProof/>
          <w:lang w:val="en-GB"/>
        </w:rPr>
      </w:pPr>
      <w:r>
        <w:rPr>
          <w:rFonts w:ascii="Arial" w:hAnsi="Arial" w:cs="Arial"/>
          <w:noProof/>
          <w:lang w:val="en-GB"/>
        </w:rPr>
        <w:t>The adoption</w:t>
      </w:r>
      <w:r>
        <w:rPr>
          <w:rFonts w:ascii="Arial" w:hAnsi="Arial"/>
          <w:noProof/>
          <w:lang w:val="en-GB"/>
        </w:rPr>
        <w:t xml:space="preserve"> of amended transposition rules applicable to all workers as well as specific texts applicable to police workers in line with the provisions of the Working Time Directive on night work</w:t>
      </w:r>
      <w:r>
        <w:rPr>
          <w:rStyle w:val="FootnoteReference"/>
          <w:rFonts w:ascii="Arial" w:hAnsi="Arial"/>
          <w:noProof/>
          <w:lang w:val="en-GB"/>
        </w:rPr>
        <w:footnoteReference w:id="253"/>
      </w:r>
      <w:r>
        <w:rPr>
          <w:rFonts w:ascii="Arial" w:hAnsi="Arial"/>
          <w:noProof/>
          <w:lang w:val="en-GB"/>
        </w:rPr>
        <w:t>;</w:t>
      </w:r>
    </w:p>
    <w:p w:rsidR="001557B7" w:rsidRDefault="00AD3265">
      <w:pPr>
        <w:pStyle w:val="Lijstje2"/>
        <w:spacing w:after="0"/>
        <w:ind w:left="1276" w:hanging="425"/>
        <w:rPr>
          <w:rFonts w:ascii="Arial" w:hAnsi="Arial"/>
          <w:noProof/>
          <w:lang w:val="en-GB"/>
        </w:rPr>
      </w:pPr>
      <w:r>
        <w:rPr>
          <w:rFonts w:ascii="Arial" w:hAnsi="Arial" w:cs="Arial"/>
          <w:noProof/>
          <w:lang w:val="en-GB"/>
        </w:rPr>
        <w:t>non-</w:t>
      </w:r>
      <w:r>
        <w:rPr>
          <w:rFonts w:ascii="Arial" w:hAnsi="Arial"/>
          <w:noProof/>
          <w:lang w:val="en-GB"/>
        </w:rPr>
        <w:t xml:space="preserve">ratification of the Revised Convention and the </w:t>
      </w:r>
      <w:r>
        <w:rPr>
          <w:rFonts w:ascii="Arial" w:hAnsi="Arial"/>
          <w:noProof/>
          <w:lang w:val="en-GB"/>
        </w:rPr>
        <w:t>Protocol of Accession to the Eurocontrol International Convention;</w:t>
      </w:r>
    </w:p>
    <w:p w:rsidR="001557B7" w:rsidRDefault="00AD3265">
      <w:pPr>
        <w:pStyle w:val="Lijstje2"/>
        <w:spacing w:after="0"/>
        <w:ind w:left="1276" w:hanging="425"/>
        <w:rPr>
          <w:rFonts w:ascii="Arial" w:hAnsi="Arial"/>
          <w:noProof/>
          <w:lang w:val="en-GB"/>
        </w:rPr>
      </w:pPr>
      <w:r>
        <w:rPr>
          <w:rFonts w:ascii="Arial" w:hAnsi="Arial"/>
          <w:noProof/>
          <w:lang w:val="en-GB"/>
        </w:rPr>
        <w:t>breach of the free movement of goods by the imposition of specific requirements for components</w:t>
      </w:r>
      <w:r>
        <w:rPr>
          <w:rFonts w:ascii="Arial" w:eastAsia="Times New Roman" w:hAnsi="Arial" w:cs="Arial"/>
          <w:noProof/>
          <w:lang w:val="en-GB"/>
        </w:rPr>
        <w:t xml:space="preserve"> of cigarette papers</w:t>
      </w:r>
      <w:r>
        <w:rPr>
          <w:rFonts w:ascii="Arial" w:hAnsi="Arial"/>
          <w:noProof/>
          <w:lang w:val="en-GB"/>
        </w:rPr>
        <w:t xml:space="preserve">. </w:t>
      </w:r>
    </w:p>
    <w:p w:rsidR="001557B7" w:rsidRDefault="001557B7">
      <w:pPr>
        <w:pStyle w:val="Lijstje2"/>
        <w:numPr>
          <w:ilvl w:val="0"/>
          <w:numId w:val="0"/>
        </w:numPr>
        <w:spacing w:after="0"/>
        <w:rPr>
          <w:rFonts w:ascii="Arial" w:hAnsi="Arial"/>
          <w:noProof/>
          <w:lang w:val="en-GB"/>
        </w:rPr>
      </w:pP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rsidR="001557B7" w:rsidRDefault="00AD3265">
      <w:pPr>
        <w:pStyle w:val="AnnualReport2"/>
        <w:numPr>
          <w:ilvl w:val="0"/>
          <w:numId w:val="118"/>
        </w:numPr>
        <w:ind w:left="709" w:hanging="425"/>
        <w:rPr>
          <w:noProof/>
        </w:rPr>
      </w:pPr>
      <w:r>
        <w:rPr>
          <w:noProof/>
        </w:rPr>
        <w:t>Court rulings</w:t>
      </w:r>
      <w:r>
        <w:rPr>
          <w:rStyle w:val="FootnoteReference"/>
          <w:noProof/>
        </w:rPr>
        <w:footnoteReference w:id="254"/>
      </w:r>
    </w:p>
    <w:p w:rsidR="001557B7" w:rsidRDefault="00AD3265">
      <w:pPr>
        <w:pStyle w:val="Body"/>
        <w:ind w:left="709" w:firstLine="0"/>
        <w:rPr>
          <w:noProof/>
          <w:lang w:val="en-GB"/>
        </w:rPr>
      </w:pPr>
      <w:r>
        <w:rPr>
          <w:noProof/>
          <w:lang w:val="en-GB"/>
        </w:rPr>
        <w:t xml:space="preserve">The Court gave the following </w:t>
      </w:r>
      <w:r>
        <w:rPr>
          <w:noProof/>
          <w:lang w:val="en-GB"/>
        </w:rPr>
        <w:t>rulings.</w:t>
      </w:r>
    </w:p>
    <w:p w:rsidR="001557B7" w:rsidRDefault="00AD3265">
      <w:pPr>
        <w:pStyle w:val="Lijstje2"/>
        <w:ind w:left="1276" w:hanging="425"/>
        <w:rPr>
          <w:rFonts w:ascii="Arial" w:hAnsi="Arial"/>
          <w:noProof/>
          <w:lang w:val="en-GB"/>
        </w:rPr>
      </w:pPr>
      <w:r>
        <w:rPr>
          <w:rFonts w:ascii="Arial" w:hAnsi="Arial" w:cs="Arial"/>
          <w:noProof/>
          <w:lang w:val="en-GB"/>
        </w:rPr>
        <w:t>Spain</w:t>
      </w:r>
      <w:r>
        <w:rPr>
          <w:rFonts w:ascii="Arial" w:hAnsi="Arial"/>
          <w:noProof/>
          <w:lang w:val="en-GB"/>
        </w:rPr>
        <w:t xml:space="preserve"> has </w:t>
      </w:r>
      <w:r>
        <w:rPr>
          <w:rFonts w:ascii="Arial" w:hAnsi="Arial" w:cs="Arial"/>
          <w:noProof/>
          <w:lang w:val="en-GB"/>
        </w:rPr>
        <w:t>failed</w:t>
      </w:r>
      <w:r>
        <w:rPr>
          <w:rFonts w:ascii="Arial" w:hAnsi="Arial"/>
          <w:noProof/>
          <w:lang w:val="en-GB"/>
        </w:rPr>
        <w:t xml:space="preserve"> to comply with a 2014 Court judgment on freedom of </w:t>
      </w:r>
      <w:r>
        <w:rPr>
          <w:rFonts w:ascii="Arial" w:hAnsi="Arial" w:cs="Arial"/>
          <w:noProof/>
          <w:lang w:val="en-GB"/>
        </w:rPr>
        <w:t>establishment at Spanish ports</w:t>
      </w:r>
      <w:r>
        <w:rPr>
          <w:rStyle w:val="FootnoteReference"/>
          <w:noProof/>
          <w:lang w:val="en-GB"/>
        </w:rPr>
        <w:footnoteReference w:id="255"/>
      </w:r>
      <w:r>
        <w:rPr>
          <w:rFonts w:ascii="Arial" w:hAnsi="Arial" w:cs="Arial"/>
          <w:noProof/>
          <w:lang w:val="en-GB"/>
        </w:rPr>
        <w:t>. The Court ordered Spain to pay a lump sum of EUR 3 million</w:t>
      </w:r>
      <w:r>
        <w:rPr>
          <w:rStyle w:val="FootnoteReference"/>
          <w:noProof/>
          <w:lang w:val="en-GB"/>
        </w:rPr>
        <w:footnoteReference w:id="256"/>
      </w:r>
      <w:r>
        <w:rPr>
          <w:rFonts w:ascii="Arial" w:hAnsi="Arial" w:cs="Arial"/>
          <w:noProof/>
          <w:lang w:val="en-GB"/>
        </w:rPr>
        <w:t>;</w:t>
      </w:r>
    </w:p>
    <w:p w:rsidR="001557B7" w:rsidRDefault="001557B7">
      <w:pPr>
        <w:pStyle w:val="Lijstje2"/>
        <w:numPr>
          <w:ilvl w:val="0"/>
          <w:numId w:val="0"/>
        </w:numPr>
        <w:tabs>
          <w:tab w:val="left" w:pos="1843"/>
        </w:tabs>
        <w:ind w:left="1276"/>
        <w:rPr>
          <w:rFonts w:ascii="Arial" w:hAnsi="Arial" w:cs="Arial"/>
          <w:noProof/>
          <w:lang w:val="en-GB"/>
        </w:rPr>
      </w:pPr>
    </w:p>
    <w:p w:rsidR="001557B7" w:rsidRDefault="00AD3265">
      <w:pPr>
        <w:pStyle w:val="Lijstje2"/>
        <w:numPr>
          <w:ilvl w:val="0"/>
          <w:numId w:val="222"/>
        </w:numPr>
        <w:tabs>
          <w:tab w:val="left" w:pos="1843"/>
        </w:tabs>
        <w:rPr>
          <w:rFonts w:ascii="Arial" w:hAnsi="Arial" w:cs="Arial"/>
          <w:noProof/>
          <w:lang w:val="en-GB"/>
        </w:rPr>
      </w:pPr>
      <w:r>
        <w:rPr>
          <w:rFonts w:ascii="Arial" w:hAnsi="Arial" w:cs="Arial"/>
          <w:noProof/>
          <w:lang w:val="en-GB"/>
        </w:rPr>
        <w:t xml:space="preserve">Spain has failed to comply with its obligations under the Waste Framework Directive </w:t>
      </w:r>
      <w:r>
        <w:rPr>
          <w:rFonts w:ascii="Arial" w:hAnsi="Arial" w:cs="Arial"/>
          <w:noProof/>
          <w:lang w:val="en-GB"/>
        </w:rPr>
        <w:t>regarding the operation of 61 illegal waste landfill sites</w:t>
      </w:r>
      <w:r>
        <w:rPr>
          <w:rStyle w:val="FootnoteReference"/>
          <w:rFonts w:ascii="Arial" w:hAnsi="Arial" w:cs="Arial"/>
          <w:bCs/>
          <w:noProof/>
          <w:lang w:val="en-GB"/>
        </w:rPr>
        <w:footnoteReference w:id="257"/>
      </w:r>
      <w:r>
        <w:rPr>
          <w:rFonts w:ascii="Arial" w:hAnsi="Arial" w:cs="Arial"/>
          <w:noProof/>
          <w:lang w:val="en-GB"/>
        </w:rPr>
        <w:t>.</w:t>
      </w:r>
    </w:p>
    <w:p w:rsidR="001557B7" w:rsidRDefault="00AD3265">
      <w:pPr>
        <w:pStyle w:val="AnnualReport2"/>
        <w:numPr>
          <w:ilvl w:val="0"/>
          <w:numId w:val="63"/>
        </w:numPr>
        <w:ind w:left="709" w:hanging="425"/>
        <w:rPr>
          <w:rFonts w:eastAsia="MS Gothic"/>
          <w:noProof/>
        </w:rPr>
      </w:pPr>
      <w:r>
        <w:rPr>
          <w:rFonts w:eastAsia="MS Gothic"/>
          <w:noProof/>
        </w:rPr>
        <w:t>Preliminary rulings</w:t>
      </w:r>
    </w:p>
    <w:p w:rsidR="001557B7" w:rsidRDefault="00AD3265">
      <w:pPr>
        <w:pStyle w:val="Body"/>
        <w:ind w:left="426" w:firstLine="294"/>
        <w:rPr>
          <w:noProof/>
          <w:lang w:val="en-GB"/>
        </w:rPr>
      </w:pPr>
      <w:r>
        <w:rPr>
          <w:noProof/>
          <w:lang w:val="en-GB"/>
        </w:rPr>
        <w:t xml:space="preserve">The Court addressed the following preliminary rulings to the Spanish judiciary. </w:t>
      </w:r>
    </w:p>
    <w:p w:rsidR="001557B7" w:rsidRDefault="00AD3265">
      <w:pPr>
        <w:pStyle w:val="Lijstje2"/>
        <w:ind w:left="1276" w:hanging="425"/>
        <w:contextualSpacing w:val="0"/>
        <w:rPr>
          <w:rFonts w:ascii="Arial" w:hAnsi="Arial"/>
          <w:noProof/>
          <w:lang w:val="en-GB"/>
        </w:rPr>
      </w:pPr>
      <w:r>
        <w:rPr>
          <w:rFonts w:ascii="Arial" w:hAnsi="Arial" w:cs="Arial"/>
          <w:noProof/>
          <w:lang w:val="en-GB"/>
        </w:rPr>
        <w:t>The fact that a person is imprisoned, without the prospect of being released in the near futur</w:t>
      </w:r>
      <w:r>
        <w:rPr>
          <w:rFonts w:ascii="Arial" w:hAnsi="Arial" w:cs="Arial"/>
          <w:noProof/>
          <w:lang w:val="en-GB"/>
        </w:rPr>
        <w:t>e, when an expulsion decision is adopted does not exclude that his conduct represents a genuine threat to a fundamental interest of the society of the host Member State. Therefore, expulsion while the person is already in prison may be considered justified</w:t>
      </w:r>
      <w:r>
        <w:rPr>
          <w:rStyle w:val="FootnoteReference"/>
          <w:rFonts w:ascii="Arial" w:hAnsi="Arial" w:cs="Arial"/>
          <w:noProof/>
          <w:lang w:val="en-GB"/>
        </w:rPr>
        <w:footnoteReference w:id="258"/>
      </w:r>
      <w:r>
        <w:rPr>
          <w:rFonts w:ascii="Arial" w:hAnsi="Arial" w:cs="Arial"/>
          <w:noProof/>
          <w:lang w:val="en-GB"/>
        </w:rPr>
        <w:t>.</w:t>
      </w:r>
    </w:p>
    <w:p w:rsidR="001557B7" w:rsidRDefault="00AD3265">
      <w:pPr>
        <w:pStyle w:val="Lijstje2"/>
        <w:ind w:left="1276" w:hanging="425"/>
        <w:contextualSpacing w:val="0"/>
        <w:rPr>
          <w:rFonts w:ascii="Arial" w:hAnsi="Arial"/>
          <w:noProof/>
          <w:lang w:val="en-GB"/>
        </w:rPr>
      </w:pPr>
      <w:r>
        <w:rPr>
          <w:rFonts w:ascii="Arial" w:hAnsi="Arial"/>
          <w:noProof/>
          <w:lang w:val="en-GB"/>
        </w:rPr>
        <w:t xml:space="preserve">An intermediation service </w:t>
      </w:r>
      <w:r>
        <w:rPr>
          <w:rFonts w:ascii="Arial" w:hAnsi="Arial" w:cs="Arial"/>
          <w:noProof/>
          <w:lang w:val="en-GB"/>
        </w:rPr>
        <w:t xml:space="preserve">whose purpose is to connect, by means of a smartphone application and for remuneration, non-professional drivers using their own vehicle with persons who wish to make urban journeys </w:t>
      </w:r>
      <w:r>
        <w:rPr>
          <w:rFonts w:ascii="Arial" w:hAnsi="Arial"/>
          <w:noProof/>
          <w:lang w:val="en-GB"/>
        </w:rPr>
        <w:t>must be considered as a ‘service in the field</w:t>
      </w:r>
      <w:r>
        <w:rPr>
          <w:rFonts w:ascii="Arial" w:hAnsi="Arial"/>
          <w:noProof/>
          <w:lang w:val="en-GB"/>
        </w:rPr>
        <w:t xml:space="preserve"> of transport’. The service in question is consequently covered by the common transport policy</w:t>
      </w:r>
      <w:r>
        <w:rPr>
          <w:rStyle w:val="FootnoteReference"/>
          <w:noProof/>
          <w:lang w:val="en-GB"/>
        </w:rPr>
        <w:footnoteReference w:id="259"/>
      </w:r>
      <w:r>
        <w:rPr>
          <w:rFonts w:ascii="Arial" w:hAnsi="Arial"/>
          <w:noProof/>
          <w:lang w:val="en-GB"/>
        </w:rPr>
        <w:t>.</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Under the Fixed-Term Work Directive, and as long as permanent workers are entitled to special leave until the end of their parliamentary term of office, such l</w:t>
      </w:r>
      <w:r>
        <w:rPr>
          <w:rFonts w:ascii="Arial" w:hAnsi="Arial" w:cs="Arial"/>
          <w:noProof/>
          <w:lang w:val="en-GB"/>
        </w:rPr>
        <w:t>eave cannot be completely denied to fixed-term workers</w:t>
      </w:r>
      <w:r>
        <w:rPr>
          <w:rStyle w:val="FootnoteReference"/>
          <w:rFonts w:ascii="Arial" w:hAnsi="Arial" w:cs="Arial"/>
          <w:noProof/>
          <w:lang w:val="en-GB"/>
        </w:rPr>
        <w:footnoteReference w:id="260"/>
      </w:r>
      <w:r>
        <w:rPr>
          <w:rFonts w:ascii="Arial" w:hAnsi="Arial" w:cs="Arial"/>
          <w:noProof/>
          <w:lang w:val="en-GB"/>
        </w:rPr>
        <w:t>.</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The Renewable Energy Directive does not prevent a Member State from introducing a regional levy on windmills</w:t>
      </w:r>
      <w:r>
        <w:rPr>
          <w:rStyle w:val="FootnoteReference"/>
          <w:noProof/>
          <w:lang w:val="en-GB"/>
        </w:rPr>
        <w:footnoteReference w:id="261"/>
      </w:r>
      <w:r>
        <w:rPr>
          <w:rFonts w:ascii="Arial" w:hAnsi="Arial" w:cs="Arial"/>
          <w:noProof/>
          <w:lang w:val="en-GB"/>
        </w:rPr>
        <w:t>.</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National legislation which gives consumers a time limit of one month to object, on the b</w:t>
      </w:r>
      <w:r>
        <w:rPr>
          <w:rFonts w:ascii="Arial" w:hAnsi="Arial" w:cs="Arial"/>
          <w:noProof/>
          <w:lang w:val="en-GB"/>
        </w:rPr>
        <w:t xml:space="preserve">asis of alleged unfairness of contractual terms, to the enforcement of mortgage proceedings instituted before the entry into force of that legislation is not compatible with the Directive on unfair terms in consumer contracts. The </w:t>
      </w:r>
      <w:r>
        <w:rPr>
          <w:rFonts w:ascii="Arial" w:hAnsi="Arial" w:cs="Arial"/>
          <w:i/>
          <w:noProof/>
          <w:lang w:val="en-GB"/>
        </w:rPr>
        <w:t>res judicata</w:t>
      </w:r>
      <w:r>
        <w:rPr>
          <w:rFonts w:ascii="Arial" w:hAnsi="Arial" w:cs="Arial"/>
          <w:noProof/>
          <w:lang w:val="en-GB"/>
        </w:rPr>
        <w:t xml:space="preserve"> principle do</w:t>
      </w:r>
      <w:r>
        <w:rPr>
          <w:rFonts w:ascii="Arial" w:hAnsi="Arial" w:cs="Arial"/>
          <w:noProof/>
          <w:lang w:val="en-GB"/>
        </w:rPr>
        <w:t>es not prevent an appeal court from assessing the potential unfairness of some terms in consumer contracts which have not already been examined by the first instance court</w:t>
      </w:r>
      <w:r>
        <w:rPr>
          <w:rStyle w:val="FootnoteReference"/>
          <w:rFonts w:ascii="Arial" w:hAnsi="Arial" w:cs="Arial"/>
          <w:noProof/>
          <w:lang w:val="en-GB"/>
        </w:rPr>
        <w:footnoteReference w:id="262"/>
      </w:r>
      <w:r>
        <w:rPr>
          <w:rFonts w:ascii="Arial" w:hAnsi="Arial" w:cs="Arial"/>
          <w:noProof/>
          <w:lang w:val="en-GB"/>
        </w:rPr>
        <w:t>.</w:t>
      </w:r>
    </w:p>
    <w:p w:rsidR="001557B7" w:rsidRDefault="00AD3265">
      <w:pPr>
        <w:pStyle w:val="Lijstje2"/>
        <w:numPr>
          <w:ilvl w:val="0"/>
          <w:numId w:val="223"/>
        </w:numPr>
        <w:contextualSpacing w:val="0"/>
        <w:rPr>
          <w:rFonts w:ascii="Arial" w:hAnsi="Arial" w:cs="Arial"/>
          <w:noProof/>
          <w:lang w:val="en-GB"/>
        </w:rPr>
      </w:pPr>
      <w:r>
        <w:rPr>
          <w:rFonts w:ascii="Arial" w:hAnsi="Arial" w:cs="Arial"/>
          <w:noProof/>
          <w:lang w:val="en-GB"/>
        </w:rPr>
        <w:t>National legislation allowing a creditor to waive his right to interest for late p</w:t>
      </w:r>
      <w:r>
        <w:rPr>
          <w:rFonts w:ascii="Arial" w:hAnsi="Arial" w:cs="Arial"/>
          <w:noProof/>
          <w:lang w:val="en-GB"/>
        </w:rPr>
        <w:t>ayment and compensation for recovery costs in exchange for immediate payment of the principal amount of debts owed is compatible with the Late Payment Directive, on condition that such a waiver is freely agreed to</w:t>
      </w:r>
      <w:r>
        <w:rPr>
          <w:rStyle w:val="FootnoteReference"/>
          <w:rFonts w:ascii="Arial" w:hAnsi="Arial" w:cs="Arial"/>
          <w:noProof/>
          <w:lang w:val="en-GB"/>
        </w:rPr>
        <w:footnoteReference w:id="263"/>
      </w:r>
      <w:r>
        <w:rPr>
          <w:rFonts w:ascii="Arial" w:hAnsi="Arial" w:cs="Arial"/>
          <w:noProof/>
          <w:lang w:val="en-GB"/>
        </w:rPr>
        <w:t>.</w:t>
      </w:r>
    </w:p>
    <w:p w:rsidR="001557B7" w:rsidRDefault="00AD3265">
      <w:pPr>
        <w:pStyle w:val="Lijstje2"/>
        <w:ind w:left="1276" w:hanging="425"/>
        <w:contextualSpacing w:val="0"/>
        <w:rPr>
          <w:rFonts w:ascii="Arial" w:hAnsi="Arial" w:cs="Arial"/>
          <w:noProof/>
          <w:lang w:val="en-GB"/>
        </w:rPr>
      </w:pPr>
      <w:r>
        <w:rPr>
          <w:rFonts w:ascii="Arial" w:hAnsi="Arial" w:cs="Arial"/>
          <w:noProof/>
          <w:lang w:val="en-GB"/>
        </w:rPr>
        <w:t>A decision to expel a third-country nati</w:t>
      </w:r>
      <w:r>
        <w:rPr>
          <w:rFonts w:ascii="Arial" w:hAnsi="Arial" w:cs="Arial"/>
          <w:noProof/>
          <w:lang w:val="en-GB"/>
        </w:rPr>
        <w:t>onal who is a long-term resident may not be adopted for the sole reason that he or she has been sentenced to a jail term of more than 1 year</w:t>
      </w:r>
      <w:r>
        <w:rPr>
          <w:rStyle w:val="FootnoteReference"/>
          <w:rFonts w:ascii="Arial" w:hAnsi="Arial" w:cs="Arial"/>
          <w:noProof/>
          <w:lang w:val="en-GB"/>
        </w:rPr>
        <w:footnoteReference w:id="264"/>
      </w:r>
      <w:r>
        <w:rPr>
          <w:rFonts w:ascii="Arial" w:hAnsi="Arial" w:cs="Arial"/>
          <w:noProof/>
          <w:lang w:val="en-GB"/>
        </w:rPr>
        <w:t>. Before taking such decision, Member States must consider the duration of residence, the age of the person, the co</w:t>
      </w:r>
      <w:r>
        <w:rPr>
          <w:rFonts w:ascii="Arial" w:hAnsi="Arial" w:cs="Arial"/>
          <w:noProof/>
          <w:lang w:val="en-GB"/>
        </w:rPr>
        <w:t>nsequences for the person and family members and links with the country of residence</w:t>
      </w:r>
    </w:p>
    <w:p w:rsidR="001557B7" w:rsidRDefault="001557B7">
      <w:pPr>
        <w:pStyle w:val="Lijstje2"/>
        <w:numPr>
          <w:ilvl w:val="0"/>
          <w:numId w:val="0"/>
        </w:numPr>
        <w:rPr>
          <w:noProof/>
          <w:lang w:val="en-GB"/>
        </w:rPr>
        <w:sectPr w:rsidR="001557B7">
          <w:headerReference w:type="even" r:id="rId172"/>
          <w:headerReference w:type="default" r:id="rId173"/>
          <w:footerReference w:type="even" r:id="rId174"/>
          <w:footerReference w:type="default" r:id="rId175"/>
          <w:headerReference w:type="first" r:id="rId176"/>
          <w:footerReference w:type="first" r:id="rId177"/>
          <w:footnotePr>
            <w:numRestart w:val="eachSect"/>
          </w:footnotePr>
          <w:pgSz w:w="11906" w:h="16838"/>
          <w:pgMar w:top="1701" w:right="1417" w:bottom="1134" w:left="1417" w:header="567" w:footer="351" w:gutter="0"/>
          <w:cols w:space="708"/>
          <w:titlePg/>
          <w:docGrid w:linePitch="360"/>
        </w:sectPr>
      </w:pPr>
    </w:p>
    <w:p w:rsidR="001557B7" w:rsidRDefault="00AD3265">
      <w:pPr>
        <w:pStyle w:val="Heading1"/>
        <w:rPr>
          <w:noProof/>
          <w:szCs w:val="24"/>
        </w:rPr>
      </w:pPr>
      <w:bookmarkStart w:id="85" w:name="_Toc484622326"/>
      <w:bookmarkStart w:id="86" w:name="_Toc510015275"/>
      <w:r>
        <w:rPr>
          <w:noProof/>
          <w:szCs w:val="24"/>
        </w:rPr>
        <w:t>France</w:t>
      </w:r>
      <w:bookmarkEnd w:id="73"/>
      <w:bookmarkEnd w:id="74"/>
      <w:bookmarkEnd w:id="75"/>
      <w:bookmarkEnd w:id="76"/>
      <w:bookmarkEnd w:id="77"/>
      <w:bookmarkEnd w:id="78"/>
      <w:bookmarkEnd w:id="79"/>
      <w:bookmarkEnd w:id="85"/>
      <w:bookmarkEnd w:id="86"/>
    </w:p>
    <w:p w:rsidR="001557B7" w:rsidRDefault="00AD3265">
      <w:pPr>
        <w:pStyle w:val="kop2"/>
        <w:numPr>
          <w:ilvl w:val="0"/>
          <w:numId w:val="26"/>
        </w:numPr>
        <w:spacing w:before="360" w:after="240"/>
        <w:ind w:left="709" w:hanging="425"/>
        <w:rPr>
          <w:noProof/>
        </w:rPr>
      </w:pPr>
      <w:r>
        <w:rPr>
          <w:noProof/>
        </w:rPr>
        <w:t>COMPLAINTS</w:t>
      </w:r>
    </w:p>
    <w:p w:rsidR="001557B7" w:rsidRDefault="00AD3265">
      <w:pPr>
        <w:pStyle w:val="AnnualReport2"/>
        <w:numPr>
          <w:ilvl w:val="0"/>
          <w:numId w:val="157"/>
        </w:numPr>
        <w:rPr>
          <w:noProof/>
        </w:rPr>
      </w:pPr>
      <w:r>
        <w:rPr>
          <w:noProof/>
        </w:rPr>
        <w:t>New complaints made against France by members of the public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014C0A39" wp14:editId="5D30DE29">
            <wp:extent cx="4580255" cy="2067560"/>
            <wp:effectExtent l="0" t="0" r="10795" b="27940"/>
            <wp:docPr id="5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1557B7" w:rsidRDefault="00AD3265">
      <w:pPr>
        <w:pStyle w:val="AnnualReport2"/>
        <w:numPr>
          <w:ilvl w:val="0"/>
          <w:numId w:val="157"/>
        </w:numPr>
        <w:ind w:left="709" w:hanging="425"/>
        <w:rPr>
          <w:noProof/>
        </w:rPr>
      </w:pPr>
      <w:r>
        <w:rPr>
          <w:noProof/>
        </w:rPr>
        <w:t>Public complaints against France open at year-end</w:t>
      </w:r>
    </w:p>
    <w:tbl>
      <w:tblPr>
        <w:tblW w:w="0" w:type="auto"/>
        <w:jc w:val="center"/>
        <w:tblLook w:val="04A0" w:firstRow="1" w:lastRow="0" w:firstColumn="1" w:lastColumn="0" w:noHBand="0" w:noVBand="1"/>
      </w:tblPr>
      <w:tblGrid>
        <w:gridCol w:w="1697"/>
        <w:gridCol w:w="452"/>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266</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383</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336</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313</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1557B7" w:rsidRDefault="00AD3265">
      <w:pPr>
        <w:pStyle w:val="AnnualReport2"/>
        <w:numPr>
          <w:ilvl w:val="0"/>
          <w:numId w:val="157"/>
        </w:numPr>
        <w:ind w:left="709" w:hanging="425"/>
        <w:rPr>
          <w:noProof/>
        </w:rPr>
      </w:pPr>
      <w:r>
        <w:rPr>
          <w:noProof/>
        </w:rPr>
        <w:t>New complaints registered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36C7A03D" wp14:editId="235B2532">
            <wp:extent cx="4627880" cy="2337435"/>
            <wp:effectExtent l="0" t="0" r="20320" b="24765"/>
            <wp:docPr id="50"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1557B7" w:rsidRDefault="00AD3265">
      <w:pPr>
        <w:spacing w:after="200" w:line="276" w:lineRule="auto"/>
        <w:jc w:val="left"/>
        <w:rPr>
          <w:rFonts w:ascii="Arial" w:hAnsi="Arial" w:cs="Arial"/>
          <w:noProof/>
          <w:sz w:val="20"/>
        </w:rPr>
      </w:pPr>
      <w:r>
        <w:rPr>
          <w:noProof/>
        </w:rPr>
        <w:br w:type="page"/>
      </w:r>
    </w:p>
    <w:p w:rsidR="001557B7" w:rsidRDefault="00AD3265">
      <w:pPr>
        <w:pStyle w:val="kop2"/>
        <w:numPr>
          <w:ilvl w:val="0"/>
          <w:numId w:val="26"/>
        </w:numPr>
        <w:spacing w:before="360" w:after="240"/>
        <w:ind w:left="709" w:hanging="425"/>
        <w:rPr>
          <w:caps w:val="0"/>
          <w:noProof/>
        </w:rPr>
      </w:pPr>
      <w:r>
        <w:rPr>
          <w:caps w:val="0"/>
          <w:noProof/>
        </w:rPr>
        <w:t>EU PILOT</w:t>
      </w:r>
    </w:p>
    <w:p w:rsidR="001557B7" w:rsidRDefault="00AD3265">
      <w:pPr>
        <w:pStyle w:val="AnnualReport2"/>
        <w:numPr>
          <w:ilvl w:val="0"/>
          <w:numId w:val="119"/>
        </w:numPr>
        <w:ind w:left="709" w:hanging="425"/>
        <w:rPr>
          <w:noProof/>
        </w:rPr>
      </w:pPr>
      <w:r>
        <w:rPr>
          <w:noProof/>
        </w:rPr>
        <w:t>New EU Pilot files opened against France (2013-2017)</w:t>
      </w:r>
    </w:p>
    <w:p w:rsidR="001557B7" w:rsidRDefault="00AD3265">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7AAEAB41" wp14:editId="19ECD061">
            <wp:extent cx="4612005" cy="2059305"/>
            <wp:effectExtent l="0" t="0" r="17145" b="17145"/>
            <wp:docPr id="4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1557B7" w:rsidRDefault="00AD3265">
      <w:pPr>
        <w:pStyle w:val="AnnualReport2"/>
        <w:numPr>
          <w:ilvl w:val="0"/>
          <w:numId w:val="63"/>
        </w:numPr>
        <w:ind w:left="709" w:hanging="425"/>
        <w:rPr>
          <w:noProof/>
        </w:rPr>
      </w:pPr>
      <w:r>
        <w:rPr>
          <w:noProof/>
        </w:rPr>
        <w:t>Files relating to France open</w:t>
      </w:r>
      <w:r>
        <w:rPr>
          <w:noProof/>
        </w:rPr>
        <w:t xml:space="preserve"> in EU Pilot at year-end</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2D02E524" wp14:editId="631D6FFE">
            <wp:extent cx="4612005" cy="2059305"/>
            <wp:effectExtent l="0" t="0" r="17145" b="17145"/>
            <wp:docPr id="4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1557B7" w:rsidRDefault="00AD3265">
      <w:pPr>
        <w:pStyle w:val="AnnualReport2"/>
        <w:numPr>
          <w:ilvl w:val="0"/>
          <w:numId w:val="63"/>
        </w:numPr>
        <w:ind w:left="709" w:hanging="425"/>
        <w:rPr>
          <w:noProof/>
        </w:rPr>
      </w:pPr>
      <w:r>
        <w:rPr>
          <w:noProof/>
        </w:rPr>
        <w:t>New EU Pilot files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7B5E3BE9" wp14:editId="692D5546">
            <wp:extent cx="4643755" cy="2417445"/>
            <wp:effectExtent l="0" t="0" r="23495" b="20955"/>
            <wp:docPr id="47"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1557B7" w:rsidRDefault="00AD3265">
      <w:pPr>
        <w:spacing w:after="200" w:line="276" w:lineRule="auto"/>
        <w:jc w:val="left"/>
        <w:rPr>
          <w:rFonts w:ascii="Arial" w:hAnsi="Arial" w:cs="Arial"/>
          <w:noProof/>
          <w:sz w:val="20"/>
        </w:rPr>
      </w:pPr>
      <w:r>
        <w:rPr>
          <w:noProof/>
        </w:rPr>
        <w:br w:type="page"/>
      </w:r>
    </w:p>
    <w:p w:rsidR="001557B7" w:rsidRDefault="00AD3265">
      <w:pPr>
        <w:pStyle w:val="AnnualReport2"/>
        <w:numPr>
          <w:ilvl w:val="0"/>
          <w:numId w:val="63"/>
        </w:numPr>
        <w:ind w:left="709" w:hanging="425"/>
        <w:rPr>
          <w:noProof/>
        </w:rPr>
      </w:pPr>
      <w:r>
        <w:rPr>
          <w:noProof/>
        </w:rPr>
        <w:t>EU Pilot files: France’s resolution rate in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B2D5365" wp14:editId="64E511EC">
            <wp:extent cx="4612005" cy="2282190"/>
            <wp:effectExtent l="0" t="0" r="17145" b="22860"/>
            <wp:docPr id="4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1557B7" w:rsidRDefault="00AD3265">
      <w:pPr>
        <w:pStyle w:val="kop2"/>
        <w:numPr>
          <w:ilvl w:val="0"/>
          <w:numId w:val="26"/>
        </w:numPr>
        <w:spacing w:before="360" w:after="240"/>
        <w:ind w:left="709" w:hanging="425"/>
        <w:rPr>
          <w:caps w:val="0"/>
          <w:noProof/>
        </w:rPr>
      </w:pPr>
      <w:r>
        <w:rPr>
          <w:noProof/>
        </w:rPr>
        <w:t>INFRINGEMENT</w:t>
      </w:r>
      <w:r>
        <w:rPr>
          <w:caps w:val="0"/>
          <w:noProof/>
        </w:rPr>
        <w:t xml:space="preserve"> CASES</w:t>
      </w:r>
    </w:p>
    <w:p w:rsidR="001557B7" w:rsidRDefault="00AD3265">
      <w:pPr>
        <w:pStyle w:val="AnnualReport2"/>
        <w:numPr>
          <w:ilvl w:val="0"/>
          <w:numId w:val="120"/>
        </w:numPr>
        <w:ind w:left="709" w:hanging="425"/>
        <w:rPr>
          <w:noProof/>
        </w:rPr>
      </w:pPr>
      <w:r>
        <w:rPr>
          <w:noProof/>
        </w:rPr>
        <w:t>Infringement cases against France open on 31 December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42ED6878" wp14:editId="28CDA65A">
            <wp:extent cx="4596130" cy="2234565"/>
            <wp:effectExtent l="0" t="0" r="13970" b="13335"/>
            <wp:docPr id="45"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1557B7" w:rsidRDefault="00AD3265">
      <w:pPr>
        <w:pStyle w:val="AnnualReport2"/>
        <w:numPr>
          <w:ilvl w:val="0"/>
          <w:numId w:val="120"/>
        </w:numPr>
        <w:ind w:left="709" w:hanging="425"/>
        <w:rPr>
          <w:noProof/>
        </w:rPr>
      </w:pPr>
      <w:r>
        <w:rPr>
          <w:noProof/>
        </w:rPr>
        <w:t>New infringement cases opened</w:t>
      </w:r>
      <w:r>
        <w:rPr>
          <w:noProof/>
        </w:rPr>
        <w:t xml:space="preserve">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74738D9A" wp14:editId="100C5505">
            <wp:extent cx="4276725" cy="2314575"/>
            <wp:effectExtent l="0" t="0" r="9525" b="9525"/>
            <wp:docPr id="44" name="Object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1557B7" w:rsidRDefault="001557B7">
      <w:pPr>
        <w:pStyle w:val="AnnualReport2"/>
        <w:spacing w:after="0"/>
        <w:ind w:left="709" w:firstLine="0"/>
        <w:rPr>
          <w:noProof/>
          <w:sz w:val="8"/>
        </w:rPr>
      </w:pPr>
    </w:p>
    <w:p w:rsidR="001557B7" w:rsidRDefault="00AD3265">
      <w:pPr>
        <w:pStyle w:val="AnnualReport2"/>
        <w:numPr>
          <w:ilvl w:val="0"/>
          <w:numId w:val="63"/>
        </w:numPr>
        <w:ind w:left="709" w:hanging="425"/>
        <w:rPr>
          <w:noProof/>
        </w:rPr>
      </w:pPr>
      <w:r>
        <w:rPr>
          <w:noProof/>
        </w:rPr>
        <w:t>Key infringement cases and referrals to the Court</w:t>
      </w:r>
    </w:p>
    <w:p w:rsidR="001557B7" w:rsidRDefault="00AD3265">
      <w:pPr>
        <w:pStyle w:val="Lijstje"/>
        <w:numPr>
          <w:ilvl w:val="0"/>
          <w:numId w:val="27"/>
        </w:numPr>
        <w:ind w:left="1276" w:hanging="425"/>
        <w:rPr>
          <w:noProof/>
        </w:rPr>
      </w:pPr>
      <w:r>
        <w:rPr>
          <w:noProof/>
        </w:rPr>
        <w:t>The Commission opened 21 new infringement cases against France in 2017. These, and other major ongoing infringement cases, include:</w:t>
      </w:r>
    </w:p>
    <w:p w:rsidR="001557B7" w:rsidRDefault="00AD3265">
      <w:pPr>
        <w:pStyle w:val="Lijstje"/>
        <w:numPr>
          <w:ilvl w:val="0"/>
          <w:numId w:val="62"/>
        </w:numPr>
        <w:spacing w:after="0"/>
        <w:ind w:left="1843" w:hanging="425"/>
        <w:rPr>
          <w:noProof/>
        </w:rPr>
      </w:pPr>
      <w:r>
        <w:rPr>
          <w:noProof/>
        </w:rPr>
        <w:t xml:space="preserve">failure </w:t>
      </w:r>
      <w:r>
        <w:rPr>
          <w:rFonts w:eastAsia="Times New Roman"/>
          <w:noProof/>
          <w:kern w:val="0"/>
        </w:rPr>
        <w:t>to fully implement the Regulation o</w:t>
      </w:r>
      <w:r>
        <w:rPr>
          <w:rFonts w:eastAsia="Times New Roman"/>
          <w:noProof/>
          <w:kern w:val="0"/>
        </w:rPr>
        <w:t xml:space="preserve">n explosives precursors. This </w:t>
      </w:r>
      <w:r>
        <w:rPr>
          <w:noProof/>
        </w:rPr>
        <w:t>restricts and controls access to several dangerous chemicals which could be used by terrorists to manufacture homemade explosives</w:t>
      </w:r>
      <w:r>
        <w:rPr>
          <w:rStyle w:val="FootnoteReference"/>
          <w:rFonts w:eastAsia="Times New Roman"/>
          <w:noProof/>
          <w:kern w:val="0"/>
        </w:rPr>
        <w:footnoteReference w:id="265"/>
      </w:r>
      <w:r>
        <w:rPr>
          <w:rFonts w:eastAsia="Times New Roman"/>
          <w:noProof/>
          <w:kern w:val="0"/>
        </w:rPr>
        <w:t>;</w:t>
      </w:r>
      <w:r>
        <w:rPr>
          <w:noProof/>
          <w:lang w:eastAsia="en-GB"/>
        </w:rPr>
        <w:t xml:space="preserve"> </w:t>
      </w:r>
    </w:p>
    <w:p w:rsidR="001557B7" w:rsidRDefault="00AD3265">
      <w:pPr>
        <w:pStyle w:val="Lijstje"/>
        <w:numPr>
          <w:ilvl w:val="0"/>
          <w:numId w:val="62"/>
        </w:numPr>
        <w:spacing w:after="0"/>
        <w:ind w:left="1843" w:hanging="425"/>
        <w:rPr>
          <w:noProof/>
        </w:rPr>
      </w:pPr>
      <w:r>
        <w:rPr>
          <w:noProof/>
        </w:rPr>
        <w:t>prohibiting the transfer of public funds from infrastructure management to transport activiti</w:t>
      </w:r>
      <w:r>
        <w:rPr>
          <w:noProof/>
        </w:rPr>
        <w:t>es, and ensuring that funds paid for activities relating to the provision of passenger transport services are shown separately in the relevant accounts</w:t>
      </w:r>
      <w:r>
        <w:rPr>
          <w:rStyle w:val="FootnoteReference"/>
          <w:noProof/>
        </w:rPr>
        <w:footnoteReference w:id="266"/>
      </w:r>
      <w:r>
        <w:rPr>
          <w:noProof/>
        </w:rPr>
        <w:t>;</w:t>
      </w:r>
    </w:p>
    <w:p w:rsidR="001557B7" w:rsidRDefault="00AD3265">
      <w:pPr>
        <w:pStyle w:val="Lijstje"/>
        <w:numPr>
          <w:ilvl w:val="0"/>
          <w:numId w:val="62"/>
        </w:numPr>
        <w:spacing w:after="0"/>
        <w:ind w:left="1843" w:hanging="425"/>
        <w:rPr>
          <w:noProof/>
        </w:rPr>
      </w:pPr>
      <w:r>
        <w:rPr>
          <w:noProof/>
        </w:rPr>
        <w:t>failure to comply with reporting obligations under EU waste legislation</w:t>
      </w:r>
      <w:r>
        <w:rPr>
          <w:rStyle w:val="FootnoteReference"/>
          <w:noProof/>
        </w:rPr>
        <w:footnoteReference w:id="267"/>
      </w:r>
      <w:r>
        <w:rPr>
          <w:noProof/>
        </w:rPr>
        <w:t>;</w:t>
      </w:r>
    </w:p>
    <w:p w:rsidR="001557B7" w:rsidRDefault="00AD3265">
      <w:pPr>
        <w:numPr>
          <w:ilvl w:val="0"/>
          <w:numId w:val="62"/>
        </w:numPr>
        <w:spacing w:after="0"/>
        <w:ind w:left="1843" w:hanging="425"/>
        <w:contextualSpacing/>
        <w:rPr>
          <w:rFonts w:ascii="Arial" w:hAnsi="Arial" w:cs="Arial"/>
          <w:noProof/>
          <w:sz w:val="20"/>
        </w:rPr>
      </w:pPr>
      <w:r>
        <w:rPr>
          <w:rFonts w:ascii="Arial" w:hAnsi="Arial" w:cs="Arial"/>
          <w:noProof/>
          <w:sz w:val="20"/>
        </w:rPr>
        <w:t>failure to ensure that urban</w:t>
      </w:r>
      <w:r>
        <w:rPr>
          <w:rFonts w:ascii="Arial" w:hAnsi="Arial" w:cs="Arial"/>
          <w:noProof/>
          <w:sz w:val="20"/>
        </w:rPr>
        <w:t xml:space="preserve"> waste water is adequately treated</w:t>
      </w:r>
      <w:r>
        <w:rPr>
          <w:rStyle w:val="FootnoteReference"/>
          <w:rFonts w:ascii="Arial" w:hAnsi="Arial" w:cs="Arial"/>
          <w:noProof/>
          <w:sz w:val="20"/>
        </w:rPr>
        <w:footnoteReference w:id="268"/>
      </w:r>
      <w:r>
        <w:rPr>
          <w:rFonts w:ascii="Arial" w:hAnsi="Arial" w:cs="Arial"/>
          <w:noProof/>
          <w:sz w:val="20"/>
        </w:rPr>
        <w:t>;</w:t>
      </w:r>
    </w:p>
    <w:p w:rsidR="001557B7" w:rsidRDefault="00AD3265">
      <w:pPr>
        <w:numPr>
          <w:ilvl w:val="0"/>
          <w:numId w:val="62"/>
        </w:numPr>
        <w:spacing w:after="0"/>
        <w:ind w:left="1843" w:hanging="425"/>
        <w:contextualSpacing/>
        <w:rPr>
          <w:rFonts w:ascii="Arial" w:hAnsi="Arial" w:cs="Arial"/>
          <w:noProof/>
          <w:sz w:val="20"/>
        </w:rPr>
      </w:pPr>
      <w:r>
        <w:rPr>
          <w:rFonts w:ascii="Arial" w:hAnsi="Arial" w:cs="Arial"/>
          <w:noProof/>
          <w:sz w:val="20"/>
        </w:rPr>
        <w:t>on-communication of national measures transposing the:</w:t>
      </w:r>
    </w:p>
    <w:p w:rsidR="001557B7" w:rsidRDefault="00AD3265">
      <w:pPr>
        <w:numPr>
          <w:ilvl w:val="1"/>
          <w:numId w:val="62"/>
        </w:numPr>
        <w:spacing w:after="0"/>
        <w:ind w:left="2410" w:hanging="425"/>
        <w:contextualSpacing/>
        <w:rPr>
          <w:rFonts w:ascii="Arial" w:hAnsi="Arial" w:cs="Arial"/>
          <w:noProof/>
          <w:sz w:val="20"/>
        </w:rPr>
      </w:pPr>
      <w:r>
        <w:rPr>
          <w:rFonts w:ascii="Arial" w:hAnsi="Arial" w:cs="Arial"/>
          <w:noProof/>
          <w:sz w:val="20"/>
        </w:rPr>
        <w:t>Directive</w:t>
      </w:r>
      <w:r>
        <w:rPr>
          <w:rStyle w:val="FootnoteReference"/>
          <w:rFonts w:ascii="Arial" w:hAnsi="Arial" w:cs="Arial"/>
          <w:noProof/>
          <w:sz w:val="20"/>
        </w:rPr>
        <w:footnoteReference w:id="269"/>
      </w:r>
      <w:r>
        <w:rPr>
          <w:rFonts w:ascii="Arial" w:hAnsi="Arial" w:cs="Arial"/>
          <w:noProof/>
          <w:sz w:val="20"/>
        </w:rPr>
        <w:t xml:space="preserve"> laying down calculation methods and reporting requirements pursuant to the Directive on fuels quality</w:t>
      </w:r>
      <w:r>
        <w:rPr>
          <w:rStyle w:val="FootnoteReference"/>
          <w:rFonts w:ascii="Arial" w:hAnsi="Arial" w:cs="Arial"/>
          <w:noProof/>
          <w:sz w:val="20"/>
        </w:rPr>
        <w:footnoteReference w:id="270"/>
      </w:r>
      <w:r>
        <w:rPr>
          <w:rFonts w:ascii="Arial" w:hAnsi="Arial" w:cs="Arial"/>
          <w:noProof/>
          <w:sz w:val="20"/>
        </w:rPr>
        <w:t>;</w:t>
      </w:r>
    </w:p>
    <w:p w:rsidR="001557B7" w:rsidRDefault="00AD3265">
      <w:pPr>
        <w:numPr>
          <w:ilvl w:val="1"/>
          <w:numId w:val="62"/>
        </w:numPr>
        <w:spacing w:after="0"/>
        <w:ind w:left="2410" w:hanging="425"/>
        <w:contextualSpacing/>
        <w:rPr>
          <w:rFonts w:ascii="Arial" w:hAnsi="Arial" w:cs="Arial"/>
          <w:noProof/>
          <w:sz w:val="20"/>
        </w:rPr>
      </w:pPr>
      <w:r>
        <w:rPr>
          <w:rFonts w:ascii="Arial" w:hAnsi="Arial" w:cs="Arial"/>
          <w:noProof/>
          <w:sz w:val="20"/>
        </w:rPr>
        <w:t>Markets in Financial Instruments Directive (MiFID</w:t>
      </w:r>
      <w:r>
        <w:rPr>
          <w:rFonts w:ascii="Arial" w:hAnsi="Arial" w:cs="Arial"/>
          <w:noProof/>
          <w:sz w:val="20"/>
        </w:rPr>
        <w:t xml:space="preserve"> II)</w:t>
      </w:r>
      <w:r>
        <w:rPr>
          <w:rStyle w:val="FootnoteReference"/>
          <w:noProof/>
        </w:rPr>
        <w:footnoteReference w:id="271"/>
      </w:r>
      <w:r>
        <w:rPr>
          <w:rFonts w:ascii="Arial" w:hAnsi="Arial" w:cs="Arial"/>
          <w:noProof/>
          <w:sz w:val="20"/>
        </w:rPr>
        <w:t>;</w:t>
      </w:r>
    </w:p>
    <w:p w:rsidR="001557B7" w:rsidRDefault="00AD3265">
      <w:pPr>
        <w:numPr>
          <w:ilvl w:val="0"/>
          <w:numId w:val="62"/>
        </w:numPr>
        <w:spacing w:after="0"/>
        <w:ind w:left="1843" w:hanging="425"/>
        <w:contextualSpacing/>
        <w:rPr>
          <w:rFonts w:ascii="Arial" w:hAnsi="Arial" w:cs="Arial"/>
          <w:i/>
          <w:noProof/>
          <w:sz w:val="20"/>
        </w:rPr>
      </w:pPr>
      <w:r>
        <w:rPr>
          <w:rFonts w:ascii="Arial" w:hAnsi="Arial" w:cs="Arial"/>
          <w:noProof/>
          <w:sz w:val="20"/>
        </w:rPr>
        <w:t>failure to comply with the NO</w:t>
      </w:r>
      <w:r>
        <w:rPr>
          <w:rFonts w:ascii="Arial" w:hAnsi="Arial" w:cs="Arial"/>
          <w:noProof/>
          <w:sz w:val="20"/>
          <w:vertAlign w:val="subscript"/>
        </w:rPr>
        <w:t>2</w:t>
      </w:r>
      <w:r>
        <w:rPr>
          <w:rFonts w:ascii="Arial" w:hAnsi="Arial" w:cs="Arial"/>
          <w:noProof/>
          <w:sz w:val="20"/>
        </w:rPr>
        <w:t xml:space="preserve"> limit values set by the Air Quality Directive</w:t>
      </w:r>
      <w:r>
        <w:rPr>
          <w:rStyle w:val="FootnoteReference"/>
          <w:rFonts w:ascii="Arial" w:hAnsi="Arial" w:cs="Arial"/>
          <w:noProof/>
          <w:sz w:val="20"/>
        </w:rPr>
        <w:footnoteReference w:id="272"/>
      </w:r>
      <w:r>
        <w:rPr>
          <w:rFonts w:ascii="Arial" w:hAnsi="Arial" w:cs="Arial"/>
          <w:noProof/>
          <w:sz w:val="20"/>
        </w:rPr>
        <w:t>;</w:t>
      </w:r>
    </w:p>
    <w:p w:rsidR="001557B7" w:rsidRDefault="00AD3265">
      <w:pPr>
        <w:numPr>
          <w:ilvl w:val="0"/>
          <w:numId w:val="62"/>
        </w:numPr>
        <w:spacing w:after="120"/>
        <w:ind w:left="1843" w:hanging="425"/>
        <w:contextualSpacing/>
        <w:rPr>
          <w:rFonts w:ascii="Arial" w:hAnsi="Arial" w:cs="Arial"/>
          <w:i/>
          <w:noProof/>
          <w:sz w:val="20"/>
        </w:rPr>
      </w:pPr>
      <w:r>
        <w:rPr>
          <w:rFonts w:ascii="Arial" w:hAnsi="Arial" w:cs="Arial"/>
          <w:noProof/>
          <w:sz w:val="20"/>
        </w:rPr>
        <w:t>failure to establish action plans required by the Noise Directive</w:t>
      </w:r>
      <w:r>
        <w:rPr>
          <w:rStyle w:val="FootnoteReference"/>
          <w:rFonts w:ascii="Arial" w:hAnsi="Arial" w:cs="Arial"/>
          <w:noProof/>
          <w:sz w:val="20"/>
        </w:rPr>
        <w:footnoteReference w:id="273"/>
      </w:r>
      <w:r>
        <w:rPr>
          <w:rFonts w:ascii="Arial" w:hAnsi="Arial" w:cs="Arial"/>
          <w:noProof/>
          <w:sz w:val="20"/>
        </w:rPr>
        <w:t>.</w:t>
      </w:r>
    </w:p>
    <w:p w:rsidR="001557B7" w:rsidRDefault="00AD3265">
      <w:pPr>
        <w:pStyle w:val="Lijstje"/>
        <w:numPr>
          <w:ilvl w:val="0"/>
          <w:numId w:val="27"/>
        </w:numPr>
        <w:spacing w:before="240"/>
        <w:ind w:left="1276" w:hanging="425"/>
        <w:rPr>
          <w:noProof/>
        </w:rPr>
      </w:pPr>
      <w:r>
        <w:rPr>
          <w:noProof/>
        </w:rPr>
        <w:t xml:space="preserve">The Commission referred two cases to the Court under Article 258 TFEU. They concerned the following. </w:t>
      </w:r>
    </w:p>
    <w:p w:rsidR="001557B7" w:rsidRDefault="00AD3265">
      <w:pPr>
        <w:pStyle w:val="Lijstje"/>
        <w:numPr>
          <w:ilvl w:val="0"/>
          <w:numId w:val="62"/>
        </w:numPr>
        <w:spacing w:after="0"/>
        <w:ind w:left="1843" w:hanging="425"/>
        <w:rPr>
          <w:noProof/>
        </w:rPr>
      </w:pPr>
      <w:r>
        <w:rPr>
          <w:noProof/>
        </w:rPr>
        <w:t>Failure to address continued violations of the EU legislation on the conservation of wild birds</w:t>
      </w:r>
      <w:r>
        <w:rPr>
          <w:rStyle w:val="FootnoteReference"/>
          <w:noProof/>
        </w:rPr>
        <w:footnoteReference w:id="274"/>
      </w:r>
      <w:r>
        <w:rPr>
          <w:noProof/>
        </w:rPr>
        <w:t>.</w:t>
      </w:r>
    </w:p>
    <w:p w:rsidR="001557B7" w:rsidRDefault="00AD3265">
      <w:pPr>
        <w:pStyle w:val="Lijstje"/>
        <w:numPr>
          <w:ilvl w:val="0"/>
          <w:numId w:val="62"/>
        </w:numPr>
        <w:spacing w:after="0"/>
        <w:ind w:left="1843" w:hanging="425"/>
        <w:rPr>
          <w:noProof/>
        </w:rPr>
      </w:pPr>
      <w:r>
        <w:rPr>
          <w:noProof/>
        </w:rPr>
        <w:t>The following criteria laid down in an earlier Court judgment</w:t>
      </w:r>
      <w:r>
        <w:rPr>
          <w:rStyle w:val="FootnoteReference"/>
          <w:rFonts w:eastAsia="Times New Roman"/>
          <w:noProof/>
          <w:kern w:val="0"/>
        </w:rPr>
        <w:footnoteReference w:id="275"/>
      </w:r>
      <w:r>
        <w:rPr>
          <w:noProof/>
        </w:rPr>
        <w:t xml:space="preserve"> on tax treatment of dividends were not respected by France: First, the tax already paid by non-</w:t>
      </w:r>
      <w:r>
        <w:rPr>
          <w:noProof/>
        </w:rPr>
        <w:t>French subsidiaries is not taken into account. Second, the tax credit is limited to one third of the dividend redistributed by a non</w:t>
      </w:r>
      <w:r>
        <w:rPr>
          <w:noProof/>
        </w:rPr>
        <w:noBreakHyphen/>
        <w:t>French subsidiary, which discriminates between dividends received from companies in other Member States and those of French</w:t>
      </w:r>
      <w:r>
        <w:rPr>
          <w:noProof/>
        </w:rPr>
        <w:t xml:space="preserve"> origin. Finally, the requirement of proof is still maintained to restrict the companies’ right to a refund</w:t>
      </w:r>
      <w:r>
        <w:rPr>
          <w:rStyle w:val="FootnoteReference"/>
          <w:rFonts w:eastAsia="Times New Roman"/>
          <w:noProof/>
          <w:kern w:val="0"/>
        </w:rPr>
        <w:footnoteReference w:id="276"/>
      </w:r>
      <w:r>
        <w:rPr>
          <w:noProof/>
        </w:rPr>
        <w:t>.</w:t>
      </w:r>
    </w:p>
    <w:p w:rsidR="001557B7" w:rsidRDefault="00AD3265">
      <w:pPr>
        <w:pStyle w:val="Lijstje"/>
        <w:numPr>
          <w:ilvl w:val="0"/>
          <w:numId w:val="27"/>
        </w:numPr>
        <w:spacing w:before="240"/>
        <w:ind w:left="1276" w:hanging="425"/>
        <w:rPr>
          <w:noProof/>
        </w:rPr>
      </w:pPr>
      <w:r>
        <w:rPr>
          <w:noProof/>
        </w:rPr>
        <w:t>The Commission did not refer any cases to the Court under Article 260(2) TFEU.</w:t>
      </w:r>
      <w:r>
        <w:rPr>
          <w:noProof/>
        </w:rPr>
        <w:br w:type="page"/>
      </w:r>
    </w:p>
    <w:p w:rsidR="001557B7" w:rsidRDefault="00AD3265">
      <w:pPr>
        <w:pStyle w:val="kop2"/>
        <w:numPr>
          <w:ilvl w:val="0"/>
          <w:numId w:val="26"/>
        </w:numPr>
        <w:spacing w:before="360" w:after="240"/>
        <w:ind w:left="709" w:hanging="425"/>
        <w:rPr>
          <w:caps w:val="0"/>
          <w:noProof/>
        </w:rPr>
      </w:pPr>
      <w:r>
        <w:rPr>
          <w:noProof/>
        </w:rPr>
        <w:t>TRANSPOSITION</w:t>
      </w:r>
      <w:r>
        <w:rPr>
          <w:caps w:val="0"/>
          <w:noProof/>
        </w:rPr>
        <w:t xml:space="preserve"> OF DIRECTIVES</w:t>
      </w:r>
    </w:p>
    <w:p w:rsidR="001557B7" w:rsidRDefault="00AD3265">
      <w:pPr>
        <w:pStyle w:val="AnnualReport2"/>
        <w:numPr>
          <w:ilvl w:val="0"/>
          <w:numId w:val="121"/>
        </w:numPr>
        <w:ind w:left="709" w:hanging="425"/>
        <w:rPr>
          <w:noProof/>
        </w:rPr>
      </w:pPr>
      <w:r>
        <w:rPr>
          <w:noProof/>
        </w:rPr>
        <w:t xml:space="preserve">Late transposition infringement cases </w:t>
      </w:r>
      <w:r>
        <w:rPr>
          <w:noProof/>
        </w:rPr>
        <w:t>against France open on 31 December (2013-2017)</w:t>
      </w:r>
    </w:p>
    <w:p w:rsidR="001557B7" w:rsidRDefault="00AD3265">
      <w:pPr>
        <w:ind w:left="426" w:firstLine="283"/>
        <w:rPr>
          <w:noProof/>
        </w:rPr>
      </w:pPr>
      <w:r>
        <w:rPr>
          <w:noProof/>
          <w:lang w:eastAsia="en-GB"/>
        </w:rPr>
        <w:drawing>
          <wp:inline distT="0" distB="0" distL="0" distR="0" wp14:anchorId="44264EE6" wp14:editId="0CAD9C3C">
            <wp:extent cx="4587875" cy="2099310"/>
            <wp:effectExtent l="0" t="0" r="22225" b="15240"/>
            <wp:docPr id="4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1557B7" w:rsidRDefault="00AD3265">
      <w:pPr>
        <w:pStyle w:val="AnnualReport2"/>
        <w:numPr>
          <w:ilvl w:val="0"/>
          <w:numId w:val="63"/>
        </w:numPr>
        <w:rPr>
          <w:noProof/>
        </w:rPr>
      </w:pPr>
      <w:r>
        <w:rPr>
          <w:noProof/>
        </w:rPr>
        <w:t>New late transposition infringement cases against France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7B4F52A1" wp14:editId="2D21EA78">
            <wp:extent cx="4596130" cy="2258060"/>
            <wp:effectExtent l="0" t="0" r="13970" b="27940"/>
            <wp:docPr id="4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1557B7" w:rsidRDefault="00AD3265">
      <w:pPr>
        <w:pStyle w:val="AnnualReport2"/>
        <w:numPr>
          <w:ilvl w:val="0"/>
          <w:numId w:val="63"/>
        </w:numPr>
        <w:rPr>
          <w:noProof/>
        </w:rPr>
      </w:pPr>
      <w:r>
        <w:rPr>
          <w:noProof/>
        </w:rPr>
        <w:t>New late transposition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92CBA5D" wp14:editId="13F6412D">
            <wp:extent cx="4580255" cy="2369185"/>
            <wp:effectExtent l="0" t="0" r="10795" b="12065"/>
            <wp:docPr id="959" name="Object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1557B7" w:rsidRDefault="00AD3265">
      <w:pPr>
        <w:spacing w:after="0"/>
        <w:jc w:val="left"/>
        <w:rPr>
          <w:rFonts w:ascii="Arial" w:hAnsi="Arial"/>
          <w:noProof/>
          <w:color w:val="002060"/>
          <w:sz w:val="22"/>
          <w:szCs w:val="22"/>
        </w:rPr>
      </w:pPr>
      <w:r>
        <w:rPr>
          <w:noProof/>
        </w:rPr>
        <w:br w:type="page"/>
      </w:r>
    </w:p>
    <w:p w:rsidR="001557B7" w:rsidRDefault="00AD3265">
      <w:pPr>
        <w:pStyle w:val="AnnualReport2"/>
        <w:numPr>
          <w:ilvl w:val="0"/>
          <w:numId w:val="63"/>
        </w:numPr>
        <w:rPr>
          <w:noProof/>
        </w:rPr>
      </w:pPr>
      <w:r>
        <w:rPr>
          <w:noProof/>
        </w:rPr>
        <w:t>Referrals to the Court</w:t>
      </w:r>
    </w:p>
    <w:p w:rsidR="001557B7" w:rsidRDefault="00AD3265">
      <w:pPr>
        <w:spacing w:after="120"/>
        <w:ind w:left="709"/>
        <w:rPr>
          <w:rFonts w:ascii="Arial" w:eastAsia="Calibri" w:hAnsi="Arial" w:cs="Arial"/>
          <w:noProof/>
          <w:kern w:val="20"/>
          <w:sz w:val="20"/>
        </w:rPr>
      </w:pPr>
      <w:r>
        <w:rPr>
          <w:rFonts w:ascii="Arial" w:eastAsia="Calibri" w:hAnsi="Arial" w:cs="Arial"/>
          <w:noProof/>
          <w:kern w:val="20"/>
          <w:sz w:val="20"/>
        </w:rPr>
        <w:t xml:space="preserve">The Commission did not refer any </w:t>
      </w:r>
      <w:r>
        <w:rPr>
          <w:rFonts w:ascii="Arial" w:eastAsia="Calibri" w:hAnsi="Arial" w:cs="Arial"/>
          <w:noProof/>
          <w:kern w:val="20"/>
          <w:sz w:val="20"/>
        </w:rPr>
        <w:t>cases to the Court under Articles 258 and 260(3) TFEU.</w:t>
      </w:r>
    </w:p>
    <w:p w:rsidR="001557B7" w:rsidRDefault="00AD3265">
      <w:pPr>
        <w:pStyle w:val="kop2"/>
        <w:numPr>
          <w:ilvl w:val="0"/>
          <w:numId w:val="26"/>
        </w:numPr>
        <w:spacing w:before="360" w:after="240"/>
        <w:ind w:left="709" w:hanging="425"/>
        <w:rPr>
          <w:caps w:val="0"/>
          <w:noProof/>
        </w:rPr>
      </w:pPr>
      <w:r>
        <w:rPr>
          <w:caps w:val="0"/>
          <w:noProof/>
        </w:rPr>
        <w:t>EARLY RESOLUTION OF INFRINGEMENT CASES</w:t>
      </w:r>
    </w:p>
    <w:p w:rsidR="001557B7" w:rsidRDefault="00AD3265">
      <w:pPr>
        <w:pStyle w:val="ListParagraph"/>
        <w:spacing w:before="240"/>
        <w:ind w:left="709"/>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1557B7" w:rsidRDefault="00AD3265">
      <w:pPr>
        <w:spacing w:after="120"/>
        <w:ind w:left="284" w:firstLine="425"/>
        <w:rPr>
          <w:rFonts w:ascii="Arial" w:hAnsi="Arial" w:cs="Arial"/>
          <w:noProof/>
          <w:sz w:val="20"/>
        </w:rPr>
      </w:pPr>
      <w:r>
        <w:rPr>
          <w:rFonts w:ascii="Arial" w:hAnsi="Arial" w:cs="Arial"/>
          <w:noProof/>
          <w:sz w:val="20"/>
        </w:rPr>
        <w:t>These concerned:</w:t>
      </w:r>
    </w:p>
    <w:p w:rsidR="001557B7" w:rsidRDefault="00AD3265">
      <w:pPr>
        <w:numPr>
          <w:ilvl w:val="0"/>
          <w:numId w:val="2"/>
        </w:numPr>
        <w:spacing w:after="200"/>
        <w:ind w:left="1276" w:hanging="425"/>
        <w:contextualSpacing/>
        <w:rPr>
          <w:rFonts w:ascii="Arial" w:eastAsia="Calibri" w:hAnsi="Arial" w:cs="Arial"/>
          <w:noProof/>
          <w:kern w:val="20"/>
          <w:sz w:val="20"/>
        </w:rPr>
      </w:pPr>
      <w:r>
        <w:rPr>
          <w:rFonts w:ascii="Arial" w:hAnsi="Arial" w:cs="Arial"/>
          <w:noProof/>
          <w:sz w:val="20"/>
        </w:rPr>
        <w:t xml:space="preserve">failure </w:t>
      </w:r>
      <w:r>
        <w:rPr>
          <w:rFonts w:ascii="Arial" w:hAnsi="Arial" w:cs="Arial"/>
          <w:bCs/>
          <w:noProof/>
          <w:sz w:val="20"/>
        </w:rPr>
        <w:t xml:space="preserve">to implement completely the Regulation on explosives precursors, which </w:t>
      </w:r>
      <w:r>
        <w:rPr>
          <w:rFonts w:ascii="Arial" w:hAnsi="Arial" w:cs="Arial"/>
          <w:noProof/>
          <w:sz w:val="20"/>
        </w:rPr>
        <w:t xml:space="preserve">restricts and </w:t>
      </w:r>
      <w:r>
        <w:rPr>
          <w:rFonts w:ascii="Arial" w:hAnsi="Arial" w:cs="Arial"/>
          <w:noProof/>
          <w:sz w:val="20"/>
        </w:rPr>
        <w:t>controls access to several dangerous chemicals that could be used by terrorists to manufacture homemade explosives;</w:t>
      </w:r>
    </w:p>
    <w:p w:rsidR="001557B7" w:rsidRDefault="00AD3265">
      <w:pPr>
        <w:numPr>
          <w:ilvl w:val="0"/>
          <w:numId w:val="2"/>
        </w:numPr>
        <w:spacing w:after="200"/>
        <w:ind w:left="1276" w:hanging="425"/>
        <w:contextualSpacing/>
        <w:rPr>
          <w:rFonts w:ascii="Arial" w:eastAsia="Calibri" w:hAnsi="Arial" w:cs="Arial"/>
          <w:noProof/>
          <w:kern w:val="20"/>
          <w:sz w:val="20"/>
        </w:rPr>
      </w:pPr>
      <w:r>
        <w:rPr>
          <w:rFonts w:ascii="Arial" w:hAnsi="Arial" w:cs="Arial"/>
          <w:bCs/>
          <w:noProof/>
          <w:sz w:val="20"/>
        </w:rPr>
        <w:t>non-communication of national measures transposing the:</w:t>
      </w:r>
    </w:p>
    <w:p w:rsidR="001557B7" w:rsidRDefault="00AD3265">
      <w:pPr>
        <w:numPr>
          <w:ilvl w:val="1"/>
          <w:numId w:val="2"/>
        </w:numPr>
        <w:spacing w:after="200"/>
        <w:contextualSpacing/>
        <w:rPr>
          <w:rFonts w:ascii="Arial" w:eastAsia="Calibri" w:hAnsi="Arial" w:cs="Arial"/>
          <w:noProof/>
          <w:kern w:val="20"/>
          <w:sz w:val="20"/>
        </w:rPr>
      </w:pPr>
      <w:r>
        <w:rPr>
          <w:rFonts w:ascii="Arial" w:hAnsi="Arial" w:cs="Arial"/>
          <w:bCs/>
          <w:noProof/>
          <w:sz w:val="20"/>
        </w:rPr>
        <w:t>Intra-Corporate Transfer Directive</w:t>
      </w:r>
      <w:r>
        <w:rPr>
          <w:rStyle w:val="FootnoteReference"/>
          <w:rFonts w:ascii="Arial" w:hAnsi="Arial" w:cs="Arial"/>
          <w:bCs/>
          <w:noProof/>
          <w:sz w:val="20"/>
        </w:rPr>
        <w:footnoteReference w:id="277"/>
      </w:r>
      <w:r>
        <w:rPr>
          <w:rFonts w:ascii="Arial" w:hAnsi="Arial" w:cs="Arial"/>
          <w:bCs/>
          <w:noProof/>
          <w:sz w:val="20"/>
        </w:rPr>
        <w:t>;</w:t>
      </w:r>
    </w:p>
    <w:p w:rsidR="001557B7" w:rsidRDefault="00AD3265">
      <w:pPr>
        <w:numPr>
          <w:ilvl w:val="1"/>
          <w:numId w:val="2"/>
        </w:numPr>
        <w:spacing w:after="200"/>
        <w:contextualSpacing/>
        <w:rPr>
          <w:rFonts w:ascii="Arial" w:hAnsi="Arial" w:cs="Arial"/>
          <w:bCs/>
          <w:noProof/>
          <w:sz w:val="20"/>
        </w:rPr>
      </w:pPr>
      <w:r>
        <w:rPr>
          <w:rFonts w:ascii="Arial" w:hAnsi="Arial" w:cs="Arial"/>
          <w:bCs/>
          <w:noProof/>
          <w:sz w:val="20"/>
        </w:rPr>
        <w:t>Long-Term Residents Directive</w:t>
      </w:r>
      <w:r>
        <w:rPr>
          <w:rStyle w:val="FootnoteReference"/>
          <w:noProof/>
        </w:rPr>
        <w:footnoteReference w:id="278"/>
      </w:r>
      <w:r>
        <w:rPr>
          <w:rFonts w:ascii="Arial" w:hAnsi="Arial" w:cs="Arial"/>
          <w:bCs/>
          <w:noProof/>
          <w:sz w:val="20"/>
        </w:rPr>
        <w:t>;</w:t>
      </w:r>
    </w:p>
    <w:p w:rsidR="001557B7" w:rsidRDefault="00AD3265">
      <w:pPr>
        <w:numPr>
          <w:ilvl w:val="1"/>
          <w:numId w:val="2"/>
        </w:numPr>
        <w:spacing w:after="200"/>
        <w:contextualSpacing/>
        <w:rPr>
          <w:rFonts w:ascii="Arial" w:eastAsia="Calibri" w:hAnsi="Arial" w:cs="Arial"/>
          <w:noProof/>
          <w:kern w:val="20"/>
          <w:sz w:val="20"/>
        </w:rPr>
      </w:pPr>
      <w:r>
        <w:rPr>
          <w:rFonts w:ascii="Arial" w:eastAsia="Calibri" w:hAnsi="Arial" w:cs="Arial"/>
          <w:noProof/>
          <w:kern w:val="20"/>
          <w:sz w:val="20"/>
        </w:rPr>
        <w:t xml:space="preserve">Maritime </w:t>
      </w:r>
      <w:r>
        <w:rPr>
          <w:rFonts w:ascii="Arial" w:eastAsia="Calibri" w:hAnsi="Arial" w:cs="Arial"/>
          <w:noProof/>
          <w:kern w:val="20"/>
          <w:sz w:val="20"/>
        </w:rPr>
        <w:t>Spatial Planning Directive</w:t>
      </w:r>
      <w:r>
        <w:rPr>
          <w:rStyle w:val="FootnoteReference"/>
          <w:rFonts w:eastAsia="Calibri"/>
          <w:noProof/>
        </w:rPr>
        <w:footnoteReference w:id="279"/>
      </w:r>
      <w:r>
        <w:rPr>
          <w:rFonts w:ascii="Arial" w:eastAsia="Calibri" w:hAnsi="Arial" w:cs="Arial"/>
          <w:noProof/>
          <w:kern w:val="20"/>
          <w:sz w:val="20"/>
        </w:rPr>
        <w:t>;</w:t>
      </w:r>
    </w:p>
    <w:p w:rsidR="001557B7" w:rsidRDefault="00AD3265">
      <w:pPr>
        <w:numPr>
          <w:ilvl w:val="1"/>
          <w:numId w:val="2"/>
        </w:numPr>
        <w:spacing w:after="200"/>
        <w:contextualSpacing/>
        <w:rPr>
          <w:rFonts w:ascii="Arial" w:eastAsia="Calibri" w:hAnsi="Arial" w:cs="Arial"/>
          <w:noProof/>
          <w:kern w:val="20"/>
          <w:sz w:val="20"/>
        </w:rPr>
      </w:pPr>
      <w:r>
        <w:rPr>
          <w:rFonts w:ascii="Arial" w:eastAsia="Calibri" w:hAnsi="Arial" w:cs="Arial"/>
          <w:noProof/>
          <w:kern w:val="20"/>
          <w:sz w:val="20"/>
        </w:rPr>
        <w:t>Seveso-III Directive</w:t>
      </w:r>
      <w:r>
        <w:rPr>
          <w:rStyle w:val="FootnoteReference"/>
          <w:rFonts w:eastAsia="Calibri"/>
          <w:noProof/>
        </w:rPr>
        <w:footnoteReference w:id="280"/>
      </w:r>
      <w:r>
        <w:rPr>
          <w:rFonts w:ascii="Arial" w:eastAsia="Calibri" w:hAnsi="Arial" w:cs="Arial"/>
          <w:noProof/>
          <w:kern w:val="20"/>
          <w:sz w:val="20"/>
        </w:rPr>
        <w:t>;</w:t>
      </w:r>
    </w:p>
    <w:p w:rsidR="001557B7" w:rsidRDefault="00AD3265">
      <w:pPr>
        <w:numPr>
          <w:ilvl w:val="1"/>
          <w:numId w:val="2"/>
        </w:numPr>
        <w:spacing w:after="200"/>
        <w:contextualSpacing/>
        <w:rPr>
          <w:rFonts w:ascii="Arial" w:eastAsia="Calibri" w:hAnsi="Arial" w:cs="Arial"/>
          <w:noProof/>
          <w:kern w:val="20"/>
          <w:sz w:val="20"/>
        </w:rPr>
      </w:pPr>
      <w:r>
        <w:rPr>
          <w:rFonts w:ascii="Arial" w:eastAsia="Calibri" w:hAnsi="Arial" w:cs="Arial"/>
          <w:noProof/>
          <w:kern w:val="20"/>
          <w:sz w:val="20"/>
        </w:rPr>
        <w:t>Transparency Directive</w:t>
      </w:r>
      <w:r>
        <w:rPr>
          <w:rStyle w:val="FootnoteReference"/>
          <w:rFonts w:eastAsia="Calibri"/>
          <w:noProof/>
        </w:rPr>
        <w:footnoteReference w:id="281"/>
      </w:r>
      <w:r>
        <w:rPr>
          <w:rFonts w:ascii="Arial" w:eastAsia="Calibri" w:hAnsi="Arial" w:cs="Arial"/>
          <w:noProof/>
          <w:kern w:val="20"/>
          <w:sz w:val="20"/>
        </w:rPr>
        <w:t>;</w:t>
      </w:r>
    </w:p>
    <w:p w:rsidR="001557B7" w:rsidRDefault="00AD3265">
      <w:pPr>
        <w:numPr>
          <w:ilvl w:val="1"/>
          <w:numId w:val="2"/>
        </w:numPr>
        <w:spacing w:after="200"/>
        <w:contextualSpacing/>
        <w:rPr>
          <w:rFonts w:ascii="Arial" w:eastAsia="Calibri" w:hAnsi="Arial" w:cs="Arial"/>
          <w:noProof/>
          <w:kern w:val="20"/>
          <w:sz w:val="20"/>
        </w:rPr>
      </w:pPr>
      <w:r>
        <w:rPr>
          <w:rFonts w:ascii="Arial" w:eastAsia="Calibri" w:hAnsi="Arial" w:cs="Arial"/>
          <w:noProof/>
          <w:kern w:val="20"/>
          <w:sz w:val="20"/>
        </w:rPr>
        <w:t>Accounting Directive</w:t>
      </w:r>
      <w:r>
        <w:rPr>
          <w:rStyle w:val="FootnoteReference"/>
          <w:rFonts w:eastAsia="Calibri"/>
          <w:noProof/>
        </w:rPr>
        <w:footnoteReference w:id="282"/>
      </w:r>
      <w:r>
        <w:rPr>
          <w:rFonts w:ascii="Arial" w:eastAsia="Calibri" w:hAnsi="Arial" w:cs="Arial"/>
          <w:noProof/>
          <w:kern w:val="20"/>
          <w:sz w:val="20"/>
        </w:rPr>
        <w:t>;</w:t>
      </w:r>
    </w:p>
    <w:p w:rsidR="001557B7" w:rsidRDefault="00AD3265">
      <w:pPr>
        <w:numPr>
          <w:ilvl w:val="1"/>
          <w:numId w:val="2"/>
        </w:numPr>
        <w:spacing w:after="200"/>
        <w:contextualSpacing/>
        <w:rPr>
          <w:rFonts w:ascii="Arial" w:eastAsia="Calibri" w:hAnsi="Arial" w:cs="Arial"/>
          <w:noProof/>
          <w:kern w:val="20"/>
          <w:sz w:val="20"/>
        </w:rPr>
      </w:pPr>
      <w:r>
        <w:rPr>
          <w:rFonts w:ascii="Arial" w:eastAsia="Calibri" w:hAnsi="Arial" w:cs="Arial"/>
          <w:noProof/>
          <w:kern w:val="20"/>
          <w:sz w:val="20"/>
        </w:rPr>
        <w:t>Directive on the undertakings for collective investment in transferable securities (UCITS)</w:t>
      </w:r>
      <w:r>
        <w:rPr>
          <w:rStyle w:val="FootnoteReference"/>
          <w:rFonts w:eastAsia="Calibri"/>
          <w:noProof/>
        </w:rPr>
        <w:footnoteReference w:id="283"/>
      </w:r>
      <w:r>
        <w:rPr>
          <w:rFonts w:ascii="Arial" w:eastAsia="Calibri" w:hAnsi="Arial" w:cs="Arial"/>
          <w:noProof/>
          <w:kern w:val="20"/>
          <w:sz w:val="20"/>
        </w:rPr>
        <w:t>;</w:t>
      </w:r>
    </w:p>
    <w:p w:rsidR="001557B7" w:rsidRDefault="00AD3265">
      <w:pPr>
        <w:numPr>
          <w:ilvl w:val="0"/>
          <w:numId w:val="2"/>
        </w:numPr>
        <w:spacing w:after="200"/>
        <w:ind w:left="1276" w:hanging="425"/>
        <w:contextualSpacing/>
        <w:rPr>
          <w:rFonts w:ascii="Arial" w:eastAsia="Calibri" w:hAnsi="Arial" w:cs="Arial"/>
          <w:noProof/>
          <w:kern w:val="20"/>
          <w:sz w:val="20"/>
        </w:rPr>
      </w:pPr>
      <w:r>
        <w:rPr>
          <w:rFonts w:ascii="Arial" w:eastAsia="Calibri" w:hAnsi="Arial" w:cs="Arial"/>
          <w:noProof/>
          <w:kern w:val="20"/>
          <w:sz w:val="20"/>
        </w:rPr>
        <w:t xml:space="preserve">incorrect </w:t>
      </w:r>
      <w:r>
        <w:rPr>
          <w:rFonts w:ascii="Arial" w:hAnsi="Arial" w:cs="Arial"/>
          <w:bCs/>
          <w:noProof/>
          <w:sz w:val="20"/>
        </w:rPr>
        <w:t>transposition</w:t>
      </w:r>
      <w:r>
        <w:rPr>
          <w:rFonts w:ascii="Arial" w:eastAsia="Calibri" w:hAnsi="Arial" w:cs="Arial"/>
          <w:noProof/>
          <w:kern w:val="20"/>
          <w:sz w:val="20"/>
        </w:rPr>
        <w:t xml:space="preserve"> of certain requirements of the Directiv</w:t>
      </w:r>
      <w:r>
        <w:rPr>
          <w:rFonts w:ascii="Arial" w:eastAsia="Calibri" w:hAnsi="Arial" w:cs="Arial"/>
          <w:noProof/>
          <w:kern w:val="20"/>
          <w:sz w:val="20"/>
        </w:rPr>
        <w:t>e on the energy performance of buildings</w:t>
      </w:r>
      <w:r>
        <w:rPr>
          <w:rStyle w:val="FootnoteReference"/>
          <w:rFonts w:eastAsia="Calibri"/>
          <w:noProof/>
        </w:rPr>
        <w:footnoteReference w:id="284"/>
      </w:r>
      <w:r>
        <w:rPr>
          <w:rFonts w:ascii="Arial" w:eastAsia="Calibri" w:hAnsi="Arial" w:cs="Arial"/>
          <w:noProof/>
          <w:kern w:val="20"/>
          <w:sz w:val="20"/>
        </w:rPr>
        <w:t>.</w:t>
      </w:r>
    </w:p>
    <w:p w:rsidR="001557B7" w:rsidRDefault="00AD3265">
      <w:pPr>
        <w:pStyle w:val="kop2"/>
        <w:numPr>
          <w:ilvl w:val="0"/>
          <w:numId w:val="26"/>
        </w:numPr>
        <w:spacing w:before="360" w:after="240"/>
        <w:ind w:left="709" w:hanging="425"/>
        <w:rPr>
          <w:caps w:val="0"/>
          <w:noProof/>
        </w:rPr>
      </w:pPr>
      <w:r>
        <w:rPr>
          <w:noProof/>
        </w:rPr>
        <w:t>IMPORTANT</w:t>
      </w:r>
      <w:r>
        <w:rPr>
          <w:caps w:val="0"/>
          <w:noProof/>
        </w:rPr>
        <w:t xml:space="preserve"> JUDGMENTS</w:t>
      </w:r>
    </w:p>
    <w:p w:rsidR="001557B7" w:rsidRDefault="00AD3265">
      <w:pPr>
        <w:pStyle w:val="AnnualReport2"/>
        <w:numPr>
          <w:ilvl w:val="0"/>
          <w:numId w:val="149"/>
        </w:numPr>
        <w:ind w:left="709" w:hanging="425"/>
        <w:rPr>
          <w:noProof/>
        </w:rPr>
      </w:pPr>
      <w:r>
        <w:rPr>
          <w:noProof/>
        </w:rPr>
        <w:t>Court rulings</w:t>
      </w:r>
    </w:p>
    <w:p w:rsidR="001557B7" w:rsidRDefault="00AD3265">
      <w:pPr>
        <w:pStyle w:val="Body"/>
        <w:rPr>
          <w:noProof/>
          <w:lang w:val="en-GB"/>
        </w:rPr>
      </w:pPr>
      <w:r>
        <w:rPr>
          <w:noProof/>
          <w:lang w:val="en-GB"/>
        </w:rPr>
        <w:t>There were no major Court rulings in 2017.</w:t>
      </w:r>
    </w:p>
    <w:p w:rsidR="001557B7" w:rsidRDefault="00AD3265">
      <w:pPr>
        <w:pStyle w:val="AnnualReport2"/>
        <w:numPr>
          <w:ilvl w:val="0"/>
          <w:numId w:val="149"/>
        </w:numPr>
        <w:ind w:left="709" w:hanging="425"/>
        <w:rPr>
          <w:noProof/>
        </w:rPr>
      </w:pPr>
      <w:r>
        <w:rPr>
          <w:noProof/>
        </w:rPr>
        <w:t>Preliminary rulings</w:t>
      </w:r>
    </w:p>
    <w:p w:rsidR="001557B7" w:rsidRDefault="00AD3265">
      <w:pPr>
        <w:pStyle w:val="Body"/>
        <w:ind w:left="709" w:firstLine="0"/>
        <w:rPr>
          <w:noProof/>
          <w:lang w:val="en-GB"/>
        </w:rPr>
      </w:pPr>
      <w:r>
        <w:rPr>
          <w:noProof/>
          <w:lang w:val="en-GB"/>
        </w:rPr>
        <w:t xml:space="preserve">The Court addressed the following preliminary rulings to the French judiciary. </w:t>
      </w:r>
    </w:p>
    <w:p w:rsidR="001557B7" w:rsidRDefault="00AD3265">
      <w:pPr>
        <w:pStyle w:val="Lijstje"/>
        <w:numPr>
          <w:ilvl w:val="0"/>
          <w:numId w:val="217"/>
        </w:numPr>
        <w:tabs>
          <w:tab w:val="left" w:pos="1560"/>
          <w:tab w:val="left" w:pos="1843"/>
        </w:tabs>
        <w:spacing w:after="0"/>
        <w:rPr>
          <w:noProof/>
          <w:szCs w:val="22"/>
        </w:rPr>
      </w:pPr>
      <w:r>
        <w:rPr>
          <w:noProof/>
        </w:rPr>
        <w:t>Concertation on price and quantities between several organisations of agricultural producers and associations of such organisations may constitute an agreement, decision or concerted practice for the purposes of competition law. However, such practice is p</w:t>
      </w:r>
      <w:r>
        <w:rPr>
          <w:noProof/>
        </w:rPr>
        <w:t xml:space="preserve">ermitted within the same producer </w:t>
      </w:r>
      <w:r>
        <w:rPr>
          <w:bCs/>
          <w:noProof/>
        </w:rPr>
        <w:t>organisation</w:t>
      </w:r>
      <w:r>
        <w:rPr>
          <w:noProof/>
        </w:rPr>
        <w:t xml:space="preserve"> or association of producer organisations if it is proportionate to the objectives assigned to that organisation. </w:t>
      </w:r>
      <w:r>
        <w:rPr>
          <w:noProof/>
          <w:szCs w:val="22"/>
        </w:rPr>
        <w:t>Such practice is not proportionate to the objectives of stabilising prices and concentrating sup</w:t>
      </w:r>
      <w:r>
        <w:rPr>
          <w:noProof/>
          <w:szCs w:val="22"/>
        </w:rPr>
        <w:t>ply if the collective fixing of minimum sale prices within a producer organisation or association of producer organisations:</w:t>
      </w:r>
    </w:p>
    <w:p w:rsidR="001557B7" w:rsidRDefault="00AD3265">
      <w:pPr>
        <w:numPr>
          <w:ilvl w:val="0"/>
          <w:numId w:val="218"/>
        </w:numPr>
        <w:tabs>
          <w:tab w:val="left" w:pos="1560"/>
          <w:tab w:val="left" w:pos="1843"/>
        </w:tabs>
        <w:spacing w:after="0"/>
        <w:rPr>
          <w:rFonts w:ascii="Arial" w:eastAsia="Calibri" w:hAnsi="Arial" w:cs="Arial"/>
          <w:noProof/>
          <w:kern w:val="20"/>
          <w:sz w:val="20"/>
          <w:szCs w:val="22"/>
        </w:rPr>
      </w:pPr>
      <w:r>
        <w:rPr>
          <w:rFonts w:ascii="Arial" w:eastAsia="Calibri" w:hAnsi="Arial" w:cs="Arial"/>
          <w:noProof/>
          <w:kern w:val="20"/>
          <w:sz w:val="20"/>
          <w:szCs w:val="22"/>
        </w:rPr>
        <w:t xml:space="preserve">does not allow producers to sell their own products at a lower price than those minimum prices; and </w:t>
      </w:r>
    </w:p>
    <w:p w:rsidR="001557B7" w:rsidRDefault="00AD3265">
      <w:pPr>
        <w:pStyle w:val="Lijstje2"/>
        <w:numPr>
          <w:ilvl w:val="0"/>
          <w:numId w:val="218"/>
        </w:numPr>
        <w:spacing w:after="0"/>
        <w:contextualSpacing w:val="0"/>
        <w:rPr>
          <w:rFonts w:ascii="Arial" w:hAnsi="Arial" w:cs="Arial"/>
          <w:noProof/>
          <w:lang w:val="en-GB"/>
        </w:rPr>
      </w:pPr>
      <w:r>
        <w:rPr>
          <w:rFonts w:ascii="Arial" w:eastAsia="Times New Roman" w:hAnsi="Arial" w:cs="Arial"/>
          <w:noProof/>
          <w:kern w:val="0"/>
          <w:lang w:val="en-GB" w:eastAsia="en-GB"/>
        </w:rPr>
        <w:t>has the effect of reducing the</w:t>
      </w:r>
      <w:r>
        <w:rPr>
          <w:rFonts w:ascii="Arial" w:eastAsia="Times New Roman" w:hAnsi="Arial" w:cs="Arial"/>
          <w:noProof/>
          <w:kern w:val="0"/>
          <w:lang w:val="en-GB" w:eastAsia="en-GB"/>
        </w:rPr>
        <w:t xml:space="preserve"> already low level of competition in the markets for agricultural products</w:t>
      </w:r>
      <w:r>
        <w:rPr>
          <w:rStyle w:val="FootnoteReference"/>
          <w:rFonts w:ascii="Arial" w:hAnsi="Arial" w:cs="Arial"/>
          <w:noProof/>
          <w:lang w:val="en-GB"/>
        </w:rPr>
        <w:footnoteReference w:id="285"/>
      </w:r>
      <w:r>
        <w:rPr>
          <w:rFonts w:ascii="Arial" w:hAnsi="Arial" w:cs="Arial"/>
          <w:noProof/>
          <w:lang w:val="en-GB"/>
        </w:rPr>
        <w:t>.</w:t>
      </w:r>
    </w:p>
    <w:p w:rsidR="001557B7" w:rsidRDefault="00AD3265">
      <w:pPr>
        <w:pStyle w:val="Lijstje2"/>
        <w:numPr>
          <w:ilvl w:val="0"/>
          <w:numId w:val="216"/>
        </w:numPr>
        <w:spacing w:before="120" w:after="0"/>
        <w:contextualSpacing w:val="0"/>
        <w:rPr>
          <w:rFonts w:ascii="Arial" w:hAnsi="Arial"/>
          <w:bCs/>
          <w:noProof/>
          <w:lang w:val="en-GB"/>
        </w:rPr>
      </w:pPr>
      <w:r>
        <w:rPr>
          <w:rFonts w:ascii="Arial" w:hAnsi="Arial"/>
          <w:bCs/>
          <w:noProof/>
          <w:lang w:val="en-GB"/>
        </w:rPr>
        <w:t>Member States may establish gas storage requirements which go beyond the minimum standard established by the Security of Gas Supply Regulation, provided that all the proportionali</w:t>
      </w:r>
      <w:r>
        <w:rPr>
          <w:rFonts w:ascii="Arial" w:hAnsi="Arial"/>
          <w:bCs/>
          <w:noProof/>
          <w:lang w:val="en-GB"/>
        </w:rPr>
        <w:t>ty conditions of the Regulation are met. The Court further clarified that operators must have the effective possibility to satisfy their gas storage obligations at regional or EU level</w:t>
      </w:r>
      <w:r>
        <w:rPr>
          <w:rStyle w:val="FootnoteReference"/>
          <w:noProof/>
          <w:lang w:val="en-GB"/>
        </w:rPr>
        <w:footnoteReference w:id="286"/>
      </w:r>
      <w:r>
        <w:rPr>
          <w:rFonts w:ascii="Arial" w:hAnsi="Arial"/>
          <w:bCs/>
          <w:noProof/>
          <w:lang w:val="en-GB"/>
        </w:rPr>
        <w:t>.</w:t>
      </w:r>
    </w:p>
    <w:p w:rsidR="001557B7" w:rsidRDefault="00AD3265">
      <w:pPr>
        <w:pStyle w:val="Lijstje2"/>
        <w:spacing w:before="120"/>
        <w:ind w:left="1276" w:hanging="425"/>
        <w:contextualSpacing w:val="0"/>
        <w:rPr>
          <w:rFonts w:ascii="Arial" w:hAnsi="Arial"/>
          <w:noProof/>
          <w:lang w:val="en-GB"/>
        </w:rPr>
      </w:pPr>
      <w:r>
        <w:rPr>
          <w:rFonts w:ascii="Arial" w:hAnsi="Arial"/>
          <w:bCs/>
          <w:noProof/>
          <w:lang w:val="en-GB"/>
        </w:rPr>
        <w:t>The case concerned a refusal to issue a router for access to the priv</w:t>
      </w:r>
      <w:r>
        <w:rPr>
          <w:rFonts w:ascii="Arial" w:hAnsi="Arial"/>
          <w:bCs/>
          <w:noProof/>
          <w:lang w:val="en-GB"/>
        </w:rPr>
        <w:t>ate virtual network for lawyers to a lawyer duly registered at a Bar of another Member State, for the sole reason that that lawyer is not registered at a Bar of the first Member State, in which he wishes to practise his profession as a free provider of ser</w:t>
      </w:r>
      <w:r>
        <w:rPr>
          <w:rFonts w:ascii="Arial" w:hAnsi="Arial"/>
          <w:bCs/>
          <w:noProof/>
          <w:lang w:val="en-GB"/>
        </w:rPr>
        <w:t>vices. The Court held that the refusal constitutes a restriction on the freedom to provide services under Council Directive 77/249/EEC</w:t>
      </w:r>
      <w:r>
        <w:rPr>
          <w:rStyle w:val="FootnoteReference"/>
          <w:noProof/>
          <w:lang w:val="en-GB"/>
        </w:rPr>
        <w:footnoteReference w:id="287"/>
      </w:r>
      <w:r>
        <w:rPr>
          <w:rFonts w:ascii="Arial" w:hAnsi="Arial"/>
          <w:bCs/>
          <w:noProof/>
          <w:lang w:val="en-GB"/>
        </w:rPr>
        <w:t>.</w:t>
      </w:r>
    </w:p>
    <w:p w:rsidR="001557B7" w:rsidRDefault="00AD3265">
      <w:pPr>
        <w:pStyle w:val="Lijstje2"/>
        <w:spacing w:before="120"/>
        <w:ind w:left="1276" w:hanging="425"/>
        <w:contextualSpacing w:val="0"/>
        <w:rPr>
          <w:rFonts w:ascii="Arial" w:hAnsi="Arial"/>
          <w:noProof/>
          <w:lang w:val="en-GB"/>
        </w:rPr>
      </w:pPr>
      <w:r>
        <w:rPr>
          <w:rFonts w:ascii="Arial" w:hAnsi="Arial"/>
          <w:noProof/>
          <w:lang w:val="en-GB"/>
        </w:rPr>
        <w:t>The Parent-Subsidiary Directive</w:t>
      </w:r>
      <w:r>
        <w:rPr>
          <w:rStyle w:val="FootnoteReference"/>
          <w:rFonts w:ascii="Arial" w:hAnsi="Arial"/>
          <w:noProof/>
          <w:lang w:val="en-GB"/>
        </w:rPr>
        <w:footnoteReference w:id="288"/>
      </w:r>
      <w:r>
        <w:rPr>
          <w:rFonts w:ascii="Arial" w:hAnsi="Arial"/>
          <w:noProof/>
          <w:lang w:val="en-GB"/>
        </w:rPr>
        <w:t xml:space="preserve"> precludes a tax measure providing for the levy of a tax  </w:t>
      </w:r>
      <w:r>
        <w:rPr>
          <w:rFonts w:ascii="Arial" w:hAnsi="Arial" w:cs="Arial"/>
          <w:noProof/>
          <w:lang w:val="en-GB"/>
        </w:rPr>
        <w:t>on dividends redistributed by</w:t>
      </w:r>
      <w:r>
        <w:rPr>
          <w:rFonts w:ascii="Arial" w:hAnsi="Arial" w:cs="Arial"/>
          <w:noProof/>
          <w:lang w:val="en-GB"/>
        </w:rPr>
        <w:t xml:space="preserve"> a French parent company </w:t>
      </w:r>
      <w:r>
        <w:rPr>
          <w:rFonts w:ascii="Arial" w:hAnsi="Arial"/>
          <w:noProof/>
          <w:lang w:val="en-GB"/>
        </w:rPr>
        <w:t>coming from that company’s non-resident subsidiaries</w:t>
      </w:r>
      <w:r>
        <w:rPr>
          <w:rStyle w:val="FootnoteReference"/>
          <w:rFonts w:ascii="Arial" w:eastAsia="Times New Roman" w:hAnsi="Arial" w:cs="Arial"/>
          <w:bCs/>
          <w:noProof/>
          <w:kern w:val="0"/>
          <w:lang w:val="en-GB"/>
        </w:rPr>
        <w:footnoteReference w:id="289"/>
      </w:r>
      <w:r>
        <w:rPr>
          <w:rFonts w:ascii="Arial" w:hAnsi="Arial"/>
          <w:noProof/>
          <w:lang w:val="en-GB"/>
        </w:rPr>
        <w:t>.</w:t>
      </w:r>
    </w:p>
    <w:p w:rsidR="001557B7" w:rsidRDefault="00AD3265">
      <w:pPr>
        <w:pStyle w:val="Lijstje2"/>
        <w:spacing w:before="120"/>
        <w:ind w:left="1276" w:hanging="425"/>
        <w:contextualSpacing w:val="0"/>
        <w:rPr>
          <w:rFonts w:ascii="Arial" w:hAnsi="Arial"/>
          <w:noProof/>
          <w:lang w:val="en-GB"/>
        </w:rPr>
      </w:pPr>
      <w:r>
        <w:rPr>
          <w:rFonts w:ascii="Arial" w:hAnsi="Arial" w:cs="Arial"/>
          <w:noProof/>
          <w:lang w:val="en-GB"/>
        </w:rPr>
        <w:t>An E101 or A1 certificate issued by a competent authority in view of the posting of workers (in accordance with Regulation 883/2004) is binding on both the social security inst</w:t>
      </w:r>
      <w:r>
        <w:rPr>
          <w:rFonts w:ascii="Arial" w:hAnsi="Arial" w:cs="Arial"/>
          <w:noProof/>
          <w:lang w:val="en-GB"/>
        </w:rPr>
        <w:t>itutions of the Member State in which the work is carried out and the courts of that Member State. This remains so even if those courts find that the worker’s employment conditions clearly demonstrate that he does not fall under the category of posted work</w:t>
      </w:r>
      <w:r>
        <w:rPr>
          <w:rFonts w:ascii="Arial" w:hAnsi="Arial" w:cs="Arial"/>
          <w:noProof/>
          <w:lang w:val="en-GB"/>
        </w:rPr>
        <w:t>ers</w:t>
      </w:r>
      <w:r>
        <w:rPr>
          <w:rStyle w:val="FootnoteReference"/>
          <w:rFonts w:ascii="Arial" w:hAnsi="Arial" w:cs="Arial"/>
          <w:noProof/>
          <w:lang w:val="en-GB"/>
        </w:rPr>
        <w:footnoteReference w:id="290"/>
      </w:r>
      <w:r>
        <w:rPr>
          <w:rFonts w:ascii="Arial" w:hAnsi="Arial" w:cs="Arial"/>
          <w:noProof/>
          <w:lang w:val="en-GB"/>
        </w:rPr>
        <w:t>.</w:t>
      </w:r>
    </w:p>
    <w:p w:rsidR="001557B7" w:rsidRDefault="001557B7">
      <w:pPr>
        <w:pStyle w:val="Lijstje2"/>
        <w:numPr>
          <w:ilvl w:val="0"/>
          <w:numId w:val="0"/>
        </w:numPr>
        <w:rPr>
          <w:rFonts w:ascii="Arial" w:hAnsi="Arial" w:cs="Arial"/>
          <w:i/>
          <w:noProof/>
          <w:lang w:val="en-GB"/>
        </w:rPr>
      </w:pPr>
    </w:p>
    <w:p w:rsidR="001557B7" w:rsidRDefault="001557B7">
      <w:pPr>
        <w:pStyle w:val="Lijstje2"/>
        <w:numPr>
          <w:ilvl w:val="0"/>
          <w:numId w:val="0"/>
        </w:numPr>
        <w:rPr>
          <w:rFonts w:ascii="Arial" w:hAnsi="Arial" w:cs="Arial"/>
          <w:noProof/>
          <w:lang w:val="en-GB"/>
        </w:rPr>
        <w:sectPr w:rsidR="001557B7">
          <w:headerReference w:type="even" r:id="rId189"/>
          <w:headerReference w:type="default" r:id="rId190"/>
          <w:footerReference w:type="even" r:id="rId191"/>
          <w:footerReference w:type="default" r:id="rId192"/>
          <w:headerReference w:type="first" r:id="rId193"/>
          <w:footerReference w:type="first" r:id="rId194"/>
          <w:footnotePr>
            <w:numRestart w:val="eachSect"/>
          </w:footnotePr>
          <w:pgSz w:w="11906" w:h="16838"/>
          <w:pgMar w:top="1701" w:right="1417" w:bottom="1134" w:left="1417" w:header="567" w:footer="351" w:gutter="0"/>
          <w:cols w:space="708"/>
          <w:titlePg/>
          <w:docGrid w:linePitch="360"/>
        </w:sectPr>
      </w:pPr>
    </w:p>
    <w:p w:rsidR="001557B7" w:rsidRDefault="00AD3265">
      <w:pPr>
        <w:pStyle w:val="Heading1"/>
        <w:rPr>
          <w:noProof/>
          <w:szCs w:val="24"/>
        </w:rPr>
      </w:pPr>
      <w:bookmarkStart w:id="87" w:name="_Toc444769587"/>
      <w:bookmarkStart w:id="88" w:name="_Toc444772043"/>
      <w:bookmarkStart w:id="89" w:name="_Toc444773362"/>
      <w:bookmarkStart w:id="90" w:name="_Toc444776734"/>
      <w:bookmarkStart w:id="91" w:name="_Toc475974641"/>
      <w:bookmarkStart w:id="92" w:name="_Toc475980137"/>
      <w:bookmarkStart w:id="93" w:name="_Toc475981386"/>
      <w:bookmarkStart w:id="94" w:name="_Toc484622327"/>
      <w:bookmarkStart w:id="95" w:name="_Toc510015276"/>
      <w:bookmarkStart w:id="96" w:name="_Toc444769594"/>
      <w:bookmarkStart w:id="97" w:name="_Toc444772050"/>
      <w:bookmarkStart w:id="98" w:name="_Toc444773369"/>
      <w:bookmarkStart w:id="99" w:name="_Toc444776741"/>
      <w:bookmarkStart w:id="100" w:name="_Toc475974648"/>
      <w:bookmarkStart w:id="101" w:name="_Toc475980144"/>
      <w:bookmarkStart w:id="102" w:name="_Toc475981393"/>
      <w:r>
        <w:rPr>
          <w:noProof/>
          <w:szCs w:val="24"/>
        </w:rPr>
        <w:t>Croatia</w:t>
      </w:r>
      <w:bookmarkEnd w:id="87"/>
      <w:bookmarkEnd w:id="88"/>
      <w:bookmarkEnd w:id="89"/>
      <w:bookmarkEnd w:id="90"/>
      <w:bookmarkEnd w:id="91"/>
      <w:bookmarkEnd w:id="92"/>
      <w:bookmarkEnd w:id="93"/>
      <w:bookmarkEnd w:id="94"/>
      <w:bookmarkEnd w:id="95"/>
    </w:p>
    <w:p w:rsidR="001557B7" w:rsidRDefault="00AD3265">
      <w:pPr>
        <w:pStyle w:val="kop2"/>
        <w:numPr>
          <w:ilvl w:val="0"/>
          <w:numId w:val="17"/>
        </w:numPr>
        <w:spacing w:before="360" w:after="240"/>
        <w:ind w:left="709" w:hanging="425"/>
        <w:rPr>
          <w:noProof/>
        </w:rPr>
      </w:pPr>
      <w:r>
        <w:rPr>
          <w:noProof/>
        </w:rPr>
        <w:t>COMPLAINTS</w:t>
      </w:r>
    </w:p>
    <w:p w:rsidR="001557B7" w:rsidRDefault="00AD3265">
      <w:pPr>
        <w:pStyle w:val="AnnualReport2"/>
        <w:numPr>
          <w:ilvl w:val="0"/>
          <w:numId w:val="128"/>
        </w:numPr>
        <w:ind w:left="709" w:hanging="425"/>
        <w:rPr>
          <w:noProof/>
        </w:rPr>
      </w:pPr>
      <w:r>
        <w:rPr>
          <w:noProof/>
        </w:rPr>
        <w:t>New complaints made against Croatia by members of the public (2013-2017)</w:t>
      </w:r>
      <w:r>
        <w:rPr>
          <w:rStyle w:val="FootnoteReference"/>
          <w:noProof/>
        </w:rPr>
        <w:footnoteReference w:id="291"/>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692F2872" wp14:editId="512F9A18">
            <wp:extent cx="4612005" cy="2234565"/>
            <wp:effectExtent l="0" t="0" r="0" b="0"/>
            <wp:docPr id="95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1557B7" w:rsidRDefault="00AD3265">
      <w:pPr>
        <w:pStyle w:val="AnnualReport2"/>
        <w:numPr>
          <w:ilvl w:val="0"/>
          <w:numId w:val="128"/>
        </w:numPr>
        <w:ind w:left="709" w:hanging="425"/>
        <w:rPr>
          <w:noProof/>
        </w:rPr>
      </w:pPr>
      <w:r>
        <w:rPr>
          <w:noProof/>
        </w:rPr>
        <w:t>Public complaints against Croatia open at year-end</w:t>
      </w:r>
    </w:p>
    <w:tbl>
      <w:tblPr>
        <w:tblW w:w="0" w:type="auto"/>
        <w:jc w:val="center"/>
        <w:tblLook w:val="04A0" w:firstRow="1" w:lastRow="0" w:firstColumn="1" w:lastColumn="0" w:noHBand="0" w:noVBand="1"/>
      </w:tblPr>
      <w:tblGrid>
        <w:gridCol w:w="1697"/>
        <w:gridCol w:w="355"/>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77</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65</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 xml:space="preserve"> 73</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69</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1557B7" w:rsidRDefault="00AD3265">
      <w:pPr>
        <w:pStyle w:val="AnnualReport2"/>
        <w:numPr>
          <w:ilvl w:val="0"/>
          <w:numId w:val="128"/>
        </w:numPr>
        <w:ind w:left="709" w:hanging="425"/>
        <w:rPr>
          <w:noProof/>
        </w:rPr>
      </w:pPr>
      <w:r>
        <w:rPr>
          <w:noProof/>
        </w:rPr>
        <w:t>New complaints registered in 2017: main policy areas</w:t>
      </w:r>
    </w:p>
    <w:p w:rsidR="001557B7" w:rsidRDefault="001557B7">
      <w:pPr>
        <w:spacing w:after="120"/>
        <w:ind w:firstLine="709"/>
        <w:rPr>
          <w:rFonts w:ascii="Arial" w:hAnsi="Arial" w:cs="Arial"/>
          <w:noProof/>
          <w:sz w:val="20"/>
        </w:rPr>
      </w:pP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2A376E26" wp14:editId="2B898312">
            <wp:extent cx="4627880" cy="2337435"/>
            <wp:effectExtent l="0" t="0" r="20320" b="24765"/>
            <wp:docPr id="1073"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1557B7" w:rsidRDefault="00AD3265">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rsidR="001557B7" w:rsidRDefault="00AD3265">
      <w:pPr>
        <w:keepNext/>
        <w:keepLines/>
        <w:numPr>
          <w:ilvl w:val="0"/>
          <w:numId w:val="1"/>
        </w:numPr>
        <w:spacing w:before="24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rsidR="001557B7" w:rsidRDefault="00AD3265">
      <w:pPr>
        <w:pStyle w:val="AnnualReport2"/>
        <w:numPr>
          <w:ilvl w:val="0"/>
          <w:numId w:val="129"/>
        </w:numPr>
        <w:ind w:left="709" w:hanging="425"/>
        <w:rPr>
          <w:noProof/>
        </w:rPr>
      </w:pPr>
      <w:r>
        <w:rPr>
          <w:noProof/>
        </w:rPr>
        <w:t>New EU Pilot files opened against Croatia (2013-2017)</w:t>
      </w:r>
    </w:p>
    <w:p w:rsidR="001557B7" w:rsidRDefault="00AD3265">
      <w:pPr>
        <w:tabs>
          <w:tab w:val="left" w:pos="0"/>
        </w:tabs>
        <w:spacing w:after="120"/>
        <w:ind w:firstLine="709"/>
        <w:rPr>
          <w:rFonts w:ascii="Arial" w:hAnsi="Arial" w:cs="Arial"/>
          <w:noProof/>
          <w:sz w:val="20"/>
        </w:rPr>
      </w:pPr>
      <w:r>
        <w:rPr>
          <w:rFonts w:ascii="Arial" w:hAnsi="Arial" w:cs="Arial"/>
          <w:noProof/>
          <w:sz w:val="20"/>
          <w:lang w:eastAsia="en-GB"/>
        </w:rPr>
        <w:drawing>
          <wp:inline distT="0" distB="0" distL="0" distR="0" wp14:anchorId="55760628" wp14:editId="2BD70459">
            <wp:extent cx="4603750" cy="2250440"/>
            <wp:effectExtent l="0" t="0" r="0" b="0"/>
            <wp:docPr id="95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1557B7" w:rsidRDefault="00AD3265">
      <w:pPr>
        <w:pStyle w:val="AnnualReport2"/>
        <w:numPr>
          <w:ilvl w:val="0"/>
          <w:numId w:val="129"/>
        </w:numPr>
        <w:ind w:left="709" w:hanging="425"/>
        <w:rPr>
          <w:noProof/>
        </w:rPr>
      </w:pPr>
      <w:r>
        <w:rPr>
          <w:noProof/>
        </w:rPr>
        <w:t>Files relating to Croatia open in EU Pilot at year-end</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72CE9FAC" wp14:editId="7BD0856A">
            <wp:extent cx="4603750" cy="2250440"/>
            <wp:effectExtent l="0" t="0" r="0" b="0"/>
            <wp:docPr id="11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1557B7" w:rsidRDefault="00AD3265">
      <w:pPr>
        <w:pStyle w:val="AnnualReport2"/>
        <w:numPr>
          <w:ilvl w:val="0"/>
          <w:numId w:val="129"/>
        </w:numPr>
        <w:ind w:left="709" w:hanging="425"/>
        <w:rPr>
          <w:noProof/>
        </w:rPr>
      </w:pPr>
      <w:r>
        <w:rPr>
          <w:noProof/>
        </w:rPr>
        <w:t>New EU Pilot</w:t>
      </w:r>
      <w:r>
        <w:rPr>
          <w:noProof/>
        </w:rPr>
        <w:t xml:space="preserve"> files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99B1DFC" wp14:editId="1EDA045F">
            <wp:extent cx="4643755" cy="2425065"/>
            <wp:effectExtent l="0" t="0" r="23495" b="13335"/>
            <wp:docPr id="116"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1557B7" w:rsidRDefault="00AD3265">
      <w:pPr>
        <w:pStyle w:val="AnnualReport2"/>
        <w:numPr>
          <w:ilvl w:val="0"/>
          <w:numId w:val="129"/>
        </w:numPr>
        <w:ind w:left="709" w:hanging="425"/>
        <w:rPr>
          <w:noProof/>
        </w:rPr>
      </w:pPr>
      <w:r>
        <w:rPr>
          <w:rStyle w:val="AnnualReport2Char"/>
          <w:noProof/>
        </w:rPr>
        <w:t>EU Pilot files: Croatia’s resolution rate in 2013-2017</w:t>
      </w:r>
      <w:r>
        <w:rPr>
          <w:rStyle w:val="FootnoteReference"/>
          <w:noProof/>
        </w:rPr>
        <w:footnoteReference w:id="292"/>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2CE6705A" wp14:editId="1F70FD3F">
            <wp:extent cx="4587875" cy="2178685"/>
            <wp:effectExtent l="0" t="0" r="0" b="0"/>
            <wp:docPr id="11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rsidR="001557B7" w:rsidRDefault="00AD3265">
      <w:pPr>
        <w:pStyle w:val="AnnualReport2"/>
        <w:numPr>
          <w:ilvl w:val="0"/>
          <w:numId w:val="124"/>
        </w:numPr>
        <w:ind w:left="709" w:hanging="425"/>
        <w:rPr>
          <w:noProof/>
        </w:rPr>
      </w:pPr>
      <w:r>
        <w:rPr>
          <w:noProof/>
        </w:rPr>
        <w:t>Infringement cases against Croatia open on 31 December (2014-2017)</w:t>
      </w:r>
    </w:p>
    <w:p w:rsidR="001557B7" w:rsidRDefault="00AD3265">
      <w:pPr>
        <w:spacing w:after="120"/>
        <w:ind w:left="709"/>
        <w:rPr>
          <w:rFonts w:ascii="Arial" w:hAnsi="Arial" w:cs="Arial"/>
          <w:noProof/>
          <w:sz w:val="20"/>
        </w:rPr>
      </w:pPr>
      <w:r>
        <w:rPr>
          <w:rFonts w:ascii="Arial" w:hAnsi="Arial" w:cs="Arial"/>
          <w:noProof/>
          <w:sz w:val="20"/>
          <w:lang w:eastAsia="en-GB"/>
        </w:rPr>
        <w:drawing>
          <wp:inline distT="0" distB="0" distL="0" distR="0" wp14:anchorId="4CB0177A" wp14:editId="1A818900">
            <wp:extent cx="4612005" cy="2154555"/>
            <wp:effectExtent l="0" t="0" r="0" b="0"/>
            <wp:docPr id="118"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1557B7" w:rsidRDefault="00AD3265">
      <w:pPr>
        <w:pStyle w:val="AnnualReport2"/>
        <w:numPr>
          <w:ilvl w:val="0"/>
          <w:numId w:val="124"/>
        </w:numPr>
        <w:ind w:left="709" w:hanging="425"/>
        <w:rPr>
          <w:noProof/>
        </w:rPr>
      </w:pPr>
      <w:r>
        <w:rPr>
          <w:noProof/>
        </w:rPr>
        <w:t>New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76718B21" wp14:editId="7CF371C9">
            <wp:extent cx="4881880" cy="2385695"/>
            <wp:effectExtent l="0" t="0" r="13970" b="14605"/>
            <wp:docPr id="119" name="Object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1557B7" w:rsidRDefault="00AD3265">
      <w:pPr>
        <w:pStyle w:val="AnnualReport2"/>
        <w:numPr>
          <w:ilvl w:val="0"/>
          <w:numId w:val="124"/>
        </w:numPr>
        <w:ind w:left="709" w:hanging="425"/>
        <w:rPr>
          <w:noProof/>
        </w:rPr>
      </w:pPr>
      <w:r>
        <w:rPr>
          <w:noProof/>
        </w:rPr>
        <w:t>Key infr</w:t>
      </w:r>
      <w:r>
        <w:rPr>
          <w:noProof/>
        </w:rPr>
        <w:t>ingement cases and referrals to the Court</w:t>
      </w:r>
    </w:p>
    <w:p w:rsidR="001557B7" w:rsidRDefault="00AD3265">
      <w:pPr>
        <w:pStyle w:val="Lijstje"/>
        <w:numPr>
          <w:ilvl w:val="0"/>
          <w:numId w:val="22"/>
        </w:numPr>
        <w:ind w:left="1276" w:hanging="425"/>
        <w:rPr>
          <w:noProof/>
        </w:rPr>
      </w:pPr>
      <w:r>
        <w:rPr>
          <w:noProof/>
        </w:rPr>
        <w:t>The Commission opened 33 new infringement cases against Croatia in 2017. These, and other major ongoing infringement cases, include:</w:t>
      </w:r>
    </w:p>
    <w:p w:rsidR="001557B7" w:rsidRDefault="00AD3265">
      <w:pPr>
        <w:pStyle w:val="Lijstje2"/>
        <w:spacing w:after="0"/>
        <w:ind w:left="1843" w:hanging="425"/>
        <w:rPr>
          <w:rFonts w:ascii="Arial" w:hAnsi="Arial" w:cs="Arial"/>
          <w:noProof/>
          <w:lang w:val="en-GB"/>
        </w:rPr>
      </w:pPr>
      <w:r>
        <w:rPr>
          <w:rFonts w:ascii="Arial" w:hAnsi="Arial" w:cs="Arial"/>
          <w:noProof/>
          <w:lang w:val="en-GB"/>
        </w:rPr>
        <w:t>non-</w:t>
      </w:r>
      <w:r>
        <w:rPr>
          <w:rFonts w:ascii="Arial" w:hAnsi="Arial"/>
          <w:noProof/>
          <w:lang w:val="en-GB"/>
        </w:rPr>
        <w:t>communication</w:t>
      </w:r>
      <w:r>
        <w:rPr>
          <w:rFonts w:ascii="Arial" w:hAnsi="Arial" w:cs="Arial"/>
          <w:noProof/>
          <w:lang w:val="en-GB"/>
        </w:rPr>
        <w:t xml:space="preserve"> of national measures transposing the:</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 xml:space="preserve">Seasonal Workers </w:t>
      </w:r>
      <w:r>
        <w:rPr>
          <w:rFonts w:ascii="Arial" w:hAnsi="Arial" w:cs="Arial"/>
          <w:noProof/>
          <w:sz w:val="20"/>
        </w:rPr>
        <w:t>Directive</w:t>
      </w:r>
      <w:r>
        <w:rPr>
          <w:rStyle w:val="FootnoteReference"/>
          <w:rFonts w:ascii="Arial" w:hAnsi="Arial" w:cs="Arial"/>
          <w:noProof/>
          <w:sz w:val="20"/>
        </w:rPr>
        <w:footnoteReference w:id="293"/>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Spatial Planning Directive</w:t>
      </w:r>
      <w:r>
        <w:rPr>
          <w:rStyle w:val="FootnoteReference"/>
          <w:rFonts w:ascii="Arial" w:hAnsi="Arial" w:cs="Arial"/>
          <w:noProof/>
          <w:sz w:val="20"/>
        </w:rPr>
        <w:footnoteReference w:id="294"/>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noProof/>
          <w:sz w:val="20"/>
        </w:rPr>
        <w:t>Markets in Financial Instruments Directive (MiFID II)</w:t>
      </w:r>
      <w:r>
        <w:rPr>
          <w:rStyle w:val="FootnoteReference"/>
          <w:rFonts w:ascii="Arial" w:hAnsi="Arial"/>
          <w:noProof/>
          <w:sz w:val="20"/>
        </w:rPr>
        <w:footnoteReference w:id="295"/>
      </w:r>
      <w:r>
        <w:rPr>
          <w:rFonts w:ascii="Arial" w:hAnsi="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noProof/>
          <w:sz w:val="20"/>
        </w:rPr>
        <w:t>Payment Accounts Directive</w:t>
      </w:r>
      <w:r>
        <w:rPr>
          <w:rStyle w:val="FootnoteReference"/>
          <w:rFonts w:ascii="Arial" w:hAnsi="Arial"/>
          <w:noProof/>
          <w:sz w:val="20"/>
        </w:rPr>
        <w:footnoteReference w:id="296"/>
      </w:r>
      <w:r>
        <w:rPr>
          <w:rFonts w:ascii="Arial" w:hAnsi="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noProof/>
          <w:sz w:val="20"/>
        </w:rPr>
        <w:t>Directive</w:t>
      </w:r>
      <w:r>
        <w:rPr>
          <w:rFonts w:ascii="Arial" w:hAnsi="Arial" w:cs="Arial"/>
          <w:noProof/>
          <w:sz w:val="20"/>
        </w:rPr>
        <w:t xml:space="preserve"> on seafarers</w:t>
      </w:r>
      <w:r>
        <w:rPr>
          <w:rStyle w:val="FootnoteReference"/>
          <w:rFonts w:ascii="Arial" w:hAnsi="Arial" w:cs="Arial"/>
          <w:noProof/>
          <w:sz w:val="20"/>
        </w:rPr>
        <w:footnoteReference w:id="297"/>
      </w:r>
      <w:r>
        <w:rPr>
          <w:rFonts w:ascii="Arial" w:hAnsi="Arial" w:cs="Arial"/>
          <w:noProof/>
          <w:sz w:val="20"/>
        </w:rPr>
        <w:t>;</w:t>
      </w:r>
    </w:p>
    <w:p w:rsidR="001557B7" w:rsidRDefault="00AD3265">
      <w:pPr>
        <w:numPr>
          <w:ilvl w:val="2"/>
          <w:numId w:val="2"/>
        </w:numPr>
        <w:spacing w:after="0"/>
        <w:ind w:left="2410" w:hanging="425"/>
        <w:contextualSpacing/>
        <w:rPr>
          <w:rFonts w:ascii="Arial" w:hAnsi="Arial"/>
          <w:noProof/>
          <w:sz w:val="20"/>
        </w:rPr>
      </w:pPr>
      <w:r>
        <w:rPr>
          <w:rFonts w:ascii="Arial" w:hAnsi="Arial"/>
          <w:noProof/>
          <w:sz w:val="20"/>
        </w:rPr>
        <w:t>Fourth Anti-Money Laundering Directive</w:t>
      </w:r>
      <w:r>
        <w:rPr>
          <w:rStyle w:val="FootnoteReference"/>
          <w:rFonts w:ascii="Arial" w:hAnsi="Arial"/>
          <w:noProof/>
          <w:sz w:val="20"/>
        </w:rPr>
        <w:footnoteReference w:id="298"/>
      </w:r>
      <w:r>
        <w:rPr>
          <w:rFonts w:ascii="Arial" w:hAnsi="Arial"/>
          <w:noProof/>
          <w:sz w:val="20"/>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 xml:space="preserve">failure to correctly fingerprint asylum seekers and irregular </w:t>
      </w:r>
      <w:r>
        <w:rPr>
          <w:rFonts w:ascii="Arial" w:hAnsi="Arial" w:cs="Arial"/>
          <w:noProof/>
          <w:lang w:val="en-GB"/>
        </w:rPr>
        <w:t>migrants apprehended after crossing an external border and to transmit this data to the central Eurodac database</w:t>
      </w:r>
      <w:r>
        <w:rPr>
          <w:rStyle w:val="FootnoteReference"/>
          <w:rFonts w:ascii="Arial" w:hAnsi="Arial" w:cs="Arial"/>
          <w:noProof/>
          <w:lang w:val="en-GB"/>
        </w:rPr>
        <w:footnoteReference w:id="299"/>
      </w:r>
      <w:r>
        <w:rPr>
          <w:rFonts w:ascii="Arial" w:hAnsi="Arial" w:cs="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failing to fully implement the Prüm Decisions, which set up an information-exchange tool that can offer automated comparison of DNA profiles,</w:t>
      </w:r>
      <w:r>
        <w:rPr>
          <w:rFonts w:ascii="Arial" w:hAnsi="Arial" w:cs="Arial"/>
          <w:noProof/>
          <w:lang w:val="en-GB"/>
        </w:rPr>
        <w:t xml:space="preserve"> fingerprint data and vehicle registration </w:t>
      </w:r>
      <w:r>
        <w:rPr>
          <w:rFonts w:ascii="Arial" w:hAnsi="Arial"/>
          <w:noProof/>
          <w:lang w:val="en-GB"/>
        </w:rPr>
        <w:t>data</w:t>
      </w:r>
      <w:r>
        <w:rPr>
          <w:rStyle w:val="FootnoteReference"/>
          <w:rFonts w:ascii="Arial" w:hAnsi="Arial" w:cs="Arial"/>
          <w:noProof/>
          <w:lang w:val="en-GB"/>
        </w:rPr>
        <w:footnoteReference w:id="300"/>
      </w:r>
      <w:r>
        <w:rPr>
          <w:rFonts w:ascii="Arial" w:hAnsi="Arial"/>
          <w:noProof/>
          <w:lang w:val="en-GB"/>
        </w:rPr>
        <w:t>;</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incorrect transposition and implementation of the Third Energy Package Directives (Electricity and Gas Directives);</w:t>
      </w:r>
      <w:r>
        <w:rPr>
          <w:rFonts w:ascii="Arial" w:hAnsi="Arial" w:cs="Arial"/>
          <w:noProof/>
          <w:vertAlign w:val="superscript"/>
          <w:lang w:val="en-GB"/>
        </w:rPr>
        <w:t xml:space="preserve"> </w:t>
      </w:r>
      <w:r>
        <w:rPr>
          <w:rStyle w:val="FootnoteReference"/>
          <w:noProof/>
          <w:lang w:val="en-GB"/>
        </w:rPr>
        <w:footnoteReference w:id="301"/>
      </w:r>
    </w:p>
    <w:p w:rsidR="001557B7" w:rsidRDefault="00AD3265">
      <w:pPr>
        <w:pStyle w:val="Lijstje2"/>
        <w:spacing w:after="200"/>
        <w:ind w:left="1843" w:hanging="426"/>
        <w:rPr>
          <w:rFonts w:ascii="Arial" w:hAnsi="Arial" w:cs="Arial"/>
          <w:noProof/>
          <w:lang w:val="en-GB"/>
        </w:rPr>
      </w:pPr>
      <w:r>
        <w:rPr>
          <w:rFonts w:ascii="Arial" w:hAnsi="Arial" w:cs="Arial"/>
          <w:noProof/>
          <w:lang w:val="en-GB"/>
        </w:rPr>
        <w:t>non-conformity of national legislation with the Birds and Habitats Directives</w:t>
      </w:r>
      <w:r>
        <w:rPr>
          <w:rStyle w:val="FootnoteReference"/>
          <w:rFonts w:ascii="Arial" w:hAnsi="Arial" w:cs="Arial"/>
          <w:noProof/>
          <w:lang w:val="en-GB"/>
        </w:rPr>
        <w:footnoteReference w:id="302"/>
      </w:r>
      <w:r>
        <w:rPr>
          <w:rFonts w:ascii="Arial" w:hAnsi="Arial" w:cs="Arial"/>
          <w:noProof/>
          <w:lang w:val="en-GB"/>
        </w:rPr>
        <w:t>;</w:t>
      </w:r>
    </w:p>
    <w:p w:rsidR="001557B7" w:rsidRDefault="00AD3265">
      <w:pPr>
        <w:pStyle w:val="Lijstje2"/>
        <w:spacing w:after="200"/>
        <w:ind w:left="1843" w:hanging="426"/>
        <w:rPr>
          <w:rFonts w:ascii="Arial" w:hAnsi="Arial"/>
          <w:i/>
          <w:noProof/>
          <w:lang w:val="en-GB"/>
        </w:rPr>
      </w:pPr>
      <w:r>
        <w:rPr>
          <w:rFonts w:ascii="Arial" w:hAnsi="Arial"/>
          <w:noProof/>
          <w:lang w:val="en-GB"/>
        </w:rPr>
        <w:t xml:space="preserve">failure </w:t>
      </w:r>
      <w:r>
        <w:rPr>
          <w:rFonts w:ascii="Arial" w:hAnsi="Arial"/>
          <w:noProof/>
          <w:lang w:val="en-GB"/>
        </w:rPr>
        <w:t>to establish strategic noise maps and action plans required by the Noise Directive</w:t>
      </w:r>
      <w:r>
        <w:rPr>
          <w:rStyle w:val="FootnoteReference"/>
          <w:rFonts w:ascii="Arial" w:hAnsi="Arial"/>
          <w:noProof/>
          <w:lang w:val="en-GB"/>
        </w:rPr>
        <w:footnoteReference w:id="303"/>
      </w:r>
      <w:r>
        <w:rPr>
          <w:rFonts w:ascii="Arial" w:hAnsi="Arial"/>
          <w:noProof/>
          <w:lang w:val="en-GB"/>
        </w:rPr>
        <w:t>;</w:t>
      </w:r>
    </w:p>
    <w:p w:rsidR="001557B7" w:rsidRDefault="00AD3265">
      <w:pPr>
        <w:pStyle w:val="Lijstje2"/>
        <w:spacing w:after="200"/>
        <w:ind w:left="1843" w:hanging="426"/>
        <w:rPr>
          <w:rFonts w:ascii="Arial" w:hAnsi="Arial" w:cs="Arial"/>
          <w:i/>
          <w:noProof/>
          <w:lang w:val="en-GB"/>
        </w:rPr>
      </w:pPr>
      <w:r>
        <w:rPr>
          <w:rFonts w:ascii="Arial" w:hAnsi="Arial" w:cs="Arial"/>
          <w:noProof/>
          <w:lang w:val="en-GB"/>
        </w:rPr>
        <w:t>failure to adopt a national programme for spent fuel and radioactive waste management compliant with the requirements of the Radioactive Waste Directive</w:t>
      </w:r>
      <w:r>
        <w:rPr>
          <w:rStyle w:val="FootnoteReference"/>
          <w:rFonts w:ascii="Arial" w:hAnsi="Arial"/>
          <w:noProof/>
          <w:lang w:val="en-GB"/>
        </w:rPr>
        <w:footnoteReference w:id="304"/>
      </w:r>
      <w:r>
        <w:rPr>
          <w:rFonts w:ascii="Arial" w:hAnsi="Arial" w:cs="Arial"/>
          <w:noProof/>
          <w:lang w:val="en-GB"/>
        </w:rPr>
        <w:t>;</w:t>
      </w:r>
    </w:p>
    <w:p w:rsidR="001557B7" w:rsidRDefault="00AD3265">
      <w:pPr>
        <w:pStyle w:val="Lijstje2"/>
        <w:spacing w:after="200"/>
        <w:ind w:left="1843" w:hanging="426"/>
        <w:rPr>
          <w:rFonts w:ascii="Arial" w:hAnsi="Arial" w:cs="Arial"/>
          <w:i/>
          <w:noProof/>
          <w:lang w:val="en-GB"/>
        </w:rPr>
      </w:pPr>
      <w:r>
        <w:rPr>
          <w:rFonts w:ascii="Arial" w:hAnsi="Arial" w:cs="Arial"/>
          <w:noProof/>
          <w:lang w:val="en-GB"/>
        </w:rPr>
        <w:t>failure to devel</w:t>
      </w:r>
      <w:r>
        <w:rPr>
          <w:rFonts w:ascii="Arial" w:hAnsi="Arial" w:cs="Arial"/>
          <w:noProof/>
          <w:lang w:val="en-GB"/>
        </w:rPr>
        <w:t>op and report on the programmes of measures required by the Marine Strategy Framework Directive</w:t>
      </w:r>
      <w:r>
        <w:rPr>
          <w:rStyle w:val="FootnoteReference"/>
          <w:rFonts w:ascii="Arial" w:hAnsi="Arial" w:cs="Arial"/>
          <w:noProof/>
          <w:lang w:val="en-GB"/>
        </w:rPr>
        <w:footnoteReference w:id="305"/>
      </w:r>
      <w:r>
        <w:rPr>
          <w:rFonts w:ascii="Arial" w:hAnsi="Arial" w:cs="Arial"/>
          <w:noProof/>
          <w:lang w:val="en-GB"/>
        </w:rPr>
        <w:t>;</w:t>
      </w:r>
    </w:p>
    <w:p w:rsidR="001557B7" w:rsidRDefault="00AD3265">
      <w:pPr>
        <w:pStyle w:val="Lijstje2"/>
        <w:spacing w:after="200"/>
        <w:ind w:left="1843" w:hanging="426"/>
        <w:rPr>
          <w:rFonts w:ascii="Arial" w:hAnsi="Arial"/>
          <w:noProof/>
          <w:lang w:val="en-GB"/>
        </w:rPr>
      </w:pPr>
      <w:r>
        <w:rPr>
          <w:rFonts w:ascii="Arial" w:hAnsi="Arial"/>
          <w:noProof/>
          <w:lang w:val="en-GB"/>
        </w:rPr>
        <w:t>failure to fully implement EU legislation establishing common rules in the field of aviation security</w:t>
      </w:r>
      <w:r>
        <w:rPr>
          <w:rStyle w:val="FootnoteReference"/>
          <w:rFonts w:ascii="Arial" w:hAnsi="Arial"/>
          <w:noProof/>
          <w:lang w:val="en-GB"/>
        </w:rPr>
        <w:footnoteReference w:id="306"/>
      </w:r>
      <w:r>
        <w:rPr>
          <w:rFonts w:ascii="Arial" w:hAnsi="Arial"/>
          <w:noProof/>
          <w:lang w:val="en-GB"/>
        </w:rPr>
        <w:t>;</w:t>
      </w:r>
    </w:p>
    <w:p w:rsidR="001557B7" w:rsidRDefault="00AD3265">
      <w:pPr>
        <w:pStyle w:val="Lijstje2"/>
        <w:spacing w:after="200"/>
        <w:ind w:left="1843" w:hanging="426"/>
        <w:rPr>
          <w:rFonts w:ascii="Arial" w:hAnsi="Arial"/>
          <w:noProof/>
          <w:lang w:val="en-GB"/>
        </w:rPr>
      </w:pPr>
      <w:r>
        <w:rPr>
          <w:rFonts w:ascii="Arial" w:hAnsi="Arial"/>
          <w:noProof/>
          <w:lang w:val="en-GB"/>
        </w:rPr>
        <w:t>national legislation restricting access to and pursuit</w:t>
      </w:r>
      <w:r>
        <w:rPr>
          <w:rFonts w:ascii="Arial" w:hAnsi="Arial"/>
          <w:noProof/>
          <w:lang w:val="en-GB"/>
        </w:rPr>
        <w:t xml:space="preserve"> of the profession of lawyer</w:t>
      </w:r>
      <w:r>
        <w:rPr>
          <w:rStyle w:val="FootnoteReference"/>
          <w:rFonts w:ascii="Arial" w:hAnsi="Arial"/>
          <w:noProof/>
          <w:lang w:val="en-GB"/>
        </w:rPr>
        <w:footnoteReference w:id="307"/>
      </w:r>
      <w:r>
        <w:rPr>
          <w:rFonts w:ascii="Arial" w:hAnsi="Arial" w:cs="Arial"/>
          <w:noProof/>
          <w:lang w:val="en-GB"/>
        </w:rPr>
        <w:t>.</w:t>
      </w:r>
    </w:p>
    <w:p w:rsidR="001557B7" w:rsidRDefault="00AD3265">
      <w:pPr>
        <w:pStyle w:val="Lijstje"/>
        <w:numPr>
          <w:ilvl w:val="0"/>
          <w:numId w:val="22"/>
        </w:numPr>
        <w:ind w:left="1276" w:hanging="425"/>
        <w:rPr>
          <w:noProof/>
        </w:rPr>
      </w:pPr>
      <w:r>
        <w:rPr>
          <w:noProof/>
        </w:rPr>
        <w:t>The Commission did not refer any cases to the Court under Article 258 TFEU.</w:t>
      </w:r>
    </w:p>
    <w:p w:rsidR="001557B7" w:rsidRDefault="00AD3265">
      <w:pPr>
        <w:pStyle w:val="Lijstje"/>
        <w:numPr>
          <w:ilvl w:val="0"/>
          <w:numId w:val="22"/>
        </w:numPr>
        <w:ind w:left="1276" w:hanging="425"/>
        <w:rPr>
          <w:noProof/>
        </w:rPr>
      </w:pPr>
      <w:r>
        <w:rPr>
          <w:noProof/>
        </w:rPr>
        <w:t>The Commission did not refer any cases to the Court under Article 260(2) TFEU.</w:t>
      </w:r>
    </w:p>
    <w:p w:rsidR="001557B7" w:rsidRDefault="00AD3265">
      <w:pPr>
        <w:spacing w:after="0"/>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rsidR="001557B7" w:rsidRDefault="00AD3265">
      <w:pPr>
        <w:pStyle w:val="AnnualReport2"/>
        <w:numPr>
          <w:ilvl w:val="0"/>
          <w:numId w:val="125"/>
        </w:numPr>
        <w:ind w:left="709" w:hanging="425"/>
        <w:rPr>
          <w:noProof/>
        </w:rPr>
      </w:pPr>
      <w:r>
        <w:rPr>
          <w:noProof/>
        </w:rPr>
        <w:t xml:space="preserve">Late transposition infringement cases </w:t>
      </w:r>
      <w:r>
        <w:rPr>
          <w:noProof/>
        </w:rPr>
        <w:t>against Croatia open on 31 December (2013-2017)</w:t>
      </w:r>
    </w:p>
    <w:p w:rsidR="001557B7" w:rsidRDefault="00AD3265">
      <w:pPr>
        <w:ind w:left="426" w:firstLine="283"/>
        <w:rPr>
          <w:rFonts w:ascii="Arial" w:hAnsi="Arial"/>
          <w:noProof/>
          <w:color w:val="002060"/>
          <w:sz w:val="22"/>
          <w:szCs w:val="22"/>
        </w:rPr>
      </w:pPr>
      <w:r>
        <w:rPr>
          <w:noProof/>
          <w:lang w:eastAsia="en-GB"/>
        </w:rPr>
        <w:drawing>
          <wp:inline distT="0" distB="0" distL="0" distR="0" wp14:anchorId="22613584" wp14:editId="064EC86C">
            <wp:extent cx="4612005" cy="2067560"/>
            <wp:effectExtent l="0" t="0" r="0" b="0"/>
            <wp:docPr id="120"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1557B7" w:rsidRDefault="00AD3265">
      <w:pPr>
        <w:pStyle w:val="AnnualReport2"/>
        <w:numPr>
          <w:ilvl w:val="0"/>
          <w:numId w:val="125"/>
        </w:numPr>
        <w:ind w:left="709" w:hanging="425"/>
        <w:rPr>
          <w:noProof/>
        </w:rPr>
      </w:pPr>
      <w:r>
        <w:rPr>
          <w:noProof/>
        </w:rPr>
        <w:t>New late transposition infringement cases against Croatia (2013-2017)</w:t>
      </w:r>
    </w:p>
    <w:p w:rsidR="001557B7" w:rsidRDefault="00AD3265">
      <w:pPr>
        <w:spacing w:after="120"/>
        <w:ind w:left="709"/>
        <w:rPr>
          <w:rFonts w:ascii="Arial" w:hAnsi="Arial" w:cs="Arial"/>
          <w:noProof/>
          <w:sz w:val="20"/>
        </w:rPr>
      </w:pPr>
      <w:r>
        <w:rPr>
          <w:noProof/>
          <w:lang w:eastAsia="en-GB"/>
        </w:rPr>
        <w:drawing>
          <wp:inline distT="0" distB="0" distL="0" distR="0" wp14:anchorId="176B84F2" wp14:editId="12D7E3C0">
            <wp:extent cx="4612005" cy="2242185"/>
            <wp:effectExtent l="0" t="0" r="0" b="0"/>
            <wp:docPr id="121"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1557B7" w:rsidRDefault="001557B7">
      <w:pPr>
        <w:pStyle w:val="AnnualReport2"/>
        <w:spacing w:before="0" w:after="0"/>
        <w:ind w:left="709" w:firstLine="0"/>
        <w:rPr>
          <w:noProof/>
        </w:rPr>
      </w:pPr>
    </w:p>
    <w:p w:rsidR="001557B7" w:rsidRDefault="00AD3265">
      <w:pPr>
        <w:pStyle w:val="AnnualReport2"/>
        <w:numPr>
          <w:ilvl w:val="0"/>
          <w:numId w:val="125"/>
        </w:numPr>
        <w:spacing w:before="0"/>
        <w:ind w:left="709" w:hanging="425"/>
        <w:rPr>
          <w:noProof/>
        </w:rPr>
      </w:pPr>
      <w:r>
        <w:rPr>
          <w:noProof/>
        </w:rPr>
        <w:t>New late transposition infringement cases opened in 2017: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7F48FA30" wp14:editId="2DB3018B">
            <wp:extent cx="4580255" cy="2250440"/>
            <wp:effectExtent l="0" t="0" r="10795" b="16510"/>
            <wp:docPr id="122" name="Object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1557B7" w:rsidRDefault="00AD3265">
      <w:pPr>
        <w:spacing w:after="0"/>
        <w:jc w:val="left"/>
        <w:rPr>
          <w:rFonts w:ascii="Arial" w:hAnsi="Arial"/>
          <w:noProof/>
          <w:color w:val="002060"/>
          <w:sz w:val="22"/>
          <w:szCs w:val="22"/>
        </w:rPr>
      </w:pPr>
      <w:r>
        <w:rPr>
          <w:noProof/>
        </w:rPr>
        <w:br w:type="page"/>
      </w:r>
    </w:p>
    <w:p w:rsidR="001557B7" w:rsidRDefault="00AD3265">
      <w:pPr>
        <w:pStyle w:val="AnnualReport2"/>
        <w:numPr>
          <w:ilvl w:val="0"/>
          <w:numId w:val="125"/>
        </w:numPr>
        <w:ind w:left="709" w:hanging="425"/>
        <w:rPr>
          <w:noProof/>
        </w:rPr>
      </w:pPr>
      <w:r>
        <w:rPr>
          <w:noProof/>
        </w:rPr>
        <w:t>Referrals to the Court</w:t>
      </w:r>
    </w:p>
    <w:p w:rsidR="001557B7" w:rsidRDefault="00AD3265">
      <w:pPr>
        <w:pStyle w:val="Body"/>
        <w:ind w:left="709" w:firstLine="0"/>
        <w:rPr>
          <w:rFonts w:eastAsia="Calibri"/>
          <w:noProof/>
          <w:lang w:val="en-GB"/>
        </w:rPr>
      </w:pPr>
      <w:r>
        <w:rPr>
          <w:rFonts w:eastAsia="Calibri"/>
          <w:noProof/>
          <w:lang w:val="en-GB"/>
        </w:rPr>
        <w:t xml:space="preserve">The Commission referred two cases </w:t>
      </w:r>
      <w:r>
        <w:rPr>
          <w:rFonts w:eastAsia="Calibri"/>
          <w:noProof/>
          <w:lang w:val="en-GB"/>
        </w:rPr>
        <w:t>to the Court under Articles 258 and 260(3) TFEU. They concerned failure to fully transpose:</w:t>
      </w:r>
    </w:p>
    <w:p w:rsidR="001557B7" w:rsidRDefault="00AD3265">
      <w:pPr>
        <w:pStyle w:val="ListParagraph"/>
        <w:numPr>
          <w:ilvl w:val="1"/>
          <w:numId w:val="34"/>
        </w:numPr>
        <w:ind w:left="1276" w:hanging="425"/>
        <w:rPr>
          <w:rFonts w:ascii="Arial" w:eastAsia="Calibri" w:hAnsi="Arial"/>
          <w:noProof/>
          <w:kern w:val="20"/>
          <w:sz w:val="20"/>
          <w:lang w:eastAsia="en-GB"/>
        </w:rPr>
      </w:pPr>
      <w:r>
        <w:rPr>
          <w:rFonts w:ascii="Arial" w:eastAsia="Calibri" w:hAnsi="Arial"/>
          <w:noProof/>
          <w:kern w:val="20"/>
          <w:sz w:val="20"/>
          <w:lang w:eastAsia="en-GB"/>
        </w:rPr>
        <w:t>the Mortgage Credit Directive</w:t>
      </w:r>
      <w:r>
        <w:rPr>
          <w:rStyle w:val="FootnoteReference"/>
          <w:rFonts w:ascii="Arial" w:eastAsia="Calibri" w:hAnsi="Arial"/>
          <w:noProof/>
          <w:sz w:val="20"/>
        </w:rPr>
        <w:footnoteReference w:id="308"/>
      </w:r>
      <w:r>
        <w:rPr>
          <w:rFonts w:ascii="Arial" w:eastAsia="Calibri" w:hAnsi="Arial"/>
          <w:noProof/>
          <w:kern w:val="20"/>
          <w:sz w:val="20"/>
          <w:lang w:eastAsia="en-GB"/>
        </w:rPr>
        <w:t>;</w:t>
      </w:r>
      <w:r>
        <w:rPr>
          <w:rStyle w:val="FootnoteReference"/>
          <w:rFonts w:ascii="Arial" w:eastAsia="Calibri" w:hAnsi="Arial"/>
          <w:noProof/>
          <w:sz w:val="20"/>
        </w:rPr>
        <w:t xml:space="preserve"> </w:t>
      </w:r>
      <w:r>
        <w:rPr>
          <w:rFonts w:ascii="Arial" w:eastAsia="Calibri" w:hAnsi="Arial"/>
          <w:noProof/>
          <w:kern w:val="20"/>
          <w:sz w:val="20"/>
          <w:lang w:eastAsia="en-GB"/>
        </w:rPr>
        <w:t>and</w:t>
      </w:r>
    </w:p>
    <w:p w:rsidR="001557B7" w:rsidRDefault="00AD3265">
      <w:pPr>
        <w:pStyle w:val="ListParagraph"/>
        <w:numPr>
          <w:ilvl w:val="1"/>
          <w:numId w:val="34"/>
        </w:numPr>
        <w:ind w:left="1276" w:hanging="425"/>
        <w:rPr>
          <w:rFonts w:ascii="Arial" w:eastAsia="Calibri" w:hAnsi="Arial"/>
          <w:noProof/>
          <w:sz w:val="20"/>
        </w:rPr>
      </w:pPr>
      <w:r>
        <w:rPr>
          <w:rFonts w:ascii="Arial" w:eastAsia="Calibri" w:hAnsi="Arial"/>
          <w:noProof/>
          <w:sz w:val="20"/>
        </w:rPr>
        <w:t>the Audit Directive</w:t>
      </w:r>
      <w:r>
        <w:rPr>
          <w:rStyle w:val="FootnoteReference"/>
          <w:rFonts w:ascii="Arial" w:eastAsia="Calibri" w:hAnsi="Arial"/>
          <w:noProof/>
          <w:sz w:val="20"/>
        </w:rPr>
        <w:footnoteReference w:id="309"/>
      </w:r>
      <w:r>
        <w:rPr>
          <w:rFonts w:ascii="Arial" w:eastAsia="Calibri" w:hAnsi="Arial"/>
          <w:noProof/>
          <w:sz w:val="20"/>
        </w:rPr>
        <w:t>.</w:t>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rsidR="001557B7" w:rsidRDefault="00AD3265">
      <w:pPr>
        <w:pStyle w:val="AnnualReport2"/>
        <w:spacing w:after="0"/>
        <w:ind w:left="709" w:firstLine="0"/>
        <w:rPr>
          <w:noProof/>
        </w:rPr>
      </w:pPr>
      <w:r>
        <w:rPr>
          <w:noProof/>
        </w:rPr>
        <w:t>Major cases closed without a Court judgment in 2017</w:t>
      </w:r>
    </w:p>
    <w:p w:rsidR="001557B7" w:rsidRDefault="00AD3265">
      <w:pPr>
        <w:spacing w:before="120" w:after="120"/>
        <w:ind w:left="284" w:firstLine="425"/>
        <w:rPr>
          <w:rFonts w:ascii="Arial" w:hAnsi="Arial" w:cs="Arial"/>
          <w:noProof/>
          <w:sz w:val="20"/>
        </w:rPr>
      </w:pPr>
      <w:r>
        <w:rPr>
          <w:rFonts w:ascii="Arial" w:hAnsi="Arial" w:cs="Arial"/>
          <w:noProof/>
          <w:sz w:val="20"/>
        </w:rPr>
        <w:t xml:space="preserve">These </w:t>
      </w:r>
      <w:r>
        <w:rPr>
          <w:rFonts w:ascii="Arial" w:hAnsi="Arial" w:cs="Arial"/>
          <w:noProof/>
          <w:sz w:val="20"/>
        </w:rPr>
        <w:t>concerned:</w:t>
      </w:r>
    </w:p>
    <w:p w:rsidR="001557B7" w:rsidRDefault="00AD3265">
      <w:pPr>
        <w:pStyle w:val="ListParagraph"/>
        <w:numPr>
          <w:ilvl w:val="1"/>
          <w:numId w:val="34"/>
        </w:numPr>
        <w:spacing w:after="0"/>
        <w:ind w:left="1276" w:hanging="425"/>
        <w:rPr>
          <w:rFonts w:ascii="Arial" w:hAnsi="Arial" w:cs="Arial"/>
          <w:noProof/>
          <w:sz w:val="20"/>
        </w:rPr>
      </w:pPr>
      <w:r>
        <w:rPr>
          <w:rFonts w:ascii="Arial" w:hAnsi="Arial" w:cs="Arial"/>
          <w:noProof/>
          <w:sz w:val="20"/>
        </w:rPr>
        <w:t>non-</w:t>
      </w:r>
      <w:r>
        <w:rPr>
          <w:rFonts w:ascii="Arial" w:eastAsia="Calibri" w:hAnsi="Arial"/>
          <w:noProof/>
          <w:sz w:val="20"/>
        </w:rPr>
        <w:t>communica</w:t>
      </w:r>
      <w:r>
        <w:rPr>
          <w:rFonts w:ascii="Arial" w:eastAsia="Calibri" w:hAnsi="Arial" w:cs="Arial"/>
          <w:noProof/>
          <w:sz w:val="20"/>
        </w:rPr>
        <w:t>tion</w:t>
      </w:r>
      <w:r>
        <w:rPr>
          <w:rFonts w:ascii="Arial" w:hAnsi="Arial" w:cs="Arial"/>
          <w:noProof/>
          <w:sz w:val="20"/>
        </w:rPr>
        <w:t xml:space="preserve"> of national measures transposing the:</w:t>
      </w:r>
    </w:p>
    <w:p w:rsidR="001557B7" w:rsidRDefault="00AD3265">
      <w:pPr>
        <w:numPr>
          <w:ilvl w:val="2"/>
          <w:numId w:val="2"/>
        </w:numPr>
        <w:spacing w:after="200"/>
        <w:ind w:left="1843" w:hanging="425"/>
        <w:contextualSpacing/>
        <w:rPr>
          <w:rFonts w:ascii="Arial" w:hAnsi="Arial" w:cs="Arial"/>
          <w:noProof/>
          <w:sz w:val="20"/>
        </w:rPr>
      </w:pPr>
      <w:r>
        <w:rPr>
          <w:rFonts w:ascii="Arial" w:eastAsia="Calibri" w:hAnsi="Arial" w:cs="Arial"/>
          <w:noProof/>
          <w:kern w:val="20"/>
          <w:sz w:val="20"/>
        </w:rPr>
        <w:t>Public Procurement Directive</w:t>
      </w:r>
      <w:r>
        <w:rPr>
          <w:rStyle w:val="FootnoteReference"/>
          <w:rFonts w:eastAsia="Calibri" w:cs="Arial"/>
          <w:noProof/>
        </w:rPr>
        <w:footnoteReference w:id="310"/>
      </w:r>
      <w:r>
        <w:rPr>
          <w:rFonts w:ascii="Arial" w:eastAsia="Calibri" w:hAnsi="Arial" w:cs="Arial"/>
          <w:noProof/>
          <w:kern w:val="20"/>
          <w:sz w:val="20"/>
        </w:rPr>
        <w:t>;</w:t>
      </w:r>
    </w:p>
    <w:p w:rsidR="001557B7" w:rsidRDefault="00AD3265">
      <w:pPr>
        <w:numPr>
          <w:ilvl w:val="2"/>
          <w:numId w:val="2"/>
        </w:numPr>
        <w:spacing w:after="200"/>
        <w:ind w:left="1843" w:hanging="425"/>
        <w:contextualSpacing/>
        <w:rPr>
          <w:rFonts w:ascii="Arial" w:hAnsi="Arial" w:cs="Arial"/>
          <w:noProof/>
          <w:sz w:val="20"/>
        </w:rPr>
      </w:pPr>
      <w:r>
        <w:rPr>
          <w:rFonts w:ascii="Arial" w:hAnsi="Arial" w:cs="Arial"/>
          <w:noProof/>
          <w:kern w:val="20"/>
          <w:sz w:val="20"/>
          <w:lang w:eastAsia="en-GB"/>
        </w:rPr>
        <w:t>Directive on procurement by entities operating in the water, energy, transport and postal services sectors</w:t>
      </w:r>
      <w:r>
        <w:rPr>
          <w:rStyle w:val="FootnoteReference"/>
          <w:rFonts w:ascii="Arial" w:hAnsi="Arial" w:cs="Arial"/>
          <w:noProof/>
          <w:kern w:val="20"/>
          <w:sz w:val="20"/>
          <w:lang w:eastAsia="en-GB"/>
        </w:rPr>
        <w:footnoteReference w:id="311"/>
      </w:r>
      <w:r>
        <w:rPr>
          <w:rFonts w:ascii="Arial" w:hAnsi="Arial" w:cs="Arial"/>
          <w:noProof/>
          <w:kern w:val="20"/>
          <w:sz w:val="20"/>
          <w:lang w:eastAsia="en-GB"/>
        </w:rPr>
        <w:t>;</w:t>
      </w:r>
    </w:p>
    <w:p w:rsidR="001557B7" w:rsidRDefault="00AD3265">
      <w:pPr>
        <w:numPr>
          <w:ilvl w:val="2"/>
          <w:numId w:val="2"/>
        </w:numPr>
        <w:spacing w:after="200"/>
        <w:ind w:left="1843" w:hanging="425"/>
        <w:contextualSpacing/>
        <w:rPr>
          <w:rFonts w:ascii="Arial" w:hAnsi="Arial" w:cs="Arial"/>
          <w:noProof/>
          <w:sz w:val="20"/>
        </w:rPr>
      </w:pPr>
      <w:r>
        <w:rPr>
          <w:rFonts w:ascii="Arial" w:eastAsia="Calibri" w:hAnsi="Arial" w:cs="Arial"/>
          <w:noProof/>
          <w:kern w:val="20"/>
          <w:sz w:val="20"/>
        </w:rPr>
        <w:t>Directive on the deployment of alternative fuels</w:t>
      </w:r>
      <w:r>
        <w:rPr>
          <w:rStyle w:val="FootnoteReference"/>
          <w:rFonts w:eastAsia="Calibri" w:cs="Arial"/>
          <w:noProof/>
        </w:rPr>
        <w:footnoteReference w:id="312"/>
      </w:r>
      <w:r>
        <w:rPr>
          <w:rFonts w:ascii="Arial" w:eastAsia="Calibri" w:hAnsi="Arial" w:cs="Arial"/>
          <w:noProof/>
          <w:kern w:val="20"/>
          <w:sz w:val="20"/>
        </w:rPr>
        <w:t>;</w:t>
      </w:r>
    </w:p>
    <w:p w:rsidR="001557B7" w:rsidRDefault="00AD3265">
      <w:pPr>
        <w:numPr>
          <w:ilvl w:val="2"/>
          <w:numId w:val="2"/>
        </w:numPr>
        <w:spacing w:after="200"/>
        <w:ind w:left="1843" w:hanging="425"/>
        <w:contextualSpacing/>
        <w:rPr>
          <w:rFonts w:ascii="Arial" w:hAnsi="Arial" w:cs="Arial"/>
          <w:noProof/>
          <w:sz w:val="20"/>
        </w:rPr>
      </w:pPr>
      <w:r>
        <w:rPr>
          <w:rFonts w:ascii="Arial" w:hAnsi="Arial" w:cs="Arial"/>
          <w:noProof/>
          <w:sz w:val="20"/>
        </w:rPr>
        <w:t>Directive on explosives for civil uses</w:t>
      </w:r>
      <w:r>
        <w:rPr>
          <w:rStyle w:val="FootnoteReference"/>
          <w:rFonts w:ascii="Arial" w:hAnsi="Arial" w:cs="Arial"/>
          <w:noProof/>
          <w:sz w:val="20"/>
        </w:rPr>
        <w:footnoteReference w:id="313"/>
      </w:r>
      <w:r>
        <w:rPr>
          <w:rFonts w:ascii="Arial" w:hAnsi="Arial" w:cs="Arial"/>
          <w:noProof/>
          <w:sz w:val="20"/>
        </w:rPr>
        <w:t>;</w:t>
      </w:r>
    </w:p>
    <w:p w:rsidR="001557B7" w:rsidRDefault="00AD3265">
      <w:pPr>
        <w:numPr>
          <w:ilvl w:val="2"/>
          <w:numId w:val="2"/>
        </w:numPr>
        <w:spacing w:after="200"/>
        <w:ind w:left="1843" w:hanging="425"/>
        <w:contextualSpacing/>
        <w:rPr>
          <w:rFonts w:ascii="Arial" w:hAnsi="Arial" w:cs="Arial"/>
          <w:noProof/>
          <w:sz w:val="20"/>
        </w:rPr>
      </w:pPr>
      <w:r>
        <w:rPr>
          <w:rFonts w:ascii="Arial" w:hAnsi="Arial" w:cs="Arial"/>
          <w:noProof/>
          <w:sz w:val="20"/>
        </w:rPr>
        <w:t>Directive on port reception facilities for ship-generated waste and cargo residues</w:t>
      </w:r>
      <w:r>
        <w:rPr>
          <w:rStyle w:val="FootnoteReference"/>
          <w:noProof/>
        </w:rPr>
        <w:footnoteReference w:id="314"/>
      </w:r>
      <w:r>
        <w:rPr>
          <w:rFonts w:ascii="Arial" w:hAnsi="Arial" w:cs="Arial"/>
          <w:noProof/>
          <w:sz w:val="20"/>
        </w:rPr>
        <w:t>;</w:t>
      </w:r>
    </w:p>
    <w:p w:rsidR="001557B7" w:rsidRDefault="00AD3265">
      <w:pPr>
        <w:numPr>
          <w:ilvl w:val="2"/>
          <w:numId w:val="2"/>
        </w:numPr>
        <w:spacing w:after="200"/>
        <w:ind w:left="1843" w:hanging="425"/>
        <w:contextualSpacing/>
        <w:rPr>
          <w:rFonts w:ascii="Arial" w:hAnsi="Arial" w:cs="Arial"/>
          <w:noProof/>
          <w:sz w:val="20"/>
        </w:rPr>
      </w:pPr>
      <w:r>
        <w:rPr>
          <w:rFonts w:ascii="Arial" w:hAnsi="Arial" w:cs="Arial"/>
          <w:noProof/>
          <w:sz w:val="20"/>
        </w:rPr>
        <w:t>Maritime Spatial Planning Directive</w:t>
      </w:r>
      <w:r>
        <w:rPr>
          <w:rStyle w:val="FootnoteReference"/>
          <w:rFonts w:ascii="Arial" w:hAnsi="Arial" w:cs="Arial"/>
          <w:noProof/>
          <w:sz w:val="20"/>
        </w:rPr>
        <w:footnoteReference w:id="315"/>
      </w:r>
      <w:r>
        <w:rPr>
          <w:rFonts w:ascii="Arial" w:hAnsi="Arial" w:cs="Arial"/>
          <w:noProof/>
          <w:sz w:val="20"/>
        </w:rPr>
        <w:t>;</w:t>
      </w:r>
    </w:p>
    <w:p w:rsidR="001557B7" w:rsidRDefault="00AD3265">
      <w:pPr>
        <w:numPr>
          <w:ilvl w:val="2"/>
          <w:numId w:val="2"/>
        </w:numPr>
        <w:spacing w:after="0"/>
        <w:ind w:left="1843" w:hanging="425"/>
        <w:contextualSpacing/>
        <w:rPr>
          <w:rFonts w:ascii="Arial" w:hAnsi="Arial" w:cs="Arial"/>
          <w:noProof/>
          <w:sz w:val="20"/>
        </w:rPr>
      </w:pPr>
      <w:r>
        <w:rPr>
          <w:rFonts w:ascii="Arial" w:hAnsi="Arial" w:cs="Arial"/>
          <w:noProof/>
          <w:sz w:val="20"/>
        </w:rPr>
        <w:t>Directive</w:t>
      </w:r>
      <w:r>
        <w:rPr>
          <w:rStyle w:val="FootnoteReference"/>
          <w:rFonts w:ascii="Arial" w:hAnsi="Arial" w:cs="Arial"/>
          <w:noProof/>
          <w:sz w:val="20"/>
        </w:rPr>
        <w:footnoteReference w:id="316"/>
      </w:r>
      <w:r>
        <w:rPr>
          <w:rFonts w:ascii="Arial" w:hAnsi="Arial" w:cs="Arial"/>
          <w:noProof/>
          <w:sz w:val="20"/>
        </w:rPr>
        <w:t xml:space="preserve"> laying down calculation methods and reporting requirements pursuant to the Directive on fuels quality</w:t>
      </w:r>
      <w:r>
        <w:rPr>
          <w:rStyle w:val="FootnoteReference"/>
          <w:rFonts w:ascii="Arial" w:hAnsi="Arial" w:cs="Arial"/>
          <w:noProof/>
          <w:sz w:val="20"/>
        </w:rPr>
        <w:footnoteReference w:id="317"/>
      </w:r>
      <w:r>
        <w:rPr>
          <w:rFonts w:ascii="Arial" w:hAnsi="Arial" w:cs="Arial"/>
          <w:noProof/>
          <w:sz w:val="20"/>
        </w:rPr>
        <w:t>.</w:t>
      </w:r>
    </w:p>
    <w:p w:rsidR="001557B7" w:rsidRDefault="00AD3265">
      <w:pPr>
        <w:pStyle w:val="ListParagraph"/>
        <w:numPr>
          <w:ilvl w:val="1"/>
          <w:numId w:val="34"/>
        </w:numPr>
        <w:spacing w:after="0"/>
        <w:ind w:left="1276" w:hanging="425"/>
        <w:rPr>
          <w:rFonts w:ascii="Arial" w:hAnsi="Arial" w:cs="Arial"/>
          <w:noProof/>
          <w:sz w:val="20"/>
        </w:rPr>
      </w:pPr>
      <w:r>
        <w:rPr>
          <w:rFonts w:ascii="Arial" w:hAnsi="Arial" w:cs="Arial"/>
          <w:noProof/>
          <w:sz w:val="20"/>
        </w:rPr>
        <w:t>non-ratification of the Protocol of Accession to the Eurocontrol International Convention;</w:t>
      </w:r>
    </w:p>
    <w:p w:rsidR="001557B7" w:rsidRDefault="00AD3265">
      <w:pPr>
        <w:pStyle w:val="ListParagraph"/>
        <w:numPr>
          <w:ilvl w:val="1"/>
          <w:numId w:val="34"/>
        </w:numPr>
        <w:spacing w:after="0"/>
        <w:ind w:left="1276" w:hanging="425"/>
        <w:rPr>
          <w:rFonts w:cs="Arial"/>
          <w:noProof/>
          <w:sz w:val="20"/>
          <w:lang w:eastAsia="en-GB"/>
        </w:rPr>
      </w:pPr>
      <w:r>
        <w:rPr>
          <w:rFonts w:ascii="Arial" w:hAnsi="Arial" w:cs="Arial"/>
          <w:noProof/>
          <w:sz w:val="20"/>
        </w:rPr>
        <w:t>failure</w:t>
      </w:r>
      <w:r>
        <w:rPr>
          <w:rFonts w:ascii="Arial" w:hAnsi="Arial"/>
          <w:noProof/>
          <w:sz w:val="20"/>
        </w:rPr>
        <w:t xml:space="preserve"> to correctly transpose the European rules on driving</w:t>
      </w:r>
      <w:r>
        <w:rPr>
          <w:rFonts w:ascii="Arial" w:hAnsi="Arial"/>
          <w:noProof/>
          <w:sz w:val="20"/>
        </w:rPr>
        <w:t xml:space="preserve"> licences</w:t>
      </w:r>
      <w:r>
        <w:rPr>
          <w:rStyle w:val="FootnoteReference"/>
          <w:rFonts w:ascii="Arial" w:hAnsi="Arial" w:cs="Arial"/>
          <w:noProof/>
          <w:sz w:val="20"/>
        </w:rPr>
        <w:footnoteReference w:id="318"/>
      </w:r>
      <w:r>
        <w:rPr>
          <w:rFonts w:ascii="Arial" w:hAnsi="Arial" w:cs="Arial"/>
          <w:noProof/>
          <w:sz w:val="20"/>
        </w:rPr>
        <w:t>;</w:t>
      </w:r>
    </w:p>
    <w:p w:rsidR="001557B7" w:rsidRDefault="00AD3265">
      <w:pPr>
        <w:pStyle w:val="ListParagraph"/>
        <w:numPr>
          <w:ilvl w:val="1"/>
          <w:numId w:val="34"/>
        </w:numPr>
        <w:spacing w:after="0"/>
        <w:ind w:left="1276" w:hanging="425"/>
        <w:rPr>
          <w:rFonts w:ascii="Arial" w:hAnsi="Arial" w:cs="Arial"/>
          <w:noProof/>
          <w:sz w:val="20"/>
        </w:rPr>
      </w:pPr>
      <w:r>
        <w:rPr>
          <w:rFonts w:ascii="Arial" w:hAnsi="Arial" w:cs="Arial"/>
          <w:noProof/>
          <w:sz w:val="20"/>
        </w:rPr>
        <w:t xml:space="preserve">failure to revise the national </w:t>
      </w:r>
      <w:r>
        <w:rPr>
          <w:rFonts w:ascii="Arial" w:eastAsia="Calibri" w:hAnsi="Arial" w:cs="Arial"/>
          <w:noProof/>
          <w:kern w:val="20"/>
          <w:sz w:val="20"/>
        </w:rPr>
        <w:t>waste</w:t>
      </w:r>
      <w:r>
        <w:rPr>
          <w:rFonts w:ascii="Arial" w:hAnsi="Arial" w:cs="Arial"/>
          <w:noProof/>
          <w:sz w:val="20"/>
        </w:rPr>
        <w:t xml:space="preserve"> management plan and to adopt a waste prevention programme.</w:t>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rsidR="001557B7" w:rsidRDefault="00AD3265">
      <w:pPr>
        <w:pStyle w:val="AnnualReport2"/>
        <w:numPr>
          <w:ilvl w:val="0"/>
          <w:numId w:val="130"/>
        </w:numPr>
        <w:ind w:left="709" w:hanging="425"/>
        <w:rPr>
          <w:noProof/>
        </w:rPr>
      </w:pPr>
      <w:r>
        <w:rPr>
          <w:noProof/>
        </w:rPr>
        <w:t>Court rulings</w:t>
      </w:r>
    </w:p>
    <w:p w:rsidR="001557B7" w:rsidRDefault="00AD3265">
      <w:pPr>
        <w:pStyle w:val="Body"/>
        <w:rPr>
          <w:noProof/>
          <w:lang w:val="en-GB"/>
        </w:rPr>
      </w:pPr>
      <w:r>
        <w:rPr>
          <w:noProof/>
          <w:lang w:val="en-GB"/>
        </w:rPr>
        <w:t>There were no major Court rulings in 2017.</w:t>
      </w:r>
    </w:p>
    <w:p w:rsidR="001557B7" w:rsidRDefault="00AD3265">
      <w:pPr>
        <w:pStyle w:val="AnnualReport2"/>
        <w:numPr>
          <w:ilvl w:val="0"/>
          <w:numId w:val="130"/>
        </w:numPr>
        <w:ind w:left="709" w:hanging="425"/>
        <w:rPr>
          <w:noProof/>
        </w:rPr>
      </w:pPr>
      <w:r>
        <w:rPr>
          <w:noProof/>
        </w:rPr>
        <w:t>Preliminary rulings</w:t>
      </w:r>
    </w:p>
    <w:p w:rsidR="001557B7" w:rsidRDefault="00AD3265">
      <w:pPr>
        <w:pStyle w:val="Body"/>
        <w:ind w:left="709" w:firstLine="0"/>
        <w:rPr>
          <w:noProof/>
          <w:lang w:val="en-GB"/>
        </w:rPr>
      </w:pPr>
      <w:r>
        <w:rPr>
          <w:noProof/>
          <w:lang w:val="en-GB"/>
        </w:rPr>
        <w:t>The Court addressed the following preliminary rulin</w:t>
      </w:r>
      <w:r>
        <w:rPr>
          <w:noProof/>
          <w:lang w:val="en-GB"/>
        </w:rPr>
        <w:t>gs to the Croatian judiciary.</w:t>
      </w:r>
    </w:p>
    <w:p w:rsidR="001557B7" w:rsidRDefault="00AD3265">
      <w:pPr>
        <w:pStyle w:val="Lijstje2"/>
        <w:ind w:left="1276" w:hanging="425"/>
        <w:rPr>
          <w:rFonts w:ascii="Arial" w:hAnsi="Arial"/>
          <w:noProof/>
          <w:lang w:val="en-GB"/>
        </w:rPr>
      </w:pPr>
      <w:r>
        <w:rPr>
          <w:rFonts w:ascii="Arial" w:hAnsi="Arial"/>
          <w:noProof/>
          <w:lang w:val="en-GB" w:eastAsia="en-GB"/>
        </w:rPr>
        <w:t>Notaries, acting within the framework of the powers conferred on them by national law in enforcement proceedings based on an ‘authentic document’, do not fall within the concept of ‘court’ within the meaning of EU legislation</w:t>
      </w:r>
      <w:r>
        <w:rPr>
          <w:rStyle w:val="FootnoteReference"/>
          <w:rFonts w:ascii="Arial" w:hAnsi="Arial"/>
          <w:noProof/>
          <w:lang w:val="en-GB"/>
        </w:rPr>
        <w:footnoteReference w:id="319"/>
      </w:r>
      <w:r>
        <w:rPr>
          <w:rFonts w:ascii="Arial" w:hAnsi="Arial"/>
          <w:noProof/>
          <w:lang w:val="en-GB" w:eastAsia="en-GB"/>
        </w:rPr>
        <w:t xml:space="preserve">. </w:t>
      </w:r>
      <w:r>
        <w:rPr>
          <w:rFonts w:ascii="Arial" w:hAnsi="Arial"/>
          <w:noProof/>
          <w:lang w:val="en-GB"/>
        </w:rPr>
        <w:t>Thus, the writs of execution which they issue may not be recognised or enforced in other Member States as judicial decisions</w:t>
      </w:r>
      <w:r>
        <w:rPr>
          <w:rStyle w:val="FootnoteReference"/>
          <w:rFonts w:ascii="Arial" w:hAnsi="Arial"/>
          <w:noProof/>
          <w:lang w:val="en-GB"/>
        </w:rPr>
        <w:footnoteReference w:id="320"/>
      </w:r>
      <w:r>
        <w:rPr>
          <w:rFonts w:ascii="Arial" w:hAnsi="Arial"/>
          <w:noProof/>
          <w:lang w:val="en-GB"/>
        </w:rPr>
        <w:t>.</w:t>
      </w:r>
    </w:p>
    <w:p w:rsidR="001557B7" w:rsidRDefault="00AD3265">
      <w:pPr>
        <w:pStyle w:val="Lijstje2"/>
        <w:ind w:left="1276" w:hanging="425"/>
        <w:rPr>
          <w:rFonts w:ascii="Arial" w:hAnsi="Arial"/>
          <w:i/>
          <w:noProof/>
          <w:lang w:val="en-GB"/>
        </w:rPr>
      </w:pPr>
      <w:r>
        <w:rPr>
          <w:rFonts w:ascii="Arial" w:hAnsi="Arial"/>
          <w:noProof/>
          <w:lang w:val="en-GB"/>
        </w:rPr>
        <w:t xml:space="preserve">National legislation which provides for a fee calculated on the basis of an estimate of the volume of waste generated, and not </w:t>
      </w:r>
      <w:r>
        <w:rPr>
          <w:rFonts w:ascii="Arial" w:hAnsi="Arial"/>
          <w:noProof/>
          <w:lang w:val="en-GB"/>
        </w:rPr>
        <w:t xml:space="preserve">on the basis of the </w:t>
      </w:r>
      <w:r>
        <w:rPr>
          <w:rFonts w:ascii="Arial" w:hAnsi="Arial"/>
          <w:noProof/>
          <w:lang w:val="en-GB" w:eastAsia="en-GB"/>
        </w:rPr>
        <w:t>quantity</w:t>
      </w:r>
      <w:r>
        <w:rPr>
          <w:rFonts w:ascii="Arial" w:hAnsi="Arial"/>
          <w:noProof/>
          <w:lang w:val="en-GB"/>
        </w:rPr>
        <w:t xml:space="preserve"> of waste actually produced and presented for collection, is in principle compatible with the Waste Framework Directive. However, it is for the national courts to verify whether such a fee triggers costs for certain waste holder</w:t>
      </w:r>
      <w:r>
        <w:rPr>
          <w:rFonts w:ascii="Arial" w:hAnsi="Arial"/>
          <w:noProof/>
          <w:lang w:val="en-GB"/>
        </w:rPr>
        <w:t>s which are manifestly disproportionate to the volumes or nature of the waste that they are liable to produce</w:t>
      </w:r>
      <w:r>
        <w:rPr>
          <w:rStyle w:val="FootnoteReference"/>
          <w:rFonts w:ascii="Arial" w:hAnsi="Arial"/>
          <w:noProof/>
          <w:lang w:val="en-GB"/>
        </w:rPr>
        <w:footnoteReference w:id="321"/>
      </w:r>
      <w:r>
        <w:rPr>
          <w:rFonts w:ascii="Arial" w:hAnsi="Arial"/>
          <w:noProof/>
          <w:lang w:val="en-GB"/>
        </w:rPr>
        <w:t>.</w:t>
      </w:r>
      <w:r>
        <w:rPr>
          <w:rStyle w:val="FootnoteReference"/>
          <w:rFonts w:ascii="Arial" w:hAnsi="Arial"/>
          <w:noProof/>
          <w:lang w:val="en-GB"/>
        </w:rPr>
        <w:t xml:space="preserve"> </w:t>
      </w:r>
    </w:p>
    <w:p w:rsidR="001557B7" w:rsidRDefault="001557B7">
      <w:pPr>
        <w:spacing w:after="120"/>
        <w:contextualSpacing/>
        <w:rPr>
          <w:rFonts w:ascii="Verdana" w:eastAsia="Calibri" w:hAnsi="Verdana"/>
          <w:noProof/>
          <w:kern w:val="20"/>
          <w:sz w:val="20"/>
        </w:rPr>
      </w:pPr>
    </w:p>
    <w:p w:rsidR="001557B7" w:rsidRDefault="001557B7">
      <w:pPr>
        <w:spacing w:after="0"/>
        <w:jc w:val="left"/>
        <w:rPr>
          <w:noProof/>
        </w:rPr>
        <w:sectPr w:rsidR="001557B7">
          <w:headerReference w:type="even" r:id="rId206"/>
          <w:headerReference w:type="default" r:id="rId207"/>
          <w:footerReference w:type="even" r:id="rId208"/>
          <w:footerReference w:type="default" r:id="rId209"/>
          <w:headerReference w:type="first" r:id="rId210"/>
          <w:footerReference w:type="first" r:id="rId211"/>
          <w:footnotePr>
            <w:numRestart w:val="eachSect"/>
          </w:footnotePr>
          <w:pgSz w:w="11906" w:h="16838"/>
          <w:pgMar w:top="1701" w:right="1417" w:bottom="1134" w:left="1417" w:header="567" w:footer="351" w:gutter="0"/>
          <w:cols w:space="708"/>
          <w:titlePg/>
          <w:docGrid w:linePitch="360"/>
        </w:sectPr>
      </w:pPr>
    </w:p>
    <w:p w:rsidR="001557B7" w:rsidRDefault="00AD3265">
      <w:pPr>
        <w:pStyle w:val="Heading1"/>
        <w:rPr>
          <w:noProof/>
          <w:szCs w:val="24"/>
        </w:rPr>
      </w:pPr>
      <w:bookmarkStart w:id="103" w:name="_Toc475974652"/>
      <w:bookmarkStart w:id="104" w:name="_Toc475980148"/>
      <w:bookmarkStart w:id="105" w:name="_Toc475981397"/>
      <w:bookmarkStart w:id="106" w:name="_Toc484622328"/>
      <w:bookmarkStart w:id="107" w:name="_Toc510015277"/>
      <w:bookmarkEnd w:id="96"/>
      <w:bookmarkEnd w:id="97"/>
      <w:bookmarkEnd w:id="98"/>
      <w:bookmarkEnd w:id="99"/>
      <w:bookmarkEnd w:id="100"/>
      <w:bookmarkEnd w:id="101"/>
      <w:bookmarkEnd w:id="102"/>
      <w:r>
        <w:rPr>
          <w:noProof/>
          <w:szCs w:val="24"/>
        </w:rPr>
        <w:t>Italy</w:t>
      </w:r>
      <w:bookmarkEnd w:id="103"/>
      <w:bookmarkEnd w:id="104"/>
      <w:bookmarkEnd w:id="105"/>
      <w:bookmarkEnd w:id="106"/>
      <w:bookmarkEnd w:id="107"/>
    </w:p>
    <w:p w:rsidR="001557B7" w:rsidRDefault="00AD3265">
      <w:pPr>
        <w:pStyle w:val="kop2"/>
        <w:numPr>
          <w:ilvl w:val="0"/>
          <w:numId w:val="5"/>
        </w:numPr>
        <w:spacing w:before="360" w:after="240"/>
        <w:ind w:left="709" w:hanging="425"/>
        <w:rPr>
          <w:noProof/>
        </w:rPr>
      </w:pPr>
      <w:r>
        <w:rPr>
          <w:noProof/>
        </w:rPr>
        <w:t>COMPLAINTS</w:t>
      </w:r>
    </w:p>
    <w:p w:rsidR="001557B7" w:rsidRDefault="00AD3265">
      <w:pPr>
        <w:pStyle w:val="AnnualReport2"/>
        <w:numPr>
          <w:ilvl w:val="0"/>
          <w:numId w:val="163"/>
        </w:numPr>
        <w:ind w:left="709" w:hanging="425"/>
        <w:rPr>
          <w:noProof/>
        </w:rPr>
      </w:pPr>
      <w:r>
        <w:rPr>
          <w:noProof/>
        </w:rPr>
        <w:t>New complaints made against Italy by members of the public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474EFFF2" wp14:editId="3CBDC792">
            <wp:extent cx="4587875" cy="2369185"/>
            <wp:effectExtent l="0" t="0" r="22225" b="12065"/>
            <wp:docPr id="12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1557B7" w:rsidRDefault="00AD3265">
      <w:pPr>
        <w:pStyle w:val="AnnualReport2"/>
        <w:numPr>
          <w:ilvl w:val="0"/>
          <w:numId w:val="163"/>
        </w:numPr>
        <w:ind w:left="709" w:hanging="425"/>
        <w:rPr>
          <w:noProof/>
        </w:rPr>
      </w:pPr>
      <w:r>
        <w:rPr>
          <w:noProof/>
        </w:rPr>
        <w:t>Public complaints against Italy open at year-end</w:t>
      </w:r>
    </w:p>
    <w:tbl>
      <w:tblPr>
        <w:tblW w:w="0" w:type="auto"/>
        <w:jc w:val="center"/>
        <w:tblLook w:val="04A0" w:firstRow="1" w:lastRow="0" w:firstColumn="1" w:lastColumn="0" w:noHBand="0" w:noVBand="1"/>
      </w:tblPr>
      <w:tblGrid>
        <w:gridCol w:w="1697"/>
        <w:gridCol w:w="452"/>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669</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533</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620</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582</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1557B7" w:rsidRDefault="00AD3265">
      <w:pPr>
        <w:pStyle w:val="AnnualReport2"/>
        <w:numPr>
          <w:ilvl w:val="0"/>
          <w:numId w:val="163"/>
        </w:numPr>
        <w:ind w:left="709" w:hanging="425"/>
        <w:rPr>
          <w:noProof/>
        </w:rPr>
      </w:pPr>
      <w:r>
        <w:rPr>
          <w:noProof/>
        </w:rPr>
        <w:t>New complaints registered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579E1204" wp14:editId="66260575">
            <wp:extent cx="4627880" cy="2298065"/>
            <wp:effectExtent l="0" t="0" r="20320" b="26035"/>
            <wp:docPr id="124"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1557B7" w:rsidRDefault="00AD3265">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rsidR="001557B7" w:rsidRDefault="00AD3265">
      <w:pPr>
        <w:keepNext/>
        <w:keepLines/>
        <w:numPr>
          <w:ilvl w:val="0"/>
          <w:numId w:val="1"/>
        </w:numPr>
        <w:spacing w:before="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rsidR="001557B7" w:rsidRDefault="00AD3265">
      <w:pPr>
        <w:pStyle w:val="AnnualReport2"/>
        <w:numPr>
          <w:ilvl w:val="0"/>
          <w:numId w:val="164"/>
        </w:numPr>
        <w:ind w:left="709" w:hanging="425"/>
        <w:rPr>
          <w:noProof/>
        </w:rPr>
      </w:pPr>
      <w:r>
        <w:rPr>
          <w:noProof/>
        </w:rPr>
        <w:t xml:space="preserve">New EU Pilot files opened against Italy </w:t>
      </w:r>
      <w:r>
        <w:rPr>
          <w:noProof/>
        </w:rPr>
        <w:t>(2013-2017)</w:t>
      </w:r>
    </w:p>
    <w:p w:rsidR="001557B7" w:rsidRDefault="00AD3265">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5BAC49D2" wp14:editId="7B98E1D7">
            <wp:extent cx="4603750" cy="2218690"/>
            <wp:effectExtent l="0" t="0" r="25400" b="10160"/>
            <wp:docPr id="12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1557B7" w:rsidRDefault="00AD3265">
      <w:pPr>
        <w:pStyle w:val="AnnualReport2"/>
        <w:numPr>
          <w:ilvl w:val="0"/>
          <w:numId w:val="164"/>
        </w:numPr>
        <w:ind w:left="709" w:hanging="425"/>
        <w:rPr>
          <w:noProof/>
        </w:rPr>
      </w:pPr>
      <w:r>
        <w:rPr>
          <w:noProof/>
        </w:rPr>
        <w:t>Files relating to Italy open in EU Pilot at year-end</w:t>
      </w:r>
    </w:p>
    <w:p w:rsidR="001557B7" w:rsidRDefault="00AD3265">
      <w:pPr>
        <w:spacing w:after="0"/>
        <w:ind w:firstLine="709"/>
        <w:rPr>
          <w:rFonts w:ascii="Arial" w:hAnsi="Arial" w:cs="Arial"/>
          <w:noProof/>
          <w:sz w:val="20"/>
        </w:rPr>
      </w:pPr>
      <w:r>
        <w:rPr>
          <w:rFonts w:ascii="Arial" w:hAnsi="Arial" w:cs="Arial"/>
          <w:noProof/>
          <w:sz w:val="20"/>
          <w:lang w:eastAsia="en-GB"/>
        </w:rPr>
        <w:drawing>
          <wp:inline distT="0" distB="0" distL="0" distR="0" wp14:anchorId="331CEC2B" wp14:editId="779CF938">
            <wp:extent cx="4603750" cy="2218690"/>
            <wp:effectExtent l="0" t="0" r="0" b="0"/>
            <wp:docPr id="95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1557B7" w:rsidRDefault="00AD3265">
      <w:pPr>
        <w:pStyle w:val="AnnualReport2"/>
        <w:numPr>
          <w:ilvl w:val="0"/>
          <w:numId w:val="164"/>
        </w:numPr>
        <w:ind w:left="709" w:hanging="425"/>
        <w:rPr>
          <w:noProof/>
        </w:rPr>
      </w:pPr>
      <w:r>
        <w:rPr>
          <w:noProof/>
        </w:rPr>
        <w:t>New EU Pilot files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5C11E41C" wp14:editId="3568EF4C">
            <wp:extent cx="4643755" cy="2465070"/>
            <wp:effectExtent l="0" t="0" r="23495" b="11430"/>
            <wp:docPr id="954"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1557B7" w:rsidRDefault="001557B7">
      <w:pPr>
        <w:spacing w:after="120"/>
        <w:ind w:firstLine="709"/>
        <w:rPr>
          <w:rFonts w:ascii="Arial" w:hAnsi="Arial" w:cs="Arial"/>
          <w:noProof/>
          <w:sz w:val="20"/>
        </w:rPr>
      </w:pPr>
    </w:p>
    <w:p w:rsidR="001557B7" w:rsidRDefault="00AD3265">
      <w:pPr>
        <w:pStyle w:val="AnnualReport2"/>
        <w:numPr>
          <w:ilvl w:val="0"/>
          <w:numId w:val="164"/>
        </w:numPr>
        <w:ind w:left="709" w:hanging="425"/>
        <w:rPr>
          <w:noProof/>
        </w:rPr>
      </w:pPr>
      <w:r>
        <w:rPr>
          <w:noProof/>
        </w:rPr>
        <w:t>EU Pilot files: Italy’s resolution rate in 2013-2017</w:t>
      </w:r>
    </w:p>
    <w:p w:rsidR="001557B7" w:rsidRDefault="00AD3265">
      <w:pPr>
        <w:pStyle w:val="Body"/>
        <w:rPr>
          <w:rFonts w:eastAsia="MS Gothic"/>
          <w:caps/>
          <w:noProof/>
          <w:color w:val="4F81BD"/>
          <w:kern w:val="20"/>
          <w:lang w:val="en-GB"/>
        </w:rPr>
      </w:pPr>
      <w:r>
        <w:rPr>
          <w:noProof/>
          <w:lang w:val="en-GB" w:eastAsia="en-GB"/>
        </w:rPr>
        <w:drawing>
          <wp:inline distT="0" distB="0" distL="0" distR="0" wp14:anchorId="15B10A62" wp14:editId="43E807ED">
            <wp:extent cx="4587875" cy="2178685"/>
            <wp:effectExtent l="0" t="0" r="22225" b="12065"/>
            <wp:docPr id="95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rsidR="001557B7" w:rsidRDefault="00AD3265">
      <w:pPr>
        <w:pStyle w:val="AnnualReport2"/>
        <w:numPr>
          <w:ilvl w:val="0"/>
          <w:numId w:val="165"/>
        </w:numPr>
        <w:ind w:left="709" w:hanging="425"/>
        <w:rPr>
          <w:noProof/>
        </w:rPr>
      </w:pPr>
      <w:r>
        <w:rPr>
          <w:noProof/>
        </w:rPr>
        <w:t xml:space="preserve">Infringement cases against Italy open on 31 December </w:t>
      </w:r>
      <w:r>
        <w:rPr>
          <w:noProof/>
        </w:rPr>
        <w:t>(2013-2017)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3784DD06" wp14:editId="7F20056B">
            <wp:extent cx="4587875" cy="1932305"/>
            <wp:effectExtent l="0" t="0" r="0" b="0"/>
            <wp:docPr id="952"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1557B7" w:rsidRDefault="00AD3265">
      <w:pPr>
        <w:pStyle w:val="AnnualReport2"/>
        <w:numPr>
          <w:ilvl w:val="0"/>
          <w:numId w:val="165"/>
        </w:numPr>
        <w:ind w:left="709" w:hanging="425"/>
        <w:rPr>
          <w:noProof/>
        </w:rPr>
      </w:pPr>
      <w:r>
        <w:rPr>
          <w:noProof/>
        </w:rPr>
        <w:t>New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A7CDCB3" wp14:editId="732B780C">
            <wp:extent cx="4587875" cy="2337435"/>
            <wp:effectExtent l="0" t="0" r="22225" b="24765"/>
            <wp:docPr id="130"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r>
        <w:rPr>
          <w:rFonts w:ascii="Arial" w:hAnsi="Arial" w:cs="Arial"/>
          <w:noProof/>
          <w:sz w:val="20"/>
        </w:rPr>
        <w:br w:type="page"/>
      </w:r>
    </w:p>
    <w:p w:rsidR="001557B7" w:rsidRDefault="00AD3265">
      <w:pPr>
        <w:pStyle w:val="AnnualReport2"/>
        <w:numPr>
          <w:ilvl w:val="0"/>
          <w:numId w:val="165"/>
        </w:numPr>
        <w:ind w:left="709" w:hanging="425"/>
        <w:rPr>
          <w:noProof/>
          <w:color w:val="auto"/>
        </w:rPr>
      </w:pPr>
      <w:r>
        <w:rPr>
          <w:noProof/>
        </w:rPr>
        <w:t xml:space="preserve">Key </w:t>
      </w:r>
      <w:r>
        <w:rPr>
          <w:noProof/>
          <w:color w:val="auto"/>
        </w:rPr>
        <w:t>infringement cases and referrals to the Court</w:t>
      </w:r>
    </w:p>
    <w:p w:rsidR="001557B7" w:rsidRDefault="00AD3265">
      <w:pPr>
        <w:pStyle w:val="Lijstje"/>
        <w:numPr>
          <w:ilvl w:val="0"/>
          <w:numId w:val="10"/>
        </w:numPr>
        <w:ind w:left="1276" w:hanging="426"/>
        <w:rPr>
          <w:noProof/>
        </w:rPr>
      </w:pPr>
      <w:r>
        <w:rPr>
          <w:noProof/>
        </w:rPr>
        <w:t>The Commission opened 12 new infringement cases against Italy in 2017. These, and other major ongoing infringement cases, include:</w:t>
      </w:r>
    </w:p>
    <w:p w:rsidR="001557B7" w:rsidRDefault="00AD3265">
      <w:pPr>
        <w:pStyle w:val="Lijstje2"/>
        <w:spacing w:after="200"/>
        <w:ind w:left="1843" w:hanging="425"/>
        <w:rPr>
          <w:rFonts w:ascii="Arial" w:hAnsi="Arial"/>
          <w:noProof/>
          <w:lang w:val="en-GB" w:eastAsia="en-GB"/>
        </w:rPr>
      </w:pPr>
      <w:r>
        <w:rPr>
          <w:rFonts w:ascii="Arial" w:hAnsi="Arial"/>
          <w:noProof/>
          <w:lang w:val="en-GB" w:eastAsia="en-GB"/>
        </w:rPr>
        <w:t>failure to adopt a national programme for spent fuel and radioactive waste management  compliant with the requirements of the Radioactive Waste Directive</w:t>
      </w:r>
      <w:r>
        <w:rPr>
          <w:rStyle w:val="FootnoteReference"/>
          <w:rFonts w:ascii="Arial" w:hAnsi="Arial"/>
          <w:noProof/>
          <w:lang w:val="en-GB"/>
        </w:rPr>
        <w:footnoteReference w:id="322"/>
      </w:r>
      <w:r>
        <w:rPr>
          <w:rFonts w:ascii="Arial" w:hAnsi="Arial"/>
          <w:noProof/>
          <w:lang w:val="en-GB" w:eastAsia="en-GB"/>
        </w:rPr>
        <w:t>;</w:t>
      </w:r>
    </w:p>
    <w:p w:rsidR="001557B7" w:rsidRDefault="00AD3265">
      <w:pPr>
        <w:pStyle w:val="Lijstje2"/>
        <w:spacing w:after="200"/>
        <w:ind w:left="1843" w:hanging="425"/>
        <w:rPr>
          <w:rFonts w:ascii="Arial" w:hAnsi="Arial"/>
          <w:noProof/>
          <w:lang w:val="en-GB" w:eastAsia="en-GB"/>
        </w:rPr>
      </w:pPr>
      <w:r>
        <w:rPr>
          <w:rFonts w:ascii="Arial" w:hAnsi="Arial"/>
          <w:noProof/>
          <w:lang w:val="en-GB" w:eastAsia="en-GB"/>
        </w:rPr>
        <w:t>non-compliance with the Commission’s decision on measures to prevent the spread within the EU of the</w:t>
      </w:r>
      <w:r>
        <w:rPr>
          <w:rFonts w:ascii="Arial" w:hAnsi="Arial"/>
          <w:noProof/>
          <w:lang w:val="en-GB" w:eastAsia="en-GB"/>
        </w:rPr>
        <w:t xml:space="preserve"> plant bacterium </w:t>
      </w:r>
      <w:r>
        <w:rPr>
          <w:rFonts w:ascii="Arial" w:hAnsi="Arial"/>
          <w:i/>
          <w:noProof/>
          <w:lang w:val="en-GB" w:eastAsia="en-GB"/>
        </w:rPr>
        <w:t>Xylella fastidiosa</w:t>
      </w:r>
      <w:r>
        <w:rPr>
          <w:rStyle w:val="FootnoteReference"/>
          <w:rFonts w:ascii="Arial" w:hAnsi="Arial"/>
          <w:noProof/>
          <w:lang w:val="en-GB"/>
        </w:rPr>
        <w:footnoteReference w:id="323"/>
      </w:r>
      <w:r>
        <w:rPr>
          <w:rFonts w:ascii="Arial" w:hAnsi="Arial"/>
          <w:noProof/>
          <w:lang w:val="en-GB" w:eastAsia="en-GB"/>
        </w:rPr>
        <w:t>;</w:t>
      </w:r>
    </w:p>
    <w:p w:rsidR="001557B7" w:rsidRDefault="00AD3265">
      <w:pPr>
        <w:pStyle w:val="Lijstje2"/>
        <w:spacing w:after="200"/>
        <w:ind w:left="1843" w:hanging="425"/>
        <w:rPr>
          <w:rFonts w:ascii="Arial" w:hAnsi="Arial"/>
          <w:noProof/>
          <w:lang w:val="en-GB" w:eastAsia="en-GB"/>
        </w:rPr>
      </w:pPr>
      <w:r>
        <w:rPr>
          <w:rFonts w:ascii="Arial" w:hAnsi="Arial"/>
          <w:noProof/>
          <w:lang w:val="en-GB" w:eastAsia="en-GB"/>
        </w:rPr>
        <w:t>failing to fully implement the Prüm Decisions, which set up an information-exchange tool that can offer automated comparison of DNA profiles, fingerprint data and vehicle registration data</w:t>
      </w:r>
      <w:r>
        <w:rPr>
          <w:rStyle w:val="FootnoteReference"/>
          <w:rFonts w:ascii="Arial" w:hAnsi="Arial"/>
          <w:noProof/>
          <w:lang w:val="en-GB"/>
        </w:rPr>
        <w:footnoteReference w:id="324"/>
      </w:r>
      <w:r>
        <w:rPr>
          <w:rFonts w:ascii="Arial" w:hAnsi="Arial"/>
          <w:noProof/>
          <w:lang w:val="en-GB" w:eastAsia="en-GB"/>
        </w:rPr>
        <w:t>;</w:t>
      </w:r>
    </w:p>
    <w:p w:rsidR="001557B7" w:rsidRDefault="00AD3265">
      <w:pPr>
        <w:pStyle w:val="Lijstje2"/>
        <w:spacing w:after="200"/>
        <w:ind w:left="1843" w:hanging="425"/>
        <w:rPr>
          <w:rFonts w:ascii="Arial" w:hAnsi="Arial"/>
          <w:noProof/>
          <w:lang w:val="en-GB" w:eastAsia="en-GB"/>
        </w:rPr>
      </w:pPr>
      <w:r>
        <w:rPr>
          <w:rFonts w:ascii="Arial" w:hAnsi="Arial"/>
          <w:noProof/>
          <w:lang w:val="en-GB" w:eastAsia="en-GB"/>
        </w:rPr>
        <w:t xml:space="preserve">the prohibition on the </w:t>
      </w:r>
      <w:r>
        <w:rPr>
          <w:rFonts w:ascii="Arial" w:hAnsi="Arial"/>
          <w:noProof/>
          <w:lang w:val="en-GB" w:eastAsia="en-GB"/>
        </w:rPr>
        <w:t>transfer of public funds from infrastructure management to transport activities and the need to ensure that funds paid for activities relating to the provision of passenger transport services are shown separately in the relevant accounts</w:t>
      </w:r>
      <w:r>
        <w:rPr>
          <w:rStyle w:val="FootnoteReference"/>
          <w:rFonts w:ascii="Arial" w:hAnsi="Arial"/>
          <w:noProof/>
          <w:lang w:val="en-GB"/>
        </w:rPr>
        <w:footnoteReference w:id="325"/>
      </w:r>
      <w:r>
        <w:rPr>
          <w:rFonts w:ascii="Arial" w:hAnsi="Arial"/>
          <w:noProof/>
          <w:lang w:val="en-GB" w:eastAsia="en-GB"/>
        </w:rPr>
        <w:t>;</w:t>
      </w:r>
    </w:p>
    <w:p w:rsidR="001557B7" w:rsidRDefault="00AD3265">
      <w:pPr>
        <w:pStyle w:val="Lijstje2"/>
        <w:spacing w:after="200"/>
        <w:ind w:left="1843" w:hanging="425"/>
        <w:rPr>
          <w:rFonts w:ascii="Arial" w:hAnsi="Arial"/>
          <w:noProof/>
          <w:lang w:val="en-GB" w:eastAsia="en-GB"/>
        </w:rPr>
      </w:pPr>
      <w:r>
        <w:rPr>
          <w:rFonts w:ascii="Arial" w:hAnsi="Arial"/>
          <w:noProof/>
          <w:lang w:val="en-GB" w:eastAsia="en-GB"/>
        </w:rPr>
        <w:t>lack of waste ma</w:t>
      </w:r>
      <w:r>
        <w:rPr>
          <w:rFonts w:ascii="Arial" w:hAnsi="Arial"/>
          <w:noProof/>
          <w:lang w:val="en-GB" w:eastAsia="en-GB"/>
        </w:rPr>
        <w:t>nagement plans required under the Waste Framework Directive</w:t>
      </w:r>
      <w:r>
        <w:rPr>
          <w:rStyle w:val="FootnoteReference"/>
          <w:rFonts w:ascii="Arial" w:hAnsi="Arial"/>
          <w:noProof/>
          <w:lang w:val="en-GB"/>
        </w:rPr>
        <w:footnoteReference w:id="326"/>
      </w:r>
      <w:r>
        <w:rPr>
          <w:rFonts w:ascii="Arial" w:hAnsi="Arial"/>
          <w:noProof/>
          <w:lang w:val="en-GB" w:eastAsia="en-GB"/>
        </w:rPr>
        <w:t>;</w:t>
      </w:r>
    </w:p>
    <w:p w:rsidR="001557B7" w:rsidRDefault="00AD3265">
      <w:pPr>
        <w:pStyle w:val="Lijstje2"/>
        <w:spacing w:after="200"/>
        <w:ind w:left="1843" w:hanging="425"/>
        <w:rPr>
          <w:rFonts w:ascii="Arial" w:hAnsi="Arial"/>
          <w:noProof/>
          <w:lang w:val="en-GB" w:eastAsia="en-GB"/>
        </w:rPr>
      </w:pPr>
      <w:r>
        <w:rPr>
          <w:rFonts w:ascii="Arial" w:hAnsi="Arial"/>
          <w:noProof/>
          <w:lang w:val="en-GB" w:eastAsia="en-GB"/>
        </w:rPr>
        <w:t>failure to comply with reporting obligations under EU waste legislation</w:t>
      </w:r>
      <w:r>
        <w:rPr>
          <w:rStyle w:val="FootnoteReference"/>
          <w:rFonts w:ascii="Arial" w:hAnsi="Arial"/>
          <w:noProof/>
          <w:lang w:val="en-GB"/>
        </w:rPr>
        <w:footnoteReference w:id="327"/>
      </w:r>
      <w:r>
        <w:rPr>
          <w:rFonts w:ascii="Arial" w:hAnsi="Arial"/>
          <w:noProof/>
          <w:lang w:val="en-GB" w:eastAsia="en-GB"/>
        </w:rPr>
        <w:t>;</w:t>
      </w:r>
    </w:p>
    <w:p w:rsidR="001557B7" w:rsidRDefault="00AD3265">
      <w:pPr>
        <w:pStyle w:val="Lijstje2"/>
        <w:spacing w:after="200"/>
        <w:ind w:left="1843" w:hanging="425"/>
        <w:rPr>
          <w:rFonts w:ascii="Arial" w:hAnsi="Arial"/>
          <w:noProof/>
          <w:lang w:val="en-GB" w:eastAsia="en-GB"/>
        </w:rPr>
      </w:pPr>
      <w:r>
        <w:rPr>
          <w:rFonts w:ascii="Arial" w:hAnsi="Arial"/>
          <w:noProof/>
          <w:lang w:val="en-GB" w:eastAsia="en-GB"/>
        </w:rPr>
        <w:t>failure to ensure that urban waste water is adequately treated</w:t>
      </w:r>
      <w:r>
        <w:rPr>
          <w:rStyle w:val="FootnoteReference"/>
          <w:rFonts w:ascii="Arial" w:hAnsi="Arial"/>
          <w:noProof/>
          <w:lang w:val="en-GB"/>
        </w:rPr>
        <w:footnoteReference w:id="328"/>
      </w:r>
      <w:r>
        <w:rPr>
          <w:rFonts w:ascii="Arial" w:hAnsi="Arial"/>
          <w:noProof/>
          <w:lang w:val="en-GB" w:eastAsia="en-GB"/>
        </w:rPr>
        <w:t>;</w:t>
      </w:r>
    </w:p>
    <w:p w:rsidR="001557B7" w:rsidRDefault="00AD3265">
      <w:pPr>
        <w:pStyle w:val="Lijstje2"/>
        <w:spacing w:after="200"/>
        <w:ind w:left="1843" w:hanging="425"/>
        <w:rPr>
          <w:rFonts w:ascii="Arial" w:hAnsi="Arial"/>
          <w:noProof/>
          <w:lang w:val="en-GB" w:eastAsia="en-GB"/>
        </w:rPr>
      </w:pPr>
      <w:r>
        <w:rPr>
          <w:rFonts w:ascii="Arial" w:hAnsi="Arial"/>
          <w:noProof/>
          <w:lang w:val="en-GB" w:eastAsia="en-GB"/>
        </w:rPr>
        <w:t>failure to comply with the PM</w:t>
      </w:r>
      <w:r>
        <w:rPr>
          <w:rFonts w:ascii="Arial" w:hAnsi="Arial"/>
          <w:noProof/>
          <w:vertAlign w:val="subscript"/>
          <w:lang w:val="en-GB" w:eastAsia="en-GB"/>
        </w:rPr>
        <w:t>10</w:t>
      </w:r>
      <w:r>
        <w:rPr>
          <w:rStyle w:val="FootnoteReference"/>
          <w:rFonts w:ascii="Arial" w:hAnsi="Arial"/>
          <w:noProof/>
          <w:lang w:val="en-GB"/>
        </w:rPr>
        <w:footnoteReference w:id="329"/>
      </w:r>
      <w:r>
        <w:rPr>
          <w:rFonts w:ascii="Arial" w:hAnsi="Arial"/>
          <w:noProof/>
          <w:lang w:val="en-GB" w:eastAsia="en-GB"/>
        </w:rPr>
        <w:t xml:space="preserve"> limit values set by th</w:t>
      </w:r>
      <w:r>
        <w:rPr>
          <w:rFonts w:ascii="Arial" w:hAnsi="Arial"/>
          <w:noProof/>
          <w:lang w:val="en-GB" w:eastAsia="en-GB"/>
        </w:rPr>
        <w:t>e Air Quality Directive</w:t>
      </w:r>
      <w:r>
        <w:rPr>
          <w:rStyle w:val="FootnoteReference"/>
          <w:rFonts w:ascii="Arial" w:hAnsi="Arial"/>
          <w:noProof/>
          <w:lang w:val="en-GB"/>
        </w:rPr>
        <w:footnoteReference w:id="330"/>
      </w:r>
      <w:r>
        <w:rPr>
          <w:rFonts w:ascii="Arial" w:hAnsi="Arial"/>
          <w:noProof/>
          <w:lang w:val="en-GB" w:eastAsia="en-GB"/>
        </w:rPr>
        <w:t>;</w:t>
      </w:r>
    </w:p>
    <w:p w:rsidR="001557B7" w:rsidRDefault="00AD3265">
      <w:pPr>
        <w:pStyle w:val="Lijstje2"/>
        <w:spacing w:after="200"/>
        <w:ind w:left="1843" w:hanging="425"/>
        <w:rPr>
          <w:rFonts w:ascii="Arial" w:hAnsi="Arial"/>
          <w:i/>
          <w:noProof/>
          <w:lang w:val="en-GB"/>
        </w:rPr>
      </w:pPr>
      <w:r>
        <w:rPr>
          <w:rFonts w:ascii="Arial" w:hAnsi="Arial"/>
          <w:noProof/>
          <w:lang w:val="en-GB" w:eastAsia="en-GB"/>
        </w:rPr>
        <w:t xml:space="preserve">failure to comply with </w:t>
      </w:r>
      <w:r>
        <w:rPr>
          <w:rFonts w:ascii="Arial" w:hAnsi="Arial"/>
          <w:noProof/>
          <w:lang w:val="en-GB"/>
        </w:rPr>
        <w:t>the NO</w:t>
      </w:r>
      <w:r>
        <w:rPr>
          <w:rFonts w:ascii="Arial" w:hAnsi="Arial"/>
          <w:noProof/>
          <w:vertAlign w:val="subscript"/>
          <w:lang w:val="en-GB"/>
        </w:rPr>
        <w:t>2</w:t>
      </w:r>
      <w:r>
        <w:rPr>
          <w:rFonts w:ascii="Arial" w:hAnsi="Arial"/>
          <w:noProof/>
          <w:lang w:val="en-GB"/>
        </w:rPr>
        <w:t xml:space="preserve"> limit values set by the Air Quality Directive</w:t>
      </w:r>
      <w:r>
        <w:rPr>
          <w:rStyle w:val="FootnoteReference"/>
          <w:rFonts w:ascii="Arial" w:hAnsi="Arial" w:cs="Arial"/>
          <w:noProof/>
          <w:lang w:val="en-GB"/>
        </w:rPr>
        <w:footnoteReference w:id="331"/>
      </w:r>
      <w:r>
        <w:rPr>
          <w:rFonts w:ascii="Arial" w:hAnsi="Arial"/>
          <w:noProof/>
          <w:lang w:val="en-GB"/>
        </w:rPr>
        <w:t>;</w:t>
      </w:r>
    </w:p>
    <w:p w:rsidR="001557B7" w:rsidRDefault="00AD3265">
      <w:pPr>
        <w:pStyle w:val="Lijstje2"/>
        <w:spacing w:after="200"/>
        <w:ind w:left="1843" w:hanging="425"/>
        <w:rPr>
          <w:rFonts w:ascii="Arial" w:hAnsi="Arial"/>
          <w:noProof/>
          <w:lang w:val="en-GB" w:eastAsia="en-GB"/>
        </w:rPr>
      </w:pPr>
      <w:r>
        <w:rPr>
          <w:rFonts w:ascii="Arial" w:hAnsi="Arial"/>
          <w:noProof/>
          <w:lang w:val="en-GB" w:eastAsia="en-GB"/>
        </w:rPr>
        <w:t>incorrect application of the Directive on the mutual recognition of seafarers’ certificates issued by Member States</w:t>
      </w:r>
      <w:r>
        <w:rPr>
          <w:rStyle w:val="FootnoteReference"/>
          <w:rFonts w:ascii="Arial" w:hAnsi="Arial"/>
          <w:noProof/>
          <w:lang w:val="en-GB"/>
        </w:rPr>
        <w:footnoteReference w:id="332"/>
      </w:r>
      <w:r>
        <w:rPr>
          <w:rFonts w:ascii="Arial" w:hAnsi="Arial"/>
          <w:noProof/>
          <w:lang w:val="en-GB" w:eastAsia="en-GB"/>
        </w:rPr>
        <w:t>;</w:t>
      </w:r>
    </w:p>
    <w:p w:rsidR="001557B7" w:rsidRDefault="00AD3265">
      <w:pPr>
        <w:pStyle w:val="Lijstje2"/>
        <w:spacing w:after="200"/>
        <w:ind w:left="1843" w:hanging="425"/>
        <w:rPr>
          <w:rFonts w:ascii="Arial" w:hAnsi="Arial" w:cs="Arial"/>
          <w:noProof/>
          <w:lang w:val="en-GB"/>
        </w:rPr>
      </w:pPr>
      <w:r>
        <w:rPr>
          <w:rFonts w:ascii="Arial" w:hAnsi="Arial" w:cs="Arial"/>
          <w:noProof/>
          <w:lang w:val="en-GB" w:eastAsia="en-GB"/>
        </w:rPr>
        <w:t xml:space="preserve">discriminatory </w:t>
      </w:r>
      <w:r>
        <w:rPr>
          <w:rFonts w:ascii="Arial" w:hAnsi="Arial"/>
          <w:noProof/>
          <w:lang w:val="en-GB" w:eastAsia="en-GB"/>
        </w:rPr>
        <w:t xml:space="preserve">fiscal treatment </w:t>
      </w:r>
      <w:r>
        <w:rPr>
          <w:rFonts w:ascii="Arial" w:hAnsi="Arial"/>
          <w:noProof/>
          <w:lang w:val="en-GB" w:eastAsia="en-GB"/>
        </w:rPr>
        <w:t>of green electricity and discriminatory taxation rules against</w:t>
      </w:r>
      <w:r>
        <w:rPr>
          <w:rFonts w:ascii="Arial" w:hAnsi="Arial" w:cs="Arial"/>
          <w:noProof/>
          <w:lang w:val="en-GB"/>
        </w:rPr>
        <w:t xml:space="preserve"> non-Italian citizens relating to real estate;</w:t>
      </w:r>
    </w:p>
    <w:p w:rsidR="001557B7" w:rsidRDefault="00AD3265">
      <w:pPr>
        <w:pStyle w:val="Lijstje2"/>
        <w:spacing w:after="200"/>
        <w:ind w:left="1843" w:hanging="425"/>
        <w:rPr>
          <w:rFonts w:ascii="Arial" w:hAnsi="Arial" w:cs="Arial"/>
          <w:noProof/>
          <w:lang w:val="en-GB"/>
        </w:rPr>
      </w:pPr>
      <w:r>
        <w:rPr>
          <w:rFonts w:ascii="Arial" w:hAnsi="Arial" w:cs="Arial"/>
          <w:noProof/>
          <w:lang w:val="en-GB"/>
        </w:rPr>
        <w:t>non-communication of national measures transposing the:</w:t>
      </w:r>
    </w:p>
    <w:p w:rsidR="001557B7" w:rsidRDefault="00AD3265">
      <w:pPr>
        <w:pStyle w:val="Lijstje2"/>
        <w:numPr>
          <w:ilvl w:val="1"/>
          <w:numId w:val="2"/>
        </w:numPr>
        <w:spacing w:after="200"/>
        <w:ind w:left="2410" w:hanging="425"/>
        <w:rPr>
          <w:rFonts w:ascii="Arial" w:hAnsi="Arial" w:cs="Arial"/>
          <w:noProof/>
          <w:lang w:val="en-GB" w:eastAsia="en-GB"/>
        </w:rPr>
      </w:pPr>
      <w:r>
        <w:rPr>
          <w:rFonts w:ascii="Arial" w:hAnsi="Arial" w:cs="Arial"/>
          <w:noProof/>
          <w:lang w:val="en-GB" w:eastAsia="en-GB"/>
        </w:rPr>
        <w:t>Directive on caseins and caseinates</w:t>
      </w:r>
      <w:r>
        <w:rPr>
          <w:rStyle w:val="FootnoteReference"/>
          <w:noProof/>
          <w:lang w:val="en-GB"/>
        </w:rPr>
        <w:footnoteReference w:id="333"/>
      </w:r>
      <w:r>
        <w:rPr>
          <w:rFonts w:ascii="Arial" w:hAnsi="Arial" w:cs="Arial"/>
          <w:noProof/>
          <w:lang w:val="en-GB" w:eastAsia="en-GB"/>
        </w:rPr>
        <w:t>;</w:t>
      </w:r>
    </w:p>
    <w:p w:rsidR="001557B7" w:rsidRDefault="00AD3265">
      <w:pPr>
        <w:pStyle w:val="Lijstje2"/>
        <w:numPr>
          <w:ilvl w:val="1"/>
          <w:numId w:val="2"/>
        </w:numPr>
        <w:spacing w:after="200"/>
        <w:ind w:left="2410" w:hanging="425"/>
        <w:rPr>
          <w:rFonts w:ascii="Arial" w:hAnsi="Arial" w:cs="Arial"/>
          <w:noProof/>
          <w:lang w:val="en-GB"/>
        </w:rPr>
      </w:pPr>
      <w:r>
        <w:rPr>
          <w:rFonts w:ascii="Arial" w:hAnsi="Arial"/>
          <w:noProof/>
          <w:lang w:val="en-GB" w:eastAsia="en-GB"/>
        </w:rPr>
        <w:t>Directive on seafarers</w:t>
      </w:r>
      <w:r>
        <w:rPr>
          <w:rStyle w:val="FootnoteReference"/>
          <w:rFonts w:cs="Arial"/>
          <w:noProof/>
          <w:lang w:val="en-GB"/>
        </w:rPr>
        <w:footnoteReference w:id="334"/>
      </w:r>
      <w:r>
        <w:rPr>
          <w:rFonts w:ascii="Arial" w:hAnsi="Arial"/>
          <w:noProof/>
          <w:lang w:val="en-GB" w:eastAsia="en-GB"/>
        </w:rPr>
        <w:t>.</w:t>
      </w:r>
    </w:p>
    <w:p w:rsidR="001557B7" w:rsidRDefault="00AD3265">
      <w:pPr>
        <w:pStyle w:val="Lijstje"/>
        <w:numPr>
          <w:ilvl w:val="0"/>
          <w:numId w:val="10"/>
        </w:numPr>
        <w:ind w:left="1276" w:hanging="426"/>
        <w:rPr>
          <w:noProof/>
        </w:rPr>
      </w:pPr>
      <w:r>
        <w:rPr>
          <w:noProof/>
        </w:rPr>
        <w:t xml:space="preserve">The Commission referred two </w:t>
      </w:r>
      <w:r>
        <w:rPr>
          <w:noProof/>
        </w:rPr>
        <w:t>cases to the Court under Article 258 TFEU. These concern:</w:t>
      </w:r>
    </w:p>
    <w:p w:rsidR="001557B7" w:rsidRDefault="00AD3265">
      <w:pPr>
        <w:pStyle w:val="Lijstje2"/>
        <w:spacing w:after="200"/>
        <w:ind w:left="1843" w:hanging="425"/>
        <w:rPr>
          <w:rFonts w:ascii="Arial" w:hAnsi="Arial"/>
          <w:noProof/>
          <w:lang w:val="en-GB" w:eastAsia="en-GB"/>
        </w:rPr>
      </w:pPr>
      <w:r>
        <w:rPr>
          <w:rFonts w:ascii="Arial" w:hAnsi="Arial"/>
          <w:noProof/>
          <w:lang w:val="en-GB" w:eastAsia="en-GB"/>
        </w:rPr>
        <w:t>failure to rehabilitate or close non-compliant waste landfills posing a serious risk for human health and the environment</w:t>
      </w:r>
      <w:r>
        <w:rPr>
          <w:rStyle w:val="FootnoteReference"/>
          <w:noProof/>
          <w:lang w:val="en-GB"/>
        </w:rPr>
        <w:footnoteReference w:id="335"/>
      </w:r>
      <w:r>
        <w:rPr>
          <w:rFonts w:ascii="Arial" w:hAnsi="Arial"/>
          <w:noProof/>
          <w:lang w:val="en-GB" w:eastAsia="en-GB"/>
        </w:rPr>
        <w:t>;</w:t>
      </w:r>
    </w:p>
    <w:p w:rsidR="001557B7" w:rsidRDefault="00AD3265">
      <w:pPr>
        <w:pStyle w:val="Lijstje2"/>
        <w:spacing w:after="200"/>
        <w:ind w:left="1843" w:hanging="425"/>
        <w:rPr>
          <w:rFonts w:ascii="Arial" w:hAnsi="Arial" w:cs="Arial"/>
          <w:noProof/>
          <w:lang w:val="en-GB"/>
        </w:rPr>
      </w:pPr>
      <w:r>
        <w:rPr>
          <w:rFonts w:ascii="Arial" w:hAnsi="Arial"/>
          <w:noProof/>
          <w:lang w:val="en-GB" w:eastAsia="en-GB"/>
        </w:rPr>
        <w:t>extension of a motorway concession contract without a prior call for tende</w:t>
      </w:r>
      <w:r>
        <w:rPr>
          <w:rFonts w:ascii="Arial" w:hAnsi="Arial"/>
          <w:noProof/>
          <w:lang w:val="en-GB" w:eastAsia="en-GB"/>
        </w:rPr>
        <w:t>rs</w:t>
      </w:r>
      <w:r>
        <w:rPr>
          <w:rStyle w:val="FootnoteReference"/>
          <w:rFonts w:ascii="Arial" w:hAnsi="Arial" w:cs="Arial"/>
          <w:noProof/>
          <w:lang w:val="en-GB"/>
        </w:rPr>
        <w:footnoteReference w:id="336"/>
      </w:r>
      <w:r>
        <w:rPr>
          <w:rFonts w:ascii="Arial" w:hAnsi="Arial"/>
          <w:noProof/>
          <w:lang w:val="en-GB" w:eastAsia="en-GB"/>
        </w:rPr>
        <w:t>.</w:t>
      </w:r>
    </w:p>
    <w:p w:rsidR="001557B7" w:rsidRDefault="00AD3265">
      <w:pPr>
        <w:pStyle w:val="Lijstje"/>
        <w:numPr>
          <w:ilvl w:val="0"/>
          <w:numId w:val="10"/>
        </w:numPr>
        <w:ind w:left="1276" w:hanging="426"/>
        <w:rPr>
          <w:noProof/>
        </w:rPr>
      </w:pPr>
      <w:r>
        <w:rPr>
          <w:noProof/>
        </w:rPr>
        <w:t>The Commission referred one case to the Court under Article 260(2) TFEU.</w:t>
      </w:r>
    </w:p>
    <w:p w:rsidR="001557B7" w:rsidRDefault="00AD3265">
      <w:pPr>
        <w:pStyle w:val="Lijstje2"/>
        <w:numPr>
          <w:ilvl w:val="0"/>
          <w:numId w:val="0"/>
        </w:numPr>
        <w:spacing w:after="200"/>
        <w:ind w:left="1843"/>
        <w:rPr>
          <w:rFonts w:ascii="Arial" w:hAnsi="Arial" w:cs="Arial"/>
          <w:noProof/>
          <w:lang w:val="en-GB"/>
        </w:rPr>
      </w:pPr>
      <w:r>
        <w:rPr>
          <w:rFonts w:ascii="Arial" w:hAnsi="Arial" w:cs="Arial"/>
          <w:noProof/>
          <w:lang w:val="en-GB"/>
        </w:rPr>
        <w:t>This concerns a failure to comply with a Court judgment finding that Italy had failed to adequately collect and treat waste water discharged by numerous agglomerations. The Commi</w:t>
      </w:r>
      <w:r>
        <w:rPr>
          <w:rFonts w:ascii="Arial" w:hAnsi="Arial" w:cs="Arial"/>
          <w:noProof/>
          <w:lang w:val="en-GB"/>
        </w:rPr>
        <w:t>ssion asked the Court to impose a lump sum payment of EUR 62 699 421.40 and a daily penalty payment of EUR 346 922.40 until Italy fully complies with EU law</w:t>
      </w:r>
      <w:r>
        <w:rPr>
          <w:rStyle w:val="FootnoteReference"/>
          <w:rFonts w:ascii="Arial" w:hAnsi="Arial" w:cs="Arial"/>
          <w:noProof/>
          <w:lang w:val="en-GB"/>
        </w:rPr>
        <w:footnoteReference w:id="337"/>
      </w:r>
      <w:r>
        <w:rPr>
          <w:rFonts w:ascii="Arial" w:hAnsi="Arial" w:cs="Arial"/>
          <w:noProof/>
          <w:lang w:val="en-GB"/>
        </w:rPr>
        <w:t>.</w:t>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rsidR="001557B7" w:rsidRDefault="00AD3265">
      <w:pPr>
        <w:pStyle w:val="AnnualReport2"/>
        <w:numPr>
          <w:ilvl w:val="0"/>
          <w:numId w:val="166"/>
        </w:numPr>
        <w:ind w:left="709" w:hanging="425"/>
        <w:rPr>
          <w:noProof/>
        </w:rPr>
      </w:pPr>
      <w:r>
        <w:rPr>
          <w:noProof/>
        </w:rPr>
        <w:t xml:space="preserve">Late transposition infringement cases against Italy open on </w:t>
      </w:r>
      <w:r>
        <w:rPr>
          <w:noProof/>
        </w:rPr>
        <w:t>31 December (2013-2017)</w:t>
      </w:r>
    </w:p>
    <w:p w:rsidR="001557B7" w:rsidRDefault="00AD3265">
      <w:pPr>
        <w:ind w:left="426" w:firstLine="283"/>
        <w:rPr>
          <w:noProof/>
        </w:rPr>
      </w:pPr>
      <w:r>
        <w:rPr>
          <w:noProof/>
          <w:lang w:eastAsia="en-GB"/>
        </w:rPr>
        <w:drawing>
          <wp:inline distT="0" distB="0" distL="0" distR="0" wp14:anchorId="65A946F7" wp14:editId="2A144D12">
            <wp:extent cx="4587875" cy="2345690"/>
            <wp:effectExtent l="0" t="0" r="22225" b="16510"/>
            <wp:docPr id="13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1557B7" w:rsidRDefault="00AD3265">
      <w:pPr>
        <w:pStyle w:val="AnnualReport2"/>
        <w:numPr>
          <w:ilvl w:val="0"/>
          <w:numId w:val="166"/>
        </w:numPr>
        <w:ind w:left="709" w:hanging="425"/>
        <w:rPr>
          <w:noProof/>
        </w:rPr>
      </w:pPr>
      <w:r>
        <w:rPr>
          <w:noProof/>
        </w:rPr>
        <w:t>New late transposition infringement cases against Italy (2013-2017)</w:t>
      </w:r>
    </w:p>
    <w:p w:rsidR="001557B7" w:rsidRDefault="00AD3265">
      <w:pPr>
        <w:pStyle w:val="Body"/>
        <w:rPr>
          <w:noProof/>
          <w:lang w:val="en-GB"/>
        </w:rPr>
      </w:pPr>
      <w:r>
        <w:rPr>
          <w:noProof/>
          <w:lang w:val="en-GB" w:eastAsia="en-GB"/>
        </w:rPr>
        <w:drawing>
          <wp:inline distT="0" distB="0" distL="0" distR="0" wp14:anchorId="67DD6F1F" wp14:editId="34FCF252">
            <wp:extent cx="4587875" cy="2345690"/>
            <wp:effectExtent l="0" t="0" r="0" b="0"/>
            <wp:docPr id="13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r>
        <w:rPr>
          <w:noProof/>
          <w:lang w:val="en-GB"/>
        </w:rPr>
        <w:br w:type="page"/>
      </w:r>
    </w:p>
    <w:p w:rsidR="001557B7" w:rsidRDefault="00AD3265">
      <w:pPr>
        <w:pStyle w:val="AnnualReport2"/>
        <w:numPr>
          <w:ilvl w:val="0"/>
          <w:numId w:val="166"/>
        </w:numPr>
        <w:ind w:left="709" w:hanging="425"/>
        <w:rPr>
          <w:noProof/>
        </w:rPr>
      </w:pPr>
      <w:r>
        <w:rPr>
          <w:noProof/>
        </w:rPr>
        <w:t>New late transposition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66E90981" wp14:editId="151E9247">
            <wp:extent cx="4594860" cy="2537460"/>
            <wp:effectExtent l="0" t="0" r="15240" b="15240"/>
            <wp:docPr id="133"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1557B7" w:rsidRDefault="00AD3265">
      <w:pPr>
        <w:pStyle w:val="AnnualReport2"/>
        <w:numPr>
          <w:ilvl w:val="0"/>
          <w:numId w:val="166"/>
        </w:numPr>
        <w:ind w:left="709" w:hanging="425"/>
        <w:rPr>
          <w:noProof/>
        </w:rPr>
      </w:pPr>
      <w:r>
        <w:rPr>
          <w:noProof/>
        </w:rPr>
        <w:t>Referrals to the Court</w:t>
      </w:r>
    </w:p>
    <w:p w:rsidR="001557B7" w:rsidRDefault="00AD3265">
      <w:pPr>
        <w:spacing w:after="120"/>
        <w:ind w:left="709"/>
        <w:rPr>
          <w:rFonts w:ascii="Arial" w:eastAsia="Calibri" w:hAnsi="Arial" w:cs="Arial"/>
          <w:noProof/>
          <w:kern w:val="20"/>
          <w:sz w:val="20"/>
        </w:rPr>
      </w:pPr>
      <w:r>
        <w:rPr>
          <w:rFonts w:ascii="Arial" w:eastAsia="Calibri" w:hAnsi="Arial" w:cs="Arial"/>
          <w:noProof/>
          <w:kern w:val="20"/>
          <w:sz w:val="20"/>
        </w:rPr>
        <w:t xml:space="preserve">The Commission did not refer any cases to the Court under </w:t>
      </w:r>
      <w:r>
        <w:rPr>
          <w:rFonts w:ascii="Arial" w:eastAsia="Calibri" w:hAnsi="Arial" w:cs="Arial"/>
          <w:noProof/>
          <w:kern w:val="20"/>
          <w:sz w:val="20"/>
        </w:rPr>
        <w:t>Articles 258 and 260(3) TFEU.</w:t>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rsidR="001557B7" w:rsidRDefault="00AD3265">
      <w:pPr>
        <w:spacing w:before="240"/>
        <w:ind w:left="284" w:firstLine="425"/>
        <w:jc w:val="left"/>
        <w:outlineLvl w:val="1"/>
        <w:rPr>
          <w:rFonts w:ascii="Arial" w:hAnsi="Arial"/>
          <w:noProof/>
          <w:color w:val="002060"/>
          <w:sz w:val="22"/>
        </w:rPr>
      </w:pPr>
      <w:r>
        <w:rPr>
          <w:rFonts w:ascii="Arial" w:hAnsi="Arial"/>
          <w:noProof/>
          <w:color w:val="002060"/>
          <w:sz w:val="22"/>
        </w:rPr>
        <w:t>Major cases closed without a Court judgment in 2017</w:t>
      </w:r>
    </w:p>
    <w:p w:rsidR="001557B7" w:rsidRDefault="00AD3265">
      <w:pPr>
        <w:spacing w:after="120"/>
        <w:ind w:left="284" w:firstLine="425"/>
        <w:rPr>
          <w:rFonts w:ascii="Arial" w:hAnsi="Arial" w:cs="Arial"/>
          <w:noProof/>
          <w:sz w:val="20"/>
        </w:rPr>
      </w:pPr>
      <w:r>
        <w:rPr>
          <w:rFonts w:ascii="Arial" w:hAnsi="Arial" w:cs="Arial"/>
          <w:noProof/>
          <w:sz w:val="20"/>
        </w:rPr>
        <w:t>These concerned the following.</w:t>
      </w:r>
    </w:p>
    <w:p w:rsidR="001557B7" w:rsidRDefault="00AD3265">
      <w:pPr>
        <w:pStyle w:val="Lijstje2"/>
        <w:spacing w:after="200"/>
        <w:ind w:left="1276" w:hanging="425"/>
        <w:rPr>
          <w:rFonts w:ascii="Arial" w:hAnsi="Arial"/>
          <w:noProof/>
          <w:lang w:val="en-GB"/>
        </w:rPr>
      </w:pPr>
      <w:r>
        <w:rPr>
          <w:rFonts w:ascii="Arial" w:hAnsi="Arial" w:cs="Arial"/>
          <w:noProof/>
          <w:lang w:val="en-GB" w:eastAsia="en-GB"/>
        </w:rPr>
        <w:t>Incorrect</w:t>
      </w:r>
      <w:r>
        <w:rPr>
          <w:rFonts w:ascii="Arial" w:hAnsi="Arial"/>
          <w:noProof/>
          <w:lang w:val="en-GB"/>
        </w:rPr>
        <w:t xml:space="preserve"> transposition into national law of the Directive on package travel</w:t>
      </w:r>
      <w:r>
        <w:rPr>
          <w:rStyle w:val="FootnoteReference"/>
          <w:noProof/>
          <w:lang w:val="en-GB"/>
        </w:rPr>
        <w:footnoteReference w:id="338"/>
      </w:r>
      <w:r>
        <w:rPr>
          <w:rFonts w:ascii="Arial" w:hAnsi="Arial"/>
          <w:noProof/>
          <w:lang w:val="en-GB"/>
        </w:rPr>
        <w:t>.</w:t>
      </w:r>
      <w:r>
        <w:rPr>
          <w:noProof/>
          <w:lang w:val="en-GB"/>
        </w:rPr>
        <w:t xml:space="preserve"> </w:t>
      </w:r>
      <w:r>
        <w:rPr>
          <w:rFonts w:ascii="Arial" w:hAnsi="Arial"/>
          <w:noProof/>
          <w:lang w:val="en-GB" w:eastAsia="en-GB"/>
        </w:rPr>
        <w:t xml:space="preserve">Under the Directive, </w:t>
      </w:r>
      <w:r>
        <w:rPr>
          <w:rFonts w:ascii="Arial" w:hAnsi="Arial"/>
          <w:noProof/>
          <w:lang w:val="en-GB" w:eastAsia="en-GB"/>
        </w:rPr>
        <w:t>organisers of package tours must have insolvency protection guaranteeing that consumers receive a refund and are repatriated if the organiser becomes insolvent</w:t>
      </w:r>
      <w:r>
        <w:rPr>
          <w:rStyle w:val="FootnoteReference"/>
          <w:rFonts w:ascii="Arial" w:hAnsi="Arial" w:cs="Arial"/>
          <w:noProof/>
          <w:lang w:val="en-GB"/>
        </w:rPr>
        <w:footnoteReference w:id="339"/>
      </w:r>
      <w:r>
        <w:rPr>
          <w:rFonts w:ascii="Arial" w:hAnsi="Arial" w:cs="Arial"/>
          <w:noProof/>
          <w:lang w:val="en-GB" w:eastAsia="en-GB"/>
        </w:rPr>
        <w:t>.</w:t>
      </w:r>
    </w:p>
    <w:p w:rsidR="001557B7" w:rsidRDefault="00AD3265">
      <w:pPr>
        <w:pStyle w:val="Lijstje2"/>
        <w:spacing w:after="200"/>
        <w:ind w:left="1276" w:hanging="425"/>
        <w:rPr>
          <w:rFonts w:ascii="Arial" w:hAnsi="Arial"/>
          <w:noProof/>
          <w:lang w:val="en-GB" w:eastAsia="en-GB"/>
        </w:rPr>
      </w:pPr>
      <w:r>
        <w:rPr>
          <w:rFonts w:ascii="Arial" w:hAnsi="Arial"/>
          <w:noProof/>
          <w:lang w:val="en-GB" w:eastAsia="en-GB"/>
        </w:rPr>
        <w:t>Disproportionate fees for issuing residence permits to third-country nationals.</w:t>
      </w:r>
    </w:p>
    <w:p w:rsidR="001557B7" w:rsidRDefault="00AD3265">
      <w:pPr>
        <w:pStyle w:val="Lijstje2"/>
        <w:spacing w:after="200"/>
        <w:ind w:left="1276" w:hanging="425"/>
        <w:rPr>
          <w:rFonts w:ascii="Arial" w:hAnsi="Arial"/>
          <w:noProof/>
          <w:lang w:val="en-GB" w:eastAsia="en-GB"/>
        </w:rPr>
      </w:pPr>
      <w:r>
        <w:rPr>
          <w:rFonts w:ascii="Arial" w:hAnsi="Arial"/>
          <w:noProof/>
          <w:lang w:val="en-GB" w:eastAsia="en-GB"/>
        </w:rPr>
        <w:t>Alleged violat</w:t>
      </w:r>
      <w:r>
        <w:rPr>
          <w:rFonts w:ascii="Arial" w:hAnsi="Arial"/>
          <w:noProof/>
          <w:lang w:val="en-GB" w:eastAsia="en-GB"/>
        </w:rPr>
        <w:t>ions of obligations under the Dublin Regulation and the Directive on asylum procedures</w:t>
      </w:r>
      <w:r>
        <w:rPr>
          <w:rStyle w:val="FootnoteReference"/>
          <w:rFonts w:ascii="Arial" w:hAnsi="Arial" w:cs="Arial"/>
          <w:noProof/>
          <w:lang w:val="en-GB"/>
        </w:rPr>
        <w:footnoteReference w:id="340"/>
      </w:r>
      <w:r>
        <w:rPr>
          <w:rFonts w:ascii="Arial" w:hAnsi="Arial"/>
          <w:noProof/>
          <w:lang w:val="en-GB" w:eastAsia="en-GB"/>
        </w:rPr>
        <w:t>.</w:t>
      </w:r>
    </w:p>
    <w:p w:rsidR="001557B7" w:rsidRDefault="00AD3265">
      <w:pPr>
        <w:pStyle w:val="Lijstje2"/>
        <w:spacing w:after="200"/>
        <w:ind w:left="1276" w:hanging="425"/>
        <w:rPr>
          <w:rFonts w:ascii="Arial" w:hAnsi="Arial"/>
          <w:noProof/>
          <w:lang w:val="en-GB" w:eastAsia="en-GB"/>
        </w:rPr>
      </w:pPr>
      <w:r>
        <w:rPr>
          <w:rFonts w:ascii="Arial" w:hAnsi="Arial"/>
          <w:noProof/>
          <w:lang w:val="en-GB" w:eastAsia="en-GB"/>
        </w:rPr>
        <w:t>Systematic and unexplained refusal of applications from customs agents to operate as direct representatives in the simplified customs procedures.</w:t>
      </w:r>
    </w:p>
    <w:p w:rsidR="001557B7" w:rsidRDefault="00AD3265">
      <w:pPr>
        <w:pStyle w:val="Lijstje2"/>
        <w:spacing w:after="200"/>
        <w:ind w:left="1276" w:hanging="425"/>
        <w:rPr>
          <w:rFonts w:ascii="Arial" w:hAnsi="Arial"/>
          <w:noProof/>
          <w:lang w:val="en-GB" w:eastAsia="en-GB"/>
        </w:rPr>
      </w:pPr>
      <w:r>
        <w:rPr>
          <w:rFonts w:ascii="Arial" w:hAnsi="Arial"/>
          <w:noProof/>
          <w:lang w:val="en-GB" w:eastAsia="en-GB"/>
        </w:rPr>
        <w:t>Special rights of the</w:t>
      </w:r>
      <w:r>
        <w:rPr>
          <w:rFonts w:ascii="Arial" w:hAnsi="Arial"/>
          <w:noProof/>
          <w:lang w:val="en-GB" w:eastAsia="en-GB"/>
        </w:rPr>
        <w:t xml:space="preserve"> state in the privatisation law.</w:t>
      </w:r>
    </w:p>
    <w:p w:rsidR="001557B7" w:rsidRDefault="00AD3265">
      <w:pPr>
        <w:pStyle w:val="Lijstje2"/>
        <w:spacing w:after="200"/>
        <w:ind w:left="1276" w:hanging="425"/>
        <w:rPr>
          <w:rFonts w:ascii="Arial" w:hAnsi="Arial"/>
          <w:noProof/>
          <w:lang w:val="en-GB" w:eastAsia="en-GB"/>
        </w:rPr>
      </w:pPr>
      <w:r>
        <w:rPr>
          <w:rFonts w:ascii="Arial" w:hAnsi="Arial"/>
          <w:noProof/>
          <w:lang w:val="en-GB" w:eastAsia="en-GB"/>
        </w:rPr>
        <w:t>Failure to adopt a national policy framework for the development and deployment of alternative fuels infrastructure</w:t>
      </w:r>
      <w:r>
        <w:rPr>
          <w:rStyle w:val="FootnoteReference"/>
          <w:rFonts w:cs="Arial"/>
          <w:noProof/>
          <w:lang w:val="en-GB"/>
        </w:rPr>
        <w:footnoteReference w:id="341"/>
      </w:r>
      <w:r>
        <w:rPr>
          <w:rFonts w:ascii="Arial" w:hAnsi="Arial"/>
          <w:noProof/>
          <w:lang w:val="en-GB" w:eastAsia="en-GB"/>
        </w:rPr>
        <w:t>.</w:t>
      </w:r>
    </w:p>
    <w:p w:rsidR="001557B7" w:rsidRDefault="00AD3265">
      <w:pPr>
        <w:pStyle w:val="Lijstje2"/>
        <w:spacing w:after="200"/>
        <w:ind w:left="1276" w:hanging="425"/>
        <w:rPr>
          <w:rFonts w:ascii="Arial" w:hAnsi="Arial"/>
          <w:noProof/>
          <w:lang w:val="en-GB" w:eastAsia="en-GB"/>
        </w:rPr>
      </w:pPr>
      <w:r>
        <w:rPr>
          <w:rFonts w:ascii="Arial" w:hAnsi="Arial"/>
          <w:noProof/>
          <w:lang w:val="en-GB" w:eastAsia="en-GB"/>
        </w:rPr>
        <w:t>Non-communication of national measures transposing the:</w:t>
      </w:r>
    </w:p>
    <w:p w:rsidR="001557B7" w:rsidRDefault="00AD3265">
      <w:pPr>
        <w:pStyle w:val="Lijstje2"/>
        <w:numPr>
          <w:ilvl w:val="1"/>
          <w:numId w:val="2"/>
        </w:numPr>
        <w:spacing w:after="200"/>
        <w:ind w:left="1843" w:hanging="425"/>
        <w:rPr>
          <w:rFonts w:ascii="Arial" w:hAnsi="Arial"/>
          <w:noProof/>
          <w:lang w:val="en-GB" w:eastAsia="en-GB"/>
        </w:rPr>
      </w:pPr>
      <w:r>
        <w:rPr>
          <w:rFonts w:ascii="Arial" w:hAnsi="Arial"/>
          <w:noProof/>
          <w:lang w:val="en-GB" w:eastAsia="en-GB"/>
        </w:rPr>
        <w:t>‘Qualifications’ Directive</w:t>
      </w:r>
      <w:r>
        <w:rPr>
          <w:rStyle w:val="FootnoteReference"/>
          <w:rFonts w:ascii="Arial" w:hAnsi="Arial" w:cs="Arial"/>
          <w:noProof/>
          <w:lang w:val="en-GB"/>
        </w:rPr>
        <w:footnoteReference w:id="342"/>
      </w:r>
      <w:r>
        <w:rPr>
          <w:rFonts w:ascii="Arial" w:hAnsi="Arial"/>
          <w:noProof/>
          <w:lang w:val="en-GB" w:eastAsia="en-GB"/>
        </w:rPr>
        <w:t>;</w:t>
      </w:r>
    </w:p>
    <w:p w:rsidR="001557B7" w:rsidRDefault="00AD3265">
      <w:pPr>
        <w:pStyle w:val="Lijstje2"/>
        <w:numPr>
          <w:ilvl w:val="1"/>
          <w:numId w:val="2"/>
        </w:numPr>
        <w:spacing w:after="200"/>
        <w:ind w:left="1843" w:hanging="425"/>
        <w:rPr>
          <w:rFonts w:ascii="Arial" w:hAnsi="Arial"/>
          <w:noProof/>
          <w:lang w:val="en-GB" w:eastAsia="en-GB"/>
        </w:rPr>
      </w:pPr>
      <w:r>
        <w:rPr>
          <w:rFonts w:ascii="Arial" w:hAnsi="Arial"/>
          <w:noProof/>
          <w:lang w:val="en-GB" w:eastAsia="en-GB"/>
        </w:rPr>
        <w:t xml:space="preserve">Long-Term Residents </w:t>
      </w:r>
      <w:r>
        <w:rPr>
          <w:rFonts w:ascii="Arial" w:hAnsi="Arial"/>
          <w:noProof/>
          <w:lang w:val="en-GB" w:eastAsia="en-GB"/>
        </w:rPr>
        <w:t>Directive</w:t>
      </w:r>
      <w:r>
        <w:rPr>
          <w:rStyle w:val="FootnoteReference"/>
          <w:rFonts w:ascii="Arial" w:hAnsi="Arial" w:cs="Arial"/>
          <w:noProof/>
          <w:lang w:val="en-GB"/>
        </w:rPr>
        <w:footnoteReference w:id="343"/>
      </w:r>
      <w:r>
        <w:rPr>
          <w:rFonts w:ascii="Arial" w:hAnsi="Arial"/>
          <w:noProof/>
          <w:lang w:val="en-GB" w:eastAsia="en-GB"/>
        </w:rPr>
        <w:t>;</w:t>
      </w:r>
    </w:p>
    <w:p w:rsidR="001557B7" w:rsidRDefault="00AD3265">
      <w:pPr>
        <w:pStyle w:val="Lijstje2"/>
        <w:numPr>
          <w:ilvl w:val="1"/>
          <w:numId w:val="2"/>
        </w:numPr>
        <w:spacing w:after="200"/>
        <w:ind w:left="1843" w:hanging="425"/>
        <w:rPr>
          <w:rFonts w:ascii="Arial" w:hAnsi="Arial"/>
          <w:noProof/>
          <w:lang w:val="en-GB" w:eastAsia="en-GB"/>
        </w:rPr>
      </w:pPr>
      <w:r>
        <w:rPr>
          <w:rFonts w:ascii="Arial" w:hAnsi="Arial"/>
          <w:noProof/>
          <w:lang w:val="en-GB" w:eastAsia="en-GB"/>
        </w:rPr>
        <w:t>Solvency II Directive</w:t>
      </w:r>
      <w:r>
        <w:rPr>
          <w:rStyle w:val="FootnoteReference"/>
          <w:rFonts w:ascii="Arial" w:hAnsi="Arial" w:cs="Arial"/>
          <w:noProof/>
          <w:lang w:val="en-GB"/>
        </w:rPr>
        <w:footnoteReference w:id="344"/>
      </w:r>
      <w:r>
        <w:rPr>
          <w:rFonts w:ascii="Arial" w:hAnsi="Arial"/>
          <w:noProof/>
          <w:lang w:val="en-GB" w:eastAsia="en-GB"/>
        </w:rPr>
        <w:t>;</w:t>
      </w:r>
    </w:p>
    <w:p w:rsidR="001557B7" w:rsidRDefault="00AD3265">
      <w:pPr>
        <w:pStyle w:val="Lijstje2"/>
        <w:numPr>
          <w:ilvl w:val="1"/>
          <w:numId w:val="2"/>
        </w:numPr>
        <w:spacing w:after="200"/>
        <w:ind w:left="1843" w:hanging="425"/>
        <w:rPr>
          <w:rFonts w:ascii="Arial" w:hAnsi="Arial"/>
          <w:noProof/>
          <w:lang w:val="en-GB" w:eastAsia="en-GB"/>
        </w:rPr>
      </w:pPr>
      <w:r>
        <w:rPr>
          <w:rFonts w:ascii="Arial" w:hAnsi="Arial"/>
          <w:noProof/>
          <w:lang w:val="en-GB" w:eastAsia="en-GB"/>
        </w:rPr>
        <w:t>Omnibus II Directive in respect of the powers of the European Insurance and Occupational Pensions Authority and the European Securities and Markets Authority</w:t>
      </w:r>
      <w:r>
        <w:rPr>
          <w:rStyle w:val="FootnoteReference"/>
          <w:rFonts w:ascii="Arial" w:hAnsi="Arial" w:cs="Arial"/>
          <w:noProof/>
          <w:lang w:val="en-GB"/>
        </w:rPr>
        <w:footnoteReference w:id="345"/>
      </w:r>
      <w:r>
        <w:rPr>
          <w:rFonts w:ascii="Arial" w:hAnsi="Arial"/>
          <w:noProof/>
          <w:lang w:val="en-GB" w:eastAsia="en-GB"/>
        </w:rPr>
        <w:t>;</w:t>
      </w:r>
    </w:p>
    <w:p w:rsidR="001557B7" w:rsidRDefault="00AD3265">
      <w:pPr>
        <w:pStyle w:val="Lijstje2"/>
        <w:numPr>
          <w:ilvl w:val="1"/>
          <w:numId w:val="2"/>
        </w:numPr>
        <w:spacing w:after="200"/>
        <w:ind w:left="1843" w:hanging="425"/>
        <w:rPr>
          <w:rFonts w:ascii="Arial" w:hAnsi="Arial" w:cs="Arial"/>
          <w:noProof/>
          <w:lang w:val="en-GB" w:eastAsia="en-GB"/>
        </w:rPr>
      </w:pPr>
      <w:r>
        <w:rPr>
          <w:rFonts w:ascii="Arial" w:hAnsi="Arial" w:cs="Arial"/>
          <w:noProof/>
          <w:lang w:val="en-GB" w:eastAsia="en-GB"/>
        </w:rPr>
        <w:t>Banking Recovery and Resolution Directive</w:t>
      </w:r>
      <w:r>
        <w:rPr>
          <w:rStyle w:val="FootnoteReference"/>
          <w:rFonts w:ascii="Arial" w:hAnsi="Arial" w:cs="Arial"/>
          <w:noProof/>
          <w:lang w:val="en-GB"/>
        </w:rPr>
        <w:footnoteReference w:id="346"/>
      </w:r>
      <w:r>
        <w:rPr>
          <w:rFonts w:ascii="Arial" w:hAnsi="Arial" w:cs="Arial"/>
          <w:noProof/>
          <w:lang w:val="en-GB" w:eastAsia="en-GB"/>
        </w:rPr>
        <w:t>;</w:t>
      </w:r>
    </w:p>
    <w:p w:rsidR="001557B7" w:rsidRDefault="00AD3265">
      <w:pPr>
        <w:pStyle w:val="Lijstje2"/>
        <w:numPr>
          <w:ilvl w:val="1"/>
          <w:numId w:val="2"/>
        </w:numPr>
        <w:ind w:left="1843" w:hanging="425"/>
        <w:rPr>
          <w:rFonts w:ascii="Arial" w:hAnsi="Arial" w:cs="Arial"/>
          <w:noProof/>
          <w:lang w:val="en-GB" w:eastAsia="en-GB"/>
        </w:rPr>
      </w:pPr>
      <w:hyperlink r:id="rId223" w:history="1">
        <w:r>
          <w:rPr>
            <w:rFonts w:ascii="Arial" w:hAnsi="Arial" w:cs="Arial"/>
            <w:noProof/>
            <w:lang w:val="en-GB" w:eastAsia="en-GB"/>
          </w:rPr>
          <w:t>Deposit Guarantee Schemes</w:t>
        </w:r>
      </w:hyperlink>
      <w:r>
        <w:rPr>
          <w:rFonts w:ascii="Arial" w:hAnsi="Arial" w:cs="Arial"/>
          <w:noProof/>
          <w:lang w:val="en-GB" w:eastAsia="en-GB"/>
        </w:rPr>
        <w:t>’ Directive</w:t>
      </w:r>
      <w:r>
        <w:rPr>
          <w:rStyle w:val="FootnoteReference"/>
          <w:rFonts w:ascii="Arial" w:hAnsi="Arial" w:cs="Arial"/>
          <w:noProof/>
          <w:lang w:val="en-GB"/>
        </w:rPr>
        <w:footnoteReference w:id="347"/>
      </w:r>
      <w:r>
        <w:rPr>
          <w:rFonts w:ascii="Arial" w:hAnsi="Arial" w:cs="Arial"/>
          <w:noProof/>
          <w:lang w:val="en-GB" w:eastAsia="en-GB"/>
        </w:rPr>
        <w:t>;</w:t>
      </w:r>
    </w:p>
    <w:p w:rsidR="001557B7" w:rsidRDefault="00AD3265">
      <w:pPr>
        <w:pStyle w:val="Lijstje2"/>
        <w:numPr>
          <w:ilvl w:val="1"/>
          <w:numId w:val="2"/>
        </w:numPr>
        <w:ind w:left="1843" w:hanging="425"/>
        <w:rPr>
          <w:rFonts w:ascii="Arial" w:hAnsi="Arial" w:cs="Arial"/>
          <w:noProof/>
          <w:lang w:val="en-GB" w:eastAsia="en-GB"/>
        </w:rPr>
      </w:pPr>
      <w:r>
        <w:rPr>
          <w:rFonts w:ascii="Arial" w:hAnsi="Arial" w:cs="Arial"/>
          <w:noProof/>
          <w:lang w:val="en-GB" w:eastAsia="en-GB"/>
        </w:rPr>
        <w:t>Transparency Directive</w:t>
      </w:r>
      <w:r>
        <w:rPr>
          <w:rStyle w:val="FootnoteReference"/>
          <w:rFonts w:ascii="Arial" w:hAnsi="Arial" w:cs="Arial"/>
          <w:noProof/>
          <w:lang w:val="en-GB"/>
        </w:rPr>
        <w:footnoteReference w:id="348"/>
      </w:r>
      <w:r>
        <w:rPr>
          <w:rFonts w:ascii="Arial" w:hAnsi="Arial" w:cs="Arial"/>
          <w:noProof/>
          <w:lang w:val="en-GB" w:eastAsia="en-GB"/>
        </w:rPr>
        <w:t>.</w:t>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rsidR="001557B7" w:rsidRDefault="00AD3265">
      <w:pPr>
        <w:pStyle w:val="AnnualReport2"/>
        <w:numPr>
          <w:ilvl w:val="0"/>
          <w:numId w:val="167"/>
        </w:numPr>
        <w:ind w:left="709" w:hanging="425"/>
        <w:rPr>
          <w:noProof/>
        </w:rPr>
      </w:pPr>
      <w:r>
        <w:rPr>
          <w:noProof/>
        </w:rPr>
        <w:t>Court rulings</w:t>
      </w:r>
    </w:p>
    <w:p w:rsidR="001557B7" w:rsidRDefault="00AD3265">
      <w:pPr>
        <w:pStyle w:val="Body"/>
        <w:rPr>
          <w:noProof/>
          <w:lang w:val="en-GB"/>
        </w:rPr>
      </w:pPr>
      <w:r>
        <w:rPr>
          <w:noProof/>
          <w:lang w:val="en-GB"/>
        </w:rPr>
        <w:t>There were no major Court rulings in 201</w:t>
      </w:r>
      <w:r>
        <w:rPr>
          <w:noProof/>
          <w:lang w:val="en-GB"/>
        </w:rPr>
        <w:t>7.</w:t>
      </w:r>
    </w:p>
    <w:p w:rsidR="001557B7" w:rsidRDefault="00AD3265">
      <w:pPr>
        <w:pStyle w:val="AnnualReport2"/>
        <w:numPr>
          <w:ilvl w:val="0"/>
          <w:numId w:val="167"/>
        </w:numPr>
        <w:ind w:left="709" w:hanging="425"/>
        <w:rPr>
          <w:noProof/>
        </w:rPr>
      </w:pPr>
      <w:r>
        <w:rPr>
          <w:noProof/>
        </w:rPr>
        <w:t>Preliminary rulings</w:t>
      </w:r>
    </w:p>
    <w:p w:rsidR="001557B7" w:rsidRDefault="00AD3265">
      <w:pPr>
        <w:pStyle w:val="Body"/>
        <w:ind w:left="426" w:firstLine="294"/>
        <w:rPr>
          <w:noProof/>
          <w:lang w:val="en-GB"/>
        </w:rPr>
      </w:pPr>
      <w:r>
        <w:rPr>
          <w:noProof/>
          <w:lang w:val="en-GB"/>
        </w:rPr>
        <w:t>The Court addressed the following preliminary rulings to the Italian judiciary.</w:t>
      </w:r>
    </w:p>
    <w:p w:rsidR="001557B7" w:rsidRDefault="00AD3265">
      <w:pPr>
        <w:pStyle w:val="Lijstje2"/>
        <w:ind w:left="1276" w:hanging="425"/>
        <w:contextualSpacing w:val="0"/>
        <w:rPr>
          <w:rFonts w:ascii="Arial" w:hAnsi="Arial"/>
          <w:noProof/>
          <w:lang w:val="en-GB"/>
        </w:rPr>
      </w:pPr>
      <w:r>
        <w:rPr>
          <w:rFonts w:ascii="Arial" w:hAnsi="Arial"/>
          <w:noProof/>
          <w:lang w:val="en-GB" w:eastAsia="en-GB"/>
        </w:rPr>
        <w:t>National courts may dismiss an appeal against a decision rejecting a manifestly unfounded application for international protection without hearing the ap</w:t>
      </w:r>
      <w:r>
        <w:rPr>
          <w:rFonts w:ascii="Arial" w:hAnsi="Arial"/>
          <w:noProof/>
          <w:lang w:val="en-GB" w:eastAsia="en-GB"/>
        </w:rPr>
        <w:t>plicant. In such case, the factual circumstances should leave no doubt as to whether that decision was well founded and during the proceedings at first instance, the applicant should have given the opportunity of a personal interview</w:t>
      </w:r>
      <w:r>
        <w:rPr>
          <w:rStyle w:val="FootnoteReference"/>
          <w:rFonts w:ascii="Arial" w:hAnsi="Arial" w:cs="Arial"/>
          <w:noProof/>
          <w:lang w:val="en-GB"/>
        </w:rPr>
        <w:footnoteReference w:id="349"/>
      </w:r>
      <w:r>
        <w:rPr>
          <w:rFonts w:ascii="Arial" w:hAnsi="Arial"/>
          <w:noProof/>
          <w:lang w:val="en-GB" w:eastAsia="en-GB"/>
        </w:rPr>
        <w:t>.</w:t>
      </w:r>
    </w:p>
    <w:p w:rsidR="001557B7" w:rsidRDefault="00AD3265">
      <w:pPr>
        <w:pStyle w:val="Lijstje2"/>
        <w:spacing w:before="120" w:after="0"/>
        <w:ind w:left="1276" w:hanging="425"/>
        <w:rPr>
          <w:noProof/>
          <w:lang w:val="en-GB"/>
        </w:rPr>
      </w:pPr>
      <w:r>
        <w:rPr>
          <w:rFonts w:ascii="Arial" w:hAnsi="Arial" w:cs="Arial"/>
          <w:noProof/>
          <w:lang w:val="en-GB"/>
        </w:rPr>
        <w:t>The Italian measures</w:t>
      </w:r>
      <w:r>
        <w:rPr>
          <w:rFonts w:ascii="Arial" w:hAnsi="Arial" w:cs="Arial"/>
          <w:noProof/>
          <w:lang w:val="en-GB"/>
        </w:rPr>
        <w:t xml:space="preserve"> regarding the allocation of digital TV frequencies may violate in several regards the EU law on the internal market</w:t>
      </w:r>
      <w:r>
        <w:rPr>
          <w:rStyle w:val="FootnoteReference"/>
          <w:rFonts w:ascii="Arial" w:hAnsi="Arial" w:cs="Arial"/>
          <w:noProof/>
        </w:rPr>
        <w:footnoteReference w:id="350"/>
      </w:r>
      <w:r>
        <w:rPr>
          <w:noProof/>
          <w:lang w:val="en-GB"/>
        </w:rPr>
        <w:t>.</w:t>
      </w:r>
    </w:p>
    <w:p w:rsidR="001557B7" w:rsidRDefault="00AD3265">
      <w:pPr>
        <w:pStyle w:val="Lijstje2"/>
        <w:spacing w:before="120" w:after="0"/>
        <w:ind w:left="1276" w:hanging="425"/>
        <w:contextualSpacing w:val="0"/>
        <w:rPr>
          <w:rFonts w:ascii="Arial" w:hAnsi="Arial" w:cs="Arial"/>
          <w:noProof/>
          <w:lang w:val="en-GB"/>
        </w:rPr>
      </w:pPr>
      <w:r>
        <w:rPr>
          <w:rFonts w:ascii="Arial" w:hAnsi="Arial" w:cs="Arial"/>
          <w:noProof/>
          <w:lang w:val="en-GB" w:eastAsia="en-GB"/>
        </w:rPr>
        <w:t>An online platform allowing users to store copies of TV programmes in a private cloud space cannot</w:t>
      </w:r>
      <w:r>
        <w:rPr>
          <w:rFonts w:ascii="Arial" w:hAnsi="Arial" w:cs="Arial"/>
          <w:noProof/>
          <w:lang w:val="en-GB"/>
        </w:rPr>
        <w:t xml:space="preserve"> be deemed covered by the private copying exception. This exception applies to the reproduction right, but not the right to make available a protected work. EU rules</w:t>
      </w:r>
      <w:r>
        <w:rPr>
          <w:rStyle w:val="FootnoteReference"/>
          <w:rFonts w:ascii="Arial" w:hAnsi="Arial" w:cs="Arial"/>
          <w:noProof/>
          <w:lang w:val="en-GB"/>
        </w:rPr>
        <w:footnoteReference w:id="351"/>
      </w:r>
      <w:r>
        <w:rPr>
          <w:rFonts w:ascii="Arial" w:hAnsi="Arial" w:cs="Arial"/>
          <w:noProof/>
          <w:lang w:val="en-GB"/>
        </w:rPr>
        <w:t xml:space="preserve"> preclude national legislation which permits a commercial undertaking to provide private i</w:t>
      </w:r>
      <w:r>
        <w:rPr>
          <w:rFonts w:ascii="Arial" w:hAnsi="Arial" w:cs="Arial"/>
          <w:noProof/>
          <w:lang w:val="en-GB"/>
        </w:rPr>
        <w:t>ndividuals with a cloud service for the remote recording of private copies of works protected by copyright, by means of a computer system, by actively involving itself in the recording, without the right holder’s consent</w:t>
      </w:r>
      <w:r>
        <w:rPr>
          <w:rStyle w:val="FootnoteReference"/>
          <w:rFonts w:ascii="Arial" w:hAnsi="Arial" w:cs="Arial"/>
          <w:noProof/>
          <w:lang w:val="en-GB"/>
        </w:rPr>
        <w:footnoteReference w:id="352"/>
      </w:r>
      <w:r>
        <w:rPr>
          <w:rFonts w:ascii="Arial" w:hAnsi="Arial" w:cs="Arial"/>
          <w:noProof/>
          <w:lang w:val="en-GB"/>
        </w:rPr>
        <w:t>.</w:t>
      </w:r>
    </w:p>
    <w:p w:rsidR="001557B7" w:rsidRDefault="00AD3265">
      <w:pPr>
        <w:pStyle w:val="Lijstje2"/>
        <w:spacing w:before="120" w:after="0"/>
        <w:ind w:left="1276" w:hanging="425"/>
        <w:contextualSpacing w:val="0"/>
        <w:rPr>
          <w:rFonts w:ascii="Arial" w:hAnsi="Arial" w:cs="Arial"/>
          <w:noProof/>
          <w:lang w:val="en-GB"/>
        </w:rPr>
      </w:pPr>
      <w:r>
        <w:rPr>
          <w:rFonts w:ascii="Arial" w:hAnsi="Arial" w:cs="Arial"/>
          <w:noProof/>
          <w:lang w:val="en-GB" w:eastAsia="en-GB"/>
        </w:rPr>
        <w:t xml:space="preserve">Restrictions imposed on gambling </w:t>
      </w:r>
      <w:r>
        <w:rPr>
          <w:rFonts w:ascii="Arial" w:hAnsi="Arial" w:cs="Arial"/>
          <w:noProof/>
          <w:lang w:val="en-GB" w:eastAsia="en-GB"/>
        </w:rPr>
        <w:t>concession holders through new legislation may be compliant with the TFEU principles provided they are justified by overriding reasons relating to the general interest and are enacted proportionately i.e. with an amendment to the concession providing for a</w:t>
      </w:r>
      <w:r>
        <w:rPr>
          <w:rFonts w:ascii="Arial" w:hAnsi="Arial" w:cs="Arial"/>
          <w:noProof/>
          <w:lang w:val="en-GB" w:eastAsia="en-GB"/>
        </w:rPr>
        <w:t xml:space="preserve"> transitional period of sufficient length</w:t>
      </w:r>
      <w:r>
        <w:rPr>
          <w:rStyle w:val="FootnoteReference"/>
          <w:rFonts w:ascii="Arial" w:hAnsi="Arial" w:cs="Arial"/>
          <w:noProof/>
          <w:lang w:val="en-GB"/>
        </w:rPr>
        <w:footnoteReference w:id="353"/>
      </w:r>
      <w:r>
        <w:rPr>
          <w:rFonts w:ascii="Arial" w:hAnsi="Arial" w:cs="Arial"/>
          <w:noProof/>
          <w:lang w:val="en-GB" w:eastAsia="en-GB"/>
        </w:rPr>
        <w:t>.</w:t>
      </w:r>
    </w:p>
    <w:p w:rsidR="001557B7" w:rsidRDefault="00AD3265">
      <w:pPr>
        <w:pStyle w:val="Lijstje2"/>
        <w:spacing w:before="120" w:after="0"/>
        <w:ind w:left="1276" w:hanging="425"/>
        <w:contextualSpacing w:val="0"/>
        <w:rPr>
          <w:rFonts w:ascii="Arial" w:hAnsi="Arial" w:cs="Arial"/>
          <w:noProof/>
          <w:lang w:val="en-GB"/>
        </w:rPr>
      </w:pPr>
      <w:r>
        <w:rPr>
          <w:rFonts w:ascii="Arial" w:hAnsi="Arial" w:cs="Arial"/>
          <w:noProof/>
          <w:lang w:val="en-GB" w:eastAsia="en-GB"/>
        </w:rPr>
        <w:t xml:space="preserve">In line with the </w:t>
      </w:r>
      <w:r>
        <w:rPr>
          <w:rFonts w:ascii="Arial" w:hAnsi="Arial" w:cs="Arial"/>
          <w:noProof/>
          <w:lang w:val="en-GB"/>
        </w:rPr>
        <w:t>principle of equal treatment, a third-country national holding a single permit should also be entitled to the benefit for households</w:t>
      </w:r>
      <w:r>
        <w:rPr>
          <w:rStyle w:val="FootnoteReference"/>
          <w:rFonts w:ascii="Arial" w:hAnsi="Arial" w:cs="Arial"/>
          <w:noProof/>
          <w:lang w:val="en-GB"/>
        </w:rPr>
        <w:footnoteReference w:id="354"/>
      </w:r>
      <w:r>
        <w:rPr>
          <w:rFonts w:ascii="Arial" w:hAnsi="Arial" w:cs="Arial"/>
          <w:noProof/>
          <w:lang w:val="en-GB"/>
        </w:rPr>
        <w:t>.</w:t>
      </w:r>
    </w:p>
    <w:p w:rsidR="001557B7" w:rsidRDefault="00AD3265">
      <w:pPr>
        <w:pStyle w:val="Lijstje2"/>
        <w:numPr>
          <w:ilvl w:val="0"/>
          <w:numId w:val="224"/>
        </w:numPr>
        <w:spacing w:before="120" w:after="0"/>
        <w:ind w:left="1276" w:hanging="425"/>
        <w:contextualSpacing w:val="0"/>
        <w:rPr>
          <w:rFonts w:ascii="Arial" w:hAnsi="Arial" w:cs="Arial"/>
          <w:noProof/>
          <w:lang w:val="en-GB" w:eastAsia="en-GB"/>
        </w:rPr>
      </w:pPr>
      <w:r>
        <w:rPr>
          <w:rFonts w:ascii="Arial" w:hAnsi="Arial" w:cs="Arial"/>
          <w:noProof/>
          <w:lang w:val="en-GB" w:eastAsia="en-GB"/>
        </w:rPr>
        <w:t xml:space="preserve">In the event of </w:t>
      </w:r>
      <w:r>
        <w:rPr>
          <w:rFonts w:ascii="Arial" w:hAnsi="Arial" w:cs="Arial"/>
          <w:noProof/>
          <w:lang w:val="en-GB"/>
        </w:rPr>
        <w:t>failure to carry out an environmental impact</w:t>
      </w:r>
      <w:r>
        <w:rPr>
          <w:rFonts w:ascii="Arial" w:hAnsi="Arial" w:cs="Arial"/>
          <w:noProof/>
          <w:lang w:val="en-GB"/>
        </w:rPr>
        <w:t xml:space="preserve"> assessment, Member States are required to nullify the unlawful consequences of that failure. EU law does not prevent the conduct of an impact assessment after the plant concerned has been constructed and has entered into operation, as long as the relevant</w:t>
      </w:r>
      <w:r>
        <w:rPr>
          <w:rFonts w:ascii="Arial" w:hAnsi="Arial" w:cs="Arial"/>
          <w:noProof/>
          <w:lang w:val="en-GB"/>
        </w:rPr>
        <w:t xml:space="preserve"> national rules do not allow the requirements of EU law to be circumvented and the assessment covers both the past and future environmental impact of the plant</w:t>
      </w:r>
      <w:r>
        <w:rPr>
          <w:rStyle w:val="FootnoteReference"/>
          <w:rFonts w:ascii="Arial" w:hAnsi="Arial" w:cs="Arial"/>
          <w:noProof/>
          <w:lang w:val="en-GB"/>
        </w:rPr>
        <w:footnoteReference w:id="355"/>
      </w:r>
      <w:r>
        <w:rPr>
          <w:rFonts w:ascii="Arial" w:hAnsi="Arial" w:cs="Arial"/>
          <w:noProof/>
          <w:lang w:val="en-GB"/>
        </w:rPr>
        <w:t>.</w:t>
      </w:r>
    </w:p>
    <w:p w:rsidR="001557B7" w:rsidRDefault="00AD3265">
      <w:pPr>
        <w:pStyle w:val="Lijstje2"/>
        <w:spacing w:before="120" w:after="0"/>
        <w:ind w:left="1276" w:hanging="425"/>
        <w:contextualSpacing w:val="0"/>
        <w:rPr>
          <w:rFonts w:ascii="Arial" w:hAnsi="Arial" w:cs="Arial"/>
          <w:noProof/>
          <w:lang w:val="en-GB"/>
        </w:rPr>
      </w:pPr>
      <w:r>
        <w:rPr>
          <w:rFonts w:ascii="Arial" w:hAnsi="Arial" w:cs="Arial"/>
          <w:noProof/>
          <w:lang w:val="en-GB" w:eastAsia="en-GB"/>
        </w:rPr>
        <w:t>EU law does not preclude national provisions which do not require a public selection procedure</w:t>
      </w:r>
      <w:r>
        <w:rPr>
          <w:rFonts w:ascii="Arial" w:hAnsi="Arial" w:cs="Arial"/>
          <w:noProof/>
          <w:lang w:val="en-GB" w:eastAsia="en-GB"/>
        </w:rPr>
        <w:t xml:space="preserve"> to be conducted prior to the allocation of areas within airports to be used for</w:t>
      </w:r>
      <w:r>
        <w:rPr>
          <w:rFonts w:ascii="Arial" w:hAnsi="Arial"/>
          <w:noProof/>
          <w:lang w:val="en-GB" w:eastAsia="en-GB"/>
        </w:rPr>
        <w:t xml:space="preserve"> groundhandling services for which no remuneration is to be paid by the manager of the airport</w:t>
      </w:r>
      <w:r>
        <w:rPr>
          <w:rStyle w:val="FootnoteReference"/>
          <w:rFonts w:ascii="Arial" w:hAnsi="Arial" w:cs="Arial"/>
          <w:noProof/>
          <w:lang w:val="en-GB"/>
        </w:rPr>
        <w:footnoteReference w:id="356"/>
      </w:r>
      <w:r>
        <w:rPr>
          <w:rFonts w:ascii="Arial" w:hAnsi="Arial"/>
          <w:noProof/>
          <w:lang w:val="en-GB" w:eastAsia="en-GB"/>
        </w:rPr>
        <w:t>.</w:t>
      </w:r>
    </w:p>
    <w:p w:rsidR="001557B7" w:rsidRDefault="001557B7">
      <w:pPr>
        <w:spacing w:after="0"/>
        <w:rPr>
          <w:rFonts w:ascii="Arial" w:hAnsi="Arial" w:cs="Arial"/>
          <w:noProof/>
          <w:sz w:val="20"/>
        </w:rPr>
        <w:sectPr w:rsidR="001557B7">
          <w:headerReference w:type="even" r:id="rId224"/>
          <w:headerReference w:type="default" r:id="rId225"/>
          <w:footerReference w:type="even" r:id="rId226"/>
          <w:footerReference w:type="default" r:id="rId227"/>
          <w:headerReference w:type="first" r:id="rId228"/>
          <w:footerReference w:type="first" r:id="rId229"/>
          <w:footnotePr>
            <w:numRestart w:val="eachSect"/>
          </w:footnotePr>
          <w:pgSz w:w="11906" w:h="16838"/>
          <w:pgMar w:top="1701" w:right="1417" w:bottom="1134" w:left="1417" w:header="567" w:footer="351" w:gutter="0"/>
          <w:cols w:space="708"/>
          <w:titlePg/>
          <w:docGrid w:linePitch="360"/>
        </w:sectPr>
      </w:pPr>
    </w:p>
    <w:p w:rsidR="001557B7" w:rsidRDefault="00AD3265">
      <w:pPr>
        <w:pStyle w:val="Heading1"/>
        <w:rPr>
          <w:rFonts w:cs="Arial"/>
          <w:i/>
          <w:noProof/>
          <w:szCs w:val="24"/>
        </w:rPr>
      </w:pPr>
      <w:bookmarkStart w:id="108" w:name="_Toc444769588"/>
      <w:bookmarkStart w:id="109" w:name="_Toc444772044"/>
      <w:bookmarkStart w:id="110" w:name="_Toc444773363"/>
      <w:bookmarkStart w:id="111" w:name="_Toc444776735"/>
      <w:bookmarkStart w:id="112" w:name="_Toc475974642"/>
      <w:bookmarkStart w:id="113" w:name="_Toc475980138"/>
      <w:bookmarkStart w:id="114" w:name="_Toc475981387"/>
      <w:bookmarkStart w:id="115" w:name="_Toc484622329"/>
      <w:bookmarkStart w:id="116" w:name="_Toc510015278"/>
      <w:bookmarkStart w:id="117" w:name="_Toc475974653"/>
      <w:bookmarkStart w:id="118" w:name="_Toc475980149"/>
      <w:bookmarkStart w:id="119" w:name="_Toc475981398"/>
      <w:r>
        <w:rPr>
          <w:noProof/>
          <w:szCs w:val="24"/>
        </w:rPr>
        <w:t>Cyprus</w:t>
      </w:r>
      <w:bookmarkEnd w:id="108"/>
      <w:bookmarkEnd w:id="109"/>
      <w:bookmarkEnd w:id="110"/>
      <w:bookmarkEnd w:id="111"/>
      <w:bookmarkEnd w:id="112"/>
      <w:bookmarkEnd w:id="113"/>
      <w:bookmarkEnd w:id="114"/>
      <w:bookmarkEnd w:id="115"/>
      <w:bookmarkEnd w:id="116"/>
    </w:p>
    <w:p w:rsidR="001557B7" w:rsidRDefault="00AD3265">
      <w:pPr>
        <w:pStyle w:val="kop2"/>
        <w:numPr>
          <w:ilvl w:val="0"/>
          <w:numId w:val="18"/>
        </w:numPr>
        <w:spacing w:before="360" w:after="240"/>
        <w:ind w:left="709" w:hanging="425"/>
        <w:rPr>
          <w:noProof/>
        </w:rPr>
      </w:pPr>
      <w:r>
        <w:rPr>
          <w:noProof/>
        </w:rPr>
        <w:t>COMPLAINTS</w:t>
      </w:r>
    </w:p>
    <w:p w:rsidR="001557B7" w:rsidRDefault="00AD3265">
      <w:pPr>
        <w:pStyle w:val="AnnualReport2"/>
        <w:numPr>
          <w:ilvl w:val="0"/>
          <w:numId w:val="158"/>
        </w:numPr>
        <w:ind w:left="709" w:hanging="425"/>
        <w:rPr>
          <w:noProof/>
        </w:rPr>
      </w:pPr>
      <w:r>
        <w:rPr>
          <w:noProof/>
        </w:rPr>
        <w:t>New complaints made against Cyprus by members of the public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50DE5D4C" wp14:editId="7DAE0C97">
            <wp:extent cx="4612005" cy="2234565"/>
            <wp:effectExtent l="0" t="0" r="0" b="0"/>
            <wp:docPr id="13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1557B7" w:rsidRDefault="00AD3265">
      <w:pPr>
        <w:pStyle w:val="AnnualReport2"/>
        <w:numPr>
          <w:ilvl w:val="0"/>
          <w:numId w:val="158"/>
        </w:numPr>
        <w:ind w:left="709" w:hanging="425"/>
        <w:rPr>
          <w:noProof/>
        </w:rPr>
      </w:pPr>
      <w:r>
        <w:rPr>
          <w:noProof/>
        </w:rPr>
        <w:t>Public complaints against Cyprus open at year-end</w:t>
      </w:r>
    </w:p>
    <w:tbl>
      <w:tblPr>
        <w:tblW w:w="0" w:type="auto"/>
        <w:jc w:val="center"/>
        <w:tblLook w:val="04A0" w:firstRow="1" w:lastRow="0" w:firstColumn="1" w:lastColumn="0" w:noHBand="0" w:noVBand="1"/>
      </w:tblPr>
      <w:tblGrid>
        <w:gridCol w:w="1697"/>
        <w:gridCol w:w="452"/>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37</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 xml:space="preserve"> 90</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 xml:space="preserve"> 69</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58</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1557B7" w:rsidRDefault="00AD3265">
      <w:pPr>
        <w:pStyle w:val="AnnualReport2"/>
        <w:numPr>
          <w:ilvl w:val="0"/>
          <w:numId w:val="158"/>
        </w:numPr>
        <w:ind w:left="709" w:hanging="425"/>
        <w:rPr>
          <w:noProof/>
        </w:rPr>
      </w:pPr>
      <w:r>
        <w:rPr>
          <w:noProof/>
        </w:rPr>
        <w:t>New complaints registered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1925F0D9" wp14:editId="5F956F33">
            <wp:extent cx="4858385" cy="2480945"/>
            <wp:effectExtent l="0" t="0" r="18415" b="14605"/>
            <wp:docPr id="135" name="Object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1557B7" w:rsidRDefault="00AD3265">
      <w:pPr>
        <w:spacing w:after="200" w:line="276" w:lineRule="auto"/>
        <w:jc w:val="left"/>
        <w:rPr>
          <w:rFonts w:ascii="Arial" w:hAnsi="Arial" w:cs="Arial"/>
          <w:noProof/>
          <w:sz w:val="20"/>
        </w:rPr>
      </w:pPr>
      <w:r>
        <w:rPr>
          <w:noProof/>
        </w:rPr>
        <w:br w:type="page"/>
      </w:r>
    </w:p>
    <w:p w:rsidR="001557B7" w:rsidRDefault="00AD3265">
      <w:pPr>
        <w:keepNext/>
        <w:keepLines/>
        <w:numPr>
          <w:ilvl w:val="0"/>
          <w:numId w:val="1"/>
        </w:numPr>
        <w:spacing w:after="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 xml:space="preserve">EU </w:t>
      </w:r>
      <w:r>
        <w:rPr>
          <w:rFonts w:ascii="Arial" w:eastAsia="MS Gothic" w:hAnsi="Arial" w:cs="Arial"/>
          <w:caps/>
          <w:noProof/>
          <w:color w:val="4F81BD"/>
          <w:kern w:val="20"/>
          <w:szCs w:val="24"/>
        </w:rPr>
        <w:t>PILOT</w:t>
      </w:r>
    </w:p>
    <w:p w:rsidR="001557B7" w:rsidRDefault="00AD3265">
      <w:pPr>
        <w:pStyle w:val="AnnualReport2"/>
        <w:numPr>
          <w:ilvl w:val="0"/>
          <w:numId w:val="159"/>
        </w:numPr>
        <w:ind w:left="709" w:hanging="425"/>
        <w:rPr>
          <w:noProof/>
        </w:rPr>
      </w:pPr>
      <w:r>
        <w:rPr>
          <w:noProof/>
        </w:rPr>
        <w:t>New EU Pilot files opened against Cyprus (2013-2017)</w:t>
      </w:r>
    </w:p>
    <w:p w:rsidR="001557B7" w:rsidRDefault="00AD3265">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02D7E47A" wp14:editId="2F64D3D8">
            <wp:extent cx="4603750" cy="2250440"/>
            <wp:effectExtent l="0" t="0" r="0" b="0"/>
            <wp:docPr id="13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1557B7" w:rsidRDefault="00AD3265">
      <w:pPr>
        <w:pStyle w:val="AnnualReport2"/>
        <w:numPr>
          <w:ilvl w:val="0"/>
          <w:numId w:val="159"/>
        </w:numPr>
        <w:ind w:left="709" w:hanging="425"/>
        <w:rPr>
          <w:noProof/>
        </w:rPr>
      </w:pPr>
      <w:r>
        <w:rPr>
          <w:noProof/>
        </w:rPr>
        <w:t>Files relating to Cyprus open in EU Pilot at year-end</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4A1FCFCD" wp14:editId="4173BD25">
            <wp:extent cx="4603750" cy="2250440"/>
            <wp:effectExtent l="0" t="0" r="6350" b="16510"/>
            <wp:docPr id="13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1557B7" w:rsidRDefault="00AD3265">
      <w:pPr>
        <w:pStyle w:val="AnnualReport2"/>
        <w:numPr>
          <w:ilvl w:val="0"/>
          <w:numId w:val="159"/>
        </w:numPr>
        <w:ind w:left="709" w:hanging="425"/>
        <w:rPr>
          <w:noProof/>
        </w:rPr>
      </w:pPr>
      <w:r>
        <w:rPr>
          <w:noProof/>
        </w:rPr>
        <w:t>New EU Pilot files opened in 2017: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102C0DD6" wp14:editId="051B729C">
            <wp:extent cx="4643755" cy="2433320"/>
            <wp:effectExtent l="0" t="0" r="23495" b="24130"/>
            <wp:docPr id="138"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1557B7" w:rsidRDefault="001557B7">
      <w:pPr>
        <w:spacing w:after="120"/>
        <w:ind w:firstLine="709"/>
        <w:rPr>
          <w:rFonts w:ascii="Arial" w:hAnsi="Arial" w:cs="Arial"/>
          <w:noProof/>
          <w:sz w:val="20"/>
        </w:rPr>
      </w:pPr>
    </w:p>
    <w:p w:rsidR="001557B7" w:rsidRDefault="00AD3265">
      <w:pPr>
        <w:pStyle w:val="AnnualReport2"/>
        <w:numPr>
          <w:ilvl w:val="0"/>
          <w:numId w:val="159"/>
        </w:numPr>
        <w:ind w:left="709" w:hanging="425"/>
        <w:rPr>
          <w:noProof/>
        </w:rPr>
      </w:pPr>
      <w:r>
        <w:rPr>
          <w:noProof/>
        </w:rPr>
        <w:t>EU Pilot files: Cyprus’s resolution rate in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9087011" wp14:editId="23BFE1CB">
            <wp:extent cx="4596130" cy="2313940"/>
            <wp:effectExtent l="0" t="0" r="0" b="0"/>
            <wp:docPr id="95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rsidR="001557B7" w:rsidRDefault="00AD3265">
      <w:pPr>
        <w:pStyle w:val="AnnualReport2"/>
        <w:numPr>
          <w:ilvl w:val="0"/>
          <w:numId w:val="160"/>
        </w:numPr>
        <w:ind w:left="709" w:hanging="425"/>
        <w:rPr>
          <w:noProof/>
        </w:rPr>
      </w:pPr>
      <w:r>
        <w:rPr>
          <w:noProof/>
        </w:rPr>
        <w:t>Infringement</w:t>
      </w:r>
      <w:r>
        <w:rPr>
          <w:noProof/>
        </w:rPr>
        <w:t xml:space="preserve"> cases against Cyprus open on 31 December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1345E345" wp14:editId="7B2C7C38">
            <wp:extent cx="4596130" cy="2298065"/>
            <wp:effectExtent l="0" t="0" r="13970" b="26035"/>
            <wp:docPr id="950"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1557B7" w:rsidRDefault="00AD3265">
      <w:pPr>
        <w:pStyle w:val="AnnualReport2"/>
        <w:numPr>
          <w:ilvl w:val="0"/>
          <w:numId w:val="160"/>
        </w:numPr>
        <w:ind w:left="709" w:hanging="425"/>
        <w:rPr>
          <w:noProof/>
        </w:rPr>
      </w:pPr>
      <w:r>
        <w:rPr>
          <w:noProof/>
        </w:rPr>
        <w:t>New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74A66C59" wp14:editId="2F9783DA">
            <wp:extent cx="4587875" cy="2537460"/>
            <wp:effectExtent l="0" t="0" r="3175" b="15240"/>
            <wp:docPr id="949"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1557B7" w:rsidRDefault="00AD3265">
      <w:pPr>
        <w:pStyle w:val="AnnualReport2"/>
        <w:numPr>
          <w:ilvl w:val="0"/>
          <w:numId w:val="160"/>
        </w:numPr>
        <w:ind w:left="709" w:hanging="425"/>
        <w:rPr>
          <w:noProof/>
        </w:rPr>
      </w:pPr>
      <w:r>
        <w:rPr>
          <w:noProof/>
        </w:rPr>
        <w:t>Key infringement cases and referrals to the Court</w:t>
      </w:r>
    </w:p>
    <w:p w:rsidR="001557B7" w:rsidRDefault="00AD3265">
      <w:pPr>
        <w:pStyle w:val="Lijstje"/>
        <w:numPr>
          <w:ilvl w:val="0"/>
          <w:numId w:val="21"/>
        </w:numPr>
        <w:ind w:left="1276" w:hanging="425"/>
        <w:rPr>
          <w:noProof/>
        </w:rPr>
      </w:pPr>
      <w:r>
        <w:rPr>
          <w:noProof/>
        </w:rPr>
        <w:t>The Commission opened 41 new infringement cases against Cyprus in 2017. These, and other ma</w:t>
      </w:r>
      <w:r>
        <w:rPr>
          <w:noProof/>
        </w:rPr>
        <w:t>jor ongoing infringement cases, include:</w:t>
      </w:r>
    </w:p>
    <w:p w:rsidR="001557B7" w:rsidRDefault="00AD3265">
      <w:pPr>
        <w:pStyle w:val="Lijstje2"/>
        <w:spacing w:after="0"/>
        <w:ind w:left="1843" w:hanging="425"/>
        <w:rPr>
          <w:rFonts w:ascii="Arial" w:hAnsi="Arial" w:cs="Arial"/>
          <w:noProof/>
          <w:lang w:val="en-GB"/>
        </w:rPr>
      </w:pPr>
      <w:r>
        <w:rPr>
          <w:rFonts w:ascii="Arial" w:hAnsi="Arial" w:cs="Arial"/>
          <w:noProof/>
          <w:lang w:val="en-GB"/>
        </w:rPr>
        <w:t>non-communication of national measures transposing the:</w:t>
      </w:r>
    </w:p>
    <w:p w:rsidR="001557B7" w:rsidRDefault="00AD3265">
      <w:pPr>
        <w:numPr>
          <w:ilvl w:val="2"/>
          <w:numId w:val="2"/>
        </w:numPr>
        <w:spacing w:after="0"/>
        <w:ind w:left="2410" w:hanging="425"/>
        <w:contextualSpacing/>
        <w:rPr>
          <w:rFonts w:ascii="Arial" w:hAnsi="Arial" w:cs="Arial"/>
          <w:noProof/>
          <w:sz w:val="20"/>
        </w:rPr>
      </w:pPr>
      <w:r>
        <w:rPr>
          <w:rFonts w:ascii="Arial" w:hAnsi="Arial" w:cs="Arial"/>
          <w:noProof/>
          <w:sz w:val="20"/>
        </w:rPr>
        <w:t>Directive on caseins and caseinates</w:t>
      </w:r>
      <w:r>
        <w:rPr>
          <w:rStyle w:val="FootnoteReference"/>
          <w:rFonts w:ascii="Arial" w:hAnsi="Arial" w:cs="Arial"/>
          <w:noProof/>
          <w:sz w:val="20"/>
        </w:rPr>
        <w:footnoteReference w:id="357"/>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Fourth Anti-Money Laundering Directive</w:t>
      </w:r>
      <w:r>
        <w:rPr>
          <w:rStyle w:val="FootnoteReference"/>
          <w:rFonts w:ascii="Arial" w:hAnsi="Arial" w:cs="Arial"/>
          <w:noProof/>
          <w:sz w:val="20"/>
        </w:rPr>
        <w:footnoteReference w:id="358"/>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Maritime Spatial Planning Directive</w:t>
      </w:r>
      <w:r>
        <w:rPr>
          <w:rStyle w:val="FootnoteReference"/>
          <w:rFonts w:ascii="Arial" w:hAnsi="Arial" w:cs="Arial"/>
          <w:noProof/>
          <w:sz w:val="20"/>
        </w:rPr>
        <w:footnoteReference w:id="359"/>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Payment Accounts Directive</w:t>
      </w:r>
      <w:r>
        <w:rPr>
          <w:rStyle w:val="FootnoteReference"/>
          <w:rFonts w:ascii="Arial" w:hAnsi="Arial" w:cs="Arial"/>
          <w:noProof/>
          <w:sz w:val="20"/>
        </w:rPr>
        <w:footnoteReference w:id="360"/>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 xml:space="preserve">Directive on </w:t>
      </w:r>
      <w:r>
        <w:rPr>
          <w:rFonts w:ascii="Arial" w:hAnsi="Arial" w:cs="Arial"/>
          <w:noProof/>
          <w:sz w:val="20"/>
        </w:rPr>
        <w:t>disclosure of non-financial and diversity information by certain large undertakings</w:t>
      </w:r>
      <w:r>
        <w:rPr>
          <w:rStyle w:val="FootnoteReference"/>
          <w:rFonts w:ascii="Arial" w:hAnsi="Arial" w:cs="Arial"/>
          <w:noProof/>
          <w:sz w:val="20"/>
        </w:rPr>
        <w:footnoteReference w:id="361"/>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Audit Directive</w:t>
      </w:r>
      <w:r>
        <w:rPr>
          <w:rStyle w:val="FootnoteReference"/>
          <w:rFonts w:ascii="Arial" w:hAnsi="Arial" w:cs="Arial"/>
          <w:noProof/>
          <w:sz w:val="20"/>
        </w:rPr>
        <w:footnoteReference w:id="362"/>
      </w:r>
      <w:r>
        <w:rPr>
          <w:rFonts w:ascii="Arial" w:hAnsi="Arial" w:cs="Arial"/>
          <w:noProof/>
          <w:sz w:val="20"/>
        </w:rPr>
        <w:t>;</w:t>
      </w:r>
    </w:p>
    <w:p w:rsidR="001557B7" w:rsidRDefault="00AD3265">
      <w:pPr>
        <w:numPr>
          <w:ilvl w:val="2"/>
          <w:numId w:val="2"/>
        </w:numPr>
        <w:spacing w:after="200"/>
        <w:ind w:left="2410" w:hanging="425"/>
        <w:contextualSpacing/>
        <w:rPr>
          <w:rFonts w:ascii="Arial" w:hAnsi="Arial" w:cs="Arial"/>
          <w:noProof/>
          <w:sz w:val="20"/>
        </w:rPr>
      </w:pPr>
      <w:r>
        <w:rPr>
          <w:rFonts w:ascii="Arial" w:hAnsi="Arial" w:cs="Arial"/>
          <w:noProof/>
          <w:sz w:val="20"/>
        </w:rPr>
        <w:t>Directive on seafarers</w:t>
      </w:r>
      <w:r>
        <w:rPr>
          <w:rStyle w:val="FootnoteReference"/>
          <w:rFonts w:ascii="Arial" w:hAnsi="Arial" w:cs="Arial"/>
          <w:noProof/>
          <w:sz w:val="20"/>
        </w:rPr>
        <w:footnoteReference w:id="363"/>
      </w:r>
      <w:r>
        <w:rPr>
          <w:rFonts w:ascii="Arial" w:hAnsi="Arial" w:cs="Arial"/>
          <w:noProof/>
          <w:sz w:val="20"/>
        </w:rPr>
        <w:t>;</w:t>
      </w:r>
    </w:p>
    <w:p w:rsidR="001557B7" w:rsidRDefault="00AD3265">
      <w:pPr>
        <w:numPr>
          <w:ilvl w:val="2"/>
          <w:numId w:val="2"/>
        </w:numPr>
        <w:spacing w:after="0"/>
        <w:ind w:left="2410" w:hanging="425"/>
        <w:contextualSpacing/>
        <w:rPr>
          <w:rFonts w:ascii="Arial" w:hAnsi="Arial" w:cs="Arial"/>
          <w:noProof/>
          <w:sz w:val="20"/>
        </w:rPr>
      </w:pPr>
      <w:r>
        <w:rPr>
          <w:rFonts w:ascii="Arial" w:hAnsi="Arial" w:cs="Arial"/>
          <w:noProof/>
          <w:sz w:val="20"/>
        </w:rPr>
        <w:t>Directive</w:t>
      </w:r>
      <w:r>
        <w:rPr>
          <w:rStyle w:val="FootnoteReference"/>
          <w:rFonts w:ascii="Arial" w:hAnsi="Arial" w:cs="Arial"/>
          <w:noProof/>
          <w:sz w:val="20"/>
        </w:rPr>
        <w:footnoteReference w:id="364"/>
      </w:r>
      <w:r>
        <w:rPr>
          <w:rFonts w:ascii="Arial" w:hAnsi="Arial" w:cs="Arial"/>
          <w:noProof/>
          <w:sz w:val="20"/>
        </w:rPr>
        <w:t xml:space="preserve"> laying down calculation methods and reporting requirements pursuant to the Directive on fuels quality</w:t>
      </w:r>
      <w:r>
        <w:rPr>
          <w:rStyle w:val="FootnoteReference"/>
          <w:rFonts w:ascii="Arial" w:hAnsi="Arial" w:cs="Arial"/>
          <w:noProof/>
          <w:sz w:val="20"/>
        </w:rPr>
        <w:footnoteReference w:id="365"/>
      </w:r>
      <w:r>
        <w:rPr>
          <w:rFonts w:ascii="Arial" w:hAnsi="Arial" w:cs="Arial"/>
          <w:noProof/>
          <w:sz w:val="20"/>
        </w:rPr>
        <w:t>;</w:t>
      </w:r>
    </w:p>
    <w:p w:rsidR="001557B7" w:rsidRDefault="00AD3265">
      <w:pPr>
        <w:pStyle w:val="Lijstje2"/>
        <w:spacing w:after="0"/>
        <w:ind w:left="1843" w:hanging="425"/>
        <w:rPr>
          <w:rFonts w:ascii="Arial" w:hAnsi="Arial" w:cs="Arial"/>
          <w:noProof/>
          <w:lang w:val="en-GB"/>
        </w:rPr>
      </w:pPr>
      <w:r>
        <w:rPr>
          <w:rFonts w:ascii="Arial" w:hAnsi="Arial" w:cs="Arial"/>
          <w:noProof/>
          <w:lang w:val="en-GB"/>
        </w:rPr>
        <w:t>incorrect tr</w:t>
      </w:r>
      <w:r>
        <w:rPr>
          <w:rFonts w:ascii="Arial" w:hAnsi="Arial" w:cs="Arial"/>
          <w:noProof/>
          <w:lang w:val="en-GB"/>
        </w:rPr>
        <w:t>ansposition and implementation of the Third Energy Package Directives (Electricity and Gas Directives)</w:t>
      </w:r>
      <w:r>
        <w:rPr>
          <w:rStyle w:val="FootnoteReference"/>
          <w:rFonts w:ascii="Arial" w:eastAsia="Times New Roman" w:hAnsi="Arial" w:cs="Arial"/>
          <w:noProof/>
          <w:kern w:val="0"/>
          <w:lang w:val="en-GB"/>
        </w:rPr>
        <w:footnoteReference w:id="366"/>
      </w:r>
      <w:r>
        <w:rPr>
          <w:rFonts w:ascii="Arial" w:hAnsi="Arial" w:cs="Arial"/>
          <w:noProof/>
          <w:lang w:val="en-GB"/>
        </w:rPr>
        <w:t>;</w:t>
      </w:r>
      <w:r>
        <w:rPr>
          <w:rStyle w:val="FootnoteReference"/>
          <w:rFonts w:ascii="Arial" w:eastAsia="Times New Roman" w:hAnsi="Arial" w:cs="Arial"/>
          <w:noProof/>
          <w:kern w:val="0"/>
          <w:lang w:val="en-GB"/>
        </w:rPr>
        <w:t xml:space="preserve">  </w:t>
      </w:r>
    </w:p>
    <w:p w:rsidR="001557B7" w:rsidRDefault="00AD3265">
      <w:pPr>
        <w:pStyle w:val="Lijstje2"/>
        <w:spacing w:after="0"/>
        <w:ind w:left="1843" w:hanging="425"/>
        <w:rPr>
          <w:rFonts w:ascii="Arial" w:hAnsi="Arial" w:cs="Arial"/>
          <w:noProof/>
          <w:lang w:val="en-GB"/>
        </w:rPr>
      </w:pPr>
      <w:r>
        <w:rPr>
          <w:rFonts w:ascii="Arial" w:hAnsi="Arial" w:cs="Arial"/>
          <w:noProof/>
          <w:lang w:val="en-GB"/>
        </w:rPr>
        <w:t>failure to ensure that waste landfills operate in compliance with EU standards;</w:t>
      </w:r>
    </w:p>
    <w:p w:rsidR="001557B7" w:rsidRDefault="00AD3265">
      <w:pPr>
        <w:pStyle w:val="Lijstje2"/>
        <w:spacing w:after="0"/>
        <w:ind w:left="1843" w:hanging="425"/>
        <w:rPr>
          <w:rFonts w:ascii="Arial" w:hAnsi="Arial" w:cs="Arial"/>
          <w:noProof/>
          <w:lang w:val="en-GB"/>
        </w:rPr>
      </w:pPr>
      <w:r>
        <w:rPr>
          <w:rFonts w:ascii="Arial" w:hAnsi="Arial" w:cs="Arial"/>
          <w:noProof/>
          <w:lang w:val="en-GB"/>
        </w:rPr>
        <w:t>failure to fully implement the Regulation on explosives precursors, w</w:t>
      </w:r>
      <w:r>
        <w:rPr>
          <w:rFonts w:ascii="Arial" w:hAnsi="Arial" w:cs="Arial"/>
          <w:noProof/>
          <w:lang w:val="en-GB"/>
        </w:rPr>
        <w:t>hich restricts and controls access to several dangerous chemicals that could be used by terrorists to manufacture homemade explosives</w:t>
      </w:r>
      <w:r>
        <w:rPr>
          <w:rStyle w:val="FootnoteReference"/>
          <w:rFonts w:ascii="Arial" w:eastAsia="Times New Roman" w:hAnsi="Arial" w:cs="Arial"/>
          <w:noProof/>
          <w:kern w:val="0"/>
          <w:lang w:val="en-GB"/>
        </w:rPr>
        <w:footnoteReference w:id="367"/>
      </w:r>
      <w:r>
        <w:rPr>
          <w:rFonts w:ascii="Arial" w:hAnsi="Arial" w:cs="Arial"/>
          <w:noProof/>
          <w:lang w:val="en-GB"/>
        </w:rPr>
        <w:t>;</w:t>
      </w:r>
    </w:p>
    <w:p w:rsidR="001557B7" w:rsidRDefault="00AD3265">
      <w:pPr>
        <w:pStyle w:val="Lijstje2"/>
        <w:spacing w:after="0"/>
        <w:ind w:left="1843" w:hanging="425"/>
        <w:rPr>
          <w:rFonts w:ascii="Arial" w:hAnsi="Arial" w:cs="Arial"/>
          <w:noProof/>
          <w:lang w:val="en-GB"/>
        </w:rPr>
      </w:pPr>
      <w:r>
        <w:rPr>
          <w:rFonts w:ascii="Arial" w:hAnsi="Arial" w:cs="Arial"/>
          <w:noProof/>
          <w:lang w:val="en-GB"/>
        </w:rPr>
        <w:t>non-recognition of the professional training in engineering and architecture acquired abroad by Cypriot citizens</w:t>
      </w:r>
      <w:r>
        <w:rPr>
          <w:rStyle w:val="FootnoteReference"/>
          <w:rFonts w:ascii="Arial" w:hAnsi="Arial" w:cs="Arial"/>
          <w:noProof/>
          <w:lang w:val="en-GB"/>
        </w:rPr>
        <w:footnoteReference w:id="368"/>
      </w:r>
      <w:r>
        <w:rPr>
          <w:rFonts w:ascii="Arial" w:hAnsi="Arial" w:cs="Arial"/>
          <w:noProof/>
          <w:lang w:val="en-GB"/>
        </w:rPr>
        <w:t>;</w:t>
      </w:r>
    </w:p>
    <w:p w:rsidR="001557B7" w:rsidRDefault="00AD3265">
      <w:pPr>
        <w:pStyle w:val="Lijstje2"/>
        <w:spacing w:after="0"/>
        <w:ind w:left="1843" w:hanging="425"/>
        <w:rPr>
          <w:rFonts w:ascii="Arial" w:hAnsi="Arial" w:cs="Arial"/>
          <w:noProof/>
          <w:lang w:val="en-GB"/>
        </w:rPr>
      </w:pPr>
      <w:r>
        <w:rPr>
          <w:rFonts w:ascii="Arial" w:hAnsi="Arial" w:cs="Arial"/>
          <w:noProof/>
          <w:lang w:val="en-GB"/>
        </w:rPr>
        <w:t>failu</w:t>
      </w:r>
      <w:r>
        <w:rPr>
          <w:rFonts w:ascii="Arial" w:hAnsi="Arial" w:cs="Arial"/>
          <w:noProof/>
          <w:lang w:val="en-GB"/>
        </w:rPr>
        <w:t>re to comply with reporting obligations under EU waste legislation</w:t>
      </w:r>
      <w:r>
        <w:rPr>
          <w:rStyle w:val="FootnoteReference"/>
          <w:rFonts w:ascii="Arial" w:eastAsia="Times New Roman" w:hAnsi="Arial" w:cs="Arial"/>
          <w:noProof/>
          <w:kern w:val="0"/>
          <w:lang w:val="en-GB"/>
        </w:rPr>
        <w:footnoteReference w:id="369"/>
      </w:r>
      <w:r>
        <w:rPr>
          <w:rFonts w:ascii="Arial" w:hAnsi="Arial" w:cs="Arial"/>
          <w:noProof/>
          <w:lang w:val="en-GB"/>
        </w:rPr>
        <w:t>;</w:t>
      </w:r>
    </w:p>
    <w:p w:rsidR="001557B7" w:rsidRDefault="00AD3265">
      <w:pPr>
        <w:pStyle w:val="Lijstje2"/>
        <w:spacing w:after="0"/>
        <w:ind w:left="1843" w:hanging="425"/>
        <w:rPr>
          <w:rFonts w:ascii="Arial" w:hAnsi="Arial" w:cs="Arial"/>
          <w:noProof/>
          <w:lang w:val="en-GB"/>
        </w:rPr>
      </w:pPr>
      <w:r>
        <w:rPr>
          <w:rFonts w:ascii="Arial" w:hAnsi="Arial" w:cs="Arial"/>
          <w:noProof/>
          <w:lang w:val="en-GB"/>
        </w:rPr>
        <w:t>failure to ensure that urban waste water is adequately treated</w:t>
      </w:r>
      <w:r>
        <w:rPr>
          <w:rStyle w:val="FootnoteReference"/>
          <w:rFonts w:ascii="Arial" w:hAnsi="Arial" w:cs="Arial"/>
          <w:noProof/>
          <w:lang w:val="en-GB"/>
        </w:rPr>
        <w:footnoteReference w:id="370"/>
      </w:r>
      <w:r>
        <w:rPr>
          <w:rFonts w:ascii="Arial" w:hAnsi="Arial" w:cs="Arial"/>
          <w:noProof/>
          <w:lang w:val="en-GB"/>
        </w:rPr>
        <w:t>;</w:t>
      </w:r>
    </w:p>
    <w:p w:rsidR="001557B7" w:rsidRDefault="00AD3265">
      <w:pPr>
        <w:pStyle w:val="Lijstje2"/>
        <w:ind w:left="1843" w:hanging="425"/>
        <w:rPr>
          <w:rFonts w:ascii="Arial" w:hAnsi="Arial" w:cs="Arial"/>
          <w:i/>
          <w:noProof/>
          <w:lang w:val="en-GB"/>
        </w:rPr>
      </w:pPr>
      <w:r>
        <w:rPr>
          <w:rFonts w:ascii="Arial" w:hAnsi="Arial" w:cs="Arial"/>
          <w:noProof/>
          <w:lang w:val="en-GB"/>
        </w:rPr>
        <w:t>failure to establish strategic noise maps and action plans required by the Noise Directive</w:t>
      </w:r>
      <w:r>
        <w:rPr>
          <w:rStyle w:val="FootnoteReference"/>
          <w:rFonts w:ascii="Arial" w:hAnsi="Arial" w:cs="Arial"/>
          <w:noProof/>
          <w:lang w:val="en-GB"/>
        </w:rPr>
        <w:footnoteReference w:id="371"/>
      </w:r>
      <w:r>
        <w:rPr>
          <w:rFonts w:ascii="Arial" w:hAnsi="Arial" w:cs="Arial"/>
          <w:noProof/>
          <w:lang w:val="en-GB"/>
        </w:rPr>
        <w:t>.</w:t>
      </w:r>
    </w:p>
    <w:p w:rsidR="001557B7" w:rsidRDefault="00AD3265">
      <w:pPr>
        <w:pStyle w:val="Lijstje"/>
        <w:numPr>
          <w:ilvl w:val="0"/>
          <w:numId w:val="21"/>
        </w:numPr>
        <w:ind w:left="1276" w:hanging="425"/>
        <w:rPr>
          <w:noProof/>
        </w:rPr>
      </w:pPr>
      <w:r>
        <w:rPr>
          <w:noProof/>
        </w:rPr>
        <w:t xml:space="preserve">The Commission did not refer </w:t>
      </w:r>
      <w:r>
        <w:rPr>
          <w:noProof/>
        </w:rPr>
        <w:t>any cases to the Court under Article 258 TFEU.</w:t>
      </w:r>
    </w:p>
    <w:p w:rsidR="001557B7" w:rsidRDefault="00AD3265">
      <w:pPr>
        <w:pStyle w:val="Lijstje"/>
        <w:numPr>
          <w:ilvl w:val="0"/>
          <w:numId w:val="21"/>
        </w:numPr>
        <w:ind w:left="1276" w:hanging="425"/>
        <w:rPr>
          <w:noProof/>
        </w:rPr>
      </w:pPr>
      <w:r>
        <w:rPr>
          <w:noProof/>
        </w:rPr>
        <w:t>The Commission did not refer any cases to the Court under Article 260(2) TFEU.</w:t>
      </w:r>
    </w:p>
    <w:p w:rsidR="001557B7" w:rsidRDefault="00AD3265">
      <w:pPr>
        <w:spacing w:after="0"/>
        <w:jc w:val="left"/>
        <w:rPr>
          <w:rFonts w:ascii="Arial" w:eastAsia="Calibri" w:hAnsi="Arial" w:cs="Arial"/>
          <w:noProof/>
          <w:kern w:val="20"/>
          <w:sz w:val="20"/>
        </w:rPr>
      </w:pPr>
      <w:r>
        <w:rPr>
          <w:noProof/>
        </w:rPr>
        <w:br w:type="page"/>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rsidR="001557B7" w:rsidRDefault="00AD3265">
      <w:pPr>
        <w:pStyle w:val="AnnualReport2"/>
        <w:numPr>
          <w:ilvl w:val="0"/>
          <w:numId w:val="161"/>
        </w:numPr>
        <w:ind w:left="709" w:hanging="425"/>
        <w:rPr>
          <w:noProof/>
        </w:rPr>
      </w:pPr>
      <w:r>
        <w:rPr>
          <w:noProof/>
        </w:rPr>
        <w:t>Late transposition infringement cases against Cyprus open on 31 December (2013-2017)</w:t>
      </w:r>
    </w:p>
    <w:p w:rsidR="001557B7" w:rsidRDefault="00AD3265">
      <w:pPr>
        <w:ind w:left="426" w:firstLine="283"/>
        <w:rPr>
          <w:noProof/>
        </w:rPr>
      </w:pPr>
      <w:r>
        <w:rPr>
          <w:noProof/>
          <w:lang w:eastAsia="en-GB"/>
        </w:rPr>
        <w:drawing>
          <wp:inline distT="0" distB="0" distL="0" distR="0" wp14:anchorId="62A9FCDD" wp14:editId="2E568CBE">
            <wp:extent cx="4612005" cy="2011680"/>
            <wp:effectExtent l="0" t="0" r="17145" b="26670"/>
            <wp:docPr id="948"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1557B7" w:rsidRDefault="00AD3265">
      <w:pPr>
        <w:pStyle w:val="AnnualReport2"/>
        <w:numPr>
          <w:ilvl w:val="0"/>
          <w:numId w:val="161"/>
        </w:numPr>
        <w:ind w:left="709" w:hanging="425"/>
        <w:rPr>
          <w:noProof/>
        </w:rPr>
      </w:pPr>
      <w:r>
        <w:rPr>
          <w:noProof/>
        </w:rPr>
        <w:t xml:space="preserve">New late </w:t>
      </w:r>
      <w:r>
        <w:rPr>
          <w:noProof/>
        </w:rPr>
        <w:t>transposition infringement cases against Cyprus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4962226D" wp14:editId="54CF7B6D">
            <wp:extent cx="4612005" cy="2011680"/>
            <wp:effectExtent l="0" t="0" r="0" b="0"/>
            <wp:docPr id="94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1557B7" w:rsidRDefault="00AD3265">
      <w:pPr>
        <w:pStyle w:val="AnnualReport2"/>
        <w:numPr>
          <w:ilvl w:val="0"/>
          <w:numId w:val="161"/>
        </w:numPr>
        <w:ind w:left="709" w:hanging="425"/>
        <w:rPr>
          <w:noProof/>
        </w:rPr>
      </w:pPr>
      <w:r>
        <w:rPr>
          <w:noProof/>
        </w:rPr>
        <w:t>New late transposition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36BED78B" wp14:editId="525FCC42">
            <wp:extent cx="4612005" cy="2393315"/>
            <wp:effectExtent l="0" t="0" r="17145" b="26035"/>
            <wp:docPr id="946"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1557B7" w:rsidRDefault="00AD3265">
      <w:pPr>
        <w:spacing w:after="0"/>
        <w:jc w:val="left"/>
        <w:rPr>
          <w:rFonts w:ascii="Arial" w:hAnsi="Arial" w:cs="Arial"/>
          <w:noProof/>
          <w:sz w:val="20"/>
        </w:rPr>
      </w:pPr>
      <w:r>
        <w:rPr>
          <w:rFonts w:ascii="Arial" w:hAnsi="Arial" w:cs="Arial"/>
          <w:noProof/>
          <w:sz w:val="20"/>
        </w:rPr>
        <w:br w:type="page"/>
      </w:r>
    </w:p>
    <w:p w:rsidR="001557B7" w:rsidRDefault="00AD3265">
      <w:pPr>
        <w:pStyle w:val="AnnualReport2"/>
        <w:numPr>
          <w:ilvl w:val="0"/>
          <w:numId w:val="161"/>
        </w:numPr>
        <w:ind w:left="709" w:hanging="425"/>
        <w:rPr>
          <w:noProof/>
        </w:rPr>
      </w:pPr>
      <w:r>
        <w:rPr>
          <w:noProof/>
        </w:rPr>
        <w:t>Referrals to the Court</w:t>
      </w:r>
    </w:p>
    <w:p w:rsidR="001557B7" w:rsidRDefault="00AD3265">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rsidR="001557B7" w:rsidRDefault="00AD3265">
      <w:pPr>
        <w:spacing w:after="60"/>
        <w:ind w:left="284" w:firstLine="425"/>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1557B7" w:rsidRDefault="00AD3265">
      <w:pPr>
        <w:spacing w:before="120" w:after="120"/>
        <w:ind w:firstLine="709"/>
        <w:rPr>
          <w:rFonts w:ascii="Arial" w:hAnsi="Arial" w:cs="Arial"/>
          <w:noProof/>
          <w:sz w:val="20"/>
        </w:rPr>
      </w:pPr>
      <w:r>
        <w:rPr>
          <w:rFonts w:ascii="Arial" w:hAnsi="Arial" w:cs="Arial"/>
          <w:noProof/>
          <w:sz w:val="20"/>
        </w:rPr>
        <w:t>These concerned:</w:t>
      </w:r>
    </w:p>
    <w:p w:rsidR="001557B7" w:rsidRDefault="00AD3265">
      <w:pPr>
        <w:pStyle w:val="Lijstje2"/>
        <w:spacing w:after="0"/>
        <w:ind w:left="1276" w:hanging="425"/>
        <w:rPr>
          <w:rFonts w:ascii="Arial" w:hAnsi="Arial" w:cs="Arial"/>
          <w:noProof/>
          <w:lang w:val="en-GB"/>
        </w:rPr>
      </w:pPr>
      <w:r>
        <w:rPr>
          <w:rFonts w:ascii="Arial" w:hAnsi="Arial" w:cs="Arial"/>
          <w:noProof/>
          <w:lang w:val="en-GB"/>
        </w:rPr>
        <w:t>non-</w:t>
      </w:r>
      <w:r>
        <w:rPr>
          <w:rFonts w:ascii="Arial" w:hAnsi="Arial"/>
          <w:noProof/>
          <w:lang w:val="en-GB"/>
        </w:rPr>
        <w:t>communication</w:t>
      </w:r>
      <w:r>
        <w:rPr>
          <w:rFonts w:ascii="Arial" w:hAnsi="Arial" w:cs="Arial"/>
          <w:noProof/>
          <w:lang w:val="en-GB"/>
        </w:rPr>
        <w:t xml:space="preserve"> of national measures transposing the:</w:t>
      </w:r>
    </w:p>
    <w:p w:rsidR="001557B7" w:rsidRDefault="00AD3265">
      <w:pPr>
        <w:numPr>
          <w:ilvl w:val="2"/>
          <w:numId w:val="2"/>
        </w:numPr>
        <w:spacing w:after="200"/>
        <w:ind w:left="1843" w:hanging="567"/>
        <w:contextualSpacing/>
        <w:rPr>
          <w:rFonts w:ascii="Arial" w:hAnsi="Arial" w:cs="Arial"/>
          <w:noProof/>
          <w:sz w:val="20"/>
        </w:rPr>
      </w:pPr>
      <w:r>
        <w:rPr>
          <w:rFonts w:ascii="Arial" w:hAnsi="Arial" w:cs="Arial"/>
          <w:bCs/>
          <w:noProof/>
          <w:sz w:val="20"/>
        </w:rPr>
        <w:t>intra-corporate transfer Directive</w:t>
      </w:r>
      <w:r>
        <w:rPr>
          <w:rStyle w:val="FootnoteReference"/>
          <w:rFonts w:ascii="Arial" w:hAnsi="Arial" w:cs="Arial"/>
          <w:bCs/>
          <w:noProof/>
          <w:sz w:val="20"/>
        </w:rPr>
        <w:footnoteReference w:id="372"/>
      </w:r>
      <w:r>
        <w:rPr>
          <w:rFonts w:ascii="Arial" w:hAnsi="Arial" w:cs="Arial"/>
          <w:bCs/>
          <w:noProof/>
          <w:sz w:val="20"/>
        </w:rPr>
        <w:t>;</w:t>
      </w:r>
    </w:p>
    <w:p w:rsidR="001557B7" w:rsidRDefault="00AD3265">
      <w:pPr>
        <w:numPr>
          <w:ilvl w:val="2"/>
          <w:numId w:val="2"/>
        </w:numPr>
        <w:spacing w:after="200"/>
        <w:ind w:left="1843" w:hanging="567"/>
        <w:contextualSpacing/>
        <w:rPr>
          <w:rFonts w:ascii="Arial" w:hAnsi="Arial" w:cs="Arial"/>
          <w:noProof/>
          <w:sz w:val="20"/>
        </w:rPr>
      </w:pPr>
      <w:r>
        <w:rPr>
          <w:rFonts w:ascii="Arial" w:hAnsi="Arial" w:cs="Arial"/>
          <w:bCs/>
          <w:noProof/>
          <w:sz w:val="20"/>
        </w:rPr>
        <w:t>‘Qualifications’ Directive</w:t>
      </w:r>
      <w:r>
        <w:rPr>
          <w:rStyle w:val="FootnoteReference"/>
          <w:rFonts w:ascii="Arial" w:hAnsi="Arial" w:cs="Arial"/>
          <w:bCs/>
          <w:noProof/>
          <w:sz w:val="20"/>
        </w:rPr>
        <w:footnoteReference w:id="373"/>
      </w:r>
      <w:r>
        <w:rPr>
          <w:rFonts w:ascii="Arial" w:hAnsi="Arial" w:cs="Arial"/>
          <w:bCs/>
          <w:noProof/>
          <w:sz w:val="20"/>
        </w:rPr>
        <w:t>;</w:t>
      </w:r>
    </w:p>
    <w:p w:rsidR="001557B7" w:rsidRDefault="00AD3265">
      <w:pPr>
        <w:numPr>
          <w:ilvl w:val="2"/>
          <w:numId w:val="2"/>
        </w:numPr>
        <w:spacing w:after="200"/>
        <w:ind w:left="1843" w:hanging="567"/>
        <w:contextualSpacing/>
        <w:rPr>
          <w:rFonts w:ascii="Arial" w:hAnsi="Arial" w:cs="Arial"/>
          <w:noProof/>
          <w:sz w:val="20"/>
        </w:rPr>
      </w:pPr>
      <w:r>
        <w:rPr>
          <w:rFonts w:ascii="Arial" w:hAnsi="Arial" w:cs="Arial"/>
          <w:noProof/>
          <w:sz w:val="20"/>
          <w:lang w:eastAsia="en-GB"/>
        </w:rPr>
        <w:t xml:space="preserve">Directive on procurement </w:t>
      </w:r>
      <w:r>
        <w:rPr>
          <w:rFonts w:ascii="Arial" w:hAnsi="Arial" w:cs="Arial"/>
          <w:noProof/>
          <w:sz w:val="20"/>
          <w:lang w:eastAsia="en-GB"/>
        </w:rPr>
        <w:t>by entities operating in the water, energy, transport and postal services sectors</w:t>
      </w:r>
      <w:r>
        <w:rPr>
          <w:rStyle w:val="FootnoteReference"/>
          <w:rFonts w:ascii="Arial" w:hAnsi="Arial" w:cs="Arial"/>
          <w:noProof/>
          <w:sz w:val="20"/>
          <w:lang w:eastAsia="en-GB"/>
        </w:rPr>
        <w:footnoteReference w:id="374"/>
      </w:r>
      <w:r>
        <w:rPr>
          <w:rFonts w:ascii="Arial" w:hAnsi="Arial" w:cs="Arial"/>
          <w:noProof/>
          <w:sz w:val="20"/>
          <w:lang w:eastAsia="en-GB"/>
        </w:rPr>
        <w:t>;</w:t>
      </w:r>
    </w:p>
    <w:p w:rsidR="001557B7" w:rsidRDefault="00AD3265">
      <w:pPr>
        <w:numPr>
          <w:ilvl w:val="2"/>
          <w:numId w:val="2"/>
        </w:numPr>
        <w:spacing w:after="200"/>
        <w:ind w:left="1843" w:hanging="567"/>
        <w:contextualSpacing/>
        <w:rPr>
          <w:rFonts w:ascii="Arial" w:hAnsi="Arial" w:cs="Arial"/>
          <w:noProof/>
          <w:sz w:val="20"/>
        </w:rPr>
      </w:pPr>
      <w:r>
        <w:rPr>
          <w:rFonts w:ascii="Arial" w:hAnsi="Arial" w:cs="Arial"/>
          <w:noProof/>
          <w:sz w:val="20"/>
        </w:rPr>
        <w:t>Directive on recognition of professional qualifications</w:t>
      </w:r>
      <w:r>
        <w:rPr>
          <w:rStyle w:val="FootnoteReference"/>
          <w:noProof/>
        </w:rPr>
        <w:footnoteReference w:id="375"/>
      </w:r>
      <w:r>
        <w:rPr>
          <w:rFonts w:ascii="Arial" w:hAnsi="Arial" w:cs="Arial"/>
          <w:noProof/>
          <w:sz w:val="20"/>
        </w:rPr>
        <w:t>;</w:t>
      </w:r>
    </w:p>
    <w:p w:rsidR="001557B7" w:rsidRDefault="00AD3265">
      <w:pPr>
        <w:numPr>
          <w:ilvl w:val="2"/>
          <w:numId w:val="2"/>
        </w:numPr>
        <w:spacing w:after="200"/>
        <w:ind w:left="1843" w:hanging="567"/>
        <w:contextualSpacing/>
        <w:rPr>
          <w:rFonts w:ascii="Arial" w:hAnsi="Arial" w:cs="Arial"/>
          <w:noProof/>
          <w:sz w:val="20"/>
        </w:rPr>
      </w:pPr>
      <w:r>
        <w:rPr>
          <w:rFonts w:ascii="Arial" w:hAnsi="Arial" w:cs="Arial"/>
          <w:noProof/>
          <w:sz w:val="20"/>
        </w:rPr>
        <w:t>Directive on lifts</w:t>
      </w:r>
      <w:r>
        <w:rPr>
          <w:rStyle w:val="FootnoteReference"/>
          <w:rFonts w:ascii="Arial" w:hAnsi="Arial" w:cs="Arial"/>
          <w:noProof/>
          <w:sz w:val="20"/>
        </w:rPr>
        <w:footnoteReference w:id="376"/>
      </w:r>
      <w:r>
        <w:rPr>
          <w:rFonts w:ascii="Arial" w:hAnsi="Arial" w:cs="Arial"/>
          <w:noProof/>
          <w:sz w:val="20"/>
        </w:rPr>
        <w:t>;</w:t>
      </w:r>
    </w:p>
    <w:p w:rsidR="001557B7" w:rsidRDefault="00AD3265">
      <w:pPr>
        <w:numPr>
          <w:ilvl w:val="2"/>
          <w:numId w:val="2"/>
        </w:numPr>
        <w:spacing w:after="200"/>
        <w:ind w:left="1843" w:hanging="567"/>
        <w:contextualSpacing/>
        <w:rPr>
          <w:rFonts w:ascii="Arial" w:hAnsi="Arial" w:cs="Arial"/>
          <w:noProof/>
          <w:sz w:val="20"/>
        </w:rPr>
      </w:pPr>
      <w:r>
        <w:rPr>
          <w:rFonts w:ascii="Arial" w:hAnsi="Arial" w:cs="Arial"/>
          <w:noProof/>
          <w:sz w:val="20"/>
        </w:rPr>
        <w:t>Directive on electromagnetic compatibility</w:t>
      </w:r>
      <w:r>
        <w:rPr>
          <w:rStyle w:val="FootnoteReference"/>
          <w:rFonts w:ascii="Arial" w:hAnsi="Arial" w:cs="Arial"/>
          <w:noProof/>
          <w:sz w:val="20"/>
        </w:rPr>
        <w:footnoteReference w:id="377"/>
      </w:r>
      <w:r>
        <w:rPr>
          <w:rFonts w:ascii="Arial" w:hAnsi="Arial" w:cs="Arial"/>
          <w:noProof/>
          <w:sz w:val="20"/>
        </w:rPr>
        <w:t>;</w:t>
      </w:r>
    </w:p>
    <w:p w:rsidR="001557B7" w:rsidRDefault="00AD3265">
      <w:pPr>
        <w:numPr>
          <w:ilvl w:val="2"/>
          <w:numId w:val="2"/>
        </w:numPr>
        <w:spacing w:after="200"/>
        <w:ind w:left="1843" w:hanging="567"/>
        <w:contextualSpacing/>
        <w:rPr>
          <w:rFonts w:ascii="Arial" w:hAnsi="Arial" w:cs="Arial"/>
          <w:noProof/>
          <w:sz w:val="20"/>
        </w:rPr>
      </w:pPr>
      <w:r>
        <w:rPr>
          <w:rFonts w:ascii="Arial" w:hAnsi="Arial" w:cs="Arial"/>
          <w:noProof/>
          <w:sz w:val="20"/>
        </w:rPr>
        <w:t>Low Voltage Directive</w:t>
      </w:r>
      <w:r>
        <w:rPr>
          <w:rStyle w:val="FootnoteReference"/>
          <w:rFonts w:ascii="Arial" w:hAnsi="Arial" w:cs="Arial"/>
          <w:noProof/>
          <w:sz w:val="20"/>
        </w:rPr>
        <w:footnoteReference w:id="378"/>
      </w:r>
      <w:r>
        <w:rPr>
          <w:rFonts w:ascii="Arial" w:hAnsi="Arial" w:cs="Arial"/>
          <w:noProof/>
          <w:sz w:val="20"/>
        </w:rPr>
        <w:t>;</w:t>
      </w:r>
    </w:p>
    <w:p w:rsidR="001557B7" w:rsidRDefault="00AD3265">
      <w:pPr>
        <w:numPr>
          <w:ilvl w:val="2"/>
          <w:numId w:val="2"/>
        </w:numPr>
        <w:spacing w:after="200"/>
        <w:ind w:left="1843" w:hanging="567"/>
        <w:contextualSpacing/>
        <w:rPr>
          <w:rStyle w:val="Strong"/>
          <w:rFonts w:ascii="Arial" w:hAnsi="Arial" w:cs="Arial"/>
          <w:b w:val="0"/>
          <w:bCs w:val="0"/>
          <w:noProof/>
          <w:sz w:val="20"/>
        </w:rPr>
      </w:pPr>
      <w:r>
        <w:rPr>
          <w:rFonts w:ascii="Arial" w:hAnsi="Arial"/>
          <w:noProof/>
          <w:sz w:val="20"/>
        </w:rPr>
        <w:t>Directive on the r</w:t>
      </w:r>
      <w:r>
        <w:rPr>
          <w:rStyle w:val="Strong"/>
          <w:rFonts w:ascii="Arial" w:hAnsi="Arial" w:cs="Arial"/>
          <w:b w:val="0"/>
          <w:noProof/>
          <w:sz w:val="20"/>
        </w:rPr>
        <w:t xml:space="preserve">eturn </w:t>
      </w:r>
      <w:r>
        <w:rPr>
          <w:rStyle w:val="Strong"/>
          <w:rFonts w:ascii="Arial" w:hAnsi="Arial" w:cs="Arial"/>
          <w:b w:val="0"/>
          <w:noProof/>
          <w:sz w:val="20"/>
        </w:rPr>
        <w:t>of unlawfully removed cultural goods</w:t>
      </w:r>
      <w:r>
        <w:rPr>
          <w:rStyle w:val="FootnoteReference"/>
          <w:rFonts w:ascii="Arial" w:hAnsi="Arial" w:cs="Arial"/>
          <w:bCs/>
          <w:noProof/>
          <w:sz w:val="20"/>
        </w:rPr>
        <w:footnoteReference w:id="379"/>
      </w:r>
      <w:r>
        <w:rPr>
          <w:rStyle w:val="Strong"/>
          <w:rFonts w:ascii="Arial" w:hAnsi="Arial" w:cs="Arial"/>
          <w:b w:val="0"/>
          <w:noProof/>
          <w:sz w:val="20"/>
        </w:rPr>
        <w:t>;</w:t>
      </w:r>
    </w:p>
    <w:p w:rsidR="001557B7" w:rsidRDefault="00AD3265">
      <w:pPr>
        <w:numPr>
          <w:ilvl w:val="2"/>
          <w:numId w:val="2"/>
        </w:numPr>
        <w:spacing w:after="200"/>
        <w:ind w:left="1843" w:hanging="567"/>
        <w:contextualSpacing/>
        <w:rPr>
          <w:rFonts w:ascii="Arial" w:hAnsi="Arial" w:cs="Arial"/>
          <w:noProof/>
          <w:sz w:val="20"/>
        </w:rPr>
      </w:pPr>
      <w:r>
        <w:rPr>
          <w:rFonts w:ascii="Arial" w:hAnsi="Arial"/>
          <w:noProof/>
          <w:sz w:val="20"/>
        </w:rPr>
        <w:t>Transparency Directive</w:t>
      </w:r>
      <w:r>
        <w:rPr>
          <w:rStyle w:val="FootnoteReference"/>
          <w:noProof/>
        </w:rPr>
        <w:footnoteReference w:id="380"/>
      </w:r>
      <w:r>
        <w:rPr>
          <w:rFonts w:ascii="Arial" w:hAnsi="Arial"/>
          <w:noProof/>
          <w:sz w:val="20"/>
        </w:rPr>
        <w:t>;</w:t>
      </w:r>
    </w:p>
    <w:p w:rsidR="001557B7" w:rsidRDefault="00AD3265">
      <w:pPr>
        <w:numPr>
          <w:ilvl w:val="2"/>
          <w:numId w:val="2"/>
        </w:numPr>
        <w:spacing w:after="200"/>
        <w:ind w:left="1843" w:hanging="567"/>
        <w:contextualSpacing/>
        <w:rPr>
          <w:rFonts w:ascii="Arial" w:hAnsi="Arial" w:cs="Arial"/>
          <w:noProof/>
          <w:sz w:val="20"/>
        </w:rPr>
      </w:pPr>
      <w:r>
        <w:rPr>
          <w:rFonts w:ascii="Arial" w:hAnsi="Arial" w:cs="Arial"/>
          <w:noProof/>
          <w:sz w:val="20"/>
        </w:rPr>
        <w:t>Banking Recovery and Resolution Directive</w:t>
      </w:r>
      <w:r>
        <w:rPr>
          <w:rStyle w:val="FootnoteReference"/>
          <w:rFonts w:ascii="Arial" w:hAnsi="Arial" w:cs="Arial"/>
          <w:noProof/>
          <w:sz w:val="20"/>
        </w:rPr>
        <w:footnoteReference w:id="381"/>
      </w:r>
      <w:r>
        <w:rPr>
          <w:rFonts w:ascii="Arial" w:hAnsi="Arial" w:cs="Arial"/>
          <w:noProof/>
          <w:sz w:val="20"/>
        </w:rPr>
        <w:t>;</w:t>
      </w:r>
    </w:p>
    <w:p w:rsidR="001557B7" w:rsidRDefault="00AD3265">
      <w:pPr>
        <w:numPr>
          <w:ilvl w:val="2"/>
          <w:numId w:val="2"/>
        </w:numPr>
        <w:spacing w:after="200"/>
        <w:ind w:left="1843" w:hanging="567"/>
        <w:contextualSpacing/>
        <w:rPr>
          <w:rFonts w:ascii="Arial" w:hAnsi="Arial" w:cs="Arial"/>
          <w:noProof/>
          <w:sz w:val="20"/>
        </w:rPr>
      </w:pPr>
      <w:r>
        <w:rPr>
          <w:rFonts w:ascii="Arial" w:hAnsi="Arial" w:cs="Arial"/>
          <w:noProof/>
          <w:sz w:val="20"/>
        </w:rPr>
        <w:t>Accounting Directive</w:t>
      </w:r>
      <w:r>
        <w:rPr>
          <w:rStyle w:val="FootnoteReference"/>
          <w:rFonts w:ascii="Arial" w:hAnsi="Arial" w:cs="Arial"/>
          <w:noProof/>
          <w:sz w:val="20"/>
        </w:rPr>
        <w:footnoteReference w:id="382"/>
      </w:r>
      <w:r>
        <w:rPr>
          <w:rFonts w:ascii="Arial" w:hAnsi="Arial" w:cs="Arial"/>
          <w:noProof/>
          <w:sz w:val="20"/>
        </w:rPr>
        <w:t>;</w:t>
      </w:r>
    </w:p>
    <w:p w:rsidR="001557B7" w:rsidRDefault="00AD3265">
      <w:pPr>
        <w:numPr>
          <w:ilvl w:val="2"/>
          <w:numId w:val="2"/>
        </w:numPr>
        <w:spacing w:after="200"/>
        <w:ind w:left="1843" w:hanging="567"/>
        <w:contextualSpacing/>
        <w:rPr>
          <w:rFonts w:ascii="Arial" w:hAnsi="Arial" w:cs="Arial"/>
          <w:noProof/>
          <w:sz w:val="20"/>
        </w:rPr>
      </w:pPr>
      <w:r>
        <w:rPr>
          <w:rFonts w:ascii="Arial" w:hAnsi="Arial" w:cs="Arial"/>
          <w:noProof/>
          <w:sz w:val="20"/>
        </w:rPr>
        <w:t>Directive on port reception facilities for ship-generated waste and cargo residues</w:t>
      </w:r>
      <w:r>
        <w:rPr>
          <w:rStyle w:val="FootnoteReference"/>
          <w:noProof/>
        </w:rPr>
        <w:footnoteReference w:id="383"/>
      </w:r>
      <w:r>
        <w:rPr>
          <w:rFonts w:ascii="Arial" w:hAnsi="Arial" w:cs="Arial"/>
          <w:noProof/>
          <w:sz w:val="20"/>
        </w:rPr>
        <w:t>;</w:t>
      </w:r>
    </w:p>
    <w:p w:rsidR="001557B7" w:rsidRDefault="00AD3265">
      <w:pPr>
        <w:numPr>
          <w:ilvl w:val="1"/>
          <w:numId w:val="2"/>
        </w:numPr>
        <w:spacing w:after="200"/>
        <w:contextualSpacing/>
        <w:rPr>
          <w:rFonts w:ascii="Arial" w:hAnsi="Arial" w:cs="Arial"/>
          <w:noProof/>
          <w:sz w:val="20"/>
        </w:rPr>
      </w:pPr>
      <w:hyperlink r:id="rId241" w:history="1">
        <w:r>
          <w:rPr>
            <w:rFonts w:ascii="Arial" w:hAnsi="Arial" w:cs="Arial"/>
            <w:noProof/>
            <w:sz w:val="20"/>
          </w:rPr>
          <w:t>Deposit Guarantee Schemes</w:t>
        </w:r>
      </w:hyperlink>
      <w:r>
        <w:rPr>
          <w:rFonts w:ascii="Arial" w:hAnsi="Arial" w:cs="Arial"/>
          <w:noProof/>
          <w:sz w:val="20"/>
        </w:rPr>
        <w:t xml:space="preserve"> Directive</w:t>
      </w:r>
      <w:r>
        <w:rPr>
          <w:rStyle w:val="FootnoteReference"/>
          <w:rFonts w:ascii="Arial" w:hAnsi="Arial" w:cs="Arial"/>
          <w:noProof/>
          <w:sz w:val="20"/>
        </w:rPr>
        <w:footnoteReference w:id="384"/>
      </w:r>
      <w:r>
        <w:rPr>
          <w:rFonts w:ascii="Arial" w:hAnsi="Arial" w:cs="Arial"/>
          <w:noProof/>
          <w:sz w:val="20"/>
        </w:rPr>
        <w:t>;</w:t>
      </w:r>
    </w:p>
    <w:p w:rsidR="001557B7" w:rsidRDefault="00AD3265">
      <w:pPr>
        <w:numPr>
          <w:ilvl w:val="1"/>
          <w:numId w:val="2"/>
        </w:numPr>
        <w:spacing w:after="0"/>
        <w:contextualSpacing/>
        <w:rPr>
          <w:rFonts w:ascii="Arial" w:hAnsi="Arial" w:cs="Arial"/>
          <w:noProof/>
          <w:sz w:val="20"/>
        </w:rPr>
      </w:pPr>
      <w:r>
        <w:rPr>
          <w:rFonts w:ascii="Arial" w:hAnsi="Arial" w:cs="Arial"/>
          <w:noProof/>
          <w:sz w:val="20"/>
        </w:rPr>
        <w:t xml:space="preserve">amended </w:t>
      </w:r>
      <w:hyperlink r:id="rId242" w:history="1">
        <w:r>
          <w:rPr>
            <w:rFonts w:ascii="Arial" w:hAnsi="Arial" w:cs="Arial"/>
            <w:noProof/>
            <w:sz w:val="20"/>
          </w:rPr>
          <w:t>Sett</w:t>
        </w:r>
        <w:r>
          <w:rPr>
            <w:rFonts w:ascii="Arial" w:hAnsi="Arial" w:cs="Arial"/>
            <w:noProof/>
            <w:sz w:val="20"/>
          </w:rPr>
          <w:t>lement Finality</w:t>
        </w:r>
      </w:hyperlink>
      <w:r>
        <w:rPr>
          <w:rFonts w:ascii="Arial" w:hAnsi="Arial" w:cs="Arial"/>
          <w:noProof/>
          <w:sz w:val="20"/>
        </w:rPr>
        <w:t xml:space="preserve"> Directive</w:t>
      </w:r>
      <w:r>
        <w:rPr>
          <w:rStyle w:val="FootnoteReference"/>
          <w:rFonts w:ascii="Arial" w:hAnsi="Arial" w:cs="Arial"/>
          <w:noProof/>
          <w:sz w:val="20"/>
        </w:rPr>
        <w:footnoteReference w:id="385"/>
      </w:r>
      <w:r>
        <w:rPr>
          <w:rFonts w:ascii="Arial" w:hAnsi="Arial" w:cs="Arial"/>
          <w:noProof/>
          <w:sz w:val="20"/>
        </w:rPr>
        <w:t>;</w:t>
      </w:r>
    </w:p>
    <w:p w:rsidR="001557B7" w:rsidRDefault="00AD3265">
      <w:pPr>
        <w:pStyle w:val="Lijstje2"/>
        <w:spacing w:after="0"/>
        <w:ind w:left="1276" w:hanging="425"/>
        <w:rPr>
          <w:rFonts w:ascii="Arial" w:hAnsi="Arial" w:cs="Arial"/>
          <w:noProof/>
          <w:lang w:val="en-GB"/>
        </w:rPr>
      </w:pPr>
      <w:r>
        <w:rPr>
          <w:rFonts w:ascii="Arial" w:hAnsi="Arial"/>
          <w:noProof/>
          <w:lang w:val="en-GB"/>
        </w:rPr>
        <w:t xml:space="preserve">failure </w:t>
      </w:r>
      <w:r>
        <w:rPr>
          <w:rFonts w:ascii="Arial" w:hAnsi="Arial" w:cs="Arial"/>
          <w:bCs/>
          <w:noProof/>
          <w:lang w:val="en-GB"/>
        </w:rPr>
        <w:t xml:space="preserve">to implement completely the Regulation on explosives precursors, which </w:t>
      </w:r>
      <w:r>
        <w:rPr>
          <w:rFonts w:ascii="Arial" w:hAnsi="Arial" w:cs="Arial"/>
          <w:noProof/>
          <w:lang w:val="en-GB"/>
        </w:rPr>
        <w:t>restricts and controls access to several dangerous chemicals that could be used by terrorists to manufacture homemade explosives</w:t>
      </w:r>
      <w:r>
        <w:rPr>
          <w:rFonts w:ascii="Arial" w:hAnsi="Arial"/>
          <w:noProof/>
          <w:lang w:val="en-GB"/>
        </w:rPr>
        <w:t>;</w:t>
      </w:r>
    </w:p>
    <w:p w:rsidR="001557B7" w:rsidRDefault="00AD3265">
      <w:pPr>
        <w:pStyle w:val="Lijstje2"/>
        <w:spacing w:after="0"/>
        <w:ind w:left="1276" w:hanging="425"/>
        <w:rPr>
          <w:rFonts w:ascii="Arial" w:hAnsi="Arial" w:cs="Arial"/>
          <w:noProof/>
          <w:lang w:val="en-GB"/>
        </w:rPr>
      </w:pPr>
      <w:r>
        <w:rPr>
          <w:rFonts w:ascii="Arial" w:hAnsi="Arial" w:cs="Arial"/>
          <w:noProof/>
          <w:lang w:val="en-GB"/>
        </w:rPr>
        <w:t>incomplete transpos</w:t>
      </w:r>
      <w:r>
        <w:rPr>
          <w:rFonts w:ascii="Arial" w:hAnsi="Arial" w:cs="Arial"/>
          <w:noProof/>
          <w:lang w:val="en-GB"/>
        </w:rPr>
        <w:t>ition of the Accounting Directive</w:t>
      </w:r>
      <w:r>
        <w:rPr>
          <w:rStyle w:val="FootnoteReference"/>
          <w:rFonts w:ascii="Arial" w:hAnsi="Arial" w:cs="Arial"/>
          <w:noProof/>
        </w:rPr>
        <w:footnoteReference w:id="386"/>
      </w:r>
      <w:r>
        <w:rPr>
          <w:rFonts w:ascii="Arial" w:hAnsi="Arial" w:cs="Arial"/>
          <w:noProof/>
          <w:lang w:val="en-GB"/>
        </w:rPr>
        <w:t>;</w:t>
      </w:r>
    </w:p>
    <w:p w:rsidR="001557B7" w:rsidRDefault="00AD3265">
      <w:pPr>
        <w:pStyle w:val="Lijstje2"/>
        <w:spacing w:after="0"/>
        <w:ind w:left="1276" w:hanging="425"/>
        <w:rPr>
          <w:rFonts w:ascii="Arial" w:hAnsi="Arial" w:cs="Arial"/>
          <w:noProof/>
          <w:lang w:val="en-GB"/>
        </w:rPr>
      </w:pPr>
      <w:r>
        <w:rPr>
          <w:rFonts w:ascii="Arial" w:hAnsi="Arial"/>
          <w:noProof/>
          <w:lang w:val="en-GB"/>
        </w:rPr>
        <w:t>national requirements obstructing the free movement of lawyers;</w:t>
      </w:r>
    </w:p>
    <w:p w:rsidR="001557B7" w:rsidRDefault="00AD3265">
      <w:pPr>
        <w:pStyle w:val="Lijstje2"/>
        <w:spacing w:after="0"/>
        <w:ind w:left="1276" w:hanging="425"/>
        <w:rPr>
          <w:rFonts w:ascii="Arial" w:hAnsi="Arial" w:cs="Arial"/>
          <w:noProof/>
          <w:lang w:val="en-GB"/>
        </w:rPr>
      </w:pPr>
      <w:r>
        <w:rPr>
          <w:rFonts w:ascii="Arial" w:hAnsi="Arial"/>
          <w:noProof/>
          <w:lang w:val="en-GB"/>
        </w:rPr>
        <w:t>shareholding requirement imposed on engineering companies which are incorporated in Cyprus, in breach of the freedom of establishment and the Services Direc</w:t>
      </w:r>
      <w:r>
        <w:rPr>
          <w:rFonts w:ascii="Arial" w:hAnsi="Arial"/>
          <w:noProof/>
          <w:lang w:val="en-GB"/>
        </w:rPr>
        <w:t>tive</w:t>
      </w:r>
      <w:r>
        <w:rPr>
          <w:rStyle w:val="FootnoteReference"/>
          <w:rFonts w:ascii="Arial" w:hAnsi="Arial" w:cs="Arial"/>
          <w:noProof/>
          <w:lang w:val="en-GB"/>
        </w:rPr>
        <w:footnoteReference w:id="387"/>
      </w:r>
      <w:r>
        <w:rPr>
          <w:rFonts w:ascii="Arial" w:hAnsi="Arial"/>
          <w:noProof/>
          <w:lang w:val="en-GB"/>
        </w:rPr>
        <w:t>;</w:t>
      </w:r>
    </w:p>
    <w:p w:rsidR="001557B7" w:rsidRDefault="00AD3265">
      <w:pPr>
        <w:pStyle w:val="Lijstje2"/>
        <w:spacing w:after="0"/>
        <w:ind w:left="1276" w:hanging="425"/>
        <w:rPr>
          <w:rFonts w:ascii="Arial" w:hAnsi="Arial" w:cs="Arial"/>
          <w:noProof/>
          <w:lang w:val="en-GB"/>
        </w:rPr>
      </w:pPr>
      <w:r>
        <w:rPr>
          <w:rFonts w:ascii="Arial" w:hAnsi="Arial" w:cs="Arial"/>
          <w:noProof/>
          <w:lang w:val="en-GB"/>
        </w:rPr>
        <w:t>non-compliance of national legislation on gambling with EU rules</w:t>
      </w:r>
      <w:r>
        <w:rPr>
          <w:rStyle w:val="FootnoteReference"/>
          <w:noProof/>
        </w:rPr>
        <w:footnoteReference w:id="388"/>
      </w:r>
      <w:r>
        <w:rPr>
          <w:rFonts w:ascii="Arial" w:eastAsia="Times New Roman" w:hAnsi="Arial" w:cs="Arial"/>
          <w:noProof/>
          <w:lang w:val="en-GB"/>
        </w:rPr>
        <w:t>;</w:t>
      </w:r>
    </w:p>
    <w:p w:rsidR="001557B7" w:rsidRDefault="00AD3265">
      <w:pPr>
        <w:pStyle w:val="Lijstje2"/>
        <w:spacing w:after="0"/>
        <w:ind w:left="1276" w:hanging="425"/>
        <w:rPr>
          <w:rFonts w:ascii="Arial" w:hAnsi="Arial"/>
          <w:noProof/>
          <w:lang w:val="en-GB"/>
        </w:rPr>
      </w:pPr>
      <w:r>
        <w:rPr>
          <w:rFonts w:ascii="Arial" w:hAnsi="Arial"/>
          <w:noProof/>
          <w:lang w:val="en-GB"/>
        </w:rPr>
        <w:t>failure to notify</w:t>
      </w:r>
      <w:r>
        <w:rPr>
          <w:rFonts w:ascii="Arial" w:hAnsi="Arial" w:cs="Arial"/>
          <w:noProof/>
          <w:lang w:val="en-GB"/>
        </w:rPr>
        <w:t xml:space="preserve"> a national policy framework</w:t>
      </w:r>
      <w:r>
        <w:rPr>
          <w:rFonts w:ascii="Arial" w:hAnsi="Arial"/>
          <w:noProof/>
          <w:lang w:val="en-GB"/>
        </w:rPr>
        <w:t xml:space="preserve"> under the Directive on the deployment of alternative fuels</w:t>
      </w:r>
      <w:r>
        <w:rPr>
          <w:rStyle w:val="FootnoteReference"/>
          <w:noProof/>
        </w:rPr>
        <w:footnoteReference w:id="389"/>
      </w:r>
      <w:r>
        <w:rPr>
          <w:rFonts w:ascii="Arial" w:hAnsi="Arial"/>
          <w:noProof/>
          <w:lang w:val="en-GB"/>
        </w:rPr>
        <w:t>;</w:t>
      </w:r>
    </w:p>
    <w:p w:rsidR="001557B7" w:rsidRDefault="00AD3265">
      <w:pPr>
        <w:pStyle w:val="Lijstje2"/>
        <w:spacing w:after="0"/>
        <w:ind w:left="1276" w:hanging="425"/>
        <w:rPr>
          <w:rFonts w:ascii="Arial" w:hAnsi="Arial"/>
          <w:noProof/>
          <w:lang w:val="en-GB" w:eastAsia="en-GB"/>
        </w:rPr>
      </w:pPr>
      <w:r>
        <w:rPr>
          <w:rFonts w:ascii="Arial" w:hAnsi="Arial"/>
          <w:noProof/>
          <w:lang w:val="en-GB"/>
        </w:rPr>
        <w:t>failure to correctly transpose the EU rules on driving licences</w:t>
      </w:r>
      <w:r>
        <w:rPr>
          <w:rStyle w:val="FootnoteReference"/>
          <w:rFonts w:ascii="Arial" w:hAnsi="Arial"/>
          <w:noProof/>
          <w:lang w:val="en-GB"/>
        </w:rPr>
        <w:footnoteReference w:id="390"/>
      </w:r>
      <w:r>
        <w:rPr>
          <w:rFonts w:ascii="Arial" w:hAnsi="Arial"/>
          <w:noProof/>
          <w:lang w:val="en-GB"/>
        </w:rPr>
        <w:t>.</w:t>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w:t>
      </w:r>
      <w:r>
        <w:rPr>
          <w:rFonts w:ascii="Arial" w:eastAsia="MS Gothic" w:hAnsi="Arial" w:cs="Arial"/>
          <w:caps/>
          <w:noProof/>
          <w:color w:val="4F81BD"/>
          <w:kern w:val="20"/>
          <w:szCs w:val="24"/>
        </w:rPr>
        <w:t xml:space="preserve"> JUDGMENTS</w:t>
      </w:r>
    </w:p>
    <w:p w:rsidR="001557B7" w:rsidRDefault="00AD3265">
      <w:pPr>
        <w:pStyle w:val="AnnualReport2"/>
        <w:numPr>
          <w:ilvl w:val="0"/>
          <w:numId w:val="162"/>
        </w:numPr>
        <w:ind w:left="709" w:hanging="425"/>
        <w:rPr>
          <w:noProof/>
        </w:rPr>
      </w:pPr>
      <w:r>
        <w:rPr>
          <w:noProof/>
        </w:rPr>
        <w:t>Court rulings</w:t>
      </w:r>
    </w:p>
    <w:p w:rsidR="001557B7" w:rsidRDefault="00AD3265">
      <w:pPr>
        <w:pStyle w:val="Body"/>
        <w:rPr>
          <w:noProof/>
          <w:lang w:val="en-GB"/>
        </w:rPr>
      </w:pPr>
      <w:r>
        <w:rPr>
          <w:noProof/>
          <w:lang w:val="en-GB"/>
        </w:rPr>
        <w:t>There were no major Court rulings in 2017.</w:t>
      </w:r>
    </w:p>
    <w:p w:rsidR="001557B7" w:rsidRDefault="00AD3265">
      <w:pPr>
        <w:pStyle w:val="AnnualReport2"/>
        <w:numPr>
          <w:ilvl w:val="0"/>
          <w:numId w:val="162"/>
        </w:numPr>
        <w:ind w:left="709" w:hanging="425"/>
        <w:rPr>
          <w:noProof/>
        </w:rPr>
      </w:pPr>
      <w:r>
        <w:rPr>
          <w:noProof/>
        </w:rPr>
        <w:t>Preliminary rulings</w:t>
      </w:r>
    </w:p>
    <w:p w:rsidR="001557B7" w:rsidRDefault="00AD3265">
      <w:pPr>
        <w:spacing w:after="120"/>
        <w:ind w:left="698" w:firstLine="22"/>
        <w:rPr>
          <w:rFonts w:ascii="Arial" w:eastAsia="Calibri" w:hAnsi="Arial"/>
          <w:noProof/>
          <w:sz w:val="20"/>
        </w:rPr>
      </w:pPr>
      <w:r>
        <w:rPr>
          <w:rFonts w:ascii="Arial" w:hAnsi="Arial" w:cs="Arial"/>
          <w:noProof/>
          <w:sz w:val="20"/>
        </w:rPr>
        <w:t>No major preliminary rulings were addressed to the Cyprus judiciary in 2017.</w:t>
      </w:r>
    </w:p>
    <w:p w:rsidR="001557B7" w:rsidRDefault="001557B7">
      <w:pPr>
        <w:spacing w:after="0"/>
        <w:jc w:val="left"/>
        <w:rPr>
          <w:noProof/>
        </w:rPr>
      </w:pPr>
    </w:p>
    <w:p w:rsidR="001557B7" w:rsidRDefault="001557B7">
      <w:pPr>
        <w:spacing w:after="0"/>
        <w:jc w:val="left"/>
        <w:rPr>
          <w:noProof/>
        </w:rPr>
        <w:sectPr w:rsidR="001557B7">
          <w:headerReference w:type="even" r:id="rId243"/>
          <w:headerReference w:type="default" r:id="rId244"/>
          <w:footerReference w:type="even" r:id="rId245"/>
          <w:footerReference w:type="default" r:id="rId246"/>
          <w:headerReference w:type="first" r:id="rId247"/>
          <w:footerReference w:type="first" r:id="rId248"/>
          <w:footnotePr>
            <w:numRestart w:val="eachSect"/>
          </w:footnotePr>
          <w:pgSz w:w="11906" w:h="16838"/>
          <w:pgMar w:top="1701" w:right="1417" w:bottom="1134" w:left="1417" w:header="567" w:footer="351" w:gutter="0"/>
          <w:cols w:space="708"/>
          <w:titlePg/>
          <w:docGrid w:linePitch="360"/>
        </w:sectPr>
      </w:pPr>
    </w:p>
    <w:p w:rsidR="001557B7" w:rsidRDefault="00AD3265">
      <w:pPr>
        <w:pStyle w:val="Heading1"/>
        <w:rPr>
          <w:noProof/>
        </w:rPr>
      </w:pPr>
      <w:bookmarkStart w:id="120" w:name="_Toc484622330"/>
      <w:bookmarkStart w:id="121" w:name="_Toc510015279"/>
      <w:r>
        <w:rPr>
          <w:noProof/>
        </w:rPr>
        <w:t>Latvia</w:t>
      </w:r>
      <w:bookmarkEnd w:id="117"/>
      <w:bookmarkEnd w:id="118"/>
      <w:bookmarkEnd w:id="119"/>
      <w:bookmarkEnd w:id="120"/>
      <w:bookmarkEnd w:id="121"/>
    </w:p>
    <w:p w:rsidR="001557B7" w:rsidRDefault="00AD3265">
      <w:pPr>
        <w:pStyle w:val="kop2"/>
        <w:numPr>
          <w:ilvl w:val="0"/>
          <w:numId w:val="6"/>
        </w:numPr>
        <w:spacing w:before="360" w:after="240"/>
        <w:ind w:left="709" w:hanging="425"/>
        <w:rPr>
          <w:noProof/>
        </w:rPr>
      </w:pPr>
      <w:r>
        <w:rPr>
          <w:noProof/>
        </w:rPr>
        <w:t>COMPLAINTS</w:t>
      </w:r>
    </w:p>
    <w:p w:rsidR="001557B7" w:rsidRDefault="00AD3265">
      <w:pPr>
        <w:pStyle w:val="AnnualReport2"/>
        <w:numPr>
          <w:ilvl w:val="0"/>
          <w:numId w:val="168"/>
        </w:numPr>
        <w:ind w:left="709" w:hanging="425"/>
        <w:rPr>
          <w:noProof/>
        </w:rPr>
      </w:pPr>
      <w:r>
        <w:rPr>
          <w:noProof/>
        </w:rPr>
        <w:t>New complaints made against Latvia by members of the public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402BD4DF" wp14:editId="6C924121">
            <wp:extent cx="4587875" cy="2075180"/>
            <wp:effectExtent l="0" t="0" r="0" b="0"/>
            <wp:docPr id="94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1557B7" w:rsidRDefault="00AD3265">
      <w:pPr>
        <w:pStyle w:val="AnnualReport2"/>
        <w:numPr>
          <w:ilvl w:val="0"/>
          <w:numId w:val="168"/>
        </w:numPr>
        <w:ind w:left="709" w:hanging="425"/>
        <w:rPr>
          <w:noProof/>
        </w:rPr>
      </w:pPr>
      <w:r>
        <w:rPr>
          <w:noProof/>
        </w:rPr>
        <w:t xml:space="preserve">Public </w:t>
      </w:r>
      <w:r>
        <w:rPr>
          <w:noProof/>
        </w:rPr>
        <w:t>complaints against Latvia open at year-end</w:t>
      </w:r>
    </w:p>
    <w:tbl>
      <w:tblPr>
        <w:tblW w:w="0" w:type="auto"/>
        <w:jc w:val="center"/>
        <w:tblLook w:val="04A0" w:firstRow="1" w:lastRow="0" w:firstColumn="1" w:lastColumn="0" w:noHBand="0" w:noVBand="1"/>
      </w:tblPr>
      <w:tblGrid>
        <w:gridCol w:w="1697"/>
        <w:gridCol w:w="452"/>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26</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26</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29</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23</w:t>
            </w:r>
          </w:p>
        </w:tc>
        <w:tc>
          <w:tcPr>
            <w:tcW w:w="452"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1557B7" w:rsidRDefault="00AD3265">
      <w:pPr>
        <w:pStyle w:val="AnnualReport2"/>
        <w:numPr>
          <w:ilvl w:val="0"/>
          <w:numId w:val="168"/>
        </w:numPr>
        <w:ind w:left="709" w:hanging="425"/>
        <w:rPr>
          <w:noProof/>
        </w:rPr>
      </w:pPr>
      <w:r>
        <w:rPr>
          <w:noProof/>
        </w:rPr>
        <w:t>New complaints registered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41D99230" wp14:editId="52CA1760">
            <wp:extent cx="4858385" cy="2289810"/>
            <wp:effectExtent l="0" t="0" r="18415" b="15240"/>
            <wp:docPr id="944" name="Object 1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1557B7" w:rsidRDefault="00AD3265">
      <w:pPr>
        <w:spacing w:after="200" w:line="276" w:lineRule="auto"/>
        <w:jc w:val="left"/>
        <w:rPr>
          <w:rFonts w:ascii="Arial" w:hAnsi="Arial" w:cs="Arial"/>
          <w:noProof/>
          <w:sz w:val="20"/>
        </w:rPr>
      </w:pPr>
      <w:r>
        <w:rPr>
          <w:noProof/>
        </w:rPr>
        <w:br w:type="page"/>
      </w:r>
    </w:p>
    <w:p w:rsidR="001557B7" w:rsidRDefault="00AD3265">
      <w:pPr>
        <w:keepNext/>
        <w:keepLines/>
        <w:numPr>
          <w:ilvl w:val="0"/>
          <w:numId w:val="1"/>
        </w:numPr>
        <w:spacing w:before="24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rsidR="001557B7" w:rsidRDefault="00AD3265">
      <w:pPr>
        <w:pStyle w:val="AnnualReport2"/>
        <w:numPr>
          <w:ilvl w:val="0"/>
          <w:numId w:val="169"/>
        </w:numPr>
        <w:ind w:left="709" w:hanging="425"/>
        <w:rPr>
          <w:noProof/>
        </w:rPr>
      </w:pPr>
      <w:r>
        <w:rPr>
          <w:noProof/>
        </w:rPr>
        <w:t xml:space="preserve">New </w:t>
      </w:r>
      <w:r>
        <w:rPr>
          <w:noProof/>
        </w:rPr>
        <w:t>EU Pilot files opened against Latvia (2013-2017)</w:t>
      </w:r>
    </w:p>
    <w:p w:rsidR="001557B7" w:rsidRDefault="00AD3265">
      <w:pPr>
        <w:tabs>
          <w:tab w:val="left" w:pos="0"/>
        </w:tabs>
        <w:spacing w:after="120"/>
        <w:ind w:firstLine="709"/>
        <w:rPr>
          <w:rFonts w:ascii="Arial" w:hAnsi="Arial" w:cs="Arial"/>
          <w:noProof/>
          <w:sz w:val="20"/>
        </w:rPr>
      </w:pPr>
      <w:r>
        <w:rPr>
          <w:rFonts w:ascii="Arial" w:hAnsi="Arial" w:cs="Arial"/>
          <w:noProof/>
          <w:sz w:val="20"/>
          <w:lang w:eastAsia="en-GB"/>
        </w:rPr>
        <w:drawing>
          <wp:inline distT="0" distB="0" distL="0" distR="0" wp14:anchorId="2DEF92D8" wp14:editId="5AE1418F">
            <wp:extent cx="4603750" cy="2218690"/>
            <wp:effectExtent l="0" t="0" r="0" b="0"/>
            <wp:docPr id="14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1557B7" w:rsidRDefault="00AD3265">
      <w:pPr>
        <w:pStyle w:val="AnnualReport2"/>
        <w:numPr>
          <w:ilvl w:val="0"/>
          <w:numId w:val="169"/>
        </w:numPr>
        <w:ind w:left="709" w:hanging="425"/>
        <w:rPr>
          <w:noProof/>
        </w:rPr>
      </w:pPr>
      <w:r>
        <w:rPr>
          <w:noProof/>
        </w:rPr>
        <w:t>Files relating to Latvia open in EU Pilot at year-end</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E9CE3AB" wp14:editId="33D6CCFF">
            <wp:extent cx="4603750" cy="2218690"/>
            <wp:effectExtent l="0" t="0" r="0" b="0"/>
            <wp:docPr id="14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1557B7" w:rsidRDefault="00AD3265">
      <w:pPr>
        <w:pStyle w:val="AnnualReport2"/>
        <w:numPr>
          <w:ilvl w:val="0"/>
          <w:numId w:val="169"/>
        </w:numPr>
        <w:ind w:left="709" w:hanging="425"/>
        <w:rPr>
          <w:noProof/>
        </w:rPr>
      </w:pPr>
      <w:r>
        <w:rPr>
          <w:noProof/>
        </w:rPr>
        <w:t>New EU Pilot files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52831D1D" wp14:editId="0B00D082">
            <wp:extent cx="4643755" cy="2401570"/>
            <wp:effectExtent l="0" t="0" r="23495" b="17780"/>
            <wp:docPr id="149"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1557B7" w:rsidRDefault="00AD3265">
      <w:pPr>
        <w:spacing w:after="0"/>
        <w:jc w:val="left"/>
        <w:rPr>
          <w:rFonts w:ascii="Arial" w:hAnsi="Arial"/>
          <w:noProof/>
          <w:color w:val="002060"/>
          <w:sz w:val="22"/>
          <w:szCs w:val="22"/>
        </w:rPr>
      </w:pPr>
      <w:r>
        <w:rPr>
          <w:noProof/>
        </w:rPr>
        <w:br w:type="page"/>
      </w:r>
    </w:p>
    <w:p w:rsidR="001557B7" w:rsidRDefault="00AD3265">
      <w:pPr>
        <w:pStyle w:val="AnnualReport2"/>
        <w:numPr>
          <w:ilvl w:val="0"/>
          <w:numId w:val="169"/>
        </w:numPr>
        <w:ind w:left="709" w:hanging="425"/>
        <w:rPr>
          <w:noProof/>
        </w:rPr>
      </w:pPr>
      <w:r>
        <w:rPr>
          <w:noProof/>
        </w:rPr>
        <w:t>EU Pilot files: Latvia’s resolution rate in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394BBF14" wp14:editId="29EE306B">
            <wp:extent cx="4587875" cy="2520315"/>
            <wp:effectExtent l="0" t="0" r="0" b="0"/>
            <wp:docPr id="15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rsidR="001557B7" w:rsidRDefault="00AD3265">
      <w:pPr>
        <w:pStyle w:val="AnnualReport2"/>
        <w:numPr>
          <w:ilvl w:val="0"/>
          <w:numId w:val="170"/>
        </w:numPr>
        <w:ind w:left="709" w:hanging="425"/>
        <w:rPr>
          <w:noProof/>
        </w:rPr>
      </w:pPr>
      <w:r>
        <w:rPr>
          <w:noProof/>
        </w:rPr>
        <w:t>Infringement case</w:t>
      </w:r>
      <w:r>
        <w:rPr>
          <w:noProof/>
        </w:rPr>
        <w:t>s against Latvia open on 31 December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31C43DA8" wp14:editId="507E2621">
            <wp:extent cx="4596130" cy="2266315"/>
            <wp:effectExtent l="0" t="0" r="0" b="0"/>
            <wp:docPr id="151"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1557B7" w:rsidRDefault="00AD3265">
      <w:pPr>
        <w:spacing w:after="0"/>
        <w:jc w:val="left"/>
        <w:rPr>
          <w:rFonts w:ascii="Arial" w:hAnsi="Arial" w:cs="Arial"/>
          <w:noProof/>
          <w:sz w:val="20"/>
        </w:rPr>
      </w:pPr>
      <w:r>
        <w:rPr>
          <w:rFonts w:ascii="Arial" w:hAnsi="Arial" w:cs="Arial"/>
          <w:noProof/>
          <w:sz w:val="20"/>
        </w:rPr>
        <w:br w:type="page"/>
      </w:r>
    </w:p>
    <w:p w:rsidR="001557B7" w:rsidRDefault="00AD3265">
      <w:pPr>
        <w:pStyle w:val="AnnualReport2"/>
        <w:numPr>
          <w:ilvl w:val="0"/>
          <w:numId w:val="170"/>
        </w:numPr>
        <w:ind w:left="709" w:hanging="425"/>
        <w:rPr>
          <w:noProof/>
        </w:rPr>
      </w:pPr>
      <w:r>
        <w:rPr>
          <w:noProof/>
        </w:rPr>
        <w:t>New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1289A080" wp14:editId="44DF002D">
            <wp:extent cx="4632960" cy="2484120"/>
            <wp:effectExtent l="0" t="0" r="15240" b="11430"/>
            <wp:docPr id="152" name="Object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1557B7" w:rsidRDefault="00AD3265">
      <w:pPr>
        <w:pStyle w:val="AnnualReport2"/>
        <w:numPr>
          <w:ilvl w:val="0"/>
          <w:numId w:val="170"/>
        </w:numPr>
        <w:ind w:left="709" w:hanging="425"/>
        <w:rPr>
          <w:noProof/>
        </w:rPr>
      </w:pPr>
      <w:r>
        <w:rPr>
          <w:noProof/>
        </w:rPr>
        <w:t>Key infringement cases and referrals to the Court</w:t>
      </w:r>
    </w:p>
    <w:p w:rsidR="001557B7" w:rsidRDefault="00AD3265">
      <w:pPr>
        <w:pStyle w:val="Lijstje"/>
        <w:numPr>
          <w:ilvl w:val="0"/>
          <w:numId w:val="11"/>
        </w:numPr>
        <w:tabs>
          <w:tab w:val="left" w:pos="1134"/>
        </w:tabs>
        <w:ind w:left="1276" w:hanging="425"/>
        <w:rPr>
          <w:noProof/>
        </w:rPr>
      </w:pPr>
      <w:r>
        <w:rPr>
          <w:noProof/>
        </w:rPr>
        <w:t>The Commission opened 22 new infringement cases against Latvia in 2017. These, and other major</w:t>
      </w:r>
      <w:r>
        <w:rPr>
          <w:noProof/>
        </w:rPr>
        <w:t xml:space="preserve"> ongoing infringement cases, include:</w:t>
      </w:r>
    </w:p>
    <w:p w:rsidR="001557B7" w:rsidRDefault="00AD3265">
      <w:pPr>
        <w:pStyle w:val="Lijstje2"/>
        <w:spacing w:after="0"/>
        <w:ind w:left="1843" w:hanging="425"/>
        <w:rPr>
          <w:rFonts w:ascii="Arial" w:hAnsi="Arial" w:cs="Arial"/>
          <w:noProof/>
          <w:lang w:val="en-GB"/>
        </w:rPr>
      </w:pPr>
      <w:r>
        <w:rPr>
          <w:rFonts w:ascii="Arial" w:hAnsi="Arial" w:cs="Arial"/>
          <w:noProof/>
          <w:lang w:val="en-GB"/>
        </w:rPr>
        <w:t>failure to ensure that urban waste water is adequately treated;</w:t>
      </w:r>
    </w:p>
    <w:p w:rsidR="001557B7" w:rsidRDefault="00AD3265">
      <w:pPr>
        <w:pStyle w:val="Lijstje2"/>
        <w:spacing w:after="0"/>
        <w:ind w:left="1843" w:hanging="425"/>
        <w:rPr>
          <w:rFonts w:ascii="Arial" w:hAnsi="Arial" w:cs="Arial"/>
          <w:noProof/>
          <w:lang w:val="en-GB"/>
        </w:rPr>
      </w:pPr>
      <w:r>
        <w:rPr>
          <w:rFonts w:ascii="Arial" w:hAnsi="Arial" w:cs="Arial"/>
          <w:noProof/>
          <w:lang w:val="en-GB"/>
        </w:rPr>
        <w:t>incorrect transposition and application of the Energy Performance of Buildings Directive</w:t>
      </w:r>
      <w:r>
        <w:rPr>
          <w:rStyle w:val="FootnoteReference"/>
          <w:noProof/>
        </w:rPr>
        <w:footnoteReference w:id="391"/>
      </w:r>
      <w:r>
        <w:rPr>
          <w:rFonts w:ascii="Arial" w:hAnsi="Arial" w:cs="Arial"/>
          <w:noProof/>
          <w:lang w:val="en-GB"/>
        </w:rPr>
        <w:t>;</w:t>
      </w:r>
    </w:p>
    <w:p w:rsidR="001557B7" w:rsidRDefault="00AD3265">
      <w:pPr>
        <w:pStyle w:val="Lijstje2"/>
        <w:spacing w:after="0"/>
        <w:ind w:left="1843" w:hanging="425"/>
        <w:rPr>
          <w:rFonts w:ascii="Arial" w:hAnsi="Arial" w:cs="Arial"/>
          <w:noProof/>
          <w:lang w:val="en-GB"/>
        </w:rPr>
      </w:pPr>
      <w:r>
        <w:rPr>
          <w:rFonts w:ascii="Arial" w:hAnsi="Arial" w:cs="Arial"/>
          <w:noProof/>
          <w:lang w:val="en-GB"/>
        </w:rPr>
        <w:t>non</w:t>
      </w:r>
      <w:r>
        <w:rPr>
          <w:rFonts w:ascii="Arial" w:hAnsi="Arial" w:cs="Arial"/>
          <w:bCs/>
          <w:noProof/>
          <w:lang w:val="en-GB"/>
        </w:rPr>
        <w:t>-communication of national measures transposing the:</w:t>
      </w:r>
    </w:p>
    <w:p w:rsidR="001557B7" w:rsidRDefault="00AD3265">
      <w:pPr>
        <w:pStyle w:val="Lijstje2"/>
        <w:numPr>
          <w:ilvl w:val="2"/>
          <w:numId w:val="2"/>
        </w:numPr>
        <w:ind w:left="2410" w:hanging="283"/>
        <w:rPr>
          <w:rFonts w:ascii="Arial" w:hAnsi="Arial" w:cs="Arial"/>
          <w:noProof/>
          <w:lang w:val="en-GB"/>
        </w:rPr>
      </w:pPr>
      <w:r>
        <w:rPr>
          <w:rFonts w:ascii="Arial" w:hAnsi="Arial" w:cs="Arial"/>
          <w:noProof/>
          <w:lang w:val="en-GB"/>
        </w:rPr>
        <w:t>Markets</w:t>
      </w:r>
      <w:r>
        <w:rPr>
          <w:rFonts w:ascii="Arial" w:hAnsi="Arial" w:cs="Arial"/>
          <w:noProof/>
          <w:lang w:val="en-GB"/>
        </w:rPr>
        <w:t xml:space="preserve"> in Financial Instruments Directive (MiFID II)</w:t>
      </w:r>
      <w:r>
        <w:rPr>
          <w:rStyle w:val="FootnoteReference"/>
          <w:rFonts w:ascii="Arial" w:hAnsi="Arial" w:cs="Arial"/>
          <w:noProof/>
          <w:lang w:val="en-GB"/>
        </w:rPr>
        <w:footnoteReference w:id="392"/>
      </w:r>
      <w:r>
        <w:rPr>
          <w:rFonts w:ascii="Arial" w:hAnsi="Arial" w:cs="Arial"/>
          <w:noProof/>
          <w:lang w:val="en-GB"/>
        </w:rPr>
        <w:t>;</w:t>
      </w:r>
    </w:p>
    <w:p w:rsidR="001557B7" w:rsidRDefault="00AD3265">
      <w:pPr>
        <w:pStyle w:val="Lijstje2"/>
        <w:numPr>
          <w:ilvl w:val="2"/>
          <w:numId w:val="2"/>
        </w:numPr>
        <w:ind w:left="2410" w:hanging="283"/>
        <w:rPr>
          <w:rFonts w:ascii="Arial" w:hAnsi="Arial" w:cs="Arial"/>
          <w:noProof/>
          <w:lang w:val="en-GB"/>
        </w:rPr>
      </w:pPr>
      <w:r>
        <w:rPr>
          <w:rFonts w:ascii="Arial" w:hAnsi="Arial" w:cs="Arial"/>
          <w:noProof/>
          <w:lang w:val="en-GB"/>
        </w:rPr>
        <w:t>Fourth Anti-Money Laundering Directive</w:t>
      </w:r>
      <w:r>
        <w:rPr>
          <w:rStyle w:val="FootnoteReference"/>
          <w:rFonts w:ascii="Arial" w:hAnsi="Arial" w:cs="Arial"/>
          <w:noProof/>
          <w:lang w:val="en-GB"/>
        </w:rPr>
        <w:footnoteReference w:id="393"/>
      </w:r>
      <w:r>
        <w:rPr>
          <w:rFonts w:ascii="Arial" w:hAnsi="Arial" w:cs="Arial"/>
          <w:noProof/>
          <w:lang w:val="en-GB"/>
        </w:rPr>
        <w:t>;</w:t>
      </w:r>
    </w:p>
    <w:p w:rsidR="001557B7" w:rsidRDefault="00AD3265">
      <w:pPr>
        <w:pStyle w:val="Lijstje2"/>
        <w:numPr>
          <w:ilvl w:val="2"/>
          <w:numId w:val="2"/>
        </w:numPr>
        <w:ind w:left="2410" w:hanging="283"/>
        <w:rPr>
          <w:rFonts w:ascii="Arial" w:hAnsi="Arial" w:cs="Arial"/>
          <w:noProof/>
          <w:lang w:val="en-GB"/>
        </w:rPr>
      </w:pPr>
      <w:r>
        <w:rPr>
          <w:rFonts w:ascii="Arial" w:hAnsi="Arial" w:cs="Arial"/>
          <w:noProof/>
          <w:lang w:val="en-GB"/>
        </w:rPr>
        <w:t>Directive</w:t>
      </w:r>
      <w:r>
        <w:rPr>
          <w:rStyle w:val="FootnoteReference"/>
          <w:rFonts w:ascii="Arial" w:hAnsi="Arial" w:cs="Arial"/>
          <w:noProof/>
          <w:lang w:val="en-GB"/>
        </w:rPr>
        <w:footnoteReference w:id="394"/>
      </w:r>
      <w:r>
        <w:rPr>
          <w:rFonts w:ascii="Arial" w:hAnsi="Arial" w:cs="Arial"/>
          <w:noProof/>
          <w:lang w:val="en-GB"/>
        </w:rPr>
        <w:t xml:space="preserve"> laying down calculation methods and reporting requirements pursuant to the Directive on fuels quality</w:t>
      </w:r>
      <w:r>
        <w:rPr>
          <w:rStyle w:val="FootnoteReference"/>
          <w:rFonts w:ascii="Arial" w:hAnsi="Arial" w:cs="Arial"/>
          <w:noProof/>
          <w:lang w:val="en-GB"/>
        </w:rPr>
        <w:footnoteReference w:id="395"/>
      </w:r>
      <w:r>
        <w:rPr>
          <w:rFonts w:ascii="Arial" w:hAnsi="Arial" w:cs="Arial"/>
          <w:noProof/>
          <w:lang w:val="en-GB"/>
        </w:rPr>
        <w:t>;</w:t>
      </w:r>
    </w:p>
    <w:p w:rsidR="001557B7" w:rsidRDefault="00AD3265">
      <w:pPr>
        <w:pStyle w:val="Lijstje2"/>
        <w:ind w:left="1843" w:hanging="425"/>
        <w:contextualSpacing w:val="0"/>
        <w:rPr>
          <w:rFonts w:ascii="Arial" w:hAnsi="Arial" w:cs="Arial"/>
          <w:noProof/>
          <w:lang w:val="en-GB"/>
        </w:rPr>
      </w:pPr>
      <w:r>
        <w:rPr>
          <w:rFonts w:ascii="Arial" w:hAnsi="Arial" w:cs="Arial"/>
          <w:noProof/>
          <w:lang w:val="en-GB"/>
        </w:rPr>
        <w:t>non</w:t>
      </w:r>
      <w:r>
        <w:rPr>
          <w:rFonts w:ascii="Arial" w:hAnsi="Arial"/>
          <w:noProof/>
          <w:lang w:val="en-GB"/>
        </w:rPr>
        <w:t>-compliance with EU rules on indirect taxes on t</w:t>
      </w:r>
      <w:r>
        <w:rPr>
          <w:rFonts w:ascii="Arial" w:hAnsi="Arial"/>
          <w:noProof/>
          <w:lang w:val="en-GB"/>
        </w:rPr>
        <w:t>he raising of capital</w:t>
      </w:r>
      <w:r>
        <w:rPr>
          <w:rStyle w:val="FootnoteReference"/>
          <w:rFonts w:ascii="Arial" w:hAnsi="Arial"/>
          <w:noProof/>
          <w:lang w:val="en-GB"/>
        </w:rPr>
        <w:footnoteReference w:id="396"/>
      </w:r>
      <w:r>
        <w:rPr>
          <w:rFonts w:ascii="Arial" w:hAnsi="Arial" w:cs="Arial"/>
          <w:noProof/>
          <w:lang w:val="en-GB"/>
        </w:rPr>
        <w:t>.</w:t>
      </w:r>
    </w:p>
    <w:p w:rsidR="001557B7" w:rsidRDefault="00AD3265">
      <w:pPr>
        <w:pStyle w:val="Lijstje"/>
        <w:numPr>
          <w:ilvl w:val="0"/>
          <w:numId w:val="4"/>
        </w:numPr>
        <w:spacing w:before="120"/>
        <w:ind w:left="1276" w:hanging="425"/>
        <w:rPr>
          <w:noProof/>
        </w:rPr>
      </w:pPr>
      <w:r>
        <w:rPr>
          <w:noProof/>
        </w:rPr>
        <w:t>The Commission did not refer any cases to the Court under Article 258 TFEU.</w:t>
      </w:r>
    </w:p>
    <w:p w:rsidR="001557B7" w:rsidRDefault="00AD3265">
      <w:pPr>
        <w:pStyle w:val="Lijstje"/>
        <w:numPr>
          <w:ilvl w:val="0"/>
          <w:numId w:val="4"/>
        </w:numPr>
        <w:spacing w:before="120"/>
        <w:ind w:left="1276" w:hanging="425"/>
        <w:rPr>
          <w:noProof/>
        </w:rPr>
      </w:pPr>
      <w:r>
        <w:rPr>
          <w:noProof/>
        </w:rPr>
        <w:t>The Commission did not refer any cases to the Court under Article 260(2) TFEU.</w:t>
      </w:r>
    </w:p>
    <w:p w:rsidR="001557B7" w:rsidRDefault="00AD3265">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rsidR="001557B7" w:rsidRDefault="00AD3265">
      <w:pPr>
        <w:keepNext/>
        <w:keepLines/>
        <w:numPr>
          <w:ilvl w:val="0"/>
          <w:numId w:val="1"/>
        </w:numPr>
        <w:spacing w:before="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rsidR="001557B7" w:rsidRDefault="00AD3265">
      <w:pPr>
        <w:pStyle w:val="AnnualReport2"/>
        <w:numPr>
          <w:ilvl w:val="0"/>
          <w:numId w:val="171"/>
        </w:numPr>
        <w:ind w:left="709" w:hanging="425"/>
        <w:rPr>
          <w:noProof/>
        </w:rPr>
      </w:pPr>
      <w:r>
        <w:rPr>
          <w:noProof/>
        </w:rPr>
        <w:t xml:space="preserve">Late transposition infringement cases against </w:t>
      </w:r>
      <w:r>
        <w:rPr>
          <w:noProof/>
        </w:rPr>
        <w:t>Latvia open on 31 December (2013-2017)</w:t>
      </w:r>
    </w:p>
    <w:p w:rsidR="001557B7" w:rsidRDefault="00AD3265">
      <w:pPr>
        <w:ind w:left="426" w:firstLine="283"/>
        <w:rPr>
          <w:noProof/>
        </w:rPr>
      </w:pPr>
      <w:r>
        <w:rPr>
          <w:noProof/>
          <w:lang w:eastAsia="en-GB"/>
        </w:rPr>
        <w:drawing>
          <wp:inline distT="0" distB="0" distL="0" distR="0" wp14:anchorId="3A16A899" wp14:editId="124EBECA">
            <wp:extent cx="4612005" cy="2027555"/>
            <wp:effectExtent l="0" t="0" r="0" b="0"/>
            <wp:docPr id="15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1557B7" w:rsidRDefault="00AD3265">
      <w:pPr>
        <w:pStyle w:val="AnnualReport2"/>
        <w:numPr>
          <w:ilvl w:val="0"/>
          <w:numId w:val="171"/>
        </w:numPr>
        <w:ind w:left="709" w:hanging="425"/>
        <w:rPr>
          <w:noProof/>
        </w:rPr>
      </w:pPr>
      <w:r>
        <w:rPr>
          <w:noProof/>
        </w:rPr>
        <w:t>New late transposition infringement cases against Latvia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71FA109D" wp14:editId="215C50F2">
            <wp:extent cx="4612005" cy="2258060"/>
            <wp:effectExtent l="0" t="0" r="0" b="0"/>
            <wp:docPr id="154"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1557B7" w:rsidRDefault="00AD3265">
      <w:pPr>
        <w:pStyle w:val="AnnualReport2"/>
        <w:numPr>
          <w:ilvl w:val="0"/>
          <w:numId w:val="171"/>
        </w:numPr>
        <w:ind w:left="709" w:hanging="425"/>
        <w:rPr>
          <w:noProof/>
        </w:rPr>
      </w:pPr>
      <w:r>
        <w:rPr>
          <w:noProof/>
        </w:rPr>
        <w:t>New late transposition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6D9A1BC5" wp14:editId="4C2835D3">
            <wp:extent cx="4580255" cy="2440940"/>
            <wp:effectExtent l="0" t="0" r="10795" b="16510"/>
            <wp:docPr id="155" name="Object 1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1557B7" w:rsidRDefault="00AD3265">
      <w:pPr>
        <w:spacing w:after="0"/>
        <w:jc w:val="left"/>
        <w:rPr>
          <w:rFonts w:ascii="Arial" w:hAnsi="Arial"/>
          <w:noProof/>
          <w:color w:val="002060"/>
          <w:sz w:val="22"/>
          <w:szCs w:val="22"/>
        </w:rPr>
      </w:pPr>
      <w:r>
        <w:rPr>
          <w:noProof/>
        </w:rPr>
        <w:br w:type="page"/>
      </w:r>
    </w:p>
    <w:p w:rsidR="001557B7" w:rsidRDefault="00AD3265">
      <w:pPr>
        <w:pStyle w:val="AnnualReport2"/>
        <w:numPr>
          <w:ilvl w:val="0"/>
          <w:numId w:val="171"/>
        </w:numPr>
        <w:ind w:left="709" w:hanging="425"/>
        <w:rPr>
          <w:noProof/>
        </w:rPr>
      </w:pPr>
      <w:r>
        <w:rPr>
          <w:noProof/>
        </w:rPr>
        <w:t>Referrals to the Court</w:t>
      </w:r>
    </w:p>
    <w:p w:rsidR="001557B7" w:rsidRDefault="00AD3265">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w:t>
      </w:r>
      <w:r>
        <w:rPr>
          <w:rFonts w:ascii="Arial" w:eastAsia="Calibri" w:hAnsi="Arial" w:cs="Arial"/>
          <w:noProof/>
          <w:kern w:val="20"/>
          <w:sz w:val="20"/>
        </w:rPr>
        <w:t xml:space="preserve"> the Court under Articles 258 and 260(3) TFEU.</w:t>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rsidR="001557B7" w:rsidRDefault="00AD3265">
      <w:pPr>
        <w:spacing w:after="60"/>
        <w:ind w:left="284" w:firstLine="425"/>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1557B7" w:rsidRDefault="00AD3265">
      <w:pPr>
        <w:spacing w:before="120" w:after="120"/>
        <w:ind w:firstLine="709"/>
        <w:rPr>
          <w:rFonts w:ascii="Arial" w:hAnsi="Arial" w:cs="Arial"/>
          <w:noProof/>
          <w:sz w:val="20"/>
        </w:rPr>
      </w:pPr>
      <w:r>
        <w:rPr>
          <w:rFonts w:ascii="Arial" w:hAnsi="Arial" w:cs="Arial"/>
          <w:noProof/>
          <w:sz w:val="20"/>
        </w:rPr>
        <w:t>These concerned:</w:t>
      </w:r>
    </w:p>
    <w:p w:rsidR="001557B7" w:rsidRDefault="00AD3265">
      <w:pPr>
        <w:pStyle w:val="Lijstje2"/>
        <w:spacing w:after="0"/>
        <w:ind w:left="1276" w:hanging="425"/>
        <w:rPr>
          <w:rFonts w:ascii="Arial" w:hAnsi="Arial" w:cs="Arial"/>
          <w:noProof/>
          <w:lang w:val="en-GB"/>
        </w:rPr>
      </w:pPr>
      <w:r>
        <w:rPr>
          <w:rFonts w:ascii="Arial" w:hAnsi="Arial" w:cs="Arial"/>
          <w:bCs/>
          <w:noProof/>
          <w:lang w:val="en-GB"/>
        </w:rPr>
        <w:t>non-communication of national measures transposing the:</w:t>
      </w:r>
    </w:p>
    <w:p w:rsidR="001557B7" w:rsidRDefault="00AD3265">
      <w:pPr>
        <w:pStyle w:val="Lijstje2"/>
        <w:numPr>
          <w:ilvl w:val="1"/>
          <w:numId w:val="2"/>
        </w:numPr>
        <w:spacing w:after="0"/>
        <w:ind w:left="1843" w:hanging="425"/>
        <w:rPr>
          <w:rFonts w:ascii="Arial" w:hAnsi="Arial" w:cs="Arial"/>
          <w:noProof/>
          <w:lang w:val="en-GB"/>
        </w:rPr>
      </w:pPr>
      <w:r>
        <w:rPr>
          <w:rFonts w:ascii="Arial" w:hAnsi="Arial" w:cs="Arial"/>
          <w:bCs/>
          <w:noProof/>
          <w:lang w:val="en-GB"/>
        </w:rPr>
        <w:t>Intra-Corporate Transfer Directive</w:t>
      </w:r>
      <w:r>
        <w:rPr>
          <w:rStyle w:val="FootnoteReference"/>
          <w:rFonts w:ascii="Arial" w:hAnsi="Arial" w:cs="Arial"/>
          <w:bCs/>
          <w:noProof/>
          <w:lang w:val="en-GB"/>
        </w:rPr>
        <w:footnoteReference w:id="397"/>
      </w:r>
      <w:r>
        <w:rPr>
          <w:rFonts w:ascii="Arial" w:hAnsi="Arial" w:cs="Arial"/>
          <w:bCs/>
          <w:noProof/>
          <w:lang w:val="en-GB"/>
        </w:rPr>
        <w:t>;</w:t>
      </w:r>
    </w:p>
    <w:p w:rsidR="001557B7" w:rsidRDefault="00AD3265">
      <w:pPr>
        <w:pStyle w:val="Lijstje2"/>
        <w:numPr>
          <w:ilvl w:val="1"/>
          <w:numId w:val="2"/>
        </w:numPr>
        <w:spacing w:after="0"/>
        <w:ind w:left="1843" w:hanging="425"/>
        <w:rPr>
          <w:rFonts w:ascii="Arial" w:hAnsi="Arial" w:cs="Arial"/>
          <w:noProof/>
          <w:lang w:val="en-GB"/>
        </w:rPr>
      </w:pPr>
      <w:r>
        <w:rPr>
          <w:rFonts w:ascii="Arial" w:hAnsi="Arial" w:cs="Arial"/>
          <w:bCs/>
          <w:noProof/>
          <w:lang w:val="en-GB"/>
        </w:rPr>
        <w:t>Directive on seasonal workers</w:t>
      </w:r>
      <w:r>
        <w:rPr>
          <w:rStyle w:val="FootnoteReference"/>
          <w:rFonts w:ascii="Arial" w:hAnsi="Arial" w:cs="Arial"/>
          <w:bCs/>
          <w:noProof/>
          <w:lang w:val="en-GB"/>
        </w:rPr>
        <w:footnoteReference w:id="398"/>
      </w:r>
      <w:r>
        <w:rPr>
          <w:rFonts w:ascii="Arial" w:hAnsi="Arial" w:cs="Arial"/>
          <w:bCs/>
          <w:noProof/>
          <w:lang w:val="en-GB"/>
        </w:rPr>
        <w:t>;</w:t>
      </w:r>
    </w:p>
    <w:p w:rsidR="001557B7" w:rsidRDefault="00AD3265">
      <w:pPr>
        <w:pStyle w:val="Lijstje2"/>
        <w:numPr>
          <w:ilvl w:val="1"/>
          <w:numId w:val="2"/>
        </w:numPr>
        <w:spacing w:after="0"/>
        <w:ind w:left="1843" w:hanging="425"/>
        <w:rPr>
          <w:rFonts w:ascii="Arial" w:hAnsi="Arial" w:cs="Arial"/>
          <w:noProof/>
          <w:lang w:val="en-GB"/>
        </w:rPr>
      </w:pPr>
      <w:r>
        <w:rPr>
          <w:rFonts w:ascii="Arial" w:hAnsi="Arial" w:cs="Arial"/>
          <w:bCs/>
          <w:noProof/>
          <w:lang w:val="en-GB"/>
        </w:rPr>
        <w:t>Long-Term Residents Directive</w:t>
      </w:r>
      <w:r>
        <w:rPr>
          <w:rStyle w:val="FootnoteReference"/>
          <w:rFonts w:ascii="Arial" w:hAnsi="Arial" w:cs="Arial"/>
          <w:bCs/>
          <w:noProof/>
          <w:lang w:val="en-GB"/>
        </w:rPr>
        <w:footnoteReference w:id="399"/>
      </w:r>
      <w:r>
        <w:rPr>
          <w:rFonts w:ascii="Arial" w:hAnsi="Arial" w:cs="Arial"/>
          <w:bCs/>
          <w:noProof/>
          <w:lang w:val="en-GB"/>
        </w:rPr>
        <w:t>;</w:t>
      </w:r>
    </w:p>
    <w:p w:rsidR="001557B7" w:rsidRDefault="00AD3265">
      <w:pPr>
        <w:pStyle w:val="Lijstje2"/>
        <w:numPr>
          <w:ilvl w:val="1"/>
          <w:numId w:val="2"/>
        </w:numPr>
        <w:spacing w:after="0"/>
        <w:ind w:left="1843" w:hanging="425"/>
        <w:rPr>
          <w:rFonts w:ascii="Arial" w:hAnsi="Arial" w:cs="Arial"/>
          <w:noProof/>
          <w:lang w:val="en-GB"/>
        </w:rPr>
      </w:pPr>
      <w:r>
        <w:rPr>
          <w:rFonts w:ascii="Arial" w:hAnsi="Arial" w:cs="Arial"/>
          <w:bCs/>
          <w:noProof/>
          <w:lang w:val="en-GB"/>
        </w:rPr>
        <w:t>Directive on recognition of professional qualifications</w:t>
      </w:r>
      <w:r>
        <w:rPr>
          <w:rStyle w:val="FootnoteReference"/>
          <w:noProof/>
        </w:rPr>
        <w:footnoteReference w:id="400"/>
      </w:r>
      <w:r>
        <w:rPr>
          <w:rFonts w:ascii="Arial" w:hAnsi="Arial" w:cs="Arial"/>
          <w:bCs/>
          <w:noProof/>
          <w:lang w:val="en-GB"/>
        </w:rPr>
        <w:t>;</w:t>
      </w:r>
    </w:p>
    <w:p w:rsidR="001557B7" w:rsidRDefault="00AD3265">
      <w:pPr>
        <w:pStyle w:val="Lijstje2"/>
        <w:numPr>
          <w:ilvl w:val="1"/>
          <w:numId w:val="2"/>
        </w:numPr>
        <w:spacing w:after="0"/>
        <w:ind w:left="1843" w:hanging="425"/>
        <w:rPr>
          <w:rFonts w:ascii="Arial" w:hAnsi="Arial" w:cs="Arial"/>
          <w:noProof/>
          <w:lang w:val="en-GB"/>
        </w:rPr>
      </w:pPr>
      <w:r>
        <w:rPr>
          <w:rFonts w:ascii="Arial" w:hAnsi="Arial" w:cs="Arial"/>
          <w:noProof/>
          <w:lang w:val="en-GB"/>
        </w:rPr>
        <w:t xml:space="preserve">Transparency Directive, Accounting Directive and Directive on access to the activity of credit institutions and the prudential </w:t>
      </w:r>
      <w:r>
        <w:rPr>
          <w:rFonts w:ascii="Arial" w:hAnsi="Arial" w:cs="Arial"/>
          <w:noProof/>
          <w:lang w:val="en-GB"/>
        </w:rPr>
        <w:t>supervision of credit institutions and investment firms</w:t>
      </w:r>
      <w:r>
        <w:rPr>
          <w:rStyle w:val="FootnoteReference"/>
          <w:noProof/>
        </w:rPr>
        <w:footnoteReference w:id="401"/>
      </w:r>
      <w:r>
        <w:rPr>
          <w:rFonts w:ascii="Arial" w:hAnsi="Arial" w:cs="Arial"/>
          <w:noProof/>
          <w:lang w:val="en-GB"/>
        </w:rPr>
        <w:t>;</w:t>
      </w:r>
    </w:p>
    <w:p w:rsidR="001557B7" w:rsidRDefault="00AD3265">
      <w:pPr>
        <w:pStyle w:val="Lijstje2"/>
        <w:numPr>
          <w:ilvl w:val="1"/>
          <w:numId w:val="2"/>
        </w:numPr>
        <w:spacing w:after="0"/>
        <w:ind w:left="1843" w:hanging="425"/>
        <w:rPr>
          <w:rFonts w:ascii="Arial" w:hAnsi="Arial" w:cs="Arial"/>
          <w:noProof/>
          <w:lang w:val="en-GB"/>
        </w:rPr>
      </w:pPr>
      <w:r>
        <w:rPr>
          <w:rFonts w:ascii="Arial" w:hAnsi="Arial" w:cs="Arial"/>
          <w:noProof/>
          <w:lang w:val="en-GB"/>
        </w:rPr>
        <w:t>Directive establishing a single European railway area</w:t>
      </w:r>
      <w:r>
        <w:rPr>
          <w:rStyle w:val="FootnoteReference"/>
          <w:rFonts w:ascii="Arial" w:hAnsi="Arial" w:cs="Arial"/>
          <w:noProof/>
          <w:lang w:val="en-GB"/>
        </w:rPr>
        <w:footnoteReference w:id="402"/>
      </w:r>
      <w:r>
        <w:rPr>
          <w:rFonts w:ascii="Arial" w:hAnsi="Arial" w:cs="Arial"/>
          <w:noProof/>
          <w:lang w:val="en-GB"/>
        </w:rPr>
        <w:t>;</w:t>
      </w:r>
    </w:p>
    <w:p w:rsidR="001557B7" w:rsidRDefault="00AD3265">
      <w:pPr>
        <w:pStyle w:val="Lijstje2"/>
        <w:numPr>
          <w:ilvl w:val="1"/>
          <w:numId w:val="2"/>
        </w:numPr>
        <w:spacing w:after="0"/>
        <w:ind w:left="1843" w:hanging="425"/>
        <w:rPr>
          <w:rFonts w:ascii="Arial" w:hAnsi="Arial" w:cs="Arial"/>
          <w:noProof/>
          <w:lang w:val="en-GB"/>
        </w:rPr>
      </w:pPr>
      <w:r>
        <w:rPr>
          <w:rFonts w:ascii="Arial" w:hAnsi="Arial" w:cs="Arial"/>
          <w:noProof/>
          <w:lang w:val="en-GB"/>
        </w:rPr>
        <w:t>Directives on recognition of professional qualifications and on defence-related products</w:t>
      </w:r>
      <w:r>
        <w:rPr>
          <w:rStyle w:val="FootnoteReference"/>
          <w:rFonts w:ascii="Arial" w:hAnsi="Arial" w:cs="Arial"/>
          <w:noProof/>
          <w:lang w:val="en-GB"/>
        </w:rPr>
        <w:footnoteReference w:id="403"/>
      </w:r>
      <w:r>
        <w:rPr>
          <w:rFonts w:ascii="Arial" w:hAnsi="Arial" w:cs="Arial"/>
          <w:noProof/>
          <w:lang w:val="en-GB"/>
        </w:rPr>
        <w:t>;</w:t>
      </w:r>
    </w:p>
    <w:p w:rsidR="001557B7" w:rsidRDefault="00AD3265">
      <w:pPr>
        <w:numPr>
          <w:ilvl w:val="0"/>
          <w:numId w:val="2"/>
        </w:numPr>
        <w:spacing w:after="120"/>
        <w:ind w:left="1276" w:hanging="425"/>
        <w:rPr>
          <w:rFonts w:ascii="Arial" w:hAnsi="Arial"/>
          <w:noProof/>
          <w:sz w:val="20"/>
        </w:rPr>
      </w:pPr>
      <w:r>
        <w:rPr>
          <w:rFonts w:ascii="Arial" w:hAnsi="Arial" w:cs="Arial"/>
          <w:noProof/>
          <w:sz w:val="20"/>
        </w:rPr>
        <w:t>failure to adopt a national policy framework for th</w:t>
      </w:r>
      <w:r>
        <w:rPr>
          <w:rFonts w:ascii="Arial" w:hAnsi="Arial" w:cs="Arial"/>
          <w:noProof/>
          <w:sz w:val="20"/>
        </w:rPr>
        <w:t>e development and deployment of alternative fuels infrastructure</w:t>
      </w:r>
      <w:r>
        <w:rPr>
          <w:rStyle w:val="FootnoteReference"/>
          <w:rFonts w:ascii="Arial" w:hAnsi="Arial" w:cs="Arial"/>
          <w:noProof/>
          <w:sz w:val="20"/>
        </w:rPr>
        <w:footnoteReference w:id="404"/>
      </w:r>
    </w:p>
    <w:p w:rsidR="001557B7" w:rsidRDefault="00AD3265">
      <w:pPr>
        <w:numPr>
          <w:ilvl w:val="0"/>
          <w:numId w:val="2"/>
        </w:numPr>
        <w:ind w:left="1276" w:hanging="425"/>
        <w:rPr>
          <w:rFonts w:ascii="Arial" w:hAnsi="Arial"/>
          <w:noProof/>
          <w:sz w:val="20"/>
        </w:rPr>
      </w:pPr>
      <w:r>
        <w:rPr>
          <w:rFonts w:ascii="Arial" w:hAnsi="Arial" w:cs="Arial"/>
          <w:bCs/>
          <w:iCs/>
          <w:noProof/>
          <w:kern w:val="20"/>
          <w:sz w:val="20"/>
        </w:rPr>
        <w:t>failure to adopt a national programme for spent fuel and radioactive waste management compliant with the requirements of the Radioactive Waste Directive</w:t>
      </w:r>
      <w:r>
        <w:rPr>
          <w:rStyle w:val="FootnoteReference"/>
          <w:rFonts w:ascii="Arial" w:eastAsia="Calibri" w:hAnsi="Arial" w:cs="Arial"/>
          <w:noProof/>
          <w:kern w:val="20"/>
          <w:sz w:val="20"/>
        </w:rPr>
        <w:footnoteReference w:id="405"/>
      </w:r>
      <w:r>
        <w:rPr>
          <w:rFonts w:ascii="Arial" w:hAnsi="Arial" w:cs="Arial"/>
          <w:bCs/>
          <w:iCs/>
          <w:noProof/>
          <w:kern w:val="20"/>
          <w:sz w:val="20"/>
        </w:rPr>
        <w:t>.</w:t>
      </w:r>
    </w:p>
    <w:p w:rsidR="001557B7" w:rsidRDefault="00AD3265">
      <w:pPr>
        <w:keepNext/>
        <w:keepLines/>
        <w:numPr>
          <w:ilvl w:val="0"/>
          <w:numId w:val="1"/>
        </w:numPr>
        <w:spacing w:before="360"/>
        <w:ind w:left="709" w:hanging="425"/>
        <w:outlineLvl w:val="1"/>
        <w:rPr>
          <w:rFonts w:ascii="Arial" w:eastAsia="MS Gothic" w:hAnsi="Arial" w:cs="Arial"/>
          <w:caps/>
          <w:noProof/>
          <w:kern w:val="20"/>
          <w:szCs w:val="24"/>
        </w:rPr>
      </w:pPr>
      <w:r>
        <w:rPr>
          <w:rFonts w:ascii="Arial" w:eastAsia="MS Gothic" w:hAnsi="Arial" w:cs="Arial"/>
          <w:caps/>
          <w:noProof/>
          <w:kern w:val="20"/>
          <w:szCs w:val="24"/>
        </w:rPr>
        <w:t>IMPORTANT JUDGMENTS</w:t>
      </w:r>
    </w:p>
    <w:p w:rsidR="001557B7" w:rsidRDefault="00AD3265">
      <w:pPr>
        <w:pStyle w:val="AnnualReport2"/>
        <w:numPr>
          <w:ilvl w:val="0"/>
          <w:numId w:val="172"/>
        </w:numPr>
        <w:ind w:left="709" w:hanging="425"/>
        <w:rPr>
          <w:noProof/>
          <w:color w:val="auto"/>
        </w:rPr>
      </w:pPr>
      <w:r>
        <w:rPr>
          <w:noProof/>
          <w:color w:val="auto"/>
        </w:rPr>
        <w:t>Court ruling</w:t>
      </w:r>
    </w:p>
    <w:p w:rsidR="001557B7" w:rsidRDefault="00AD3265">
      <w:pPr>
        <w:pStyle w:val="Body"/>
        <w:rPr>
          <w:noProof/>
          <w:lang w:val="en-GB"/>
        </w:rPr>
      </w:pPr>
      <w:r>
        <w:rPr>
          <w:noProof/>
          <w:lang w:val="en-GB"/>
        </w:rPr>
        <w:t>There were no major Court rulings in 2017.</w:t>
      </w:r>
    </w:p>
    <w:p w:rsidR="001557B7" w:rsidRDefault="00AD3265">
      <w:pPr>
        <w:pStyle w:val="AnnualReport2"/>
        <w:numPr>
          <w:ilvl w:val="0"/>
          <w:numId w:val="172"/>
        </w:numPr>
        <w:ind w:left="709" w:hanging="425"/>
        <w:rPr>
          <w:noProof/>
        </w:rPr>
      </w:pPr>
      <w:r>
        <w:rPr>
          <w:noProof/>
        </w:rPr>
        <w:t>Preliminary ruling</w:t>
      </w:r>
    </w:p>
    <w:p w:rsidR="001557B7" w:rsidRDefault="00AD3265">
      <w:pPr>
        <w:pStyle w:val="Body"/>
        <w:ind w:left="426" w:firstLine="294"/>
        <w:rPr>
          <w:noProof/>
          <w:lang w:val="en-GB"/>
        </w:rPr>
      </w:pPr>
      <w:r>
        <w:rPr>
          <w:noProof/>
          <w:lang w:val="en-GB"/>
        </w:rPr>
        <w:t>No major preliminary rulings were addressed to the Latvian judiciary in 2017.</w:t>
      </w:r>
    </w:p>
    <w:p w:rsidR="001557B7" w:rsidRDefault="001557B7">
      <w:pPr>
        <w:spacing w:after="200" w:line="276" w:lineRule="auto"/>
        <w:jc w:val="left"/>
        <w:rPr>
          <w:noProof/>
        </w:rPr>
      </w:pPr>
    </w:p>
    <w:p w:rsidR="001557B7" w:rsidRDefault="001557B7">
      <w:pPr>
        <w:spacing w:after="200" w:line="276" w:lineRule="auto"/>
        <w:jc w:val="left"/>
        <w:rPr>
          <w:noProof/>
        </w:rPr>
        <w:sectPr w:rsidR="001557B7">
          <w:headerReference w:type="even" r:id="rId260"/>
          <w:headerReference w:type="default" r:id="rId261"/>
          <w:footerReference w:type="even" r:id="rId262"/>
          <w:footerReference w:type="default" r:id="rId263"/>
          <w:headerReference w:type="first" r:id="rId264"/>
          <w:footerReference w:type="first" r:id="rId265"/>
          <w:footnotePr>
            <w:numRestart w:val="eachSect"/>
          </w:footnotePr>
          <w:pgSz w:w="11906" w:h="16838"/>
          <w:pgMar w:top="1843" w:right="1418" w:bottom="1134" w:left="1418" w:header="567" w:footer="352" w:gutter="0"/>
          <w:cols w:space="708"/>
          <w:titlePg/>
          <w:docGrid w:linePitch="360"/>
        </w:sectPr>
      </w:pPr>
    </w:p>
    <w:p w:rsidR="001557B7" w:rsidRDefault="00AD3265">
      <w:pPr>
        <w:pStyle w:val="Heading1"/>
        <w:rPr>
          <w:noProof/>
        </w:rPr>
      </w:pPr>
      <w:bookmarkStart w:id="122" w:name="_Toc475974654"/>
      <w:bookmarkStart w:id="123" w:name="_Toc475980150"/>
      <w:bookmarkStart w:id="124" w:name="_Toc475981399"/>
      <w:bookmarkStart w:id="125" w:name="_Toc484622331"/>
      <w:bookmarkStart w:id="126" w:name="_Toc510015280"/>
      <w:r>
        <w:rPr>
          <w:noProof/>
        </w:rPr>
        <w:t>Lithuania</w:t>
      </w:r>
      <w:bookmarkEnd w:id="122"/>
      <w:bookmarkEnd w:id="123"/>
      <w:bookmarkEnd w:id="124"/>
      <w:bookmarkEnd w:id="125"/>
      <w:bookmarkEnd w:id="126"/>
    </w:p>
    <w:p w:rsidR="001557B7" w:rsidRDefault="00AD3265">
      <w:pPr>
        <w:pStyle w:val="kop2"/>
        <w:numPr>
          <w:ilvl w:val="0"/>
          <w:numId w:val="49"/>
        </w:numPr>
        <w:spacing w:before="360" w:after="240"/>
        <w:ind w:left="709" w:hanging="425"/>
        <w:rPr>
          <w:noProof/>
        </w:rPr>
      </w:pPr>
      <w:r>
        <w:rPr>
          <w:noProof/>
        </w:rPr>
        <w:t>COMPLAINTS</w:t>
      </w:r>
    </w:p>
    <w:p w:rsidR="001557B7" w:rsidRDefault="00AD3265">
      <w:pPr>
        <w:pStyle w:val="AnnualReport2"/>
        <w:numPr>
          <w:ilvl w:val="0"/>
          <w:numId w:val="173"/>
        </w:numPr>
        <w:ind w:left="709" w:hanging="425"/>
        <w:rPr>
          <w:noProof/>
        </w:rPr>
      </w:pPr>
      <w:r>
        <w:rPr>
          <w:noProof/>
        </w:rPr>
        <w:t>New complaints made against Lithuania by members of the public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3DA5B0A6" wp14:editId="1876B7B5">
            <wp:extent cx="4587875" cy="2313940"/>
            <wp:effectExtent l="0" t="0" r="0" b="0"/>
            <wp:docPr id="15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1557B7" w:rsidRDefault="00AD3265">
      <w:pPr>
        <w:pStyle w:val="AnnualReport2"/>
        <w:numPr>
          <w:ilvl w:val="0"/>
          <w:numId w:val="173"/>
        </w:numPr>
        <w:ind w:left="709" w:hanging="425"/>
        <w:rPr>
          <w:noProof/>
        </w:rPr>
      </w:pPr>
      <w:r>
        <w:rPr>
          <w:noProof/>
        </w:rPr>
        <w:t xml:space="preserve">Public complaints </w:t>
      </w:r>
      <w:r>
        <w:rPr>
          <w:noProof/>
        </w:rPr>
        <w:t>against Lithuania open at year-end</w:t>
      </w:r>
    </w:p>
    <w:tbl>
      <w:tblPr>
        <w:tblW w:w="0" w:type="auto"/>
        <w:jc w:val="center"/>
        <w:tblLook w:val="04A0" w:firstRow="1" w:lastRow="0" w:firstColumn="1" w:lastColumn="0" w:noHBand="0" w:noVBand="1"/>
      </w:tblPr>
      <w:tblGrid>
        <w:gridCol w:w="1697"/>
        <w:gridCol w:w="355"/>
        <w:gridCol w:w="5310"/>
      </w:tblGrid>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39</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1557B7">
        <w:trPr>
          <w:trHeight w:val="403"/>
          <w:jc w:val="center"/>
        </w:trPr>
        <w:tc>
          <w:tcPr>
            <w:tcW w:w="1697"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40</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1557B7">
        <w:trPr>
          <w:trHeight w:val="403"/>
          <w:jc w:val="center"/>
        </w:trPr>
        <w:tc>
          <w:tcPr>
            <w:tcW w:w="1697" w:type="dxa"/>
            <w:tcBorders>
              <w:bottom w:val="single" w:sz="24" w:space="0" w:color="548DD4"/>
            </w:tcBorders>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43</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1557B7">
        <w:trPr>
          <w:trHeight w:val="403"/>
          <w:jc w:val="center"/>
        </w:trPr>
        <w:tc>
          <w:tcPr>
            <w:tcW w:w="1697" w:type="dxa"/>
            <w:tcBorders>
              <w:top w:val="single" w:sz="24" w:space="0" w:color="548DD4"/>
            </w:tcBorders>
            <w:shd w:val="clear" w:color="auto" w:fill="auto"/>
            <w:vAlign w:val="center"/>
          </w:tcPr>
          <w:p w:rsidR="001557B7" w:rsidRDefault="00AD3265">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36</w:t>
            </w:r>
          </w:p>
        </w:tc>
        <w:tc>
          <w:tcPr>
            <w:tcW w:w="355" w:type="dxa"/>
            <w:shd w:val="clear" w:color="auto" w:fill="auto"/>
            <w:vAlign w:val="center"/>
          </w:tcPr>
          <w:p w:rsidR="001557B7" w:rsidRDefault="00AD3265">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1557B7" w:rsidRDefault="00AD3265">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1557B7" w:rsidRDefault="00AD3265">
      <w:pPr>
        <w:pStyle w:val="AnnualReport2"/>
        <w:numPr>
          <w:ilvl w:val="0"/>
          <w:numId w:val="173"/>
        </w:numPr>
        <w:ind w:left="709" w:hanging="425"/>
        <w:rPr>
          <w:noProof/>
        </w:rPr>
      </w:pPr>
      <w:r>
        <w:rPr>
          <w:noProof/>
        </w:rPr>
        <w:t>New complaints registered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1D7267B5" wp14:editId="49015322">
            <wp:extent cx="4627880" cy="2361565"/>
            <wp:effectExtent l="0" t="0" r="20320" b="19685"/>
            <wp:docPr id="157"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1557B7" w:rsidRDefault="00AD3265">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rsidR="001557B7" w:rsidRDefault="00AD3265">
      <w:pPr>
        <w:keepNext/>
        <w:keepLines/>
        <w:numPr>
          <w:ilvl w:val="0"/>
          <w:numId w:val="1"/>
        </w:numPr>
        <w:spacing w:before="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rsidR="001557B7" w:rsidRDefault="00AD3265">
      <w:pPr>
        <w:pStyle w:val="AnnualReport2"/>
        <w:numPr>
          <w:ilvl w:val="0"/>
          <w:numId w:val="174"/>
        </w:numPr>
        <w:ind w:left="709" w:hanging="425"/>
        <w:rPr>
          <w:noProof/>
        </w:rPr>
      </w:pPr>
      <w:r>
        <w:rPr>
          <w:noProof/>
        </w:rPr>
        <w:t>New EU Pilot</w:t>
      </w:r>
      <w:r>
        <w:rPr>
          <w:noProof/>
        </w:rPr>
        <w:t xml:space="preserve"> files opened against Lithuania (2013-2017)</w:t>
      </w:r>
    </w:p>
    <w:p w:rsidR="001557B7" w:rsidRDefault="00AD3265">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52DF2B06" wp14:editId="56825FB1">
            <wp:extent cx="4580255" cy="2115185"/>
            <wp:effectExtent l="0" t="0" r="0" b="0"/>
            <wp:docPr id="15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1557B7" w:rsidRDefault="00AD3265">
      <w:pPr>
        <w:pStyle w:val="AnnualReport2"/>
        <w:numPr>
          <w:ilvl w:val="0"/>
          <w:numId w:val="174"/>
        </w:numPr>
        <w:ind w:left="709" w:hanging="425"/>
        <w:rPr>
          <w:noProof/>
        </w:rPr>
      </w:pPr>
      <w:r>
        <w:rPr>
          <w:noProof/>
        </w:rPr>
        <w:t>Files relating to Lithuania open in EU Pilot at year-end</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629DF353" wp14:editId="608C91D0">
            <wp:extent cx="4580255" cy="2115185"/>
            <wp:effectExtent l="0" t="0" r="0" b="0"/>
            <wp:docPr id="15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1557B7" w:rsidRDefault="00AD3265">
      <w:pPr>
        <w:pStyle w:val="AnnualReport2"/>
        <w:numPr>
          <w:ilvl w:val="0"/>
          <w:numId w:val="174"/>
        </w:numPr>
        <w:ind w:left="709" w:hanging="425"/>
        <w:rPr>
          <w:noProof/>
        </w:rPr>
      </w:pPr>
      <w:r>
        <w:rPr>
          <w:noProof/>
        </w:rPr>
        <w:t>New EU Pilot files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BC2D087" wp14:editId="4BC6771A">
            <wp:extent cx="4533900" cy="2468880"/>
            <wp:effectExtent l="0" t="0" r="0" b="7620"/>
            <wp:docPr id="1072" name="Object 1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1557B7" w:rsidRDefault="00AD3265">
      <w:pPr>
        <w:spacing w:after="200" w:line="276" w:lineRule="auto"/>
        <w:jc w:val="left"/>
        <w:rPr>
          <w:rFonts w:ascii="Arial" w:hAnsi="Arial" w:cs="Arial"/>
          <w:noProof/>
          <w:sz w:val="20"/>
        </w:rPr>
      </w:pPr>
      <w:r>
        <w:rPr>
          <w:noProof/>
        </w:rPr>
        <w:br w:type="page"/>
      </w:r>
    </w:p>
    <w:p w:rsidR="001557B7" w:rsidRDefault="00AD3265">
      <w:pPr>
        <w:pStyle w:val="AnnualReport2"/>
        <w:numPr>
          <w:ilvl w:val="0"/>
          <w:numId w:val="174"/>
        </w:numPr>
        <w:ind w:left="709" w:hanging="425"/>
        <w:rPr>
          <w:noProof/>
        </w:rPr>
      </w:pPr>
      <w:r>
        <w:rPr>
          <w:noProof/>
        </w:rPr>
        <w:t>EU Pilot files: Lithuania’s resolution rate in 2013-2017</w:t>
      </w:r>
    </w:p>
    <w:p w:rsidR="001557B7" w:rsidRDefault="00AD3265">
      <w:pPr>
        <w:ind w:firstLine="709"/>
        <w:rPr>
          <w:rFonts w:ascii="Arial" w:hAnsi="Arial" w:cs="Arial"/>
          <w:noProof/>
          <w:sz w:val="20"/>
        </w:rPr>
      </w:pPr>
      <w:r>
        <w:rPr>
          <w:rFonts w:ascii="Arial" w:hAnsi="Arial" w:cs="Arial"/>
          <w:noProof/>
          <w:sz w:val="20"/>
          <w:lang w:eastAsia="en-GB"/>
        </w:rPr>
        <w:drawing>
          <wp:inline distT="0" distB="0" distL="0" distR="0" wp14:anchorId="17D3F2CB" wp14:editId="39162120">
            <wp:extent cx="4587875" cy="2536190"/>
            <wp:effectExtent l="0" t="0" r="22225" b="16510"/>
            <wp:docPr id="16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rsidR="001557B7" w:rsidRDefault="00AD3265">
      <w:pPr>
        <w:pStyle w:val="AnnualReport2"/>
        <w:numPr>
          <w:ilvl w:val="0"/>
          <w:numId w:val="175"/>
        </w:numPr>
        <w:ind w:left="709" w:hanging="425"/>
        <w:rPr>
          <w:noProof/>
        </w:rPr>
      </w:pPr>
      <w:r>
        <w:rPr>
          <w:noProof/>
        </w:rPr>
        <w:t xml:space="preserve">Infringement </w:t>
      </w:r>
      <w:r>
        <w:rPr>
          <w:noProof/>
        </w:rPr>
        <w:t>cases against Lithuania open on 31 December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21019820" wp14:editId="5535D2C0">
            <wp:extent cx="4627880" cy="2234565"/>
            <wp:effectExtent l="0" t="0" r="20320" b="13335"/>
            <wp:docPr id="162"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1557B7" w:rsidRDefault="00AD3265">
      <w:pPr>
        <w:spacing w:after="200" w:line="276" w:lineRule="auto"/>
        <w:jc w:val="left"/>
        <w:rPr>
          <w:rFonts w:ascii="Arial" w:hAnsi="Arial"/>
          <w:noProof/>
          <w:color w:val="002060"/>
          <w:sz w:val="22"/>
          <w:szCs w:val="22"/>
        </w:rPr>
      </w:pPr>
      <w:r>
        <w:rPr>
          <w:noProof/>
        </w:rPr>
        <w:br w:type="page"/>
      </w:r>
    </w:p>
    <w:p w:rsidR="001557B7" w:rsidRDefault="00AD3265">
      <w:pPr>
        <w:pStyle w:val="AnnualReport2"/>
        <w:numPr>
          <w:ilvl w:val="0"/>
          <w:numId w:val="175"/>
        </w:numPr>
        <w:ind w:left="709" w:hanging="425"/>
        <w:rPr>
          <w:noProof/>
        </w:rPr>
      </w:pPr>
      <w:r>
        <w:rPr>
          <w:noProof/>
        </w:rPr>
        <w:t>New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0CE2E266" wp14:editId="771423F1">
            <wp:extent cx="4763386" cy="2466754"/>
            <wp:effectExtent l="0" t="0" r="18415" b="10160"/>
            <wp:docPr id="779"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1557B7" w:rsidRDefault="00AD3265">
      <w:pPr>
        <w:pStyle w:val="AnnualReport2"/>
        <w:numPr>
          <w:ilvl w:val="0"/>
          <w:numId w:val="175"/>
        </w:numPr>
        <w:ind w:left="709" w:hanging="425"/>
        <w:rPr>
          <w:noProof/>
        </w:rPr>
      </w:pPr>
      <w:r>
        <w:rPr>
          <w:noProof/>
        </w:rPr>
        <w:t>Key infringement cases and referrals to the Court</w:t>
      </w:r>
    </w:p>
    <w:p w:rsidR="001557B7" w:rsidRDefault="00AD3265">
      <w:pPr>
        <w:pStyle w:val="Lijstje"/>
        <w:numPr>
          <w:ilvl w:val="0"/>
          <w:numId w:val="50"/>
        </w:numPr>
        <w:ind w:left="1276" w:hanging="425"/>
        <w:rPr>
          <w:noProof/>
        </w:rPr>
      </w:pPr>
      <w:r>
        <w:rPr>
          <w:noProof/>
        </w:rPr>
        <w:t>The Commission opened 14 new infringement cases against Lithuania in 2017. These, and o</w:t>
      </w:r>
      <w:r>
        <w:rPr>
          <w:noProof/>
        </w:rPr>
        <w:t>ther major ongoing infringement cases, include:</w:t>
      </w:r>
    </w:p>
    <w:p w:rsidR="001557B7" w:rsidRDefault="00AD3265">
      <w:pPr>
        <w:pStyle w:val="Lijstje2"/>
        <w:spacing w:after="200"/>
        <w:ind w:left="1843" w:hanging="426"/>
        <w:rPr>
          <w:rFonts w:ascii="Arial" w:hAnsi="Arial" w:cs="Arial"/>
          <w:noProof/>
          <w:lang w:val="en-GB"/>
        </w:rPr>
      </w:pPr>
      <w:r>
        <w:rPr>
          <w:rFonts w:ascii="Arial" w:hAnsi="Arial" w:cs="Arial"/>
          <w:noProof/>
          <w:lang w:val="en-GB"/>
        </w:rPr>
        <w:t xml:space="preserve">failure to ensure that urban waste water is adequately </w:t>
      </w:r>
      <w:r>
        <w:rPr>
          <w:rFonts w:ascii="Arial" w:hAnsi="Arial"/>
          <w:noProof/>
          <w:lang w:val="en-GB"/>
        </w:rPr>
        <w:t>treated;</w:t>
      </w:r>
    </w:p>
    <w:p w:rsidR="001557B7" w:rsidRDefault="00AD3265">
      <w:pPr>
        <w:pStyle w:val="Lijstje2"/>
        <w:numPr>
          <w:ilvl w:val="0"/>
          <w:numId w:val="233"/>
        </w:numPr>
        <w:spacing w:after="200"/>
        <w:rPr>
          <w:rFonts w:ascii="Arial" w:hAnsi="Arial" w:cs="Arial"/>
          <w:i/>
          <w:noProof/>
          <w:lang w:val="en-GB"/>
        </w:rPr>
      </w:pPr>
      <w:r>
        <w:rPr>
          <w:rFonts w:ascii="Arial" w:hAnsi="Arial" w:cs="Arial"/>
          <w:noProof/>
          <w:lang w:val="en-GB"/>
        </w:rPr>
        <w:t>failure to develop and report on the programmes of measures required by the Marine Strategy Framework Directive</w:t>
      </w:r>
      <w:r>
        <w:rPr>
          <w:rStyle w:val="FootnoteReference"/>
          <w:rFonts w:ascii="Arial" w:hAnsi="Arial" w:cs="Arial"/>
          <w:noProof/>
          <w:lang w:val="en-GB"/>
        </w:rPr>
        <w:footnoteReference w:id="406"/>
      </w:r>
      <w:r>
        <w:rPr>
          <w:rFonts w:ascii="Arial" w:hAnsi="Arial" w:cs="Arial"/>
          <w:noProof/>
          <w:lang w:val="en-GB"/>
        </w:rPr>
        <w:t>;</w:t>
      </w:r>
    </w:p>
    <w:p w:rsidR="001557B7" w:rsidRDefault="00AD3265">
      <w:pPr>
        <w:pStyle w:val="Lijstje2"/>
        <w:numPr>
          <w:ilvl w:val="0"/>
          <w:numId w:val="233"/>
        </w:numPr>
        <w:spacing w:after="200"/>
        <w:rPr>
          <w:rFonts w:ascii="Arial" w:hAnsi="Arial" w:cs="Arial"/>
          <w:noProof/>
          <w:lang w:val="en-GB"/>
        </w:rPr>
      </w:pPr>
      <w:r>
        <w:rPr>
          <w:rFonts w:ascii="Arial" w:hAnsi="Arial" w:cs="Arial"/>
          <w:noProof/>
          <w:lang w:val="en-GB"/>
        </w:rPr>
        <w:t xml:space="preserve">incorrect transposition and </w:t>
      </w:r>
      <w:r>
        <w:rPr>
          <w:rFonts w:ascii="Arial" w:hAnsi="Arial" w:cs="Arial"/>
          <w:noProof/>
          <w:lang w:val="en-GB"/>
        </w:rPr>
        <w:t>application of the Energy Performance of Buildings Directive</w:t>
      </w:r>
      <w:r>
        <w:rPr>
          <w:rStyle w:val="FootnoteReference"/>
          <w:noProof/>
        </w:rPr>
        <w:footnoteReference w:id="407"/>
      </w:r>
      <w:r>
        <w:rPr>
          <w:rFonts w:ascii="Arial" w:hAnsi="Arial" w:cs="Arial"/>
          <w:noProof/>
          <w:lang w:val="en-GB"/>
        </w:rPr>
        <w:t>;</w:t>
      </w:r>
    </w:p>
    <w:p w:rsidR="001557B7" w:rsidRDefault="00AD3265">
      <w:pPr>
        <w:pStyle w:val="Lijstje2"/>
        <w:numPr>
          <w:ilvl w:val="0"/>
          <w:numId w:val="233"/>
        </w:numPr>
        <w:spacing w:after="200"/>
        <w:rPr>
          <w:rFonts w:ascii="Arial" w:hAnsi="Arial" w:cs="Arial"/>
          <w:noProof/>
          <w:lang w:val="en-GB"/>
        </w:rPr>
      </w:pPr>
      <w:r>
        <w:rPr>
          <w:rFonts w:ascii="Arial" w:hAnsi="Arial" w:cs="Arial"/>
          <w:noProof/>
          <w:lang w:val="en-GB"/>
        </w:rPr>
        <w:t>incorrect transposition and implementation of the Third Energy Package Directives (Electricity and Gas Directives)</w:t>
      </w:r>
      <w:r>
        <w:rPr>
          <w:rStyle w:val="FootnoteReference"/>
          <w:noProof/>
        </w:rPr>
        <w:footnoteReference w:id="408"/>
      </w:r>
      <w:r>
        <w:rPr>
          <w:rFonts w:ascii="Arial" w:hAnsi="Arial" w:cs="Arial"/>
          <w:noProof/>
          <w:lang w:val="en-GB"/>
        </w:rPr>
        <w:t xml:space="preserve">; </w:t>
      </w:r>
      <w:r>
        <w:rPr>
          <w:rFonts w:ascii="Arial" w:hAnsi="Arial" w:cs="Arial"/>
          <w:i/>
          <w:noProof/>
          <w:lang w:val="en-GB"/>
        </w:rPr>
        <w:t xml:space="preserve"> </w:t>
      </w:r>
    </w:p>
    <w:p w:rsidR="001557B7" w:rsidRDefault="00AD3265">
      <w:pPr>
        <w:pStyle w:val="Lijstje2"/>
        <w:numPr>
          <w:ilvl w:val="0"/>
          <w:numId w:val="233"/>
        </w:numPr>
        <w:rPr>
          <w:rFonts w:ascii="Arial" w:hAnsi="Arial" w:cs="Arial"/>
          <w:noProof/>
          <w:lang w:val="en-GB"/>
        </w:rPr>
      </w:pPr>
      <w:r>
        <w:rPr>
          <w:rFonts w:ascii="Arial" w:hAnsi="Arial" w:cs="Arial"/>
          <w:noProof/>
          <w:lang w:val="en-GB"/>
        </w:rPr>
        <w:t>n</w:t>
      </w:r>
      <w:r>
        <w:rPr>
          <w:rFonts w:ascii="Arial" w:hAnsi="Arial" w:cs="Arial"/>
          <w:bCs/>
          <w:noProof/>
          <w:lang w:val="en-GB"/>
        </w:rPr>
        <w:t>on-communication of national measures transposing the:</w:t>
      </w:r>
    </w:p>
    <w:p w:rsidR="001557B7" w:rsidRDefault="00AD3265">
      <w:pPr>
        <w:pStyle w:val="Lijstje2"/>
        <w:numPr>
          <w:ilvl w:val="2"/>
          <w:numId w:val="233"/>
        </w:numPr>
        <w:rPr>
          <w:rFonts w:ascii="Arial" w:hAnsi="Arial" w:cs="Arial"/>
          <w:noProof/>
          <w:lang w:val="en-GB"/>
        </w:rPr>
      </w:pPr>
      <w:r>
        <w:rPr>
          <w:rFonts w:ascii="Arial" w:hAnsi="Arial" w:cs="Arial"/>
          <w:noProof/>
          <w:lang w:val="en-GB"/>
        </w:rPr>
        <w:t>Markets in Financi</w:t>
      </w:r>
      <w:r>
        <w:rPr>
          <w:rFonts w:ascii="Arial" w:hAnsi="Arial" w:cs="Arial"/>
          <w:noProof/>
          <w:lang w:val="en-GB"/>
        </w:rPr>
        <w:t>al Instruments Directive (MiFID II)</w:t>
      </w:r>
      <w:r>
        <w:rPr>
          <w:rStyle w:val="FootnoteReference"/>
          <w:rFonts w:ascii="Arial" w:hAnsi="Arial" w:cs="Arial"/>
          <w:noProof/>
          <w:lang w:val="en-GB"/>
        </w:rPr>
        <w:footnoteReference w:id="409"/>
      </w:r>
      <w:r>
        <w:rPr>
          <w:rFonts w:ascii="Arial" w:hAnsi="Arial" w:cs="Arial"/>
          <w:noProof/>
          <w:lang w:val="en-GB"/>
        </w:rPr>
        <w:t>;</w:t>
      </w:r>
    </w:p>
    <w:p w:rsidR="001557B7" w:rsidRDefault="00AD3265">
      <w:pPr>
        <w:pStyle w:val="Lijstje2"/>
        <w:numPr>
          <w:ilvl w:val="2"/>
          <w:numId w:val="233"/>
        </w:numPr>
        <w:rPr>
          <w:rFonts w:ascii="Arial" w:hAnsi="Arial" w:cs="Arial"/>
          <w:noProof/>
          <w:lang w:val="en-GB"/>
        </w:rPr>
      </w:pPr>
      <w:r>
        <w:rPr>
          <w:rFonts w:ascii="Arial" w:hAnsi="Arial" w:cs="Arial"/>
          <w:noProof/>
          <w:lang w:val="en-GB"/>
        </w:rPr>
        <w:t>Fourth Anti-Money Laundering Directive</w:t>
      </w:r>
      <w:r>
        <w:rPr>
          <w:rStyle w:val="FootnoteReference"/>
          <w:rFonts w:ascii="Arial" w:hAnsi="Arial" w:cs="Arial"/>
          <w:noProof/>
          <w:lang w:val="en-GB"/>
        </w:rPr>
        <w:footnoteReference w:id="410"/>
      </w:r>
      <w:r>
        <w:rPr>
          <w:rFonts w:ascii="Arial" w:hAnsi="Arial" w:cs="Arial"/>
          <w:noProof/>
          <w:lang w:val="en-GB"/>
        </w:rPr>
        <w:t>.</w:t>
      </w:r>
    </w:p>
    <w:p w:rsidR="001557B7" w:rsidRDefault="00AD3265">
      <w:pPr>
        <w:pStyle w:val="Lijstje"/>
        <w:numPr>
          <w:ilvl w:val="0"/>
          <w:numId w:val="50"/>
        </w:numPr>
        <w:ind w:left="1276" w:hanging="425"/>
        <w:rPr>
          <w:noProof/>
        </w:rPr>
      </w:pPr>
      <w:r>
        <w:rPr>
          <w:noProof/>
        </w:rPr>
        <w:t>The Commission did not refer any cases to the Court under Article 258 TFEU.</w:t>
      </w:r>
    </w:p>
    <w:p w:rsidR="001557B7" w:rsidRDefault="00AD3265">
      <w:pPr>
        <w:pStyle w:val="Lijstje"/>
        <w:numPr>
          <w:ilvl w:val="0"/>
          <w:numId w:val="50"/>
        </w:numPr>
        <w:ind w:left="1276" w:hanging="425"/>
        <w:rPr>
          <w:noProof/>
        </w:rPr>
      </w:pPr>
      <w:r>
        <w:rPr>
          <w:noProof/>
        </w:rPr>
        <w:t>The Commission did not refer any cases to the Court under Article 260(2) TFEU.</w:t>
      </w:r>
    </w:p>
    <w:p w:rsidR="001557B7" w:rsidRDefault="00AD3265">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 xml:space="preserve">TRANSPOSITION OF </w:t>
      </w:r>
      <w:r>
        <w:rPr>
          <w:rFonts w:ascii="Arial" w:eastAsia="MS Gothic" w:hAnsi="Arial" w:cs="Arial"/>
          <w:caps/>
          <w:noProof/>
          <w:color w:val="4F81BD"/>
          <w:kern w:val="20"/>
          <w:szCs w:val="24"/>
        </w:rPr>
        <w:t>DIRECTIVES</w:t>
      </w:r>
    </w:p>
    <w:p w:rsidR="001557B7" w:rsidRDefault="00AD3265">
      <w:pPr>
        <w:pStyle w:val="AnnualReport2"/>
        <w:numPr>
          <w:ilvl w:val="0"/>
          <w:numId w:val="176"/>
        </w:numPr>
        <w:ind w:left="709" w:hanging="425"/>
        <w:rPr>
          <w:noProof/>
        </w:rPr>
      </w:pPr>
      <w:r>
        <w:rPr>
          <w:noProof/>
        </w:rPr>
        <w:t>Late transposition infringement cases against Lithuania open on 31 December (2013-2017)</w:t>
      </w:r>
    </w:p>
    <w:p w:rsidR="001557B7" w:rsidRDefault="00AD3265">
      <w:pPr>
        <w:ind w:left="426" w:firstLine="283"/>
        <w:rPr>
          <w:noProof/>
        </w:rPr>
      </w:pPr>
      <w:r>
        <w:rPr>
          <w:noProof/>
          <w:lang w:eastAsia="en-GB"/>
        </w:rPr>
        <w:drawing>
          <wp:inline distT="0" distB="0" distL="0" distR="0" wp14:anchorId="5AB3B9ED" wp14:editId="3BF0B029">
            <wp:extent cx="4587875" cy="2178685"/>
            <wp:effectExtent l="0" t="0" r="22225" b="12065"/>
            <wp:docPr id="164"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1557B7" w:rsidRDefault="00AD3265">
      <w:pPr>
        <w:pStyle w:val="AnnualReport2"/>
        <w:numPr>
          <w:ilvl w:val="0"/>
          <w:numId w:val="176"/>
        </w:numPr>
        <w:ind w:left="709" w:hanging="425"/>
        <w:rPr>
          <w:noProof/>
        </w:rPr>
      </w:pPr>
      <w:r>
        <w:rPr>
          <w:noProof/>
        </w:rPr>
        <w:t>New late transposition infringement cases against Lithuania (2013-2017)</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1BA2E06D" wp14:editId="52886CAB">
            <wp:extent cx="4587875" cy="2321560"/>
            <wp:effectExtent l="0" t="0" r="22225" b="21590"/>
            <wp:docPr id="165"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1557B7" w:rsidRDefault="00AD3265">
      <w:pPr>
        <w:pStyle w:val="AnnualReport2"/>
        <w:numPr>
          <w:ilvl w:val="0"/>
          <w:numId w:val="176"/>
        </w:numPr>
        <w:ind w:left="709" w:hanging="425"/>
        <w:rPr>
          <w:noProof/>
        </w:rPr>
      </w:pPr>
      <w:r>
        <w:rPr>
          <w:noProof/>
        </w:rPr>
        <w:t>New late transposition infringement cases opened in 2017: main policy areas</w:t>
      </w:r>
    </w:p>
    <w:p w:rsidR="001557B7" w:rsidRDefault="00AD3265">
      <w:pPr>
        <w:spacing w:after="120"/>
        <w:ind w:firstLine="709"/>
        <w:rPr>
          <w:rFonts w:ascii="Arial" w:hAnsi="Arial" w:cs="Arial"/>
          <w:noProof/>
          <w:sz w:val="20"/>
        </w:rPr>
      </w:pPr>
      <w:r>
        <w:rPr>
          <w:rFonts w:ascii="Arial" w:hAnsi="Arial" w:cs="Arial"/>
          <w:noProof/>
          <w:sz w:val="20"/>
          <w:lang w:eastAsia="en-GB"/>
        </w:rPr>
        <w:drawing>
          <wp:inline distT="0" distB="0" distL="0" distR="0" wp14:anchorId="56BDC95E" wp14:editId="49E2EE8B">
            <wp:extent cx="4587240" cy="2407920"/>
            <wp:effectExtent l="0" t="0" r="22860" b="11430"/>
            <wp:docPr id="782"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1557B7" w:rsidRDefault="00AD3265">
      <w:pPr>
        <w:pStyle w:val="AnnualReport2"/>
        <w:numPr>
          <w:ilvl w:val="0"/>
          <w:numId w:val="176"/>
        </w:numPr>
        <w:ind w:left="709" w:hanging="425"/>
        <w:rPr>
          <w:noProof/>
        </w:rPr>
      </w:pPr>
      <w:r>
        <w:rPr>
          <w:noProof/>
        </w:rPr>
        <w:t>Referrals to the Court</w:t>
      </w:r>
    </w:p>
    <w:p w:rsidR="001557B7" w:rsidRDefault="00AD3265">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rsidR="001557B7" w:rsidRDefault="00AD3265">
      <w:pPr>
        <w:spacing w:before="240"/>
        <w:ind w:left="284" w:firstLine="425"/>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1557B7" w:rsidRDefault="00AD3265">
      <w:pPr>
        <w:spacing w:after="120"/>
        <w:ind w:firstLine="709"/>
        <w:rPr>
          <w:rFonts w:ascii="Arial" w:hAnsi="Arial" w:cs="Arial"/>
          <w:noProof/>
          <w:sz w:val="20"/>
        </w:rPr>
      </w:pPr>
      <w:r>
        <w:rPr>
          <w:rFonts w:ascii="Arial" w:hAnsi="Arial" w:cs="Arial"/>
          <w:noProof/>
          <w:sz w:val="20"/>
        </w:rPr>
        <w:t>These concerned the following.</w:t>
      </w:r>
    </w:p>
    <w:p w:rsidR="001557B7" w:rsidRDefault="00AD3265">
      <w:pPr>
        <w:numPr>
          <w:ilvl w:val="0"/>
          <w:numId w:val="35"/>
        </w:numPr>
        <w:spacing w:after="0"/>
        <w:ind w:left="1276" w:hanging="425"/>
        <w:contextualSpacing/>
        <w:rPr>
          <w:rFonts w:ascii="Arial" w:hAnsi="Arial" w:cs="Arial"/>
          <w:noProof/>
          <w:sz w:val="20"/>
        </w:rPr>
      </w:pPr>
      <w:r>
        <w:rPr>
          <w:rFonts w:ascii="Arial" w:hAnsi="Arial" w:cs="Arial"/>
          <w:noProof/>
          <w:kern w:val="20"/>
          <w:sz w:val="20"/>
          <w:lang w:eastAsia="en-GB"/>
        </w:rPr>
        <w:t>Incorrect</w:t>
      </w:r>
      <w:r>
        <w:rPr>
          <w:rFonts w:ascii="Arial" w:hAnsi="Arial" w:cs="Arial"/>
          <w:noProof/>
          <w:sz w:val="20"/>
        </w:rPr>
        <w:t xml:space="preserve"> transposition into national law of the Directive on package travel</w:t>
      </w:r>
      <w:r>
        <w:rPr>
          <w:rStyle w:val="FootnoteReference"/>
          <w:rFonts w:ascii="Arial" w:hAnsi="Arial" w:cs="Arial"/>
          <w:noProof/>
          <w:sz w:val="20"/>
        </w:rPr>
        <w:footnoteReference w:id="411"/>
      </w:r>
      <w:r>
        <w:rPr>
          <w:rFonts w:ascii="Arial" w:hAnsi="Arial" w:cs="Arial"/>
          <w:noProof/>
          <w:sz w:val="20"/>
        </w:rPr>
        <w:t>. Under the Directive, organisers of package tours must have insolvency protection guaranteeing that consumers receive a refund and are repatriated if the organiser becomes insolvent</w:t>
      </w:r>
      <w:r>
        <w:rPr>
          <w:rStyle w:val="FootnoteReference"/>
          <w:rFonts w:ascii="Arial" w:hAnsi="Arial" w:cs="Arial"/>
          <w:noProof/>
          <w:sz w:val="20"/>
        </w:rPr>
        <w:footnoteReference w:id="412"/>
      </w:r>
      <w:r>
        <w:rPr>
          <w:rFonts w:ascii="Arial" w:hAnsi="Arial" w:cs="Arial"/>
          <w:noProof/>
          <w:sz w:val="20"/>
        </w:rPr>
        <w:t>.</w:t>
      </w:r>
    </w:p>
    <w:p w:rsidR="001557B7" w:rsidRDefault="00AD3265">
      <w:pPr>
        <w:numPr>
          <w:ilvl w:val="0"/>
          <w:numId w:val="35"/>
        </w:numPr>
        <w:spacing w:after="0"/>
        <w:ind w:left="1276" w:hanging="425"/>
        <w:contextualSpacing/>
        <w:rPr>
          <w:rFonts w:ascii="Arial" w:hAnsi="Arial" w:cs="Arial"/>
          <w:noProof/>
          <w:kern w:val="20"/>
          <w:sz w:val="20"/>
          <w:lang w:eastAsia="en-GB"/>
        </w:rPr>
      </w:pPr>
      <w:r>
        <w:rPr>
          <w:rFonts w:ascii="Arial" w:hAnsi="Arial" w:cs="Arial"/>
          <w:noProof/>
          <w:kern w:val="20"/>
          <w:sz w:val="20"/>
          <w:lang w:eastAsia="en-GB"/>
        </w:rPr>
        <w:t>Incorrect transposition of Directives on common rules for the internal market in electricity</w:t>
      </w:r>
      <w:r>
        <w:rPr>
          <w:rStyle w:val="FootnoteReference"/>
          <w:rFonts w:ascii="Arial" w:hAnsi="Arial" w:cs="Arial"/>
          <w:noProof/>
          <w:sz w:val="20"/>
        </w:rPr>
        <w:footnoteReference w:id="413"/>
      </w:r>
      <w:r>
        <w:rPr>
          <w:rFonts w:ascii="Arial" w:hAnsi="Arial" w:cs="Arial"/>
          <w:noProof/>
          <w:kern w:val="20"/>
          <w:sz w:val="20"/>
          <w:lang w:eastAsia="en-GB"/>
        </w:rPr>
        <w:t xml:space="preserve"> and natural gas</w:t>
      </w:r>
      <w:r>
        <w:rPr>
          <w:rStyle w:val="FootnoteReference"/>
          <w:rFonts w:ascii="Arial" w:hAnsi="Arial" w:cs="Arial"/>
          <w:noProof/>
          <w:sz w:val="20"/>
        </w:rPr>
        <w:footnoteReference w:id="414"/>
      </w:r>
      <w:r>
        <w:rPr>
          <w:rFonts w:ascii="Arial" w:hAnsi="Arial" w:cs="Arial"/>
          <w:noProof/>
          <w:kern w:val="20"/>
          <w:sz w:val="20"/>
          <w:lang w:eastAsia="en-GB"/>
        </w:rPr>
        <w:t>.</w:t>
      </w:r>
    </w:p>
    <w:p w:rsidR="001557B7" w:rsidRDefault="00AD3265">
      <w:pPr>
        <w:numPr>
          <w:ilvl w:val="0"/>
          <w:numId w:val="35"/>
        </w:numPr>
        <w:spacing w:after="0"/>
        <w:ind w:left="1276" w:hanging="425"/>
        <w:contextualSpacing/>
        <w:rPr>
          <w:rFonts w:ascii="Arial" w:hAnsi="Arial" w:cs="Arial"/>
          <w:noProof/>
          <w:kern w:val="20"/>
          <w:sz w:val="20"/>
          <w:lang w:eastAsia="en-GB"/>
        </w:rPr>
      </w:pPr>
      <w:r>
        <w:rPr>
          <w:rFonts w:ascii="Arial" w:hAnsi="Arial" w:cs="Arial"/>
          <w:noProof/>
          <w:kern w:val="20"/>
          <w:sz w:val="20"/>
          <w:lang w:eastAsia="en-GB"/>
        </w:rPr>
        <w:t>Non-conformity with the Audiovisual Media Services Directive</w:t>
      </w:r>
      <w:r>
        <w:rPr>
          <w:rStyle w:val="FootnoteReference"/>
          <w:rFonts w:ascii="Arial" w:hAnsi="Arial" w:cs="Arial"/>
          <w:noProof/>
          <w:sz w:val="20"/>
        </w:rPr>
        <w:footnoteReference w:id="415"/>
      </w:r>
      <w:r>
        <w:rPr>
          <w:rFonts w:ascii="Arial" w:hAnsi="Arial" w:cs="Arial"/>
          <w:noProof/>
          <w:kern w:val="20"/>
          <w:sz w:val="20"/>
          <w:lang w:eastAsia="en-GB"/>
        </w:rPr>
        <w:t>.</w:t>
      </w:r>
    </w:p>
    <w:p w:rsidR="001557B7" w:rsidRDefault="00AD3265">
      <w:pPr>
        <w:numPr>
          <w:ilvl w:val="0"/>
          <w:numId w:val="35"/>
        </w:numPr>
        <w:spacing w:after="0"/>
        <w:ind w:left="1276" w:hanging="425"/>
        <w:contextualSpacing/>
        <w:rPr>
          <w:rFonts w:ascii="Arial" w:hAnsi="Arial" w:cs="Arial"/>
          <w:noProof/>
          <w:kern w:val="20"/>
          <w:sz w:val="20"/>
          <w:lang w:eastAsia="en-GB"/>
        </w:rPr>
      </w:pPr>
      <w:r>
        <w:rPr>
          <w:rFonts w:ascii="Arial" w:hAnsi="Arial" w:cs="Arial"/>
          <w:noProof/>
          <w:kern w:val="20"/>
          <w:sz w:val="20"/>
          <w:lang w:eastAsia="en-GB"/>
        </w:rPr>
        <w:t>Lack of implementation of certain obligations under EU document security legislat</w:t>
      </w:r>
      <w:r>
        <w:rPr>
          <w:rFonts w:ascii="Arial" w:hAnsi="Arial" w:cs="Arial"/>
          <w:noProof/>
          <w:kern w:val="20"/>
          <w:sz w:val="20"/>
          <w:lang w:eastAsia="en-GB"/>
        </w:rPr>
        <w:t>ion</w:t>
      </w:r>
      <w:r>
        <w:rPr>
          <w:rStyle w:val="FootnoteReference"/>
          <w:rFonts w:ascii="Arial" w:hAnsi="Arial" w:cs="Arial"/>
          <w:noProof/>
          <w:sz w:val="20"/>
        </w:rPr>
        <w:footnoteReference w:id="416"/>
      </w:r>
      <w:r>
        <w:rPr>
          <w:rFonts w:ascii="Arial" w:hAnsi="Arial" w:cs="Arial"/>
          <w:noProof/>
          <w:kern w:val="20"/>
          <w:sz w:val="20"/>
          <w:lang w:eastAsia="en-GB"/>
        </w:rPr>
        <w:t>.</w:t>
      </w:r>
    </w:p>
    <w:p w:rsidR="001557B7" w:rsidRDefault="00AD3265">
      <w:pPr>
        <w:numPr>
          <w:ilvl w:val="0"/>
          <w:numId w:val="35"/>
        </w:numPr>
        <w:spacing w:after="0"/>
        <w:ind w:left="1276" w:hanging="425"/>
        <w:contextualSpacing/>
        <w:rPr>
          <w:rFonts w:ascii="Arial" w:hAnsi="Arial" w:cs="Arial"/>
          <w:noProof/>
          <w:kern w:val="20"/>
          <w:sz w:val="20"/>
          <w:lang w:eastAsia="en-GB"/>
        </w:rPr>
      </w:pPr>
      <w:r>
        <w:rPr>
          <w:rFonts w:ascii="Arial" w:hAnsi="Arial" w:cs="Arial"/>
          <w:noProof/>
          <w:kern w:val="20"/>
          <w:sz w:val="20"/>
          <w:lang w:eastAsia="en-GB"/>
        </w:rPr>
        <w:t>Failure to implement completely the Regulation on explosives precursors, which restricts and controls access to several dangerous chemicals that could be used by terrorists to manufacture homemade explosives.</w:t>
      </w:r>
    </w:p>
    <w:p w:rsidR="001557B7" w:rsidRDefault="00AD3265">
      <w:pPr>
        <w:numPr>
          <w:ilvl w:val="0"/>
          <w:numId w:val="35"/>
        </w:numPr>
        <w:spacing w:after="0"/>
        <w:ind w:left="1276" w:hanging="425"/>
        <w:contextualSpacing/>
        <w:rPr>
          <w:rFonts w:ascii="Arial" w:hAnsi="Arial" w:cs="Arial"/>
          <w:noProof/>
          <w:kern w:val="20"/>
          <w:sz w:val="20"/>
          <w:lang w:eastAsia="en-GB"/>
        </w:rPr>
      </w:pPr>
      <w:r>
        <w:rPr>
          <w:rFonts w:ascii="Arial" w:hAnsi="Arial" w:cs="Arial"/>
          <w:noProof/>
          <w:kern w:val="20"/>
          <w:sz w:val="20"/>
          <w:lang w:eastAsia="en-GB"/>
        </w:rPr>
        <w:t>Non-communication of national measures tr</w:t>
      </w:r>
      <w:r>
        <w:rPr>
          <w:rFonts w:ascii="Arial" w:hAnsi="Arial" w:cs="Arial"/>
          <w:noProof/>
          <w:kern w:val="20"/>
          <w:sz w:val="20"/>
          <w:lang w:eastAsia="en-GB"/>
        </w:rPr>
        <w:t>ansposing the:</w:t>
      </w:r>
    </w:p>
    <w:p w:rsidR="001557B7" w:rsidRDefault="00AD3265">
      <w:pPr>
        <w:numPr>
          <w:ilvl w:val="1"/>
          <w:numId w:val="35"/>
        </w:numPr>
        <w:spacing w:after="0"/>
        <w:ind w:left="1843" w:hanging="425"/>
        <w:rPr>
          <w:rFonts w:ascii="Arial" w:hAnsi="Arial" w:cs="Arial"/>
          <w:noProof/>
          <w:sz w:val="20"/>
        </w:rPr>
      </w:pPr>
      <w:r>
        <w:rPr>
          <w:rFonts w:ascii="Arial" w:hAnsi="Arial" w:cs="Arial"/>
          <w:bCs/>
          <w:noProof/>
          <w:sz w:val="20"/>
        </w:rPr>
        <w:t>Intra-Corporate Transfer Directive</w:t>
      </w:r>
      <w:r>
        <w:rPr>
          <w:rStyle w:val="FootnoteReference"/>
          <w:rFonts w:ascii="Arial" w:hAnsi="Arial" w:cs="Arial"/>
          <w:bCs/>
          <w:noProof/>
          <w:sz w:val="20"/>
        </w:rPr>
        <w:footnoteReference w:id="417"/>
      </w:r>
      <w:r>
        <w:rPr>
          <w:rFonts w:ascii="Arial" w:hAnsi="Arial" w:cs="Arial"/>
          <w:bCs/>
          <w:noProof/>
          <w:sz w:val="20"/>
        </w:rPr>
        <w:t>;</w:t>
      </w:r>
    </w:p>
    <w:p w:rsidR="001557B7" w:rsidRDefault="00AD3265">
      <w:pPr>
        <w:numPr>
          <w:ilvl w:val="1"/>
          <w:numId w:val="35"/>
        </w:numPr>
        <w:spacing w:after="0"/>
        <w:ind w:left="1843" w:hanging="425"/>
        <w:rPr>
          <w:rFonts w:ascii="Arial" w:hAnsi="Arial" w:cs="Arial"/>
          <w:noProof/>
          <w:sz w:val="20"/>
          <w:lang w:eastAsia="en-GB"/>
        </w:rPr>
      </w:pPr>
      <w:r>
        <w:rPr>
          <w:rFonts w:ascii="Arial" w:hAnsi="Arial" w:cs="Arial"/>
          <w:bCs/>
          <w:noProof/>
          <w:sz w:val="20"/>
        </w:rPr>
        <w:t>Directive on seasonal workers</w:t>
      </w:r>
      <w:r>
        <w:rPr>
          <w:rStyle w:val="FootnoteReference"/>
          <w:rFonts w:ascii="Arial" w:hAnsi="Arial" w:cs="Arial"/>
          <w:bCs/>
          <w:noProof/>
          <w:sz w:val="20"/>
        </w:rPr>
        <w:footnoteReference w:id="418"/>
      </w:r>
      <w:r>
        <w:rPr>
          <w:rFonts w:ascii="Arial" w:hAnsi="Arial" w:cs="Arial"/>
          <w:bCs/>
          <w:noProof/>
          <w:sz w:val="20"/>
        </w:rPr>
        <w:t>;</w:t>
      </w:r>
    </w:p>
    <w:p w:rsidR="001557B7" w:rsidRDefault="00AD3265">
      <w:pPr>
        <w:numPr>
          <w:ilvl w:val="1"/>
          <w:numId w:val="35"/>
        </w:numPr>
        <w:spacing w:after="0"/>
        <w:ind w:left="1843" w:hanging="425"/>
        <w:rPr>
          <w:rFonts w:ascii="Arial" w:hAnsi="Arial" w:cs="Arial"/>
          <w:noProof/>
          <w:sz w:val="20"/>
          <w:lang w:eastAsia="en-GB"/>
        </w:rPr>
      </w:pPr>
      <w:r>
        <w:rPr>
          <w:rFonts w:ascii="Arial" w:hAnsi="Arial" w:cs="Arial"/>
          <w:noProof/>
          <w:sz w:val="20"/>
        </w:rPr>
        <w:t xml:space="preserve">Maritime </w:t>
      </w:r>
      <w:r>
        <w:rPr>
          <w:rFonts w:ascii="Arial" w:hAnsi="Arial" w:cs="Arial"/>
          <w:bCs/>
          <w:noProof/>
          <w:sz w:val="20"/>
        </w:rPr>
        <w:t>Spatial</w:t>
      </w:r>
      <w:r>
        <w:rPr>
          <w:rFonts w:ascii="Arial" w:hAnsi="Arial" w:cs="Arial"/>
          <w:noProof/>
          <w:sz w:val="20"/>
        </w:rPr>
        <w:t xml:space="preserve"> Planning Directive</w:t>
      </w:r>
      <w:r>
        <w:rPr>
          <w:rStyle w:val="FootnoteReference"/>
          <w:rFonts w:ascii="Arial" w:hAnsi="Arial" w:cs="Arial"/>
          <w:noProof/>
          <w:sz w:val="20"/>
        </w:rPr>
        <w:footnoteReference w:id="419"/>
      </w:r>
      <w:r>
        <w:rPr>
          <w:rFonts w:ascii="Arial" w:hAnsi="Arial" w:cs="Arial"/>
          <w:noProof/>
          <w:sz w:val="20"/>
        </w:rPr>
        <w:t>;</w:t>
      </w:r>
    </w:p>
    <w:p w:rsidR="001557B7" w:rsidRDefault="00AD3265">
      <w:pPr>
        <w:numPr>
          <w:ilvl w:val="1"/>
          <w:numId w:val="35"/>
        </w:numPr>
        <w:spacing w:after="0"/>
        <w:ind w:left="1843" w:hanging="414"/>
        <w:rPr>
          <w:rFonts w:ascii="Arial" w:hAnsi="Arial" w:cs="Arial"/>
          <w:noProof/>
          <w:sz w:val="20"/>
          <w:lang w:eastAsia="en-GB"/>
        </w:rPr>
      </w:pPr>
      <w:r>
        <w:rPr>
          <w:rFonts w:ascii="Arial" w:hAnsi="Arial" w:cs="Arial"/>
          <w:noProof/>
          <w:sz w:val="20"/>
          <w:lang w:eastAsia="en-GB"/>
        </w:rPr>
        <w:t>Transparency Directive, Deposit Guarantee Schemes Directive and Directive on undertakings for collective investment in transferable se</w:t>
      </w:r>
      <w:r>
        <w:rPr>
          <w:rFonts w:ascii="Arial" w:hAnsi="Arial" w:cs="Arial"/>
          <w:noProof/>
          <w:sz w:val="20"/>
          <w:lang w:eastAsia="en-GB"/>
        </w:rPr>
        <w:t>curities</w:t>
      </w:r>
      <w:r>
        <w:rPr>
          <w:rStyle w:val="FootnoteReference"/>
          <w:rFonts w:ascii="Arial" w:hAnsi="Arial" w:cs="Arial"/>
          <w:noProof/>
          <w:sz w:val="20"/>
        </w:rPr>
        <w:footnoteReference w:id="420"/>
      </w:r>
      <w:r>
        <w:rPr>
          <w:rFonts w:ascii="Arial" w:hAnsi="Arial" w:cs="Arial"/>
          <w:noProof/>
          <w:sz w:val="20"/>
          <w:lang w:eastAsia="en-GB"/>
        </w:rPr>
        <w:t>;</w:t>
      </w:r>
    </w:p>
    <w:p w:rsidR="001557B7" w:rsidRDefault="00AD3265">
      <w:pPr>
        <w:numPr>
          <w:ilvl w:val="1"/>
          <w:numId w:val="35"/>
        </w:numPr>
        <w:spacing w:after="0"/>
        <w:ind w:left="1843" w:hanging="414"/>
        <w:rPr>
          <w:rFonts w:ascii="Arial" w:hAnsi="Arial" w:cs="Arial"/>
          <w:noProof/>
          <w:sz w:val="20"/>
          <w:lang w:eastAsia="en-GB"/>
        </w:rPr>
      </w:pPr>
      <w:r>
        <w:rPr>
          <w:rFonts w:ascii="Arial" w:hAnsi="Arial" w:cs="Arial"/>
          <w:noProof/>
          <w:sz w:val="20"/>
        </w:rPr>
        <w:t>Directive establishing a single European railway area</w:t>
      </w:r>
      <w:r>
        <w:rPr>
          <w:rStyle w:val="FootnoteReference"/>
          <w:rFonts w:ascii="Arial" w:hAnsi="Arial" w:cs="Arial"/>
          <w:noProof/>
          <w:sz w:val="20"/>
        </w:rPr>
        <w:footnoteReference w:id="421"/>
      </w:r>
      <w:r>
        <w:rPr>
          <w:rFonts w:ascii="Arial" w:hAnsi="Arial" w:cs="Arial"/>
          <w:noProof/>
          <w:sz w:val="20"/>
        </w:rPr>
        <w:t>;</w:t>
      </w:r>
    </w:p>
    <w:p w:rsidR="001557B7" w:rsidRDefault="00AD3265">
      <w:pPr>
        <w:numPr>
          <w:ilvl w:val="1"/>
          <w:numId w:val="35"/>
        </w:numPr>
        <w:spacing w:after="0"/>
        <w:ind w:left="1843" w:hanging="414"/>
        <w:rPr>
          <w:rFonts w:ascii="Arial" w:hAnsi="Arial" w:cs="Arial"/>
          <w:noProof/>
          <w:sz w:val="20"/>
          <w:lang w:eastAsia="en-GB"/>
        </w:rPr>
      </w:pPr>
      <w:r>
        <w:rPr>
          <w:rFonts w:ascii="Arial" w:hAnsi="Arial" w:cs="Arial"/>
          <w:noProof/>
          <w:sz w:val="20"/>
        </w:rPr>
        <w:t>D</w:t>
      </w:r>
      <w:r>
        <w:rPr>
          <w:rStyle w:val="Strong"/>
          <w:rFonts w:ascii="Arial" w:hAnsi="Arial" w:cs="Arial"/>
          <w:b w:val="0"/>
          <w:noProof/>
          <w:sz w:val="20"/>
        </w:rPr>
        <w:t>irective on placing on the market of explosives for civil uses</w:t>
      </w:r>
      <w:r>
        <w:rPr>
          <w:rStyle w:val="FootnoteReference"/>
          <w:rFonts w:ascii="Arial" w:hAnsi="Arial" w:cs="Arial"/>
          <w:bCs/>
          <w:noProof/>
          <w:sz w:val="20"/>
        </w:rPr>
        <w:footnoteReference w:id="422"/>
      </w:r>
      <w:r>
        <w:rPr>
          <w:rStyle w:val="Strong"/>
          <w:rFonts w:ascii="Arial" w:hAnsi="Arial" w:cs="Arial"/>
          <w:b w:val="0"/>
          <w:noProof/>
          <w:sz w:val="20"/>
        </w:rPr>
        <w:t>.</w:t>
      </w:r>
    </w:p>
    <w:p w:rsidR="001557B7" w:rsidRDefault="00AD3265">
      <w:pPr>
        <w:pStyle w:val="Lijstje2"/>
        <w:numPr>
          <w:ilvl w:val="0"/>
          <w:numId w:val="35"/>
        </w:numPr>
        <w:spacing w:after="0"/>
        <w:ind w:left="1276" w:hanging="425"/>
        <w:rPr>
          <w:rFonts w:ascii="Arial" w:hAnsi="Arial" w:cs="Arial"/>
          <w:noProof/>
          <w:lang w:val="en-GB" w:eastAsia="en-GB"/>
        </w:rPr>
      </w:pPr>
      <w:r>
        <w:rPr>
          <w:rFonts w:ascii="Arial" w:hAnsi="Arial" w:cs="Arial"/>
          <w:noProof/>
          <w:lang w:val="en-GB"/>
        </w:rPr>
        <w:t>Failure to develop and report on the programmes of measures required by the Marine Strategy Framework Directive.</w:t>
      </w:r>
    </w:p>
    <w:p w:rsidR="001557B7" w:rsidRDefault="00AD3265">
      <w:pPr>
        <w:numPr>
          <w:ilvl w:val="0"/>
          <w:numId w:val="35"/>
        </w:numPr>
        <w:spacing w:after="200"/>
        <w:ind w:left="1276" w:hanging="425"/>
        <w:contextualSpacing/>
        <w:rPr>
          <w:rFonts w:ascii="Arial" w:hAnsi="Arial" w:cs="Arial"/>
          <w:noProof/>
          <w:sz w:val="20"/>
        </w:rPr>
      </w:pPr>
      <w:r>
        <w:rPr>
          <w:rFonts w:ascii="Arial" w:hAnsi="Arial" w:cs="Arial"/>
          <w:noProof/>
          <w:sz w:val="20"/>
        </w:rPr>
        <w:t>Failure to</w:t>
      </w:r>
      <w:r>
        <w:rPr>
          <w:rFonts w:ascii="Arial" w:hAnsi="Arial" w:cs="Arial"/>
          <w:noProof/>
          <w:sz w:val="20"/>
        </w:rPr>
        <w:t xml:space="preserve"> adopt a national policy framework for the development and deployment of alternative fuels infrastructure</w:t>
      </w:r>
      <w:r>
        <w:rPr>
          <w:rStyle w:val="FootnoteReference"/>
          <w:rFonts w:ascii="Arial" w:hAnsi="Arial" w:cs="Arial"/>
          <w:noProof/>
          <w:sz w:val="20"/>
        </w:rPr>
        <w:footnoteReference w:id="423"/>
      </w:r>
      <w:r>
        <w:rPr>
          <w:rFonts w:ascii="Arial" w:hAnsi="Arial" w:cs="Arial"/>
          <w:noProof/>
          <w:sz w:val="20"/>
        </w:rPr>
        <w:t>.</w:t>
      </w:r>
    </w:p>
    <w:p w:rsidR="001557B7" w:rsidRDefault="00AD3265">
      <w:pPr>
        <w:numPr>
          <w:ilvl w:val="0"/>
          <w:numId w:val="35"/>
        </w:numPr>
        <w:spacing w:after="200"/>
        <w:ind w:left="1276" w:hanging="425"/>
        <w:contextualSpacing/>
        <w:rPr>
          <w:rFonts w:ascii="Arial" w:hAnsi="Arial" w:cs="Arial"/>
          <w:noProof/>
          <w:sz w:val="20"/>
        </w:rPr>
      </w:pPr>
      <w:r>
        <w:rPr>
          <w:rFonts w:ascii="Arial" w:hAnsi="Arial" w:cs="Arial"/>
          <w:noProof/>
          <w:sz w:val="20"/>
        </w:rPr>
        <w:t>Non-compliant transposition of Directive establishing an Infrastructure for Spatial Information in the European Community (INSPIRE)</w:t>
      </w:r>
      <w:r>
        <w:rPr>
          <w:rStyle w:val="FootnoteReference"/>
          <w:rFonts w:ascii="Arial" w:hAnsi="Arial" w:cs="Arial"/>
          <w:noProof/>
          <w:sz w:val="20"/>
        </w:rPr>
        <w:footnoteReference w:id="424"/>
      </w:r>
      <w:r>
        <w:rPr>
          <w:rFonts w:ascii="Arial" w:hAnsi="Arial" w:cs="Arial"/>
          <w:noProof/>
          <w:sz w:val="20"/>
        </w:rPr>
        <w:t>.</w:t>
      </w:r>
    </w:p>
    <w:p w:rsidR="001557B7" w:rsidRDefault="00AD3265">
      <w:pPr>
        <w:numPr>
          <w:ilvl w:val="0"/>
          <w:numId w:val="35"/>
        </w:numPr>
        <w:spacing w:after="200"/>
        <w:ind w:left="1276" w:hanging="425"/>
        <w:rPr>
          <w:rStyle w:val="Strong"/>
          <w:rFonts w:ascii="Arial" w:hAnsi="Arial" w:cs="Arial"/>
          <w:b w:val="0"/>
          <w:bCs w:val="0"/>
          <w:noProof/>
          <w:sz w:val="20"/>
        </w:rPr>
      </w:pPr>
      <w:r>
        <w:rPr>
          <w:rStyle w:val="Strong"/>
          <w:rFonts w:ascii="Arial" w:hAnsi="Arial" w:cs="Arial"/>
          <w:b w:val="0"/>
          <w:bCs w:val="0"/>
          <w:noProof/>
          <w:sz w:val="20"/>
        </w:rPr>
        <w:t>Non-compliance</w:t>
      </w:r>
      <w:r>
        <w:rPr>
          <w:rStyle w:val="Strong"/>
          <w:rFonts w:ascii="Arial" w:hAnsi="Arial" w:cs="Arial"/>
          <w:b w:val="0"/>
          <w:bCs w:val="0"/>
          <w:noProof/>
          <w:sz w:val="20"/>
        </w:rPr>
        <w:t xml:space="preserve"> of national legislation on gambling with EU rules</w:t>
      </w:r>
      <w:r>
        <w:rPr>
          <w:rStyle w:val="FootnoteReference"/>
          <w:rFonts w:ascii="Arial" w:hAnsi="Arial" w:cs="Arial"/>
          <w:noProof/>
          <w:sz w:val="20"/>
        </w:rPr>
        <w:footnoteReference w:id="425"/>
      </w:r>
      <w:r>
        <w:rPr>
          <w:rStyle w:val="Strong"/>
          <w:rFonts w:ascii="Arial" w:hAnsi="Arial" w:cs="Arial"/>
          <w:b w:val="0"/>
          <w:bCs w:val="0"/>
          <w:noProof/>
          <w:sz w:val="20"/>
        </w:rPr>
        <w:t>.</w:t>
      </w:r>
    </w:p>
    <w:p w:rsidR="001557B7" w:rsidRDefault="00AD3265">
      <w:pPr>
        <w:spacing w:after="0"/>
        <w:jc w:val="left"/>
        <w:rPr>
          <w:rStyle w:val="Strong"/>
          <w:rFonts w:ascii="Arial" w:hAnsi="Arial" w:cs="Arial"/>
          <w:b w:val="0"/>
          <w:bCs w:val="0"/>
          <w:noProof/>
          <w:sz w:val="20"/>
        </w:rPr>
      </w:pPr>
      <w:r>
        <w:rPr>
          <w:rStyle w:val="Strong"/>
          <w:rFonts w:ascii="Arial" w:hAnsi="Arial" w:cs="Arial"/>
          <w:b w:val="0"/>
          <w:bCs w:val="0"/>
          <w:noProof/>
          <w:sz w:val="20"/>
        </w:rPr>
        <w:br w:type="page"/>
      </w:r>
    </w:p>
    <w:p w:rsidR="001557B7" w:rsidRDefault="00AD3265">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rsidR="001557B7" w:rsidRDefault="00AD3265">
      <w:pPr>
        <w:pStyle w:val="AnnualReport2"/>
        <w:numPr>
          <w:ilvl w:val="0"/>
          <w:numId w:val="177"/>
        </w:numPr>
        <w:ind w:left="709" w:hanging="425"/>
        <w:rPr>
          <w:noProof/>
        </w:rPr>
      </w:pPr>
      <w:r>
        <w:rPr>
          <w:noProof/>
        </w:rPr>
        <w:t>Court rulings</w:t>
      </w:r>
    </w:p>
    <w:p w:rsidR="001557B7" w:rsidRDefault="00AD3265">
      <w:pPr>
        <w:pStyle w:val="Body"/>
        <w:rPr>
          <w:noProof/>
          <w:lang w:val="en-GB"/>
        </w:rPr>
      </w:pPr>
      <w:r>
        <w:rPr>
          <w:noProof/>
          <w:lang w:val="en-GB"/>
        </w:rPr>
        <w:t>There were no major Court rulings in 2017.</w:t>
      </w:r>
    </w:p>
    <w:p w:rsidR="001557B7" w:rsidRDefault="00AD3265">
      <w:pPr>
        <w:pStyle w:val="AnnualReport2"/>
        <w:numPr>
          <w:ilvl w:val="0"/>
          <w:numId w:val="177"/>
        </w:numPr>
        <w:ind w:left="709" w:hanging="425"/>
        <w:rPr>
          <w:noProof/>
        </w:rPr>
      </w:pPr>
      <w:r>
        <w:rPr>
          <w:noProof/>
        </w:rPr>
        <w:t>Preliminary rulings</w:t>
      </w:r>
    </w:p>
    <w:p w:rsidR="001557B7" w:rsidRDefault="00AD3265">
      <w:pPr>
        <w:pStyle w:val="Body"/>
        <w:ind w:left="426" w:firstLine="294"/>
        <w:rPr>
          <w:noProof/>
          <w:lang w:val="en-GB"/>
        </w:rPr>
      </w:pPr>
      <w:r>
        <w:rPr>
          <w:noProof/>
          <w:lang w:val="en-GB"/>
        </w:rPr>
        <w:t xml:space="preserve">The Court addressed the following preliminary rulings to the Lithuanian judiciary. </w:t>
      </w:r>
    </w:p>
    <w:p w:rsidR="001557B7" w:rsidRDefault="00AD3265">
      <w:pPr>
        <w:pStyle w:val="Lijstje2"/>
        <w:numPr>
          <w:ilvl w:val="0"/>
          <w:numId w:val="32"/>
        </w:numPr>
        <w:ind w:left="1276" w:hanging="425"/>
        <w:rPr>
          <w:rFonts w:ascii="Arial" w:hAnsi="Arial" w:cs="Arial"/>
          <w:noProof/>
          <w:lang w:val="en-GB"/>
        </w:rPr>
      </w:pPr>
      <w:r>
        <w:rPr>
          <w:rFonts w:ascii="Arial" w:hAnsi="Arial" w:cs="Arial"/>
          <w:noProof/>
          <w:lang w:val="en-GB"/>
        </w:rPr>
        <w:t xml:space="preserve">The practices of a debt collection agency </w:t>
      </w:r>
      <w:r>
        <w:rPr>
          <w:rFonts w:ascii="Arial" w:hAnsi="Arial" w:cs="Arial"/>
          <w:bCs/>
          <w:noProof/>
          <w:lang w:val="en-GB"/>
        </w:rPr>
        <w:t>are subject to the Unfair Commercial Practices Directive. This includes the situation where the debt of a consumer, who has defaulted under a consumer credit agreement, has been assigned to a debt collection agency</w:t>
      </w:r>
      <w:r>
        <w:rPr>
          <w:rFonts w:ascii="Arial" w:hAnsi="Arial" w:cs="Arial"/>
          <w:bCs/>
          <w:noProof/>
          <w:lang w:val="en-GB"/>
        </w:rPr>
        <w:t xml:space="preserve"> regardless of whether the existence of the debt was confirmed by a court decision</w:t>
      </w:r>
      <w:r>
        <w:rPr>
          <w:rStyle w:val="FootnoteReference"/>
          <w:rFonts w:ascii="Arial" w:hAnsi="Arial" w:cs="Arial"/>
          <w:bCs/>
          <w:noProof/>
          <w:lang w:val="en-GB"/>
        </w:rPr>
        <w:footnoteReference w:id="426"/>
      </w:r>
      <w:r>
        <w:rPr>
          <w:rFonts w:ascii="Arial" w:hAnsi="Arial" w:cs="Arial"/>
          <w:bCs/>
          <w:noProof/>
          <w:lang w:val="en-GB"/>
        </w:rPr>
        <w:t>.</w:t>
      </w:r>
    </w:p>
    <w:p w:rsidR="001557B7" w:rsidRDefault="00AD3265">
      <w:pPr>
        <w:pStyle w:val="Lijstje2"/>
        <w:numPr>
          <w:ilvl w:val="0"/>
          <w:numId w:val="32"/>
        </w:numPr>
        <w:ind w:left="1276" w:hanging="425"/>
        <w:rPr>
          <w:rFonts w:ascii="Arial" w:hAnsi="Arial" w:cs="Arial"/>
          <w:noProof/>
          <w:lang w:val="en-GB"/>
        </w:rPr>
      </w:pPr>
      <w:r>
        <w:rPr>
          <w:rFonts w:ascii="Arial" w:hAnsi="Arial" w:cs="Arial"/>
          <w:noProof/>
          <w:lang w:val="en-GB"/>
        </w:rPr>
        <w:t xml:space="preserve">The excise exemption provided by EU law is applicable to the fuel used to </w:t>
      </w:r>
      <w:r>
        <w:rPr>
          <w:rFonts w:ascii="Arial" w:hAnsi="Arial" w:cs="Arial"/>
          <w:bCs/>
          <w:noProof/>
          <w:lang w:val="en-GB"/>
        </w:rPr>
        <w:t>sail a ship, without cargo, from a port of a Member State, where that ship was built, to a port o</w:t>
      </w:r>
      <w:r>
        <w:rPr>
          <w:rFonts w:ascii="Arial" w:hAnsi="Arial" w:cs="Arial"/>
          <w:bCs/>
          <w:noProof/>
          <w:lang w:val="en-GB"/>
        </w:rPr>
        <w:t>f another Member State in order to take on cargo to be transported to a port of a third Member State</w:t>
      </w:r>
      <w:r>
        <w:rPr>
          <w:rStyle w:val="FootnoteReference"/>
          <w:rFonts w:ascii="Arial" w:hAnsi="Arial" w:cs="Arial"/>
          <w:bCs/>
          <w:noProof/>
          <w:lang w:val="en-GB"/>
        </w:rPr>
        <w:footnoteReference w:id="427"/>
      </w:r>
      <w:r>
        <w:rPr>
          <w:rFonts w:ascii="Arial" w:hAnsi="Arial" w:cs="Arial"/>
          <w:bCs/>
          <w:noProof/>
          <w:lang w:val="en-GB"/>
        </w:rPr>
        <w:t>.</w:t>
      </w:r>
    </w:p>
    <w:sectPr w:rsidR="001557B7">
      <w:headerReference w:type="even" r:id="rId277"/>
      <w:headerReference w:type="default" r:id="rId278"/>
      <w:footerReference w:type="even" r:id="rId279"/>
      <w:footerReference w:type="default" r:id="rId280"/>
      <w:headerReference w:type="first" r:id="rId281"/>
      <w:footerReference w:type="first" r:id="rId282"/>
      <w:footnotePr>
        <w:numRestart w:val="eachSect"/>
      </w:footnotePr>
      <w:pgSz w:w="11906" w:h="16838"/>
      <w:pgMar w:top="1843" w:right="1418" w:bottom="1134" w:left="1418" w:header="567" w:footer="3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7B7" w:rsidRDefault="00AD3265">
      <w:pPr>
        <w:spacing w:after="0"/>
      </w:pPr>
      <w:r>
        <w:separator/>
      </w:r>
    </w:p>
  </w:endnote>
  <w:endnote w:type="continuationSeparator" w:id="0">
    <w:p w:rsidR="001557B7" w:rsidRDefault="00AD3265">
      <w:pPr>
        <w:spacing w:after="0"/>
      </w:pPr>
      <w:r>
        <w:continuationSeparator/>
      </w:r>
    </w:p>
  </w:endnote>
  <w:endnote w:type="continuationNotice" w:id="1">
    <w:p w:rsidR="001557B7" w:rsidRDefault="001557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B31" w:rsidRPr="005B7B31" w:rsidRDefault="005B7B31" w:rsidP="005B7B3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15</w:t>
    </w:r>
    <w:r>
      <w:rPr>
        <w:rFonts w:ascii="Arial" w:hAnsi="Arial" w:cs="Arial"/>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9</w:t>
    </w:r>
    <w:r>
      <w:rPr>
        <w:rFonts w:ascii="Arial" w:hAnsi="Arial" w:cs="Arial"/>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22</w:t>
    </w:r>
    <w:r>
      <w:rPr>
        <w:rFonts w:ascii="Arial" w:hAnsi="Arial" w:cs="Arial"/>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16</w:t>
    </w:r>
    <w:r>
      <w:rPr>
        <w:rFonts w:ascii="Arial" w:hAnsi="Arial" w:cs="Arial"/>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28</w:t>
    </w:r>
    <w:r>
      <w:rPr>
        <w:rFonts w:ascii="Arial" w:hAnsi="Arial" w:cs="Arial"/>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23</w:t>
    </w:r>
    <w:r>
      <w:rPr>
        <w:rFonts w:ascii="Arial" w:hAnsi="Arial" w:cs="Arial"/>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B31" w:rsidRPr="005B7B31" w:rsidRDefault="005B7B31" w:rsidP="005B7B31">
    <w:pPr>
      <w:pStyle w:val="FooterCoverPage"/>
      <w:rPr>
        <w:rFonts w:ascii="Arial" w:hAnsi="Arial" w:cs="Arial"/>
        <w:b/>
        <w:sz w:val="48"/>
      </w:rPr>
    </w:pPr>
    <w:r w:rsidRPr="005B7B31">
      <w:rPr>
        <w:rFonts w:ascii="Arial" w:hAnsi="Arial" w:cs="Arial"/>
        <w:b/>
        <w:sz w:val="48"/>
      </w:rPr>
      <w:t>EN</w:t>
    </w:r>
    <w:r w:rsidRPr="005B7B31">
      <w:rPr>
        <w:rFonts w:ascii="Arial" w:hAnsi="Arial" w:cs="Arial"/>
        <w:b/>
        <w:sz w:val="48"/>
      </w:rPr>
      <w:tab/>
    </w:r>
    <w:r w:rsidRPr="005B7B31">
      <w:rPr>
        <w:rFonts w:ascii="Arial" w:hAnsi="Arial" w:cs="Arial"/>
        <w:b/>
        <w:sz w:val="48"/>
      </w:rPr>
      <w:tab/>
    </w:r>
    <w:r w:rsidRPr="005B7B31">
      <w:tab/>
    </w:r>
    <w:r w:rsidRPr="005B7B31">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37</w:t>
    </w:r>
    <w:r>
      <w:rPr>
        <w:rFonts w:ascii="Arial" w:hAnsi="Arial" w:cs="Arial"/>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29</w:t>
    </w:r>
    <w:r>
      <w:rPr>
        <w:rFonts w:ascii="Arial" w:hAnsi="Arial" w:cs="Arial"/>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43</w:t>
    </w:r>
    <w:r>
      <w:rPr>
        <w:rFonts w:ascii="Arial" w:hAnsi="Arial" w:cs="Arial"/>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38</w:t>
    </w:r>
    <w:r>
      <w:rPr>
        <w:rFonts w:ascii="Arial" w:hAnsi="Arial" w:cs="Arial"/>
        <w:sz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49</w:t>
    </w:r>
    <w:r>
      <w:rPr>
        <w:rFonts w:ascii="Arial" w:hAnsi="Arial" w:cs="Arial"/>
        <w:sz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44</w:t>
    </w:r>
    <w:r>
      <w:rPr>
        <w:rFonts w:ascii="Arial" w:hAnsi="Arial" w:cs="Arial"/>
        <w:sz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56</w:t>
    </w:r>
    <w:r>
      <w:rPr>
        <w:rFonts w:ascii="Arial" w:hAnsi="Arial" w:cs="Arial"/>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B31" w:rsidRPr="005B7B31" w:rsidRDefault="005B7B31" w:rsidP="005B7B31">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50</w:t>
    </w:r>
    <w:r>
      <w:rPr>
        <w:rFonts w:ascii="Arial" w:hAnsi="Arial" w:cs="Arial"/>
        <w:sz w:val="18"/>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64</w:t>
    </w:r>
    <w:r>
      <w:rPr>
        <w:rFonts w:ascii="Arial" w:hAnsi="Arial" w:cs="Arial"/>
        <w:sz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57</w:t>
    </w:r>
    <w:r>
      <w:rPr>
        <w:rFonts w:ascii="Arial" w:hAnsi="Arial" w:cs="Arial"/>
        <w:sz w:val="18"/>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71</w:t>
    </w:r>
    <w:r>
      <w:rPr>
        <w:rFonts w:ascii="Arial" w:hAnsi="Arial" w:cs="Arial"/>
        <w:sz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65</w:t>
    </w:r>
    <w:r>
      <w:rPr>
        <w:rFonts w:ascii="Arial" w:hAnsi="Arial" w:cs="Arial"/>
        <w:sz w:val="18"/>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78</w:t>
    </w:r>
    <w:r>
      <w:rPr>
        <w:rFonts w:ascii="Arial" w:hAnsi="Arial" w:cs="Arial"/>
        <w:sz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72</w:t>
    </w:r>
    <w:r>
      <w:rPr>
        <w:rFonts w:ascii="Arial" w:hAnsi="Arial" w:cs="Arial"/>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85</w:t>
    </w:r>
    <w:r>
      <w:rPr>
        <w:rFonts w:ascii="Arial" w:hAnsi="Arial" w:cs="Arial"/>
        <w:sz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79</w:t>
    </w:r>
    <w:r>
      <w:rPr>
        <w:rFonts w:ascii="Arial" w:hAnsi="Arial" w:cs="Arial"/>
        <w:sz w:val="18"/>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92</w:t>
    </w:r>
    <w:r>
      <w:rPr>
        <w:rFonts w:ascii="Arial" w:hAnsi="Arial" w:cs="Arial"/>
        <w:sz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86</w:t>
    </w:r>
    <w:r>
      <w:rPr>
        <w:rFonts w:ascii="Arial" w:hAnsi="Arial" w:cs="Arial"/>
        <w:sz w:val="18"/>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98</w:t>
    </w:r>
    <w:r>
      <w:rPr>
        <w:rFonts w:ascii="Arial" w:hAnsi="Arial" w:cs="Arial"/>
        <w:sz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93</w:t>
    </w:r>
    <w:r>
      <w:rPr>
        <w:rFonts w:ascii="Arial" w:hAnsi="Arial" w:cs="Arial"/>
        <w:sz w:val="18"/>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2</w:t>
    </w:r>
    <w:r>
      <w:rPr>
        <w:rFonts w:ascii="Arial" w:hAnsi="Arial" w:cs="Arial"/>
        <w:sz w:val="18"/>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105</w:t>
    </w:r>
    <w:r>
      <w:rPr>
        <w:rFonts w:ascii="Arial" w:hAnsi="Arial" w:cs="Arial"/>
        <w:sz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99</w:t>
    </w:r>
    <w:r>
      <w:rPr>
        <w:rFonts w:ascii="Arial" w:hAnsi="Arial" w:cs="Arial"/>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w:t>
    </w:r>
    <w:r>
      <w:rPr>
        <w:rFonts w:ascii="Arial" w:hAnsi="Arial" w:cs="Arial"/>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8</w:t>
    </w:r>
    <w:r>
      <w:rPr>
        <w:rFonts w:ascii="Arial" w:hAnsi="Arial" w:cs="Arial"/>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5B7B31">
      <w:rPr>
        <w:rFonts w:ascii="Arial" w:hAnsi="Arial" w:cs="Arial"/>
        <w:noProof/>
        <w:sz w:val="18"/>
      </w:rPr>
      <w:t>2</w:t>
    </w:r>
    <w:r>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7B7" w:rsidRDefault="00AD3265">
      <w:pPr>
        <w:spacing w:after="0"/>
      </w:pPr>
      <w:r>
        <w:separator/>
      </w:r>
    </w:p>
  </w:footnote>
  <w:footnote w:type="continuationSeparator" w:id="0">
    <w:p w:rsidR="001557B7" w:rsidRDefault="00AD3265">
      <w:pPr>
        <w:spacing w:after="0"/>
      </w:pPr>
      <w:r>
        <w:continuationSeparator/>
      </w:r>
    </w:p>
  </w:footnote>
  <w:footnote w:type="continuationNotice" w:id="1">
    <w:p w:rsidR="001557B7" w:rsidRDefault="001557B7">
      <w:pPr>
        <w:spacing w:after="0"/>
      </w:pPr>
    </w:p>
  </w:footnote>
  <w:footnote w:id="2">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1" w:history="1">
        <w:r>
          <w:rPr>
            <w:rStyle w:val="Hyperlink"/>
            <w:lang w:val="pt-PT"/>
          </w:rPr>
          <w:t>2008/98/EC</w:t>
        </w:r>
      </w:hyperlink>
      <w:r>
        <w:rPr>
          <w:lang w:val="pt-PT"/>
        </w:rPr>
        <w:t xml:space="preserve">, </w:t>
      </w:r>
      <w:hyperlink r:id="rId2" w:history="1">
        <w:r>
          <w:rPr>
            <w:rStyle w:val="Hyperlink"/>
            <w:lang w:val="pt-PT"/>
          </w:rPr>
          <w:t>MEMO/17/234</w:t>
        </w:r>
      </w:hyperlink>
      <w:r>
        <w:rPr>
          <w:lang w:val="pt-PT"/>
        </w:rPr>
        <w:t>.</w:t>
      </w:r>
    </w:p>
  </w:footnote>
  <w:footnote w:id="3">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 w:history="1">
        <w:r>
          <w:rPr>
            <w:rStyle w:val="Hyperlink"/>
            <w:lang w:val="pt-PT"/>
          </w:rPr>
          <w:t>2002/49/EC</w:t>
        </w:r>
      </w:hyperlink>
      <w:r>
        <w:rPr>
          <w:lang w:val="pt-PT"/>
        </w:rPr>
        <w:t>.</w:t>
      </w:r>
    </w:p>
  </w:footnote>
  <w:footnote w:id="4">
    <w:p w:rsidR="001557B7" w:rsidRDefault="00AD3265">
      <w:pPr>
        <w:pStyle w:val="FootnoteText"/>
      </w:pPr>
      <w:r>
        <w:rPr>
          <w:rStyle w:val="FootnoteReference"/>
        </w:rPr>
        <w:footnoteRef/>
      </w:r>
      <w:r>
        <w:t xml:space="preserve"> </w:t>
      </w:r>
      <w:r>
        <w:tab/>
        <w:t xml:space="preserve">Directive </w:t>
      </w:r>
      <w:hyperlink r:id="rId4" w:history="1">
        <w:r>
          <w:rPr>
            <w:rStyle w:val="Hyperlink"/>
          </w:rPr>
          <w:t>2009/18/EC</w:t>
        </w:r>
      </w:hyperlink>
      <w:r>
        <w:rPr>
          <w:bCs/>
        </w:rPr>
        <w:t xml:space="preserve"> amending Council Directive </w:t>
      </w:r>
      <w:hyperlink r:id="rId5" w:history="1">
        <w:r>
          <w:rPr>
            <w:rStyle w:val="Hyperlink"/>
            <w:bCs/>
          </w:rPr>
          <w:t>1999/35/EC</w:t>
        </w:r>
      </w:hyperlink>
      <w:r>
        <w:rPr>
          <w:bCs/>
        </w:rPr>
        <w:t xml:space="preserve"> and</w:t>
      </w:r>
      <w:r>
        <w:rPr>
          <w:bCs/>
        </w:rPr>
        <w:t xml:space="preserve"> Directive </w:t>
      </w:r>
      <w:hyperlink r:id="rId6" w:history="1">
        <w:r>
          <w:rPr>
            <w:rStyle w:val="Hyperlink"/>
            <w:bCs/>
          </w:rPr>
          <w:t>2002/59/EC</w:t>
        </w:r>
        <w:r>
          <w:rPr>
            <w:rStyle w:val="Hyperlink"/>
            <w:bCs/>
            <w:szCs w:val="18"/>
          </w:rPr>
          <w:t>,</w:t>
        </w:r>
      </w:hyperlink>
      <w:r>
        <w:rPr>
          <w:bCs/>
          <w:szCs w:val="18"/>
        </w:rPr>
        <w:t xml:space="preserve"> </w:t>
      </w:r>
      <w:hyperlink r:id="rId7" w:history="1">
        <w:r>
          <w:rPr>
            <w:rStyle w:val="Hyperlink"/>
          </w:rPr>
          <w:t>MEMO/17/1045</w:t>
        </w:r>
      </w:hyperlink>
      <w:r>
        <w:t>.</w:t>
      </w:r>
    </w:p>
  </w:footnote>
  <w:footnote w:id="5">
    <w:p w:rsidR="001557B7" w:rsidRDefault="00AD3265">
      <w:pPr>
        <w:pStyle w:val="FootnoteText"/>
      </w:pPr>
      <w:r>
        <w:rPr>
          <w:rStyle w:val="FootnoteReference"/>
        </w:rPr>
        <w:footnoteRef/>
      </w:r>
      <w:r>
        <w:t xml:space="preserve"> </w:t>
      </w:r>
      <w:r>
        <w:tab/>
        <w:t xml:space="preserve">Regulation </w:t>
      </w:r>
      <w:hyperlink r:id="rId8" w:history="1">
        <w:r>
          <w:rPr>
            <w:rStyle w:val="Hyperlink"/>
          </w:rPr>
          <w:t>551/2004</w:t>
        </w:r>
      </w:hyperlink>
      <w:r>
        <w:t xml:space="preserve"> and Regulation </w:t>
      </w:r>
      <w:hyperlink r:id="rId9" w:history="1">
        <w:r>
          <w:rPr>
            <w:rStyle w:val="Hyperlink"/>
          </w:rPr>
          <w:t>2150/2005</w:t>
        </w:r>
      </w:hyperlink>
      <w:r>
        <w:t>.</w:t>
      </w:r>
    </w:p>
  </w:footnote>
  <w:footnote w:id="6">
    <w:p w:rsidR="001557B7" w:rsidRDefault="00AD3265">
      <w:pPr>
        <w:pStyle w:val="FootnoteText"/>
      </w:pPr>
      <w:r>
        <w:rPr>
          <w:rStyle w:val="FootnoteReference"/>
        </w:rPr>
        <w:footnoteRef/>
      </w:r>
      <w:r>
        <w:t xml:space="preserve"> </w:t>
      </w:r>
      <w:r>
        <w:tab/>
        <w:t xml:space="preserve">Directive </w:t>
      </w:r>
      <w:hyperlink r:id="rId10" w:history="1">
        <w:r>
          <w:rPr>
            <w:rStyle w:val="Hyperlink"/>
          </w:rPr>
          <w:t>2014/87/Euratom</w:t>
        </w:r>
      </w:hyperlink>
      <w:r>
        <w:t>.</w:t>
      </w:r>
    </w:p>
  </w:footnote>
  <w:footnote w:id="7">
    <w:p w:rsidR="001557B7" w:rsidRDefault="00AD3265">
      <w:pPr>
        <w:pStyle w:val="FootnoteText"/>
      </w:pPr>
      <w:r>
        <w:rPr>
          <w:rStyle w:val="FootnoteReference"/>
        </w:rPr>
        <w:footnoteRef/>
      </w:r>
      <w:r>
        <w:t xml:space="preserve"> </w:t>
      </w:r>
      <w:r>
        <w:tab/>
        <w:t xml:space="preserve">Directive </w:t>
      </w:r>
      <w:hyperlink r:id="rId11" w:history="1">
        <w:r>
          <w:rPr>
            <w:rStyle w:val="Hyperlink"/>
          </w:rPr>
          <w:t>2014/65/EU</w:t>
        </w:r>
      </w:hyperlink>
      <w:r>
        <w:t>.</w:t>
      </w:r>
    </w:p>
  </w:footnote>
  <w:footnote w:id="8">
    <w:p w:rsidR="001557B7" w:rsidRDefault="00AD3265">
      <w:pPr>
        <w:pStyle w:val="FootnoteText"/>
      </w:pPr>
      <w:r>
        <w:rPr>
          <w:rStyle w:val="FootnoteReference"/>
        </w:rPr>
        <w:footnoteRef/>
      </w:r>
      <w:r>
        <w:t xml:space="preserve"> </w:t>
      </w:r>
      <w:r>
        <w:tab/>
        <w:t xml:space="preserve">Directive </w:t>
      </w:r>
      <w:hyperlink r:id="rId12" w:history="1">
        <w:r>
          <w:rPr>
            <w:rStyle w:val="Hyperlink"/>
          </w:rPr>
          <w:t>2014/66/EU</w:t>
        </w:r>
      </w:hyperlink>
      <w:r>
        <w:t xml:space="preserve">; </w:t>
      </w:r>
      <w:hyperlink r:id="rId13" w:history="1">
        <w:r>
          <w:rPr>
            <w:rStyle w:val="Hyperlink"/>
          </w:rPr>
          <w:t>MEMO/17/3494</w:t>
        </w:r>
      </w:hyperlink>
      <w:r>
        <w:t>.</w:t>
      </w:r>
    </w:p>
  </w:footnote>
  <w:footnote w:id="9">
    <w:p w:rsidR="001557B7" w:rsidRDefault="00AD3265">
      <w:pPr>
        <w:pStyle w:val="FootnoteText"/>
      </w:pPr>
      <w:r>
        <w:rPr>
          <w:rStyle w:val="FootnoteReference"/>
        </w:rPr>
        <w:footnoteRef/>
      </w:r>
      <w:r>
        <w:t xml:space="preserve"> </w:t>
      </w:r>
      <w:r>
        <w:tab/>
        <w:t xml:space="preserve">Directive </w:t>
      </w:r>
      <w:hyperlink r:id="rId14" w:history="1">
        <w:r>
          <w:rPr>
            <w:rStyle w:val="Hyperlink"/>
          </w:rPr>
          <w:t>2015/652/EU</w:t>
        </w:r>
      </w:hyperlink>
      <w:r>
        <w:t>.</w:t>
      </w:r>
    </w:p>
  </w:footnote>
  <w:footnote w:id="10">
    <w:p w:rsidR="001557B7" w:rsidRDefault="00AD3265">
      <w:pPr>
        <w:pStyle w:val="FootnoteText"/>
      </w:pPr>
      <w:r>
        <w:rPr>
          <w:rStyle w:val="FootnoteReference"/>
        </w:rPr>
        <w:footnoteRef/>
      </w:r>
      <w:r>
        <w:t xml:space="preserve"> </w:t>
      </w:r>
      <w:r>
        <w:tab/>
        <w:t xml:space="preserve">Directive </w:t>
      </w:r>
      <w:hyperlink r:id="rId15" w:history="1">
        <w:r>
          <w:rPr>
            <w:rStyle w:val="Hyperlink"/>
          </w:rPr>
          <w:t>98/70/EC</w:t>
        </w:r>
      </w:hyperlink>
      <w:r>
        <w:t>.</w:t>
      </w:r>
    </w:p>
  </w:footnote>
  <w:footnote w:id="11">
    <w:p w:rsidR="001557B7" w:rsidRDefault="00AD3265">
      <w:pPr>
        <w:pStyle w:val="FootnoteText"/>
      </w:pPr>
      <w:r>
        <w:rPr>
          <w:rStyle w:val="FootnoteReference"/>
        </w:rPr>
        <w:footnoteRef/>
      </w:r>
      <w:r>
        <w:t xml:space="preserve"> </w:t>
      </w:r>
      <w:r>
        <w:tab/>
        <w:t xml:space="preserve">Directive </w:t>
      </w:r>
      <w:hyperlink r:id="rId16" w:history="1">
        <w:r>
          <w:rPr>
            <w:rStyle w:val="Hyperlink"/>
          </w:rPr>
          <w:t>2015/849/EU</w:t>
        </w:r>
      </w:hyperlink>
      <w:r>
        <w:t xml:space="preserve">, </w:t>
      </w:r>
      <w:hyperlink r:id="rId17" w:history="1">
        <w:r>
          <w:rPr>
            <w:rStyle w:val="Hyperlink"/>
          </w:rPr>
          <w:t>MEMO/17/4767</w:t>
        </w:r>
      </w:hyperlink>
      <w:r>
        <w:t>.</w:t>
      </w:r>
    </w:p>
  </w:footnote>
  <w:footnote w:id="12">
    <w:p w:rsidR="001557B7" w:rsidRDefault="00AD3265">
      <w:pPr>
        <w:pStyle w:val="FootnoteText"/>
      </w:pPr>
      <w:r>
        <w:rPr>
          <w:rStyle w:val="FootnoteReference"/>
          <w:szCs w:val="18"/>
        </w:rPr>
        <w:footnoteRef/>
      </w:r>
      <w:r>
        <w:t xml:space="preserve"> </w:t>
      </w:r>
      <w:r>
        <w:tab/>
        <w:t xml:space="preserve">Directive </w:t>
      </w:r>
      <w:hyperlink r:id="rId18" w:history="1">
        <w:r>
          <w:rPr>
            <w:rStyle w:val="Hyperlink"/>
          </w:rPr>
          <w:t>2014/92/EU</w:t>
        </w:r>
      </w:hyperlink>
      <w:r>
        <w:t>.</w:t>
      </w:r>
    </w:p>
  </w:footnote>
  <w:footnote w:id="13">
    <w:p w:rsidR="001557B7" w:rsidRDefault="00AD3265">
      <w:pPr>
        <w:pStyle w:val="FootnoteText"/>
      </w:pPr>
      <w:r>
        <w:rPr>
          <w:rStyle w:val="FootnoteReference"/>
        </w:rPr>
        <w:footnoteRef/>
      </w:r>
      <w:r>
        <w:t xml:space="preserve"> </w:t>
      </w:r>
      <w:r>
        <w:tab/>
        <w:t xml:space="preserve">Directive </w:t>
      </w:r>
      <w:hyperlink r:id="rId19" w:history="1">
        <w:r>
          <w:rPr>
            <w:rStyle w:val="Hyperlink"/>
          </w:rPr>
          <w:t>2014/87/Euratom</w:t>
        </w:r>
      </w:hyperlink>
      <w:r>
        <w:t>.</w:t>
      </w:r>
    </w:p>
  </w:footnote>
  <w:footnote w:id="14">
    <w:p w:rsidR="001557B7" w:rsidRDefault="00AD3265">
      <w:pPr>
        <w:pStyle w:val="FootnoteText"/>
      </w:pPr>
      <w:r>
        <w:rPr>
          <w:rStyle w:val="FootnoteReference"/>
        </w:rPr>
        <w:footnoteRef/>
      </w:r>
      <w:r>
        <w:t xml:space="preserve"> </w:t>
      </w:r>
      <w:r>
        <w:tab/>
        <w:t>Directiv</w:t>
      </w:r>
      <w:r>
        <w:t xml:space="preserve">e </w:t>
      </w:r>
      <w:hyperlink r:id="rId20" w:history="1">
        <w:r>
          <w:rPr>
            <w:rStyle w:val="Hyperlink"/>
          </w:rPr>
          <w:t>2002/21/EC</w:t>
        </w:r>
      </w:hyperlink>
      <w:r>
        <w:t xml:space="preserve">, </w:t>
      </w:r>
      <w:hyperlink r:id="rId21" w:history="1">
        <w:r>
          <w:rPr>
            <w:rStyle w:val="Hyperlink"/>
          </w:rPr>
          <w:t>MEMO/17/3494</w:t>
        </w:r>
      </w:hyperlink>
      <w:r>
        <w:t>.</w:t>
      </w:r>
    </w:p>
  </w:footnote>
  <w:footnote w:id="15">
    <w:p w:rsidR="001557B7" w:rsidRDefault="00AD3265">
      <w:pPr>
        <w:pStyle w:val="FootnoteText"/>
        <w:rPr>
          <w:sz w:val="16"/>
        </w:rPr>
      </w:pPr>
      <w:r>
        <w:rPr>
          <w:rStyle w:val="FootnoteReference"/>
          <w:szCs w:val="18"/>
        </w:rPr>
        <w:footnoteRef/>
      </w:r>
      <w:r>
        <w:t xml:space="preserve"> </w:t>
      </w:r>
      <w:r>
        <w:tab/>
        <w:t xml:space="preserve">Commission v Belgium, </w:t>
      </w:r>
      <w:hyperlink r:id="rId22" w:history="1">
        <w:r>
          <w:rPr>
            <w:rStyle w:val="Hyperlink"/>
          </w:rPr>
          <w:t>C-110/17</w:t>
        </w:r>
      </w:hyperlink>
      <w:r>
        <w:t>.</w:t>
      </w:r>
    </w:p>
  </w:footnote>
  <w:footnote w:id="16">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23" w:history="1">
        <w:r>
          <w:rPr>
            <w:rStyle w:val="Hyperlink"/>
            <w:lang w:val="fr-BE"/>
          </w:rPr>
          <w:t>2011/98/EU</w:t>
        </w:r>
      </w:hyperlink>
      <w:r>
        <w:rPr>
          <w:lang w:val="fr-BE"/>
        </w:rPr>
        <w:t xml:space="preserve">, Commission v Belgium, </w:t>
      </w:r>
      <w:hyperlink r:id="rId24" w:history="1">
        <w:r>
          <w:rPr>
            <w:rStyle w:val="Hyperlink"/>
            <w:lang w:val="fr-BE"/>
          </w:rPr>
          <w:t>C-564/17</w:t>
        </w:r>
      </w:hyperlink>
      <w:r>
        <w:rPr>
          <w:lang w:val="fr-BE"/>
        </w:rPr>
        <w:t xml:space="preserve">, </w:t>
      </w:r>
      <w:hyperlink r:id="rId25" w:history="1">
        <w:r>
          <w:rPr>
            <w:rStyle w:val="Hyperlink"/>
            <w:lang w:val="fr-BE"/>
          </w:rPr>
          <w:t>IP/17/1953</w:t>
        </w:r>
      </w:hyperlink>
      <w:r>
        <w:rPr>
          <w:lang w:val="fr-BE"/>
        </w:rPr>
        <w:t>.</w:t>
      </w:r>
    </w:p>
  </w:footnote>
  <w:footnote w:id="17">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26" w:history="1">
        <w:r>
          <w:rPr>
            <w:rStyle w:val="Hyperlink"/>
            <w:lang w:val="fr-BE"/>
          </w:rPr>
          <w:t>2014/61/EU</w:t>
        </w:r>
      </w:hyperlink>
      <w:r>
        <w:rPr>
          <w:lang w:val="fr-BE"/>
        </w:rPr>
        <w:t xml:space="preserve">, Commission v Belgium, </w:t>
      </w:r>
      <w:hyperlink r:id="rId27" w:history="1">
        <w:r>
          <w:rPr>
            <w:rStyle w:val="Hyperlink"/>
            <w:lang w:val="fr-BE"/>
          </w:rPr>
          <w:t>C-543/17</w:t>
        </w:r>
      </w:hyperlink>
      <w:r>
        <w:rPr>
          <w:lang w:val="fr-BE"/>
        </w:rPr>
        <w:t xml:space="preserve">, </w:t>
      </w:r>
      <w:hyperlink r:id="rId28" w:history="1">
        <w:r>
          <w:rPr>
            <w:rStyle w:val="Hyperlink"/>
            <w:lang w:val="fr-BE"/>
          </w:rPr>
          <w:t>IP/17/1937</w:t>
        </w:r>
      </w:hyperlink>
      <w:r>
        <w:rPr>
          <w:lang w:val="fr-BE"/>
        </w:rPr>
        <w:t>.</w:t>
      </w:r>
    </w:p>
  </w:footnote>
  <w:footnote w:id="18">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29" w:history="1">
        <w:r>
          <w:rPr>
            <w:rStyle w:val="Hyperlink"/>
            <w:lang w:val="fr-BE"/>
          </w:rPr>
          <w:t>2008/120/EC</w:t>
        </w:r>
      </w:hyperlink>
      <w:r>
        <w:rPr>
          <w:lang w:val="fr-BE"/>
        </w:rPr>
        <w:t>.</w:t>
      </w:r>
    </w:p>
  </w:footnote>
  <w:footnote w:id="19">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0" w:history="1">
        <w:r>
          <w:rPr>
            <w:rStyle w:val="Hyperlink"/>
            <w:lang w:val="fr-BE"/>
          </w:rPr>
          <w:t>2003/88/EC</w:t>
        </w:r>
      </w:hyperlink>
      <w:r>
        <w:rPr>
          <w:lang w:val="fr-BE"/>
        </w:rPr>
        <w:t>.</w:t>
      </w:r>
    </w:p>
  </w:footnote>
  <w:footnote w:id="20">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1" w:history="1">
        <w:r>
          <w:rPr>
            <w:rStyle w:val="Hyperlink"/>
            <w:lang w:val="fr-BE"/>
          </w:rPr>
          <w:t>2004/35/CE</w:t>
        </w:r>
      </w:hyperlink>
      <w:r>
        <w:rPr>
          <w:lang w:val="fr-BE"/>
        </w:rPr>
        <w:t>.</w:t>
      </w:r>
    </w:p>
  </w:footnote>
  <w:footnote w:id="21">
    <w:p w:rsidR="001557B7" w:rsidRDefault="00AD3265">
      <w:pPr>
        <w:pStyle w:val="FootnoteText"/>
        <w:rPr>
          <w:rFonts w:cs="Arial"/>
          <w:lang w:val="fr-BE" w:eastAsia="en-GB"/>
        </w:rPr>
      </w:pPr>
      <w:r>
        <w:rPr>
          <w:rStyle w:val="FootnoteReference"/>
        </w:rPr>
        <w:footnoteRef/>
      </w:r>
      <w:r>
        <w:rPr>
          <w:lang w:val="fr-BE"/>
        </w:rPr>
        <w:t xml:space="preserve"> </w:t>
      </w:r>
      <w:r>
        <w:rPr>
          <w:lang w:val="fr-BE"/>
        </w:rPr>
        <w:tab/>
        <w:t xml:space="preserve">Directive </w:t>
      </w:r>
      <w:hyperlink r:id="rId32" w:history="1">
        <w:r>
          <w:rPr>
            <w:rStyle w:val="Hyperlink"/>
            <w:lang w:val="fr-BE"/>
          </w:rPr>
          <w:t>2013/50/EU</w:t>
        </w:r>
      </w:hyperlink>
      <w:r>
        <w:rPr>
          <w:lang w:val="fr-BE"/>
        </w:rPr>
        <w:t>.</w:t>
      </w:r>
    </w:p>
  </w:footnote>
  <w:footnote w:id="22">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3" w:history="1">
        <w:r>
          <w:rPr>
            <w:rStyle w:val="Hyperlink"/>
            <w:lang w:val="fr-BE"/>
          </w:rPr>
          <w:t>2009/138/EC</w:t>
        </w:r>
      </w:hyperlink>
      <w:r>
        <w:rPr>
          <w:lang w:val="fr-BE"/>
        </w:rPr>
        <w:t>.</w:t>
      </w:r>
    </w:p>
  </w:footnote>
  <w:footnote w:id="23">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4" w:history="1">
        <w:r>
          <w:rPr>
            <w:rStyle w:val="Hyperlink"/>
            <w:lang w:val="fr-BE"/>
          </w:rPr>
          <w:t>2014/51/EU</w:t>
        </w:r>
      </w:hyperlink>
      <w:r>
        <w:rPr>
          <w:lang w:val="fr-BE"/>
        </w:rPr>
        <w:t>.</w:t>
      </w:r>
    </w:p>
  </w:footnote>
  <w:footnote w:id="24">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5" w:history="1">
        <w:r>
          <w:rPr>
            <w:rStyle w:val="Hyperlink"/>
            <w:lang w:val="fr-BE"/>
          </w:rPr>
          <w:t>2013/34/EU</w:t>
        </w:r>
      </w:hyperlink>
      <w:r>
        <w:rPr>
          <w:lang w:val="fr-BE"/>
        </w:rPr>
        <w:t>.</w:t>
      </w:r>
    </w:p>
  </w:footnote>
  <w:footnote w:id="25">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6" w:history="1">
        <w:r>
          <w:rPr>
            <w:rStyle w:val="Hyperlink"/>
            <w:lang w:val="fr-BE"/>
          </w:rPr>
          <w:t>2013/50/EU</w:t>
        </w:r>
      </w:hyperlink>
      <w:r>
        <w:rPr>
          <w:lang w:val="fr-BE"/>
        </w:rPr>
        <w:t>.</w:t>
      </w:r>
    </w:p>
  </w:footnote>
  <w:footnote w:id="26">
    <w:p w:rsidR="001557B7" w:rsidRDefault="00AD3265">
      <w:pPr>
        <w:pStyle w:val="FootnoteText"/>
        <w:rPr>
          <w:lang w:val="fr-BE"/>
        </w:rPr>
      </w:pPr>
      <w:r>
        <w:rPr>
          <w:rStyle w:val="FootnoteReference"/>
        </w:rPr>
        <w:footnoteRef/>
      </w:r>
      <w:r>
        <w:rPr>
          <w:lang w:val="fr-BE"/>
        </w:rPr>
        <w:t xml:space="preserve"> </w:t>
      </w:r>
      <w:r>
        <w:rPr>
          <w:lang w:val="fr-BE"/>
        </w:rPr>
        <w:tab/>
        <w:t>Directive</w:t>
      </w:r>
      <w:r>
        <w:rPr>
          <w:rFonts w:eastAsia="Calibri"/>
          <w:kern w:val="20"/>
          <w:sz w:val="20"/>
          <w:lang w:val="fr-BE"/>
        </w:rPr>
        <w:t xml:space="preserve"> </w:t>
      </w:r>
      <w:hyperlink r:id="rId37" w:history="1">
        <w:r>
          <w:rPr>
            <w:rStyle w:val="Hyperlink"/>
            <w:lang w:val="fr-BE"/>
          </w:rPr>
          <w:t>2015/2087/EU</w:t>
        </w:r>
      </w:hyperlink>
      <w:r>
        <w:rPr>
          <w:lang w:val="fr-BE"/>
        </w:rPr>
        <w:t xml:space="preserve"> amending Directive </w:t>
      </w:r>
      <w:hyperlink r:id="rId38" w:history="1">
        <w:r>
          <w:rPr>
            <w:rStyle w:val="Hyperlink"/>
            <w:lang w:val="fr-BE"/>
          </w:rPr>
          <w:t>2000/59/EC</w:t>
        </w:r>
      </w:hyperlink>
      <w:r>
        <w:rPr>
          <w:lang w:val="fr-BE"/>
        </w:rPr>
        <w:t>.</w:t>
      </w:r>
    </w:p>
  </w:footnote>
  <w:footnote w:id="27">
    <w:p w:rsidR="001557B7" w:rsidRDefault="00AD3265">
      <w:pPr>
        <w:pStyle w:val="FootnoteText"/>
        <w:rPr>
          <w:lang w:val="fr-BE"/>
        </w:rPr>
      </w:pPr>
      <w:r>
        <w:rPr>
          <w:rStyle w:val="FootnoteReference"/>
        </w:rPr>
        <w:footnoteRef/>
      </w:r>
      <w:r>
        <w:rPr>
          <w:lang w:val="fr-BE"/>
        </w:rPr>
        <w:t xml:space="preserve"> </w:t>
      </w:r>
      <w:r>
        <w:rPr>
          <w:lang w:val="fr-BE"/>
        </w:rPr>
        <w:tab/>
        <w:t>Directive</w:t>
      </w:r>
      <w:r>
        <w:rPr>
          <w:lang w:val="fr-BE"/>
        </w:rPr>
        <w:t xml:space="preserve"> </w:t>
      </w:r>
      <w:hyperlink r:id="rId39" w:history="1">
        <w:r>
          <w:rPr>
            <w:rStyle w:val="Hyperlink"/>
            <w:lang w:val="fr-BE"/>
          </w:rPr>
          <w:t>2014/49/EC</w:t>
        </w:r>
      </w:hyperlink>
      <w:r>
        <w:rPr>
          <w:lang w:val="fr-BE"/>
        </w:rPr>
        <w:t>.</w:t>
      </w:r>
    </w:p>
  </w:footnote>
  <w:footnote w:id="28">
    <w:p w:rsidR="001557B7" w:rsidRDefault="00AD3265">
      <w:pPr>
        <w:pStyle w:val="FootnoteText"/>
        <w:rPr>
          <w:lang w:val="fr-BE"/>
        </w:rPr>
      </w:pPr>
      <w:r>
        <w:rPr>
          <w:rStyle w:val="FootnoteReference"/>
          <w:szCs w:val="18"/>
        </w:rPr>
        <w:footnoteRef/>
      </w:r>
      <w:r>
        <w:rPr>
          <w:lang w:val="fr-BE"/>
        </w:rPr>
        <w:t xml:space="preserve"> </w:t>
      </w:r>
      <w:r>
        <w:rPr>
          <w:lang w:val="fr-BE"/>
        </w:rPr>
        <w:tab/>
        <w:t xml:space="preserve">Mostafa Lounani, </w:t>
      </w:r>
      <w:hyperlink r:id="rId40" w:history="1">
        <w:r>
          <w:rPr>
            <w:rStyle w:val="Hyperlink"/>
            <w:lang w:val="fr-BE"/>
          </w:rPr>
          <w:t>C-573/14</w:t>
        </w:r>
      </w:hyperlink>
      <w:r>
        <w:rPr>
          <w:lang w:val="fr-BE"/>
        </w:rPr>
        <w:t>.</w:t>
      </w:r>
    </w:p>
  </w:footnote>
  <w:footnote w:id="29">
    <w:p w:rsidR="001557B7" w:rsidRDefault="00AD3265">
      <w:pPr>
        <w:pStyle w:val="FootnoteText"/>
      </w:pPr>
      <w:r>
        <w:rPr>
          <w:rStyle w:val="FootnoteReference"/>
          <w:szCs w:val="18"/>
        </w:rPr>
        <w:footnoteRef/>
      </w:r>
      <w:r>
        <w:t xml:space="preserve"> </w:t>
      </w:r>
      <w:r>
        <w:tab/>
      </w:r>
      <w:r>
        <w:t xml:space="preserve">Luc Vanderborght, </w:t>
      </w:r>
      <w:hyperlink r:id="rId41" w:history="1">
        <w:r>
          <w:rPr>
            <w:rStyle w:val="Hyperlink"/>
          </w:rPr>
          <w:t>C-339/15</w:t>
        </w:r>
      </w:hyperlink>
      <w:r>
        <w:t>.</w:t>
      </w:r>
    </w:p>
  </w:footnote>
  <w:footnote w:id="30">
    <w:p w:rsidR="001557B7" w:rsidRDefault="00AD3265">
      <w:pPr>
        <w:pStyle w:val="FootnoteText"/>
        <w:rPr>
          <w:szCs w:val="18"/>
        </w:rPr>
      </w:pPr>
      <w:r>
        <w:rPr>
          <w:rStyle w:val="FootnoteReference"/>
          <w:szCs w:val="18"/>
        </w:rPr>
        <w:footnoteRef/>
      </w:r>
      <w:r>
        <w:rPr>
          <w:szCs w:val="18"/>
        </w:rPr>
        <w:t xml:space="preserve"> </w:t>
      </w:r>
      <w:r>
        <w:rPr>
          <w:szCs w:val="18"/>
        </w:rPr>
        <w:tab/>
      </w:r>
      <w:r>
        <w:t xml:space="preserve">X and X, </w:t>
      </w:r>
      <w:hyperlink r:id="rId42" w:history="1">
        <w:r>
          <w:rPr>
            <w:rStyle w:val="Hyperlink"/>
          </w:rPr>
          <w:t>C-638/16</w:t>
        </w:r>
      </w:hyperlink>
      <w:r>
        <w:t xml:space="preserve"> and Court pre</w:t>
      </w:r>
      <w:r>
        <w:t xml:space="preserve">ss release </w:t>
      </w:r>
      <w:hyperlink r:id="rId43" w:history="1">
        <w:r>
          <w:rPr>
            <w:rStyle w:val="Hyperlink"/>
          </w:rPr>
          <w:t>No 24/17</w:t>
        </w:r>
      </w:hyperlink>
      <w:r>
        <w:t>.</w:t>
      </w:r>
    </w:p>
  </w:footnote>
  <w:footnote w:id="31">
    <w:p w:rsidR="001557B7" w:rsidRDefault="00AD3265">
      <w:pPr>
        <w:pStyle w:val="FootnoteText"/>
        <w:rPr>
          <w:szCs w:val="18"/>
        </w:rPr>
      </w:pPr>
      <w:r>
        <w:rPr>
          <w:rStyle w:val="FootnoteReference"/>
          <w:szCs w:val="18"/>
        </w:rPr>
        <w:footnoteRef/>
      </w:r>
      <w:r>
        <w:rPr>
          <w:szCs w:val="18"/>
        </w:rPr>
        <w:t xml:space="preserve"> </w:t>
      </w:r>
      <w:r>
        <w:rPr>
          <w:szCs w:val="18"/>
        </w:rPr>
        <w:tab/>
      </w:r>
      <w:r>
        <w:t xml:space="preserve">Criminal proceedings against Mr U, </w:t>
      </w:r>
      <w:hyperlink r:id="rId44" w:history="1">
        <w:r>
          <w:rPr>
            <w:rStyle w:val="Hyperlink"/>
          </w:rPr>
          <w:t>C-42</w:t>
        </w:r>
        <w:r>
          <w:rPr>
            <w:rStyle w:val="Hyperlink"/>
          </w:rPr>
          <w:t>0/15</w:t>
        </w:r>
      </w:hyperlink>
      <w:r>
        <w:t>.</w:t>
      </w:r>
    </w:p>
  </w:footnote>
  <w:footnote w:id="32">
    <w:p w:rsidR="001557B7" w:rsidRDefault="00AD3265">
      <w:pPr>
        <w:pStyle w:val="FootnoteText"/>
      </w:pPr>
      <w:r>
        <w:rPr>
          <w:rStyle w:val="FootnoteReference"/>
        </w:rPr>
        <w:footnoteRef/>
      </w:r>
      <w:r>
        <w:t xml:space="preserve"> </w:t>
      </w:r>
      <w:r>
        <w:tab/>
      </w:r>
      <w:r>
        <w:rPr>
          <w:rStyle w:val="affairetitle"/>
        </w:rPr>
        <w:t xml:space="preserve">Moreno Osacar </w:t>
      </w:r>
      <w:hyperlink r:id="rId45" w:history="1">
        <w:r>
          <w:rPr>
            <w:rStyle w:val="Hyperlink"/>
          </w:rPr>
          <w:t>C-169/16</w:t>
        </w:r>
      </w:hyperlink>
      <w:r>
        <w:t>,</w:t>
      </w:r>
      <w:r>
        <w:rPr>
          <w:rStyle w:val="affairetitle"/>
        </w:rPr>
        <w:t xml:space="preserve"> </w:t>
      </w:r>
      <w:r>
        <w:t xml:space="preserve">Noguiera and Others </w:t>
      </w:r>
      <w:hyperlink r:id="rId46" w:history="1">
        <w:r>
          <w:rPr>
            <w:rStyle w:val="Hyperlink"/>
          </w:rPr>
          <w:t>C-168/16</w:t>
        </w:r>
      </w:hyperlink>
      <w:r>
        <w:t>.</w:t>
      </w:r>
    </w:p>
  </w:footnote>
  <w:footnote w:id="33">
    <w:p w:rsidR="001557B7" w:rsidRDefault="00AD3265">
      <w:pPr>
        <w:pStyle w:val="FootnoteText"/>
        <w:rPr>
          <w:szCs w:val="18"/>
        </w:rPr>
      </w:pPr>
      <w:r>
        <w:rPr>
          <w:rStyle w:val="FootnoteReference"/>
          <w:szCs w:val="18"/>
        </w:rPr>
        <w:footnoteRef/>
      </w:r>
      <w:r>
        <w:rPr>
          <w:szCs w:val="18"/>
        </w:rPr>
        <w:t xml:space="preserve"> </w:t>
      </w:r>
      <w:r>
        <w:rPr>
          <w:szCs w:val="18"/>
        </w:rPr>
        <w:tab/>
      </w:r>
      <w:r>
        <w:t xml:space="preserve">Van der Weegen and Others, </w:t>
      </w:r>
      <w:hyperlink r:id="rId47" w:history="1">
        <w:r>
          <w:rPr>
            <w:rStyle w:val="Hyperlink"/>
          </w:rPr>
          <w:t>C-580/15</w:t>
        </w:r>
      </w:hyperlink>
      <w:r>
        <w:t>.</w:t>
      </w:r>
    </w:p>
  </w:footnote>
  <w:footnote w:id="34">
    <w:p w:rsidR="001557B7" w:rsidRDefault="00AD3265">
      <w:pPr>
        <w:pStyle w:val="FootnoteText"/>
      </w:pPr>
      <w:r>
        <w:rPr>
          <w:rStyle w:val="FootnoteReference"/>
        </w:rPr>
        <w:footnoteRef/>
      </w:r>
      <w:r>
        <w:t xml:space="preserve"> </w:t>
      </w:r>
      <w:r>
        <w:tab/>
        <w:t xml:space="preserve">Directive </w:t>
      </w:r>
      <w:hyperlink r:id="rId48" w:history="1">
        <w:r>
          <w:rPr>
            <w:rStyle w:val="Hyperlink"/>
          </w:rPr>
          <w:t>2011/96/EU</w:t>
        </w:r>
      </w:hyperlink>
      <w:r>
        <w:t>.</w:t>
      </w:r>
    </w:p>
  </w:footnote>
  <w:footnote w:id="35">
    <w:p w:rsidR="001557B7" w:rsidRDefault="00AD3265">
      <w:pPr>
        <w:pStyle w:val="FootnoteText"/>
      </w:pPr>
      <w:r>
        <w:rPr>
          <w:rStyle w:val="FootnoteReference"/>
          <w:szCs w:val="18"/>
        </w:rPr>
        <w:footnoteRef/>
      </w:r>
      <w:r>
        <w:rPr>
          <w:szCs w:val="18"/>
        </w:rPr>
        <w:t xml:space="preserve"> </w:t>
      </w:r>
      <w:r>
        <w:rPr>
          <w:szCs w:val="18"/>
        </w:rPr>
        <w:tab/>
      </w:r>
      <w:r>
        <w:t xml:space="preserve">X, </w:t>
      </w:r>
      <w:hyperlink r:id="rId49" w:history="1">
        <w:r>
          <w:rPr>
            <w:rStyle w:val="Hyperlink"/>
          </w:rPr>
          <w:t>C-68/15</w:t>
        </w:r>
      </w:hyperlink>
      <w:r>
        <w:t>.</w:t>
      </w:r>
    </w:p>
  </w:footnote>
  <w:footnote w:id="36">
    <w:p w:rsidR="001557B7" w:rsidRDefault="00AD3265">
      <w:pPr>
        <w:pStyle w:val="FootnoteText"/>
      </w:pPr>
      <w:r>
        <w:rPr>
          <w:rStyle w:val="FootnoteReference"/>
        </w:rPr>
        <w:footnoteRef/>
      </w:r>
      <w:r>
        <w:t xml:space="preserve"> </w:t>
      </w:r>
      <w:r>
        <w:tab/>
        <w:t xml:space="preserve">Commission Decisions </w:t>
      </w:r>
      <w:hyperlink r:id="rId50" w:history="1">
        <w:r>
          <w:rPr>
            <w:rStyle w:val="Hyperlink"/>
          </w:rPr>
          <w:t xml:space="preserve">C </w:t>
        </w:r>
        <w:r>
          <w:rPr>
            <w:rStyle w:val="Hyperlink"/>
          </w:rPr>
          <w:t>(2013) 6181</w:t>
        </w:r>
      </w:hyperlink>
      <w:r>
        <w:t xml:space="preserve"> and </w:t>
      </w:r>
      <w:hyperlink r:id="rId51" w:history="1">
        <w:r>
          <w:rPr>
            <w:rStyle w:val="Hyperlink"/>
          </w:rPr>
          <w:t>C (2013) 6178</w:t>
        </w:r>
      </w:hyperlink>
      <w:r>
        <w:t>.</w:t>
      </w:r>
    </w:p>
  </w:footnote>
  <w:footnote w:id="37">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2" w:history="1">
        <w:r>
          <w:rPr>
            <w:rStyle w:val="Hyperlink"/>
            <w:lang w:val="pt-PT"/>
          </w:rPr>
          <w:t>2004/49/EC</w:t>
        </w:r>
      </w:hyperlink>
      <w:r>
        <w:rPr>
          <w:rStyle w:val="Hyperlink"/>
          <w:lang w:val="pt-PT"/>
        </w:rPr>
        <w:t>,</w:t>
      </w:r>
      <w:r>
        <w:rPr>
          <w:lang w:val="pt-PT"/>
        </w:rPr>
        <w:t xml:space="preserve"> </w:t>
      </w:r>
      <w:hyperlink r:id="rId53" w:history="1">
        <w:r>
          <w:rPr>
            <w:rStyle w:val="Hyperlink"/>
            <w:lang w:val="pt-PT"/>
          </w:rPr>
          <w:t>MEMO/17/3494</w:t>
        </w:r>
      </w:hyperlink>
      <w:r>
        <w:rPr>
          <w:lang w:val="pt-PT"/>
        </w:rPr>
        <w:t>.</w:t>
      </w:r>
    </w:p>
  </w:footnote>
  <w:footnote w:id="38">
    <w:p w:rsidR="001557B7" w:rsidRDefault="00AD3265">
      <w:pPr>
        <w:pStyle w:val="FootnoteText"/>
        <w:rPr>
          <w:lang w:val="pt-PT"/>
        </w:rPr>
      </w:pPr>
      <w:r>
        <w:rPr>
          <w:rStyle w:val="FootnoteReference"/>
        </w:rPr>
        <w:footnoteRef/>
      </w:r>
      <w:r>
        <w:rPr>
          <w:lang w:val="pt-PT"/>
        </w:rPr>
        <w:t xml:space="preserve"> </w:t>
      </w:r>
      <w:r>
        <w:rPr>
          <w:lang w:val="pt-PT"/>
        </w:rPr>
        <w:tab/>
        <w:t xml:space="preserve">Regulation (EC) No </w:t>
      </w:r>
      <w:hyperlink r:id="rId54" w:history="1">
        <w:r>
          <w:rPr>
            <w:rStyle w:val="Hyperlink"/>
            <w:lang w:val="pt-PT"/>
          </w:rPr>
          <w:t>1889/2005</w:t>
        </w:r>
      </w:hyperlink>
      <w:r>
        <w:rPr>
          <w:lang w:val="pt-PT"/>
        </w:rPr>
        <w:t>.</w:t>
      </w:r>
    </w:p>
  </w:footnote>
  <w:footnote w:id="39">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5" w:history="1">
        <w:r>
          <w:rPr>
            <w:rStyle w:val="Hyperlink"/>
            <w:lang w:val="pt-PT"/>
          </w:rPr>
          <w:t>2006/21/EC</w:t>
        </w:r>
      </w:hyperlink>
      <w:r>
        <w:rPr>
          <w:lang w:val="pt-PT"/>
        </w:rPr>
        <w:t>.</w:t>
      </w:r>
    </w:p>
  </w:footnote>
  <w:footnote w:id="40">
    <w:p w:rsidR="001557B7" w:rsidRDefault="00AD3265">
      <w:pPr>
        <w:pStyle w:val="FootnoteText"/>
        <w:rPr>
          <w:lang w:val="pt-PT"/>
        </w:rPr>
      </w:pPr>
      <w:r>
        <w:rPr>
          <w:rStyle w:val="FootnoteReference"/>
        </w:rPr>
        <w:footnoteRef/>
      </w:r>
      <w:r>
        <w:rPr>
          <w:lang w:val="pt-PT"/>
        </w:rPr>
        <w:t xml:space="preserve"> </w:t>
      </w:r>
      <w:r>
        <w:rPr>
          <w:lang w:val="pt-PT"/>
        </w:rPr>
        <w:tab/>
      </w:r>
      <w:hyperlink r:id="rId56" w:history="1">
        <w:r>
          <w:rPr>
            <w:rStyle w:val="Hyperlink"/>
            <w:lang w:val="pt-PT"/>
          </w:rPr>
          <w:t>MEMO/17/1936</w:t>
        </w:r>
      </w:hyperlink>
      <w:r>
        <w:rPr>
          <w:lang w:val="pt-PT"/>
        </w:rPr>
        <w:t>.</w:t>
      </w:r>
    </w:p>
  </w:footnote>
  <w:footnote w:id="41">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7" w:history="1">
        <w:r>
          <w:rPr>
            <w:rStyle w:val="Hyperlink"/>
            <w:lang w:val="pt-PT"/>
          </w:rPr>
          <w:t>2015/849/EU</w:t>
        </w:r>
      </w:hyperlink>
      <w:r>
        <w:rPr>
          <w:rStyle w:val="Hyperlink"/>
          <w:lang w:val="pt-PT"/>
        </w:rPr>
        <w:t xml:space="preserve">, </w:t>
      </w:r>
      <w:hyperlink r:id="rId58" w:history="1">
        <w:r>
          <w:rPr>
            <w:rStyle w:val="Hyperlink"/>
            <w:lang w:val="pt-PT"/>
          </w:rPr>
          <w:t>MEMO/17/4767</w:t>
        </w:r>
      </w:hyperlink>
      <w:r>
        <w:rPr>
          <w:lang w:val="pt-PT"/>
        </w:rPr>
        <w:t>.</w:t>
      </w:r>
    </w:p>
  </w:footnote>
  <w:footnote w:id="42">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9" w:history="1">
        <w:r>
          <w:rPr>
            <w:rStyle w:val="Hyperlink"/>
            <w:lang w:val="pt-PT"/>
          </w:rPr>
          <w:t>2014/89/EU</w:t>
        </w:r>
      </w:hyperlink>
      <w:r>
        <w:rPr>
          <w:rStyle w:val="Hyperlink"/>
          <w:lang w:val="pt-PT"/>
        </w:rPr>
        <w:t>,</w:t>
      </w:r>
      <w:r>
        <w:rPr>
          <w:lang w:val="pt-PT"/>
        </w:rPr>
        <w:t xml:space="preserve"> </w:t>
      </w:r>
      <w:hyperlink r:id="rId60" w:history="1">
        <w:r>
          <w:rPr>
            <w:rStyle w:val="Hyperlink"/>
            <w:lang w:val="pt-PT"/>
          </w:rPr>
          <w:t>MEMO/17/1935</w:t>
        </w:r>
      </w:hyperlink>
      <w:r>
        <w:rPr>
          <w:lang w:val="pt-PT"/>
        </w:rPr>
        <w:t>.</w:t>
      </w:r>
    </w:p>
  </w:footnote>
  <w:footnote w:id="43">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61" w:history="1">
        <w:r>
          <w:rPr>
            <w:rStyle w:val="Hyperlink"/>
            <w:lang w:val="pt-PT"/>
          </w:rPr>
          <w:t>2015/2203/EU</w:t>
        </w:r>
      </w:hyperlink>
      <w:r>
        <w:rPr>
          <w:lang w:val="pt-PT"/>
        </w:rPr>
        <w:t>.</w:t>
      </w:r>
    </w:p>
  </w:footnote>
  <w:footnote w:id="44">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62" w:history="1">
        <w:r>
          <w:rPr>
            <w:rStyle w:val="Hyperlink"/>
            <w:lang w:val="pt-PT"/>
          </w:rPr>
          <w:t>2016/1034/EU</w:t>
        </w:r>
      </w:hyperlink>
    </w:p>
  </w:footnote>
  <w:footnote w:id="4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63" w:history="1">
        <w:r>
          <w:rPr>
            <w:rStyle w:val="Hyperlink"/>
            <w:lang w:val="pt-PT"/>
          </w:rPr>
          <w:t>2014/112/EU</w:t>
        </w:r>
      </w:hyperlink>
      <w:r>
        <w:rPr>
          <w:lang w:val="pt-PT"/>
        </w:rPr>
        <w:t>.</w:t>
      </w:r>
    </w:p>
  </w:footnote>
  <w:footnote w:id="4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64" w:history="1">
        <w:r>
          <w:rPr>
            <w:rStyle w:val="Hyperlink"/>
            <w:lang w:val="pt-PT"/>
          </w:rPr>
          <w:t>2015/652/EU</w:t>
        </w:r>
      </w:hyperlink>
      <w:r>
        <w:rPr>
          <w:lang w:val="pt-PT"/>
        </w:rPr>
        <w:t>.</w:t>
      </w:r>
    </w:p>
  </w:footnote>
  <w:footnote w:id="47">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65" w:history="1">
        <w:r>
          <w:rPr>
            <w:rStyle w:val="Hyperlink"/>
            <w:lang w:val="pt-PT"/>
          </w:rPr>
          <w:t>98/70/EC</w:t>
        </w:r>
      </w:hyperlink>
      <w:r>
        <w:rPr>
          <w:lang w:val="pt-PT"/>
        </w:rPr>
        <w:t>.</w:t>
      </w:r>
    </w:p>
  </w:footnote>
  <w:footnote w:id="48">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66" w:history="1">
        <w:r>
          <w:rPr>
            <w:rStyle w:val="Hyperlink"/>
            <w:lang w:val="pt-PT"/>
          </w:rPr>
          <w:t>1979/409/EEC</w:t>
        </w:r>
      </w:hyperlink>
      <w:r>
        <w:rPr>
          <w:lang w:val="pt-PT"/>
        </w:rPr>
        <w:t>, Commission v Bu</w:t>
      </w:r>
      <w:r>
        <w:rPr>
          <w:lang w:val="pt-PT"/>
        </w:rPr>
        <w:t xml:space="preserve">lgaria, </w:t>
      </w:r>
      <w:hyperlink r:id="rId67" w:history="1">
        <w:r>
          <w:rPr>
            <w:rStyle w:val="Hyperlink"/>
            <w:lang w:val="pt-PT"/>
          </w:rPr>
          <w:t>C-97/17</w:t>
        </w:r>
      </w:hyperlink>
      <w:r>
        <w:rPr>
          <w:lang w:val="pt-PT"/>
        </w:rPr>
        <w:t xml:space="preserve">; </w:t>
      </w:r>
      <w:hyperlink r:id="rId68" w:history="1">
        <w:r>
          <w:rPr>
            <w:rStyle w:val="Hyperlink"/>
            <w:lang w:val="pt-PT"/>
          </w:rPr>
          <w:t>IP/16/2491</w:t>
        </w:r>
      </w:hyperlink>
      <w:r>
        <w:rPr>
          <w:lang w:val="pt-PT"/>
        </w:rPr>
        <w:t>.</w:t>
      </w:r>
    </w:p>
  </w:footnote>
  <w:footnote w:id="49">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69" w:history="1">
        <w:r>
          <w:rPr>
            <w:rStyle w:val="Hyperlink"/>
            <w:lang w:val="pt-PT"/>
          </w:rPr>
          <w:t>2010/31/EU</w:t>
        </w:r>
      </w:hyperlink>
      <w:r>
        <w:rPr>
          <w:lang w:val="pt-PT"/>
        </w:rPr>
        <w:t>.</w:t>
      </w:r>
    </w:p>
  </w:footnote>
  <w:footnote w:id="50">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70" w:history="1">
        <w:r>
          <w:rPr>
            <w:rStyle w:val="Hyperlink"/>
            <w:lang w:val="pt-PT"/>
          </w:rPr>
          <w:t>2007/65/EC</w:t>
        </w:r>
      </w:hyperlink>
      <w:r>
        <w:rPr>
          <w:lang w:val="pt-PT"/>
        </w:rPr>
        <w:t xml:space="preserve"> amending Directive </w:t>
      </w:r>
      <w:hyperlink r:id="rId71" w:history="1">
        <w:r>
          <w:rPr>
            <w:rStyle w:val="Hyperlink"/>
            <w:lang w:val="pt-PT"/>
          </w:rPr>
          <w:t>89/552/EEC</w:t>
        </w:r>
      </w:hyperlink>
      <w:r>
        <w:rPr>
          <w:lang w:val="pt-PT"/>
        </w:rPr>
        <w:t>.</w:t>
      </w:r>
    </w:p>
  </w:footnote>
  <w:footnote w:id="51">
    <w:p w:rsidR="001557B7" w:rsidRDefault="00AD3265">
      <w:pPr>
        <w:pStyle w:val="FootnoteText"/>
        <w:rPr>
          <w:szCs w:val="18"/>
          <w:lang w:val="fr-BE"/>
        </w:rPr>
      </w:pPr>
      <w:r>
        <w:rPr>
          <w:rStyle w:val="FootnoteReference"/>
          <w:szCs w:val="18"/>
        </w:rPr>
        <w:footnoteRef/>
      </w:r>
      <w:r>
        <w:rPr>
          <w:szCs w:val="18"/>
          <w:lang w:val="fr-BE"/>
        </w:rPr>
        <w:t xml:space="preserve"> </w:t>
      </w:r>
      <w:r>
        <w:rPr>
          <w:szCs w:val="18"/>
          <w:lang w:val="fr-BE"/>
        </w:rPr>
        <w:tab/>
      </w:r>
      <w:r>
        <w:rPr>
          <w:lang w:val="fr-BE"/>
        </w:rPr>
        <w:t xml:space="preserve">Directive </w:t>
      </w:r>
      <w:hyperlink r:id="rId72" w:history="1">
        <w:r>
          <w:rPr>
            <w:rStyle w:val="Hyperlink"/>
            <w:lang w:val="fr-BE"/>
          </w:rPr>
          <w:t>2014/94/EU</w:t>
        </w:r>
      </w:hyperlink>
      <w:r>
        <w:rPr>
          <w:lang w:val="fr-BE"/>
        </w:rPr>
        <w:t>.</w:t>
      </w:r>
    </w:p>
  </w:footnote>
  <w:footnote w:id="52">
    <w:p w:rsidR="001557B7" w:rsidRDefault="00AD3265">
      <w:pPr>
        <w:pStyle w:val="FootnoteText"/>
        <w:rPr>
          <w:szCs w:val="18"/>
          <w:lang w:val="fr-BE"/>
        </w:rPr>
      </w:pPr>
      <w:r>
        <w:rPr>
          <w:rStyle w:val="FootnoteReference"/>
          <w:szCs w:val="18"/>
        </w:rPr>
        <w:footnoteRef/>
      </w:r>
      <w:r>
        <w:rPr>
          <w:szCs w:val="18"/>
          <w:lang w:val="fr-BE"/>
        </w:rPr>
        <w:t xml:space="preserve"> </w:t>
      </w:r>
      <w:r>
        <w:rPr>
          <w:szCs w:val="18"/>
          <w:lang w:val="fr-BE"/>
        </w:rPr>
        <w:tab/>
        <w:t xml:space="preserve">Directive </w:t>
      </w:r>
      <w:hyperlink r:id="rId73" w:history="1">
        <w:r>
          <w:rPr>
            <w:rStyle w:val="Hyperlink"/>
            <w:szCs w:val="18"/>
            <w:lang w:val="fr-BE"/>
          </w:rPr>
          <w:t>96/67/EC</w:t>
        </w:r>
      </w:hyperlink>
      <w:r>
        <w:rPr>
          <w:szCs w:val="18"/>
          <w:lang w:val="fr-BE"/>
        </w:rPr>
        <w:t>.</w:t>
      </w:r>
    </w:p>
  </w:footnote>
  <w:footnote w:id="53">
    <w:p w:rsidR="001557B7" w:rsidRDefault="00AD3265">
      <w:pPr>
        <w:pStyle w:val="FootnoteText"/>
        <w:rPr>
          <w:szCs w:val="18"/>
          <w:lang w:val="fr-BE"/>
        </w:rPr>
      </w:pPr>
      <w:r>
        <w:rPr>
          <w:rStyle w:val="FootnoteReference"/>
          <w:szCs w:val="18"/>
        </w:rPr>
        <w:footnoteRef/>
      </w:r>
      <w:r>
        <w:rPr>
          <w:szCs w:val="18"/>
          <w:lang w:val="fr-BE"/>
        </w:rPr>
        <w:t xml:space="preserve"> </w:t>
      </w:r>
      <w:r>
        <w:rPr>
          <w:szCs w:val="18"/>
          <w:lang w:val="fr-BE"/>
        </w:rPr>
        <w:tab/>
        <w:t xml:space="preserve">Commission Decision </w:t>
      </w:r>
      <w:hyperlink r:id="rId74" w:history="1">
        <w:r>
          <w:rPr>
            <w:rStyle w:val="Hyperlink"/>
            <w:szCs w:val="18"/>
            <w:lang w:val="fr-BE"/>
          </w:rPr>
          <w:t>2009/750/EC</w:t>
        </w:r>
      </w:hyperlink>
      <w:r>
        <w:rPr>
          <w:szCs w:val="18"/>
          <w:lang w:val="fr-BE"/>
        </w:rPr>
        <w:t>.</w:t>
      </w:r>
    </w:p>
  </w:footnote>
  <w:footnote w:id="54">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75" w:history="1">
        <w:r>
          <w:rPr>
            <w:rStyle w:val="Hyperlink"/>
            <w:lang w:val="fr-BE"/>
          </w:rPr>
          <w:t>2005/36/EC</w:t>
        </w:r>
      </w:hyperlink>
      <w:r>
        <w:rPr>
          <w:lang w:val="fr-BE"/>
        </w:rPr>
        <w:t>.</w:t>
      </w:r>
    </w:p>
  </w:footnote>
  <w:footnote w:id="55">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76" w:history="1">
        <w:r>
          <w:rPr>
            <w:rStyle w:val="Hyperlink"/>
            <w:lang w:val="fr-BE"/>
          </w:rPr>
          <w:t>2015/2203/EU</w:t>
        </w:r>
      </w:hyperlink>
      <w:r>
        <w:rPr>
          <w:lang w:val="fr-BE"/>
        </w:rPr>
        <w:t>.</w:t>
      </w:r>
    </w:p>
  </w:footnote>
  <w:footnote w:id="56">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77" w:history="1">
        <w:r>
          <w:rPr>
            <w:rStyle w:val="Hyperlink"/>
            <w:lang w:val="fr-BE"/>
          </w:rPr>
          <w:t>2014/80/EU</w:t>
        </w:r>
      </w:hyperlink>
      <w:r>
        <w:rPr>
          <w:lang w:val="fr-BE"/>
        </w:rPr>
        <w:t>.</w:t>
      </w:r>
    </w:p>
  </w:footnote>
  <w:footnote w:id="57">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78" w:history="1">
        <w:r>
          <w:rPr>
            <w:rStyle w:val="Hyperlink"/>
            <w:lang w:val="fr-BE"/>
          </w:rPr>
          <w:t>2006/118/EC</w:t>
        </w:r>
      </w:hyperlink>
      <w:r>
        <w:rPr>
          <w:lang w:val="fr-BE"/>
        </w:rPr>
        <w:t>.</w:t>
      </w:r>
    </w:p>
  </w:footnote>
  <w:footnote w:id="58">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79" w:history="1">
        <w:r>
          <w:rPr>
            <w:rStyle w:val="Hyperlink"/>
            <w:lang w:val="fr-BE"/>
          </w:rPr>
          <w:t>2009/138/EC</w:t>
        </w:r>
      </w:hyperlink>
      <w:r>
        <w:rPr>
          <w:lang w:val="fr-BE"/>
        </w:rPr>
        <w:t>.</w:t>
      </w:r>
    </w:p>
  </w:footnote>
  <w:footnote w:id="59">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80" w:history="1">
        <w:r>
          <w:rPr>
            <w:rStyle w:val="Hyperlink"/>
            <w:lang w:val="fr-BE"/>
          </w:rPr>
          <w:t>2014/51/EU</w:t>
        </w:r>
      </w:hyperlink>
      <w:r>
        <w:rPr>
          <w:lang w:val="fr-BE"/>
        </w:rPr>
        <w:t>.</w:t>
      </w:r>
    </w:p>
  </w:footnote>
  <w:footnote w:id="60">
    <w:p w:rsidR="001557B7" w:rsidRDefault="00AD3265">
      <w:pPr>
        <w:pStyle w:val="FootnoteText"/>
        <w:rPr>
          <w:lang w:val="fr-BE"/>
        </w:rPr>
      </w:pPr>
      <w:r>
        <w:rPr>
          <w:rStyle w:val="FootnoteReference"/>
        </w:rPr>
        <w:footnoteRef/>
      </w:r>
      <w:r>
        <w:rPr>
          <w:lang w:val="fr-BE"/>
        </w:rPr>
        <w:t xml:space="preserve"> </w:t>
      </w:r>
      <w:r>
        <w:rPr>
          <w:lang w:val="fr-BE"/>
        </w:rPr>
        <w:tab/>
        <w:t>Directive</w:t>
      </w:r>
      <w:r>
        <w:rPr>
          <w:rFonts w:eastAsia="Calibri"/>
          <w:kern w:val="20"/>
          <w:sz w:val="20"/>
          <w:lang w:val="fr-BE"/>
        </w:rPr>
        <w:t xml:space="preserve"> </w:t>
      </w:r>
      <w:hyperlink r:id="rId81" w:history="1">
        <w:r>
          <w:rPr>
            <w:rStyle w:val="Hyperlink"/>
            <w:lang w:val="fr-BE"/>
          </w:rPr>
          <w:t>2015/2087/EU</w:t>
        </w:r>
      </w:hyperlink>
      <w:r>
        <w:rPr>
          <w:lang w:val="fr-BE"/>
        </w:rPr>
        <w:t xml:space="preserve"> amending Directive </w:t>
      </w:r>
      <w:hyperlink r:id="rId82" w:history="1">
        <w:r>
          <w:rPr>
            <w:rStyle w:val="Hyperlink"/>
            <w:lang w:val="fr-BE"/>
          </w:rPr>
          <w:t>2000/59/EC</w:t>
        </w:r>
      </w:hyperlink>
      <w:r>
        <w:rPr>
          <w:lang w:val="fr-BE"/>
        </w:rPr>
        <w:t>.</w:t>
      </w:r>
    </w:p>
  </w:footnote>
  <w:footnote w:id="61">
    <w:p w:rsidR="001557B7" w:rsidRDefault="00AD3265">
      <w:pPr>
        <w:pStyle w:val="FootnoteText"/>
        <w:rPr>
          <w:lang w:val="fr-BE"/>
        </w:rPr>
      </w:pPr>
      <w:r>
        <w:rPr>
          <w:rStyle w:val="FootnoteReference"/>
        </w:rPr>
        <w:footnoteRef/>
      </w:r>
      <w:r>
        <w:rPr>
          <w:lang w:val="fr-BE"/>
        </w:rPr>
        <w:t xml:space="preserve"> </w:t>
      </w:r>
      <w:r>
        <w:rPr>
          <w:lang w:val="fr-BE"/>
        </w:rPr>
        <w:tab/>
        <w:t>Direc</w:t>
      </w:r>
      <w:r>
        <w:rPr>
          <w:lang w:val="fr-BE"/>
        </w:rPr>
        <w:t xml:space="preserve">tive </w:t>
      </w:r>
      <w:hyperlink r:id="rId83" w:history="1">
        <w:r>
          <w:rPr>
            <w:rStyle w:val="Hyperlink"/>
            <w:lang w:val="fr-BE"/>
          </w:rPr>
          <w:t>2013/50/EU</w:t>
        </w:r>
      </w:hyperlink>
      <w:r>
        <w:rPr>
          <w:rStyle w:val="Hyperlink"/>
          <w:lang w:val="fr-BE"/>
        </w:rPr>
        <w:t>.</w:t>
      </w:r>
    </w:p>
  </w:footnote>
  <w:footnote w:id="62">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84" w:history="1">
        <w:r>
          <w:rPr>
            <w:rStyle w:val="Hyperlink"/>
            <w:lang w:val="fr-BE"/>
          </w:rPr>
          <w:t>2013/34/EU</w:t>
        </w:r>
      </w:hyperlink>
      <w:r>
        <w:rPr>
          <w:lang w:val="fr-BE"/>
        </w:rPr>
        <w:t>.</w:t>
      </w:r>
    </w:p>
  </w:footnote>
  <w:footnote w:id="63">
    <w:p w:rsidR="001557B7" w:rsidRDefault="00AD3265">
      <w:pPr>
        <w:pStyle w:val="FootnoteText"/>
      </w:pPr>
      <w:r>
        <w:rPr>
          <w:rStyle w:val="FootnoteReference"/>
        </w:rPr>
        <w:footnoteRef/>
      </w:r>
      <w:r>
        <w:t xml:space="preserve"> </w:t>
      </w:r>
      <w:r>
        <w:tab/>
      </w:r>
      <w:r>
        <w:t xml:space="preserve">Directive </w:t>
      </w:r>
      <w:hyperlink r:id="rId85" w:history="1">
        <w:r>
          <w:rPr>
            <w:rStyle w:val="Hyperlink"/>
          </w:rPr>
          <w:t>2006/126/EC</w:t>
        </w:r>
      </w:hyperlink>
      <w:r>
        <w:t>.</w:t>
      </w:r>
    </w:p>
  </w:footnote>
  <w:footnote w:id="64">
    <w:p w:rsidR="001557B7" w:rsidRDefault="00AD3265">
      <w:pPr>
        <w:pStyle w:val="FootnoteText"/>
      </w:pPr>
      <w:r>
        <w:rPr>
          <w:rStyle w:val="FootnoteReference"/>
          <w:szCs w:val="18"/>
        </w:rPr>
        <w:footnoteRef/>
      </w:r>
      <w:r>
        <w:t xml:space="preserve"> </w:t>
      </w:r>
      <w:r>
        <w:tab/>
        <w:t>These rulings are almost exclusively handed down in infringement procedures.</w:t>
      </w:r>
    </w:p>
  </w:footnote>
  <w:footnote w:id="65">
    <w:p w:rsidR="001557B7" w:rsidRDefault="00AD3265">
      <w:pPr>
        <w:pStyle w:val="FootnoteText"/>
        <w:rPr>
          <w:szCs w:val="18"/>
        </w:rPr>
      </w:pPr>
      <w:r>
        <w:rPr>
          <w:rStyle w:val="FootnoteReference"/>
          <w:szCs w:val="18"/>
        </w:rPr>
        <w:footnoteRef/>
      </w:r>
      <w:r>
        <w:rPr>
          <w:szCs w:val="18"/>
        </w:rPr>
        <w:t xml:space="preserve"> </w:t>
      </w:r>
      <w:r>
        <w:rPr>
          <w:szCs w:val="18"/>
        </w:rPr>
        <w:tab/>
        <w:t>PM</w:t>
      </w:r>
      <w:r>
        <w:rPr>
          <w:szCs w:val="18"/>
          <w:vertAlign w:val="subscript"/>
        </w:rPr>
        <w:t>10</w:t>
      </w:r>
      <w:r>
        <w:rPr>
          <w:szCs w:val="18"/>
        </w:rPr>
        <w:t xml:space="preserve"> is an air pollutant consisting of small pa</w:t>
      </w:r>
      <w:r>
        <w:rPr>
          <w:szCs w:val="18"/>
        </w:rPr>
        <w:t xml:space="preserve">rticles with an aerodynamic diameter less than or equal to a nominal 10 micrometres. The particles’ small size allows them to penetrate deep into the lungs where they may be deposited and cause adverse health effects. (Source: </w:t>
      </w:r>
      <w:r>
        <w:t>European Environment Agency</w:t>
      </w:r>
      <w:r>
        <w:rPr>
          <w:szCs w:val="18"/>
        </w:rPr>
        <w:t>).</w:t>
      </w:r>
    </w:p>
  </w:footnote>
  <w:footnote w:id="66">
    <w:p w:rsidR="001557B7" w:rsidRDefault="00AD3265">
      <w:pPr>
        <w:pStyle w:val="FootnoteText"/>
      </w:pPr>
      <w:r>
        <w:rPr>
          <w:rStyle w:val="FootnoteReference"/>
          <w:szCs w:val="18"/>
        </w:rPr>
        <w:footnoteRef/>
      </w:r>
      <w:r>
        <w:t xml:space="preserve"> </w:t>
      </w:r>
      <w:r>
        <w:tab/>
        <w:t xml:space="preserve">Directive </w:t>
      </w:r>
      <w:hyperlink r:id="rId86" w:history="1">
        <w:r>
          <w:rPr>
            <w:rStyle w:val="Hyperlink"/>
          </w:rPr>
          <w:t>2008/50/EC</w:t>
        </w:r>
      </w:hyperlink>
      <w:r>
        <w:t>, Commission v Bulgaria,</w:t>
      </w:r>
      <w:hyperlink r:id="rId87" w:history="1">
        <w:r>
          <w:rPr>
            <w:rStyle w:val="Hyperlink"/>
          </w:rPr>
          <w:t>C-488/15</w:t>
        </w:r>
      </w:hyperlink>
      <w:r>
        <w:t>.</w:t>
      </w:r>
    </w:p>
  </w:footnote>
  <w:footnote w:id="67">
    <w:p w:rsidR="001557B7" w:rsidRDefault="00AD3265">
      <w:pPr>
        <w:pStyle w:val="FootnoteText"/>
      </w:pPr>
      <w:r>
        <w:rPr>
          <w:rStyle w:val="FootnoteReference"/>
          <w:szCs w:val="18"/>
        </w:rPr>
        <w:footnoteRef/>
      </w:r>
      <w:r>
        <w:t xml:space="preserve"> </w:t>
      </w:r>
      <w:r>
        <w:tab/>
        <w:t xml:space="preserve">Balgarska energiyna borsa AD (BEB), </w:t>
      </w:r>
      <w:hyperlink r:id="rId88" w:history="1">
        <w:r>
          <w:rPr>
            <w:rStyle w:val="Hyperlink"/>
          </w:rPr>
          <w:t>C-347/16</w:t>
        </w:r>
      </w:hyperlink>
      <w:r>
        <w:t>.</w:t>
      </w:r>
    </w:p>
  </w:footnote>
  <w:footnote w:id="68">
    <w:p w:rsidR="001557B7" w:rsidRDefault="00AD3265">
      <w:pPr>
        <w:pStyle w:val="FootnoteText"/>
      </w:pPr>
      <w:r>
        <w:rPr>
          <w:rStyle w:val="FootnoteReference"/>
        </w:rPr>
        <w:footnoteRef/>
      </w:r>
      <w:r>
        <w:t xml:space="preserve"> </w:t>
      </w:r>
      <w:r>
        <w:tab/>
        <w:t xml:space="preserve">Council Decisions </w:t>
      </w:r>
      <w:hyperlink r:id="rId89" w:history="1">
        <w:r>
          <w:rPr>
            <w:rStyle w:val="Hyperlink"/>
          </w:rPr>
          <w:t>(EU) 2015/1523</w:t>
        </w:r>
      </w:hyperlink>
      <w:r>
        <w:t xml:space="preserve"> and </w:t>
      </w:r>
      <w:hyperlink r:id="rId90" w:history="1">
        <w:r>
          <w:rPr>
            <w:rStyle w:val="Hyperlink"/>
          </w:rPr>
          <w:t>2015/1601</w:t>
        </w:r>
      </w:hyperlink>
      <w:r>
        <w:t xml:space="preserve">; </w:t>
      </w:r>
      <w:hyperlink r:id="rId91" w:history="1">
        <w:r>
          <w:rPr>
            <w:rStyle w:val="Hyperlink"/>
          </w:rPr>
          <w:t>IP/17/5002</w:t>
        </w:r>
      </w:hyperlink>
      <w:r>
        <w:t>.</w:t>
      </w:r>
    </w:p>
  </w:footnote>
  <w:footnote w:id="69">
    <w:p w:rsidR="001557B7" w:rsidRDefault="00AD3265">
      <w:pPr>
        <w:pStyle w:val="FootnoteText"/>
      </w:pPr>
      <w:r>
        <w:rPr>
          <w:rStyle w:val="FootnoteReference"/>
        </w:rPr>
        <w:footnoteRef/>
      </w:r>
      <w:r>
        <w:t xml:space="preserve"> </w:t>
      </w:r>
      <w:r>
        <w:tab/>
        <w:t xml:space="preserve">Directive </w:t>
      </w:r>
      <w:hyperlink r:id="rId92" w:history="1">
        <w:r>
          <w:rPr>
            <w:rStyle w:val="Hyperlink"/>
          </w:rPr>
          <w:t>2010/31/EU</w:t>
        </w:r>
      </w:hyperlink>
      <w:r>
        <w:t>.</w:t>
      </w:r>
    </w:p>
  </w:footnote>
  <w:footnote w:id="70">
    <w:p w:rsidR="001557B7" w:rsidRDefault="00AD3265">
      <w:pPr>
        <w:pStyle w:val="FootnoteText"/>
      </w:pPr>
      <w:r>
        <w:rPr>
          <w:rStyle w:val="FootnoteReference"/>
        </w:rPr>
        <w:footnoteRef/>
      </w:r>
      <w:r>
        <w:t xml:space="preserve"> </w:t>
      </w:r>
      <w:r>
        <w:tab/>
        <w:t xml:space="preserve">Directive </w:t>
      </w:r>
      <w:hyperlink r:id="rId93" w:history="1">
        <w:r>
          <w:rPr>
            <w:rStyle w:val="Hyperlink"/>
          </w:rPr>
          <w:t>2009/72/EC</w:t>
        </w:r>
      </w:hyperlink>
      <w:r>
        <w:t xml:space="preserve"> and Directive </w:t>
      </w:r>
      <w:hyperlink r:id="rId94" w:history="1">
        <w:r>
          <w:rPr>
            <w:rStyle w:val="Hyperlink"/>
          </w:rPr>
          <w:t>2009/73/EC</w:t>
        </w:r>
      </w:hyperlink>
      <w:r>
        <w:t xml:space="preserve">, </w:t>
      </w:r>
      <w:hyperlink r:id="rId95" w:history="1">
        <w:r>
          <w:rPr>
            <w:rStyle w:val="Hyperlink"/>
          </w:rPr>
          <w:t>MEMO/17/4767</w:t>
        </w:r>
      </w:hyperlink>
      <w:r>
        <w:t>.</w:t>
      </w:r>
    </w:p>
  </w:footnote>
  <w:footnote w:id="71">
    <w:p w:rsidR="001557B7" w:rsidRDefault="00AD3265">
      <w:pPr>
        <w:pStyle w:val="FootnoteText"/>
      </w:pPr>
      <w:r>
        <w:rPr>
          <w:rStyle w:val="FootnoteReference"/>
        </w:rPr>
        <w:footnoteRef/>
      </w:r>
      <w:r>
        <w:t xml:space="preserve"> </w:t>
      </w:r>
      <w:r>
        <w:tab/>
        <w:t xml:space="preserve">Directive </w:t>
      </w:r>
      <w:hyperlink r:id="rId96" w:history="1">
        <w:r>
          <w:rPr>
            <w:rStyle w:val="Hyperlink"/>
          </w:rPr>
          <w:t>2008/57/EC</w:t>
        </w:r>
      </w:hyperlink>
      <w:r>
        <w:t>.</w:t>
      </w:r>
    </w:p>
  </w:footnote>
  <w:footnote w:id="72">
    <w:p w:rsidR="001557B7" w:rsidRDefault="00AD3265">
      <w:pPr>
        <w:pStyle w:val="FootnoteText"/>
      </w:pPr>
      <w:r>
        <w:rPr>
          <w:rStyle w:val="FootnoteReference"/>
        </w:rPr>
        <w:footnoteRef/>
      </w:r>
      <w:r>
        <w:t xml:space="preserve"> </w:t>
      </w:r>
      <w:r>
        <w:tab/>
        <w:t xml:space="preserve">Directives </w:t>
      </w:r>
      <w:hyperlink r:id="rId97" w:history="1">
        <w:r>
          <w:rPr>
            <w:rStyle w:val="Hyperlink"/>
          </w:rPr>
          <w:t>2014/96/EU</w:t>
        </w:r>
      </w:hyperlink>
      <w:r>
        <w:t xml:space="preserve">, </w:t>
      </w:r>
      <w:hyperlink r:id="rId98" w:history="1">
        <w:r>
          <w:rPr>
            <w:rStyle w:val="Hyperlink"/>
          </w:rPr>
          <w:t>2014/97/EU</w:t>
        </w:r>
      </w:hyperlink>
      <w:r>
        <w:t xml:space="preserve"> and Directive </w:t>
      </w:r>
      <w:hyperlink r:id="rId99" w:history="1">
        <w:r>
          <w:rPr>
            <w:rStyle w:val="Hyperlink"/>
          </w:rPr>
          <w:t>2014/98/EU</w:t>
        </w:r>
      </w:hyperlink>
      <w:r>
        <w:t>.</w:t>
      </w:r>
    </w:p>
  </w:footnote>
  <w:footnote w:id="73">
    <w:p w:rsidR="001557B7" w:rsidRDefault="00AD3265">
      <w:pPr>
        <w:pStyle w:val="FootnoteText"/>
      </w:pPr>
      <w:r>
        <w:rPr>
          <w:rStyle w:val="FootnoteReference"/>
        </w:rPr>
        <w:footnoteRef/>
      </w:r>
      <w:r>
        <w:t xml:space="preserve"> </w:t>
      </w:r>
      <w:r>
        <w:tab/>
        <w:t xml:space="preserve">Directive </w:t>
      </w:r>
      <w:hyperlink r:id="rId100" w:history="1">
        <w:r>
          <w:rPr>
            <w:rStyle w:val="Hyperlink"/>
          </w:rPr>
          <w:t>2015/652/EU</w:t>
        </w:r>
      </w:hyperlink>
      <w:r>
        <w:t>.</w:t>
      </w:r>
    </w:p>
  </w:footnote>
  <w:footnote w:id="74">
    <w:p w:rsidR="001557B7" w:rsidRDefault="00AD3265">
      <w:pPr>
        <w:pStyle w:val="FootnoteText"/>
      </w:pPr>
      <w:r>
        <w:rPr>
          <w:rStyle w:val="FootnoteReference"/>
        </w:rPr>
        <w:footnoteRef/>
      </w:r>
      <w:r>
        <w:t xml:space="preserve"> </w:t>
      </w:r>
      <w:r>
        <w:tab/>
        <w:t xml:space="preserve">Directive </w:t>
      </w:r>
      <w:hyperlink r:id="rId101" w:history="1">
        <w:r>
          <w:rPr>
            <w:rStyle w:val="Hyperlink"/>
          </w:rPr>
          <w:t>98/70/EC</w:t>
        </w:r>
      </w:hyperlink>
      <w:r>
        <w:t>.</w:t>
      </w:r>
    </w:p>
  </w:footnote>
  <w:footnote w:id="7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102" w:history="1">
        <w:r>
          <w:rPr>
            <w:rStyle w:val="Hyperlink"/>
            <w:lang w:val="pt-PT"/>
          </w:rPr>
          <w:t>2014/112/EU</w:t>
        </w:r>
      </w:hyperlink>
      <w:r>
        <w:rPr>
          <w:lang w:val="pt-PT"/>
        </w:rPr>
        <w:t>.</w:t>
      </w:r>
    </w:p>
  </w:footnote>
  <w:footnote w:id="7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103" w:history="1">
        <w:r>
          <w:rPr>
            <w:rStyle w:val="Hyperlink"/>
            <w:lang w:val="pt-PT"/>
          </w:rPr>
          <w:t>2011/70/Euratom</w:t>
        </w:r>
      </w:hyperlink>
      <w:r>
        <w:rPr>
          <w:lang w:val="pt-PT"/>
        </w:rPr>
        <w:t xml:space="preserve">, </w:t>
      </w:r>
      <w:hyperlink r:id="rId104" w:history="1">
        <w:r>
          <w:rPr>
            <w:rStyle w:val="Hyperlink"/>
            <w:lang w:val="pt-PT"/>
          </w:rPr>
          <w:t>MEMO/17/1935</w:t>
        </w:r>
      </w:hyperlink>
      <w:r>
        <w:rPr>
          <w:lang w:val="pt-PT"/>
        </w:rPr>
        <w:t>.</w:t>
      </w:r>
    </w:p>
  </w:footnote>
  <w:footnote w:id="77">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105" w:history="1">
        <w:r>
          <w:rPr>
            <w:rStyle w:val="Hyperlink"/>
            <w:lang w:val="pt-PT"/>
          </w:rPr>
          <w:t>2002/49/EC</w:t>
        </w:r>
      </w:hyperlink>
      <w:r>
        <w:rPr>
          <w:lang w:val="pt-PT"/>
        </w:rPr>
        <w:t xml:space="preserve">; </w:t>
      </w:r>
      <w:hyperlink r:id="rId106" w:history="1">
        <w:r>
          <w:rPr>
            <w:rStyle w:val="Hyperlink"/>
            <w:lang w:val="pt-PT"/>
          </w:rPr>
          <w:t>MEMO/17/1577</w:t>
        </w:r>
      </w:hyperlink>
      <w:r>
        <w:rPr>
          <w:lang w:val="pt-PT"/>
        </w:rPr>
        <w:t>.</w:t>
      </w:r>
    </w:p>
  </w:footnote>
  <w:footnote w:id="78">
    <w:p w:rsidR="001557B7" w:rsidRDefault="00AD3265">
      <w:pPr>
        <w:pStyle w:val="FootnoteText"/>
      </w:pPr>
      <w:r>
        <w:rPr>
          <w:rStyle w:val="FootnoteReference"/>
        </w:rPr>
        <w:footnoteRef/>
      </w:r>
      <w:r>
        <w:t xml:space="preserve"> </w:t>
      </w:r>
      <w:r>
        <w:tab/>
        <w:t xml:space="preserve">Council Decisions </w:t>
      </w:r>
      <w:hyperlink r:id="rId107" w:history="1">
        <w:r>
          <w:rPr>
            <w:rStyle w:val="Hyperlink"/>
          </w:rPr>
          <w:t>(EU) 2015/1523</w:t>
        </w:r>
      </w:hyperlink>
      <w:r>
        <w:t xml:space="preserve"> and </w:t>
      </w:r>
      <w:hyperlink r:id="rId108" w:history="1">
        <w:r>
          <w:rPr>
            <w:rStyle w:val="Hyperlink"/>
          </w:rPr>
          <w:t>2015/1601</w:t>
        </w:r>
      </w:hyperlink>
      <w:r>
        <w:t xml:space="preserve">, Commission v. Czech Republic, </w:t>
      </w:r>
      <w:hyperlink r:id="rId109" w:history="1">
        <w:r>
          <w:rPr>
            <w:rStyle w:val="Hyperlink"/>
          </w:rPr>
          <w:t>C-719/17</w:t>
        </w:r>
      </w:hyperlink>
      <w:r>
        <w:t xml:space="preserve">, </w:t>
      </w:r>
      <w:hyperlink r:id="rId110" w:history="1">
        <w:r>
          <w:rPr>
            <w:rStyle w:val="Hyperlink"/>
          </w:rPr>
          <w:t>IP/17/5002</w:t>
        </w:r>
      </w:hyperlink>
      <w:r>
        <w:t>.</w:t>
      </w:r>
    </w:p>
  </w:footnote>
  <w:footnote w:id="79">
    <w:p w:rsidR="001557B7" w:rsidRDefault="00AD3265">
      <w:pPr>
        <w:pStyle w:val="FootnoteText"/>
      </w:pPr>
      <w:r>
        <w:rPr>
          <w:rStyle w:val="FootnoteReference"/>
        </w:rPr>
        <w:footnoteRef/>
      </w:r>
      <w:r>
        <w:t xml:space="preserve"> </w:t>
      </w:r>
      <w:r>
        <w:tab/>
        <w:t xml:space="preserve">Regulation </w:t>
      </w:r>
      <w:hyperlink r:id="rId111" w:history="1">
        <w:r>
          <w:rPr>
            <w:rStyle w:val="Hyperlink"/>
          </w:rPr>
          <w:t>(EC) No 1013/2006</w:t>
        </w:r>
      </w:hyperlink>
      <w:r>
        <w:t xml:space="preserve">, Commission v Czech Republic, </w:t>
      </w:r>
      <w:hyperlink r:id="rId112" w:history="1">
        <w:r>
          <w:rPr>
            <w:rStyle w:val="Hyperlink"/>
          </w:rPr>
          <w:t>C-399/17</w:t>
        </w:r>
      </w:hyperlink>
      <w:r>
        <w:t xml:space="preserve">; </w:t>
      </w:r>
      <w:hyperlink r:id="rId113" w:history="1">
        <w:r>
          <w:rPr>
            <w:rStyle w:val="Hyperlink"/>
          </w:rPr>
          <w:t>IP/16/2492</w:t>
        </w:r>
      </w:hyperlink>
      <w:r>
        <w:t>.</w:t>
      </w:r>
    </w:p>
  </w:footnote>
  <w:footnote w:id="80">
    <w:p w:rsidR="001557B7" w:rsidRDefault="00AD3265">
      <w:pPr>
        <w:pStyle w:val="FootnoteText"/>
      </w:pPr>
      <w:r>
        <w:rPr>
          <w:rStyle w:val="FootnoteReference"/>
        </w:rPr>
        <w:footnoteRef/>
      </w:r>
      <w:r>
        <w:t xml:space="preserve"> </w:t>
      </w:r>
      <w:r>
        <w:tab/>
        <w:t xml:space="preserve">Regulation </w:t>
      </w:r>
      <w:hyperlink r:id="rId114" w:history="1">
        <w:r>
          <w:rPr>
            <w:rStyle w:val="Hyperlink"/>
          </w:rPr>
          <w:t>(EC) No 1107/2009</w:t>
        </w:r>
      </w:hyperlink>
      <w:r>
        <w:t>.</w:t>
      </w:r>
    </w:p>
  </w:footnote>
  <w:footnote w:id="81">
    <w:p w:rsidR="001557B7" w:rsidRDefault="00AD3265">
      <w:pPr>
        <w:pStyle w:val="FootnoteText"/>
      </w:pPr>
      <w:r>
        <w:rPr>
          <w:rStyle w:val="FootnoteReference"/>
        </w:rPr>
        <w:footnoteRef/>
      </w:r>
      <w:r>
        <w:t xml:space="preserve"> </w:t>
      </w:r>
      <w:r>
        <w:tab/>
        <w:t xml:space="preserve">Directive </w:t>
      </w:r>
      <w:hyperlink r:id="rId115" w:history="1">
        <w:r>
          <w:rPr>
            <w:rStyle w:val="Hyperlink"/>
          </w:rPr>
          <w:t>2014/80/EU</w:t>
        </w:r>
      </w:hyperlink>
      <w:r>
        <w:t>.</w:t>
      </w:r>
    </w:p>
  </w:footnote>
  <w:footnote w:id="82">
    <w:p w:rsidR="001557B7" w:rsidRDefault="00AD3265">
      <w:pPr>
        <w:pStyle w:val="FootnoteText"/>
      </w:pPr>
      <w:r>
        <w:rPr>
          <w:rStyle w:val="FootnoteReference"/>
        </w:rPr>
        <w:footnoteRef/>
      </w:r>
      <w:r>
        <w:t xml:space="preserve"> </w:t>
      </w:r>
      <w:r>
        <w:tab/>
        <w:t xml:space="preserve">Directive </w:t>
      </w:r>
      <w:hyperlink r:id="rId116" w:history="1">
        <w:r>
          <w:rPr>
            <w:rStyle w:val="Hyperlink"/>
          </w:rPr>
          <w:t>2006/118/EC</w:t>
        </w:r>
      </w:hyperlink>
      <w:r>
        <w:t>.</w:t>
      </w:r>
    </w:p>
  </w:footnote>
  <w:footnote w:id="83">
    <w:p w:rsidR="001557B7" w:rsidRDefault="00AD3265">
      <w:pPr>
        <w:pStyle w:val="FootnoteText"/>
      </w:pPr>
      <w:r>
        <w:rPr>
          <w:rStyle w:val="FootnoteReference"/>
        </w:rPr>
        <w:footnoteRef/>
      </w:r>
      <w:r>
        <w:t xml:space="preserve"> </w:t>
      </w:r>
      <w:r>
        <w:tab/>
        <w:t xml:space="preserve">Directive </w:t>
      </w:r>
      <w:hyperlink r:id="rId117" w:history="1">
        <w:r>
          <w:rPr>
            <w:rStyle w:val="Hyperlink"/>
          </w:rPr>
          <w:t>2013/50/EU</w:t>
        </w:r>
      </w:hyperlink>
      <w:r>
        <w:t>.</w:t>
      </w:r>
    </w:p>
  </w:footnote>
  <w:footnote w:id="84">
    <w:p w:rsidR="001557B7" w:rsidRDefault="00AD3265">
      <w:pPr>
        <w:pStyle w:val="FootnoteText"/>
      </w:pPr>
      <w:r>
        <w:rPr>
          <w:rStyle w:val="FootnoteReference"/>
          <w:szCs w:val="18"/>
        </w:rPr>
        <w:footnoteRef/>
      </w:r>
      <w:r>
        <w:t xml:space="preserve"> </w:t>
      </w:r>
      <w:r>
        <w:tab/>
        <w:t xml:space="preserve">Directive </w:t>
      </w:r>
      <w:hyperlink r:id="rId118" w:history="1">
        <w:r>
          <w:rPr>
            <w:rStyle w:val="Hyperlink"/>
          </w:rPr>
          <w:t>2013/34/EU</w:t>
        </w:r>
      </w:hyperlink>
      <w:r>
        <w:t>.</w:t>
      </w:r>
    </w:p>
  </w:footnote>
  <w:footnote w:id="85">
    <w:p w:rsidR="001557B7" w:rsidRDefault="00AD3265">
      <w:pPr>
        <w:pStyle w:val="FootnoteText"/>
        <w:rPr>
          <w:szCs w:val="18"/>
        </w:rPr>
      </w:pPr>
      <w:r>
        <w:rPr>
          <w:rStyle w:val="FootnoteReference"/>
          <w:szCs w:val="18"/>
        </w:rPr>
        <w:footnoteRef/>
      </w:r>
      <w:r>
        <w:rPr>
          <w:szCs w:val="18"/>
        </w:rPr>
        <w:t xml:space="preserve"> </w:t>
      </w:r>
      <w:r>
        <w:rPr>
          <w:szCs w:val="18"/>
        </w:rPr>
        <w:tab/>
        <w:t xml:space="preserve">Directive </w:t>
      </w:r>
      <w:hyperlink r:id="rId119" w:history="1">
        <w:r>
          <w:rPr>
            <w:rStyle w:val="Hyperlink"/>
            <w:szCs w:val="18"/>
          </w:rPr>
          <w:t>2006/126/EC</w:t>
        </w:r>
      </w:hyperlink>
      <w:r>
        <w:rPr>
          <w:szCs w:val="18"/>
        </w:rPr>
        <w:t>.</w:t>
      </w:r>
    </w:p>
  </w:footnote>
  <w:footnote w:id="86">
    <w:p w:rsidR="001557B7" w:rsidRDefault="00AD3265">
      <w:pPr>
        <w:pStyle w:val="FootnoteText"/>
      </w:pPr>
      <w:r>
        <w:rPr>
          <w:rStyle w:val="FootnoteReference"/>
        </w:rPr>
        <w:footnoteRef/>
      </w:r>
      <w:r>
        <w:t xml:space="preserve"> </w:t>
      </w:r>
      <w:r>
        <w:tab/>
        <w:t xml:space="preserve">Al Chodor and Others, </w:t>
      </w:r>
      <w:hyperlink r:id="rId120" w:history="1">
        <w:r>
          <w:rPr>
            <w:rStyle w:val="Hyperlink"/>
          </w:rPr>
          <w:t>C-528/15</w:t>
        </w:r>
      </w:hyperlink>
      <w:r>
        <w:t>.</w:t>
      </w:r>
    </w:p>
  </w:footnote>
  <w:footnote w:id="87">
    <w:p w:rsidR="001557B7" w:rsidRDefault="00AD3265">
      <w:pPr>
        <w:pStyle w:val="FootnoteText"/>
      </w:pPr>
      <w:r>
        <w:rPr>
          <w:rStyle w:val="FootnoteReference"/>
        </w:rPr>
        <w:footnoteRef/>
      </w:r>
      <w:r>
        <w:t xml:space="preserve"> </w:t>
      </w:r>
      <w:r>
        <w:tab/>
      </w:r>
      <w:r>
        <w:rPr>
          <w:rStyle w:val="affairetitle"/>
        </w:rPr>
        <w:t xml:space="preserve">Pešková and Peška, </w:t>
      </w:r>
      <w:hyperlink r:id="rId121" w:history="1">
        <w:r>
          <w:rPr>
            <w:rStyle w:val="Hyperlink"/>
          </w:rPr>
          <w:t>C-315/15</w:t>
        </w:r>
      </w:hyperlink>
      <w:r>
        <w:rPr>
          <w:rStyle w:val="affairetitle"/>
        </w:rPr>
        <w:t>.</w:t>
      </w:r>
    </w:p>
  </w:footnote>
  <w:footnote w:id="88">
    <w:p w:rsidR="001557B7" w:rsidRDefault="00AD3265">
      <w:pPr>
        <w:pStyle w:val="FootnoteText"/>
        <w:rPr>
          <w:lang w:val="pt-PT"/>
        </w:rPr>
      </w:pPr>
      <w:r>
        <w:rPr>
          <w:rStyle w:val="FootnoteReference"/>
        </w:rPr>
        <w:footnoteRef/>
      </w:r>
      <w:r>
        <w:rPr>
          <w:lang w:val="pt-PT"/>
        </w:rPr>
        <w:t xml:space="preserve"> </w:t>
      </w:r>
      <w:r>
        <w:rPr>
          <w:lang w:val="pt-PT"/>
        </w:rPr>
        <w:tab/>
      </w:r>
      <w:hyperlink r:id="rId122" w:history="1">
        <w:r>
          <w:rPr>
            <w:rStyle w:val="Hyperlink"/>
            <w:lang w:val="pt-PT"/>
          </w:rPr>
          <w:t>MEMO/17/1281.</w:t>
        </w:r>
      </w:hyperlink>
    </w:p>
  </w:footnote>
  <w:footnote w:id="89">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123" w:history="1">
        <w:r>
          <w:rPr>
            <w:rStyle w:val="Hyperlink"/>
            <w:lang w:val="pt-PT"/>
          </w:rPr>
          <w:t>2009/72/EC</w:t>
        </w:r>
      </w:hyperlink>
      <w:r>
        <w:rPr>
          <w:lang w:val="pt-PT"/>
        </w:rPr>
        <w:t xml:space="preserve">, </w:t>
      </w:r>
      <w:hyperlink r:id="rId124" w:history="1">
        <w:r>
          <w:rPr>
            <w:rStyle w:val="Hyperlink"/>
            <w:lang w:val="pt-PT"/>
          </w:rPr>
          <w:t>MEMO/17/4767</w:t>
        </w:r>
      </w:hyperlink>
      <w:r>
        <w:rPr>
          <w:lang w:val="pt-PT"/>
        </w:rPr>
        <w:t>.</w:t>
      </w:r>
    </w:p>
  </w:footnote>
  <w:footnote w:id="90">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125" w:history="1">
        <w:r>
          <w:rPr>
            <w:rStyle w:val="Hyperlink"/>
            <w:lang w:val="pt-PT"/>
          </w:rPr>
          <w:t>2009/73/EC</w:t>
        </w:r>
      </w:hyperlink>
      <w:r>
        <w:rPr>
          <w:lang w:val="pt-PT"/>
        </w:rPr>
        <w:t xml:space="preserve">, </w:t>
      </w:r>
      <w:hyperlink r:id="rId126" w:history="1">
        <w:r>
          <w:rPr>
            <w:rStyle w:val="Hyperlink"/>
            <w:lang w:val="pt-PT"/>
          </w:rPr>
          <w:t>MEMO/17/4767</w:t>
        </w:r>
      </w:hyperlink>
      <w:r>
        <w:rPr>
          <w:lang w:val="pt-PT"/>
        </w:rPr>
        <w:t>.</w:t>
      </w:r>
    </w:p>
  </w:footnote>
  <w:footnote w:id="91">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127" w:history="1">
        <w:r>
          <w:rPr>
            <w:rStyle w:val="Hyperlink"/>
            <w:lang w:val="fr-BE"/>
          </w:rPr>
          <w:t>2008/56/EC</w:t>
        </w:r>
      </w:hyperlink>
      <w:r>
        <w:rPr>
          <w:lang w:val="fr-BE"/>
        </w:rPr>
        <w:t>.</w:t>
      </w:r>
    </w:p>
  </w:footnote>
  <w:footnote w:id="92">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128" w:history="1">
        <w:r>
          <w:rPr>
            <w:rStyle w:val="Hyperlink"/>
            <w:lang w:val="fr-BE"/>
          </w:rPr>
          <w:t>92/106/EEC</w:t>
        </w:r>
      </w:hyperlink>
      <w:r>
        <w:rPr>
          <w:lang w:val="fr-BE"/>
        </w:rPr>
        <w:t>.</w:t>
      </w:r>
    </w:p>
  </w:footnote>
  <w:footnote w:id="93">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129" w:history="1">
        <w:r>
          <w:rPr>
            <w:rStyle w:val="Hyperlink"/>
            <w:lang w:val="fr-BE"/>
          </w:rPr>
          <w:t>2014/87/Euratom</w:t>
        </w:r>
      </w:hyperlink>
      <w:r>
        <w:rPr>
          <w:lang w:val="fr-BE"/>
        </w:rPr>
        <w:t>.</w:t>
      </w:r>
    </w:p>
  </w:footnote>
  <w:footnote w:id="94">
    <w:p w:rsidR="001557B7" w:rsidRDefault="00AD3265">
      <w:pPr>
        <w:pStyle w:val="FootnoteText"/>
        <w:rPr>
          <w:rFonts w:cs="Arial"/>
          <w:szCs w:val="18"/>
          <w:lang w:val="fr-BE"/>
        </w:rPr>
      </w:pPr>
      <w:r>
        <w:rPr>
          <w:rStyle w:val="FootnoteReference"/>
        </w:rPr>
        <w:footnoteRef/>
      </w:r>
      <w:r>
        <w:rPr>
          <w:lang w:val="fr-BE"/>
        </w:rPr>
        <w:t xml:space="preserve"> </w:t>
      </w:r>
      <w:r>
        <w:rPr>
          <w:lang w:val="fr-BE"/>
        </w:rPr>
        <w:tab/>
      </w:r>
      <w:r>
        <w:rPr>
          <w:rFonts w:cs="Arial"/>
          <w:szCs w:val="18"/>
          <w:lang w:val="fr-BE"/>
        </w:rPr>
        <w:t xml:space="preserve">Regulation </w:t>
      </w:r>
      <w:hyperlink r:id="rId130" w:history="1">
        <w:r>
          <w:rPr>
            <w:rFonts w:cs="Arial"/>
            <w:color w:val="0000FF"/>
            <w:szCs w:val="18"/>
            <w:u w:val="single"/>
            <w:lang w:val="fr-BE"/>
          </w:rPr>
          <w:t>(EC) No 2286/2003</w:t>
        </w:r>
      </w:hyperlink>
      <w:r>
        <w:rPr>
          <w:rFonts w:cs="Arial"/>
          <w:szCs w:val="18"/>
          <w:lang w:val="fr-BE"/>
        </w:rPr>
        <w:t>.</w:t>
      </w:r>
    </w:p>
  </w:footnote>
  <w:footnote w:id="95">
    <w:p w:rsidR="001557B7" w:rsidRDefault="00AD3265">
      <w:pPr>
        <w:pStyle w:val="FootnoteText"/>
        <w:rPr>
          <w:szCs w:val="18"/>
          <w:lang w:val="fr-BE"/>
        </w:rPr>
      </w:pPr>
      <w:r>
        <w:rPr>
          <w:rStyle w:val="FootnoteReference"/>
          <w:szCs w:val="18"/>
        </w:rPr>
        <w:footnoteRef/>
      </w:r>
      <w:r>
        <w:rPr>
          <w:szCs w:val="18"/>
          <w:lang w:val="fr-BE"/>
        </w:rPr>
        <w:t xml:space="preserve"> </w:t>
      </w:r>
      <w:r>
        <w:rPr>
          <w:szCs w:val="18"/>
          <w:lang w:val="fr-BE"/>
        </w:rPr>
        <w:tab/>
      </w:r>
      <w:r>
        <w:rPr>
          <w:lang w:val="fr-BE"/>
        </w:rPr>
        <w:t xml:space="preserve">Directive </w:t>
      </w:r>
      <w:hyperlink r:id="rId131" w:history="1">
        <w:r>
          <w:rPr>
            <w:rStyle w:val="Hyperlink"/>
            <w:lang w:val="fr-BE"/>
          </w:rPr>
          <w:t>2014/80/EU</w:t>
        </w:r>
      </w:hyperlink>
      <w:r>
        <w:rPr>
          <w:lang w:val="fr-BE"/>
        </w:rPr>
        <w:t>.</w:t>
      </w:r>
    </w:p>
  </w:footnote>
  <w:footnote w:id="96">
    <w:p w:rsidR="001557B7" w:rsidRDefault="00AD3265">
      <w:pPr>
        <w:pStyle w:val="FootnoteText"/>
        <w:rPr>
          <w:szCs w:val="18"/>
          <w:lang w:val="fr-BE"/>
        </w:rPr>
      </w:pPr>
      <w:r>
        <w:rPr>
          <w:rStyle w:val="FootnoteReference"/>
          <w:szCs w:val="18"/>
        </w:rPr>
        <w:footnoteRef/>
      </w:r>
      <w:r>
        <w:rPr>
          <w:szCs w:val="18"/>
          <w:lang w:val="fr-BE"/>
        </w:rPr>
        <w:t xml:space="preserve"> </w:t>
      </w:r>
      <w:r>
        <w:rPr>
          <w:szCs w:val="18"/>
          <w:lang w:val="fr-BE"/>
        </w:rPr>
        <w:tab/>
      </w:r>
      <w:r>
        <w:rPr>
          <w:lang w:val="fr-BE"/>
        </w:rPr>
        <w:t xml:space="preserve">Directive </w:t>
      </w:r>
      <w:hyperlink r:id="rId132" w:history="1">
        <w:r>
          <w:rPr>
            <w:rStyle w:val="Hyperlink"/>
            <w:lang w:val="fr-BE"/>
          </w:rPr>
          <w:t>2006/118/EC</w:t>
        </w:r>
      </w:hyperlink>
      <w:r>
        <w:rPr>
          <w:lang w:val="fr-BE"/>
        </w:rPr>
        <w:t>.</w:t>
      </w:r>
    </w:p>
  </w:footnote>
  <w:footnote w:id="97">
    <w:p w:rsidR="001557B7" w:rsidRDefault="00AD3265">
      <w:pPr>
        <w:pStyle w:val="FootnoteText"/>
        <w:rPr>
          <w:szCs w:val="18"/>
          <w:lang w:val="fr-BE"/>
        </w:rPr>
      </w:pPr>
      <w:r>
        <w:rPr>
          <w:rStyle w:val="FootnoteReference"/>
          <w:szCs w:val="18"/>
        </w:rPr>
        <w:footnoteRef/>
      </w:r>
      <w:r>
        <w:rPr>
          <w:szCs w:val="18"/>
          <w:lang w:val="fr-BE"/>
        </w:rPr>
        <w:t xml:space="preserve"> </w:t>
      </w:r>
      <w:r>
        <w:rPr>
          <w:szCs w:val="18"/>
          <w:lang w:val="fr-BE"/>
        </w:rPr>
        <w:tab/>
        <w:t xml:space="preserve">Directives </w:t>
      </w:r>
      <w:hyperlink r:id="rId133" w:history="1">
        <w:r>
          <w:rPr>
            <w:rStyle w:val="Hyperlink"/>
            <w:szCs w:val="18"/>
            <w:lang w:val="fr-BE"/>
          </w:rPr>
          <w:t>2013/36/EU</w:t>
        </w:r>
      </w:hyperlink>
      <w:r>
        <w:rPr>
          <w:szCs w:val="18"/>
          <w:lang w:val="fr-BE"/>
        </w:rPr>
        <w:t xml:space="preserve">, </w:t>
      </w:r>
      <w:hyperlink r:id="rId134" w:history="1">
        <w:r>
          <w:rPr>
            <w:rStyle w:val="Hyperlink"/>
            <w:szCs w:val="18"/>
            <w:lang w:val="fr-BE"/>
          </w:rPr>
          <w:t>2014/59/EU</w:t>
        </w:r>
      </w:hyperlink>
      <w:r>
        <w:rPr>
          <w:szCs w:val="18"/>
          <w:lang w:val="fr-BE"/>
        </w:rPr>
        <w:t xml:space="preserve"> and </w:t>
      </w:r>
      <w:hyperlink r:id="rId135" w:history="1">
        <w:r>
          <w:rPr>
            <w:rStyle w:val="Hyperlink"/>
            <w:szCs w:val="18"/>
            <w:lang w:val="fr-BE"/>
          </w:rPr>
          <w:t>2013/50/EU</w:t>
        </w:r>
      </w:hyperlink>
      <w:r>
        <w:rPr>
          <w:szCs w:val="18"/>
          <w:lang w:val="fr-BE"/>
        </w:rPr>
        <w:t>.</w:t>
      </w:r>
    </w:p>
  </w:footnote>
  <w:footnote w:id="98">
    <w:p w:rsidR="001557B7" w:rsidRDefault="00AD3265">
      <w:pPr>
        <w:pStyle w:val="FootnoteText"/>
        <w:rPr>
          <w:lang w:val="fr-BE"/>
        </w:rPr>
      </w:pPr>
      <w:r>
        <w:rPr>
          <w:rStyle w:val="FootnoteReference"/>
        </w:rPr>
        <w:footnoteRef/>
      </w:r>
      <w:r>
        <w:rPr>
          <w:lang w:val="fr-BE"/>
        </w:rPr>
        <w:t xml:space="preserve"> </w:t>
      </w:r>
      <w:r>
        <w:rPr>
          <w:lang w:val="fr-BE"/>
        </w:rPr>
        <w:tab/>
        <w:t>Directi</w:t>
      </w:r>
      <w:r>
        <w:rPr>
          <w:lang w:val="fr-BE"/>
        </w:rPr>
        <w:t xml:space="preserve">ve </w:t>
      </w:r>
      <w:hyperlink r:id="rId136" w:history="1">
        <w:r>
          <w:rPr>
            <w:rStyle w:val="Hyperlink"/>
            <w:lang w:val="fr-BE"/>
          </w:rPr>
          <w:t>2014/28/EU</w:t>
        </w:r>
      </w:hyperlink>
      <w:r>
        <w:rPr>
          <w:rStyle w:val="Strong"/>
          <w:b w:val="0"/>
          <w:lang w:val="fr-BE"/>
        </w:rPr>
        <w:t>.</w:t>
      </w:r>
    </w:p>
  </w:footnote>
  <w:footnote w:id="99">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137" w:history="1">
        <w:r>
          <w:rPr>
            <w:rStyle w:val="Hyperlink"/>
            <w:lang w:val="fr-BE"/>
          </w:rPr>
          <w:t>2015/2087/EU</w:t>
        </w:r>
      </w:hyperlink>
      <w:r>
        <w:rPr>
          <w:lang w:val="fr-BE"/>
        </w:rPr>
        <w:t xml:space="preserve"> amending </w:t>
      </w:r>
      <w:r>
        <w:rPr>
          <w:lang w:val="fr-BE"/>
        </w:rPr>
        <w:t xml:space="preserve">Directive </w:t>
      </w:r>
      <w:hyperlink r:id="rId138" w:history="1">
        <w:r>
          <w:rPr>
            <w:rStyle w:val="Hyperlink"/>
            <w:lang w:val="fr-BE"/>
          </w:rPr>
          <w:t>2000/59/EC</w:t>
        </w:r>
      </w:hyperlink>
      <w:r>
        <w:rPr>
          <w:lang w:val="fr-BE"/>
        </w:rPr>
        <w:t>.</w:t>
      </w:r>
    </w:p>
  </w:footnote>
  <w:footnote w:id="100">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139" w:history="1">
        <w:r>
          <w:rPr>
            <w:rStyle w:val="Hyperlink"/>
            <w:lang w:val="fr-BE"/>
          </w:rPr>
          <w:t>2008/56/EC</w:t>
        </w:r>
      </w:hyperlink>
      <w:r>
        <w:rPr>
          <w:lang w:val="fr-BE"/>
        </w:rPr>
        <w:t>.</w:t>
      </w:r>
    </w:p>
  </w:footnote>
  <w:footnote w:id="101">
    <w:p w:rsidR="001557B7" w:rsidRDefault="00AD3265">
      <w:pPr>
        <w:pStyle w:val="FootnoteText"/>
        <w:rPr>
          <w:lang w:val="pt-PT"/>
        </w:rPr>
      </w:pPr>
      <w:r>
        <w:rPr>
          <w:rStyle w:val="FootnoteReference"/>
          <w:szCs w:val="18"/>
        </w:rPr>
        <w:footnoteRef/>
      </w:r>
      <w:r>
        <w:rPr>
          <w:lang w:val="pt-PT"/>
        </w:rPr>
        <w:t xml:space="preserve"> </w:t>
      </w:r>
      <w:r>
        <w:rPr>
          <w:lang w:val="pt-PT"/>
        </w:rPr>
        <w:tab/>
      </w:r>
      <w:r>
        <w:rPr>
          <w:lang w:val="pt-PT"/>
        </w:rPr>
        <w:t xml:space="preserve">Directive </w:t>
      </w:r>
      <w:hyperlink r:id="rId140" w:history="1">
        <w:r>
          <w:rPr>
            <w:rStyle w:val="Hyperlink"/>
            <w:lang w:val="pt-PT"/>
          </w:rPr>
          <w:t>2014/94/EU</w:t>
        </w:r>
      </w:hyperlink>
      <w:r>
        <w:rPr>
          <w:lang w:val="pt-PT"/>
        </w:rPr>
        <w:t>.</w:t>
      </w:r>
    </w:p>
  </w:footnote>
  <w:footnote w:id="102">
    <w:p w:rsidR="001557B7" w:rsidRDefault="00AD3265">
      <w:pPr>
        <w:pStyle w:val="FootnoteText"/>
        <w:rPr>
          <w:lang w:val="pt-PT"/>
        </w:rPr>
      </w:pPr>
      <w:r>
        <w:rPr>
          <w:rStyle w:val="FootnoteReference"/>
          <w:szCs w:val="18"/>
        </w:rPr>
        <w:footnoteRef/>
      </w:r>
      <w:r>
        <w:rPr>
          <w:lang w:val="pt-PT"/>
        </w:rPr>
        <w:t xml:space="preserve"> </w:t>
      </w:r>
      <w:r>
        <w:rPr>
          <w:lang w:val="pt-PT"/>
        </w:rPr>
        <w:tab/>
        <w:t xml:space="preserve">Directive </w:t>
      </w:r>
      <w:hyperlink r:id="rId141" w:history="1">
        <w:r>
          <w:rPr>
            <w:rStyle w:val="Hyperlink"/>
            <w:lang w:val="pt-PT"/>
          </w:rPr>
          <w:t>2006/126/EC</w:t>
        </w:r>
      </w:hyperlink>
      <w:r>
        <w:rPr>
          <w:lang w:val="pt-PT"/>
        </w:rPr>
        <w:t>.</w:t>
      </w:r>
    </w:p>
  </w:footnote>
  <w:footnote w:id="103">
    <w:p w:rsidR="001557B7" w:rsidRDefault="00AD3265">
      <w:pPr>
        <w:pStyle w:val="FootnoteText"/>
        <w:rPr>
          <w:lang w:val="pt-PT"/>
        </w:rPr>
      </w:pPr>
      <w:r>
        <w:rPr>
          <w:rStyle w:val="FootnoteReference"/>
        </w:rPr>
        <w:footnoteRef/>
      </w:r>
      <w:r>
        <w:rPr>
          <w:lang w:val="pt-PT"/>
        </w:rPr>
        <w:t xml:space="preserve"> </w:t>
      </w:r>
      <w:r>
        <w:rPr>
          <w:lang w:val="pt-PT"/>
        </w:rPr>
        <w:tab/>
      </w:r>
      <w:hyperlink r:id="rId142" w:history="1">
        <w:r>
          <w:rPr>
            <w:rStyle w:val="Hyperlink"/>
            <w:lang w:val="pt-PT"/>
          </w:rPr>
          <w:t>MEMO/17/1577</w:t>
        </w:r>
      </w:hyperlink>
      <w:r>
        <w:rPr>
          <w:lang w:val="pt-PT"/>
        </w:rPr>
        <w:t>.</w:t>
      </w:r>
    </w:p>
  </w:footnote>
  <w:footnote w:id="104">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143" w:history="1">
        <w:r>
          <w:rPr>
            <w:rStyle w:val="Hyperlink"/>
            <w:lang w:val="pt-PT"/>
          </w:rPr>
          <w:t>2008/50/EC</w:t>
        </w:r>
      </w:hyperlink>
      <w:r>
        <w:rPr>
          <w:lang w:val="pt-PT"/>
        </w:rPr>
        <w:t xml:space="preserve">, </w:t>
      </w:r>
      <w:hyperlink r:id="rId144" w:history="1">
        <w:r>
          <w:rPr>
            <w:rStyle w:val="Hyperlink"/>
            <w:lang w:val="pt-PT"/>
          </w:rPr>
          <w:t>IP/17/238</w:t>
        </w:r>
      </w:hyperlink>
      <w:r>
        <w:rPr>
          <w:lang w:val="pt-PT"/>
        </w:rPr>
        <w:t>.</w:t>
      </w:r>
    </w:p>
  </w:footnote>
  <w:footnote w:id="10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145" w:history="1">
        <w:r>
          <w:rPr>
            <w:rStyle w:val="Hyperlink"/>
            <w:lang w:val="pt-PT"/>
          </w:rPr>
          <w:t>2002/49/EC</w:t>
        </w:r>
      </w:hyperlink>
      <w:r>
        <w:rPr>
          <w:lang w:val="pt-PT"/>
        </w:rPr>
        <w:t xml:space="preserve">, </w:t>
      </w:r>
      <w:hyperlink r:id="rId146" w:history="1">
        <w:r>
          <w:rPr>
            <w:rStyle w:val="Hyperlink"/>
            <w:lang w:val="pt-PT"/>
          </w:rPr>
          <w:t>MEMO/17/3494</w:t>
        </w:r>
      </w:hyperlink>
      <w:r>
        <w:rPr>
          <w:lang w:val="pt-PT"/>
        </w:rPr>
        <w:t>.</w:t>
      </w:r>
    </w:p>
  </w:footnote>
  <w:footnote w:id="10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147" w:history="1">
        <w:r>
          <w:rPr>
            <w:rStyle w:val="Hyperlink"/>
            <w:lang w:val="pt-PT"/>
          </w:rPr>
          <w:t>2008/57/EC</w:t>
        </w:r>
      </w:hyperlink>
      <w:r>
        <w:rPr>
          <w:lang w:val="pt-PT"/>
        </w:rPr>
        <w:t xml:space="preserve">, </w:t>
      </w:r>
      <w:hyperlink r:id="rId148" w:history="1">
        <w:r>
          <w:rPr>
            <w:rStyle w:val="Hyperlink"/>
            <w:lang w:val="pt-PT"/>
          </w:rPr>
          <w:t>MEMO/17/1045</w:t>
        </w:r>
      </w:hyperlink>
      <w:r>
        <w:rPr>
          <w:lang w:val="pt-PT"/>
        </w:rPr>
        <w:t>.</w:t>
      </w:r>
    </w:p>
  </w:footnote>
  <w:footnote w:id="107">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149" w:history="1">
        <w:r>
          <w:rPr>
            <w:rStyle w:val="Hyperlink"/>
            <w:lang w:val="pt-PT"/>
          </w:rPr>
          <w:t>2004/49/EC</w:t>
        </w:r>
      </w:hyperlink>
      <w:r>
        <w:rPr>
          <w:lang w:val="pt-PT"/>
        </w:rPr>
        <w:t>.</w:t>
      </w:r>
    </w:p>
  </w:footnote>
  <w:footnote w:id="108">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150" w:history="1">
        <w:r>
          <w:rPr>
            <w:rStyle w:val="Hyperlink"/>
            <w:lang w:val="pt-PT"/>
          </w:rPr>
          <w:t>2015/652/EU</w:t>
        </w:r>
      </w:hyperlink>
      <w:r>
        <w:rPr>
          <w:lang w:val="pt-PT"/>
        </w:rPr>
        <w:t>.</w:t>
      </w:r>
    </w:p>
  </w:footnote>
  <w:footnote w:id="109">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151" w:history="1">
        <w:r>
          <w:rPr>
            <w:rStyle w:val="Hyperlink"/>
            <w:lang w:val="pt-PT"/>
          </w:rPr>
          <w:t>98/70/EC</w:t>
        </w:r>
      </w:hyperlink>
      <w:r>
        <w:rPr>
          <w:lang w:val="pt-PT"/>
        </w:rPr>
        <w:t>.</w:t>
      </w:r>
    </w:p>
  </w:footnote>
  <w:footnote w:id="110">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152" w:history="1">
        <w:r>
          <w:rPr>
            <w:rStyle w:val="Hyperlink"/>
            <w:lang w:val="pt-PT"/>
          </w:rPr>
          <w:t>2014/112/EU</w:t>
        </w:r>
      </w:hyperlink>
      <w:r>
        <w:rPr>
          <w:lang w:val="pt-PT"/>
        </w:rPr>
        <w:t>.</w:t>
      </w:r>
    </w:p>
  </w:footnote>
  <w:footnote w:id="111">
    <w:p w:rsidR="001557B7" w:rsidRDefault="00AD3265">
      <w:pPr>
        <w:pStyle w:val="FootnoteText"/>
        <w:rPr>
          <w:lang w:val="pt-PT"/>
        </w:rPr>
      </w:pPr>
      <w:r>
        <w:rPr>
          <w:rStyle w:val="FootnoteReference"/>
        </w:rPr>
        <w:footnoteRef/>
      </w:r>
      <w:r>
        <w:rPr>
          <w:lang w:val="pt-PT"/>
        </w:rPr>
        <w:t xml:space="preserve"> </w:t>
      </w:r>
      <w:r>
        <w:rPr>
          <w:lang w:val="pt-PT"/>
        </w:rPr>
        <w:tab/>
        <w:t xml:space="preserve">Directives </w:t>
      </w:r>
      <w:hyperlink r:id="rId153" w:history="1">
        <w:r>
          <w:rPr>
            <w:rStyle w:val="Hyperlink"/>
            <w:lang w:val="pt-PT"/>
          </w:rPr>
          <w:t>2014/96/EU</w:t>
        </w:r>
      </w:hyperlink>
      <w:r>
        <w:rPr>
          <w:lang w:val="pt-PT"/>
        </w:rPr>
        <w:t xml:space="preserve">, </w:t>
      </w:r>
      <w:hyperlink r:id="rId154" w:history="1">
        <w:r>
          <w:rPr>
            <w:rStyle w:val="Hyperlink"/>
            <w:lang w:val="pt-PT"/>
          </w:rPr>
          <w:t>2014/97/EU</w:t>
        </w:r>
      </w:hyperlink>
      <w:r>
        <w:rPr>
          <w:lang w:val="pt-PT"/>
        </w:rPr>
        <w:t xml:space="preserve"> and </w:t>
      </w:r>
      <w:hyperlink r:id="rId155" w:history="1">
        <w:r>
          <w:rPr>
            <w:rStyle w:val="Hyperlink"/>
            <w:lang w:val="pt-PT"/>
          </w:rPr>
          <w:t>2014/98/EU</w:t>
        </w:r>
      </w:hyperlink>
      <w:r>
        <w:rPr>
          <w:lang w:val="pt-PT"/>
        </w:rPr>
        <w:t>.</w:t>
      </w:r>
    </w:p>
  </w:footnote>
  <w:footnote w:id="112">
    <w:p w:rsidR="001557B7" w:rsidRDefault="00AD3265">
      <w:pPr>
        <w:pStyle w:val="FootnoteText"/>
        <w:rPr>
          <w:lang w:val="pt-PT"/>
        </w:rPr>
      </w:pPr>
      <w:r>
        <w:rPr>
          <w:rStyle w:val="FootnoteReference"/>
          <w:szCs w:val="18"/>
        </w:rPr>
        <w:footnoteRef/>
      </w:r>
      <w:r>
        <w:rPr>
          <w:lang w:val="pt-PT"/>
        </w:rPr>
        <w:t xml:space="preserve"> </w:t>
      </w:r>
      <w:r>
        <w:rPr>
          <w:lang w:val="pt-PT"/>
        </w:rPr>
        <w:tab/>
        <w:t xml:space="preserve">Directive </w:t>
      </w:r>
      <w:hyperlink r:id="rId156" w:history="1">
        <w:r>
          <w:rPr>
            <w:rStyle w:val="Hyperlink"/>
            <w:lang w:val="pt-PT"/>
          </w:rPr>
          <w:t>2006/40/EC</w:t>
        </w:r>
      </w:hyperlink>
      <w:r>
        <w:rPr>
          <w:lang w:val="pt-PT"/>
        </w:rPr>
        <w:t xml:space="preserve">, Commission v Germany, </w:t>
      </w:r>
      <w:hyperlink r:id="rId157" w:history="1">
        <w:r>
          <w:rPr>
            <w:rStyle w:val="Hyperlink"/>
            <w:lang w:val="pt-PT"/>
          </w:rPr>
          <w:t>C-668/2016</w:t>
        </w:r>
      </w:hyperlink>
      <w:r>
        <w:rPr>
          <w:rStyle w:val="Hyperlink"/>
          <w:lang w:val="pt-PT"/>
        </w:rPr>
        <w:t>,</w:t>
      </w:r>
      <w:r>
        <w:rPr>
          <w:lang w:val="pt-PT"/>
        </w:rPr>
        <w:t xml:space="preserve"> </w:t>
      </w:r>
      <w:hyperlink r:id="rId158" w:history="1">
        <w:r>
          <w:rPr>
            <w:rStyle w:val="Hyperlink"/>
            <w:lang w:val="pt-PT"/>
          </w:rPr>
          <w:t>IP/15/6290</w:t>
        </w:r>
      </w:hyperlink>
      <w:r>
        <w:rPr>
          <w:lang w:val="pt-PT"/>
        </w:rPr>
        <w:t>.</w:t>
      </w:r>
    </w:p>
  </w:footnote>
  <w:footnote w:id="113">
    <w:p w:rsidR="001557B7" w:rsidRDefault="00AD3265">
      <w:pPr>
        <w:pStyle w:val="FootnoteText"/>
      </w:pPr>
      <w:r>
        <w:rPr>
          <w:rStyle w:val="FootnoteReference"/>
          <w:szCs w:val="18"/>
        </w:rPr>
        <w:footnoteRef/>
      </w:r>
      <w:r>
        <w:rPr>
          <w:szCs w:val="18"/>
        </w:rPr>
        <w:t xml:space="preserve"> </w:t>
      </w:r>
      <w:r>
        <w:rPr>
          <w:szCs w:val="18"/>
        </w:rPr>
        <w:tab/>
        <w:t xml:space="preserve">Directive </w:t>
      </w:r>
      <w:hyperlink r:id="rId159" w:history="1">
        <w:r>
          <w:rPr>
            <w:rStyle w:val="Hyperlink"/>
            <w:szCs w:val="18"/>
          </w:rPr>
          <w:t>2006/123/EC</w:t>
        </w:r>
      </w:hyperlink>
      <w:r>
        <w:rPr>
          <w:szCs w:val="18"/>
        </w:rPr>
        <w:t xml:space="preserve">, Commission v Germany, </w:t>
      </w:r>
      <w:hyperlink r:id="rId160" w:history="1">
        <w:r>
          <w:rPr>
            <w:rStyle w:val="Hyperlink"/>
            <w:szCs w:val="18"/>
          </w:rPr>
          <w:t>C-377/2017</w:t>
        </w:r>
      </w:hyperlink>
      <w:r>
        <w:rPr>
          <w:szCs w:val="18"/>
        </w:rPr>
        <w:t xml:space="preserve">, </w:t>
      </w:r>
      <w:hyperlink r:id="rId161" w:history="1">
        <w:r>
          <w:rPr>
            <w:rStyle w:val="Hyperlink"/>
            <w:szCs w:val="18"/>
          </w:rPr>
          <w:t>IP/16/</w:t>
        </w:r>
        <w:r>
          <w:rPr>
            <w:rStyle w:val="Hyperlink"/>
            <w:szCs w:val="18"/>
          </w:rPr>
          <w:t>3646</w:t>
        </w:r>
      </w:hyperlink>
      <w:r>
        <w:rPr>
          <w:szCs w:val="18"/>
        </w:rPr>
        <w:t xml:space="preserve">, </w:t>
      </w:r>
      <w:hyperlink r:id="rId162" w:history="1">
        <w:r>
          <w:rPr>
            <w:rStyle w:val="Hyperlink"/>
            <w:szCs w:val="18"/>
          </w:rPr>
          <w:t>MEMO/16/3644</w:t>
        </w:r>
      </w:hyperlink>
      <w:r>
        <w:rPr>
          <w:szCs w:val="18"/>
        </w:rPr>
        <w:t>.</w:t>
      </w:r>
    </w:p>
  </w:footnote>
  <w:footnote w:id="114">
    <w:p w:rsidR="001557B7" w:rsidRDefault="00AD3265">
      <w:pPr>
        <w:pStyle w:val="FootnoteText"/>
      </w:pPr>
      <w:r>
        <w:rPr>
          <w:rStyle w:val="FootnoteReference"/>
        </w:rPr>
        <w:footnoteRef/>
      </w:r>
      <w:r>
        <w:t xml:space="preserve"> </w:t>
      </w:r>
      <w:r>
        <w:tab/>
        <w:t xml:space="preserve">Directive </w:t>
      </w:r>
      <w:hyperlink r:id="rId163" w:history="1">
        <w:r>
          <w:rPr>
            <w:rStyle w:val="Hyperlink"/>
          </w:rPr>
          <w:t>2005/29/EC</w:t>
        </w:r>
      </w:hyperlink>
      <w:r>
        <w:t>.</w:t>
      </w:r>
    </w:p>
  </w:footnote>
  <w:footnote w:id="115">
    <w:p w:rsidR="001557B7" w:rsidRDefault="00AD3265">
      <w:pPr>
        <w:pStyle w:val="FootnoteText"/>
      </w:pPr>
      <w:r>
        <w:rPr>
          <w:rStyle w:val="FootnoteReference"/>
        </w:rPr>
        <w:footnoteRef/>
      </w:r>
      <w:r>
        <w:t xml:space="preserve"> </w:t>
      </w:r>
      <w:r>
        <w:tab/>
        <w:t xml:space="preserve">Regulation (EU) </w:t>
      </w:r>
      <w:hyperlink r:id="rId164" w:history="1">
        <w:r>
          <w:rPr>
            <w:rStyle w:val="Hyperlink"/>
          </w:rPr>
          <w:t>748/2012</w:t>
        </w:r>
      </w:hyperlink>
      <w:r>
        <w:t xml:space="preserve"> and Regulation </w:t>
      </w:r>
      <w:hyperlink r:id="rId165" w:history="1">
        <w:r>
          <w:rPr>
            <w:rStyle w:val="Hyperlink"/>
          </w:rPr>
          <w:t>1321/2014</w:t>
        </w:r>
      </w:hyperlink>
      <w:r>
        <w:t>.</w:t>
      </w:r>
    </w:p>
  </w:footnote>
  <w:footnote w:id="116">
    <w:p w:rsidR="001557B7" w:rsidRDefault="00AD3265">
      <w:pPr>
        <w:pStyle w:val="FootnoteText"/>
        <w:rPr>
          <w:lang w:val="fr-BE"/>
        </w:rPr>
      </w:pPr>
      <w:r>
        <w:rPr>
          <w:rStyle w:val="FootnoteReference"/>
        </w:rPr>
        <w:footnoteRef/>
      </w:r>
      <w:r>
        <w:rPr>
          <w:lang w:val="fr-BE"/>
        </w:rPr>
        <w:t xml:space="preserve"> </w:t>
      </w:r>
      <w:r>
        <w:rPr>
          <w:lang w:val="fr-BE"/>
        </w:rPr>
        <w:tab/>
        <w:t>Regulation (EU</w:t>
      </w:r>
      <w:r>
        <w:rPr>
          <w:lang w:val="fr-BE"/>
        </w:rPr>
        <w:t xml:space="preserve">) </w:t>
      </w:r>
      <w:hyperlink r:id="rId166" w:history="1">
        <w:r>
          <w:rPr>
            <w:rStyle w:val="Hyperlink"/>
            <w:lang w:val="fr-BE"/>
          </w:rPr>
          <w:t>2016/399</w:t>
        </w:r>
      </w:hyperlink>
      <w:r>
        <w:rPr>
          <w:lang w:val="fr-BE"/>
        </w:rPr>
        <w:t>.</w:t>
      </w:r>
    </w:p>
  </w:footnote>
  <w:footnote w:id="117">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167" w:history="1">
        <w:r>
          <w:rPr>
            <w:rStyle w:val="Hyperlink"/>
            <w:lang w:val="fr-BE"/>
          </w:rPr>
          <w:t>2008/98/EC</w:t>
        </w:r>
      </w:hyperlink>
      <w:r>
        <w:rPr>
          <w:lang w:val="fr-BE"/>
        </w:rPr>
        <w:t>.</w:t>
      </w:r>
    </w:p>
  </w:footnote>
  <w:footnote w:id="118">
    <w:p w:rsidR="001557B7" w:rsidRDefault="00AD3265">
      <w:pPr>
        <w:pStyle w:val="FootnoteText"/>
        <w:rPr>
          <w:lang w:val="fr-BE"/>
        </w:rPr>
      </w:pPr>
      <w:r>
        <w:rPr>
          <w:rStyle w:val="FootnoteReference"/>
        </w:rPr>
        <w:footnoteRef/>
      </w:r>
      <w:r>
        <w:rPr>
          <w:lang w:val="fr-BE"/>
        </w:rPr>
        <w:t xml:space="preserve"> </w:t>
      </w:r>
      <w:r>
        <w:rPr>
          <w:lang w:val="fr-BE"/>
        </w:rPr>
        <w:tab/>
        <w:t>Commission</w:t>
      </w:r>
      <w:r>
        <w:rPr>
          <w:lang w:val="fr-BE"/>
        </w:rPr>
        <w:t xml:space="preserve"> Regulations </w:t>
      </w:r>
      <w:hyperlink r:id="rId168" w:history="1">
        <w:r>
          <w:rPr>
            <w:rStyle w:val="Hyperlink"/>
            <w:lang w:val="fr-BE"/>
          </w:rPr>
          <w:t>748/2012</w:t>
        </w:r>
      </w:hyperlink>
      <w:r>
        <w:rPr>
          <w:lang w:val="fr-BE"/>
        </w:rPr>
        <w:t xml:space="preserve">, </w:t>
      </w:r>
      <w:hyperlink r:id="rId169" w:history="1">
        <w:r>
          <w:rPr>
            <w:rStyle w:val="Hyperlink"/>
            <w:lang w:val="fr-BE"/>
          </w:rPr>
          <w:t>1321/2014</w:t>
        </w:r>
      </w:hyperlink>
      <w:r>
        <w:rPr>
          <w:lang w:val="fr-BE"/>
        </w:rPr>
        <w:t xml:space="preserve"> and </w:t>
      </w:r>
      <w:hyperlink r:id="rId170" w:history="1">
        <w:r>
          <w:rPr>
            <w:rStyle w:val="Hyperlink"/>
            <w:lang w:val="fr-BE"/>
          </w:rPr>
          <w:t>1178/2011</w:t>
        </w:r>
      </w:hyperlink>
      <w:r>
        <w:rPr>
          <w:lang w:val="fr-BE"/>
        </w:rPr>
        <w:t>.</w:t>
      </w:r>
    </w:p>
  </w:footnote>
  <w:footnote w:id="119">
    <w:p w:rsidR="001557B7" w:rsidRDefault="00AD3265">
      <w:pPr>
        <w:pStyle w:val="FootnoteText"/>
        <w:rPr>
          <w:lang w:val="fr-BE"/>
        </w:rPr>
      </w:pPr>
      <w:r>
        <w:rPr>
          <w:rStyle w:val="FootnoteReference"/>
        </w:rPr>
        <w:footnoteRef/>
      </w:r>
      <w:r>
        <w:rPr>
          <w:lang w:val="fr-BE"/>
        </w:rPr>
        <w:t xml:space="preserve"> </w:t>
      </w:r>
      <w:r>
        <w:rPr>
          <w:lang w:val="fr-BE"/>
        </w:rPr>
        <w:tab/>
      </w:r>
      <w:hyperlink r:id="rId171" w:history="1">
        <w:r>
          <w:rPr>
            <w:rStyle w:val="Hyperlink"/>
            <w:lang w:val="fr-BE"/>
          </w:rPr>
          <w:t>MEMO/17/3494</w:t>
        </w:r>
      </w:hyperlink>
      <w:r>
        <w:rPr>
          <w:lang w:val="fr-BE"/>
        </w:rPr>
        <w:t>.</w:t>
      </w:r>
    </w:p>
  </w:footnote>
  <w:footnote w:id="120">
    <w:p w:rsidR="001557B7" w:rsidRDefault="00AD3265">
      <w:pPr>
        <w:pStyle w:val="FootnoteText"/>
        <w:rPr>
          <w:rFonts w:cs="Arial"/>
          <w:lang w:val="fr-BE"/>
        </w:rPr>
      </w:pPr>
      <w:r>
        <w:rPr>
          <w:rStyle w:val="FootnoteReference"/>
        </w:rPr>
        <w:footnoteRef/>
      </w:r>
      <w:r>
        <w:rPr>
          <w:lang w:val="fr-BE"/>
        </w:rPr>
        <w:t xml:space="preserve">  </w:t>
      </w:r>
      <w:r>
        <w:rPr>
          <w:lang w:val="fr-BE"/>
        </w:rPr>
        <w:tab/>
        <w:t xml:space="preserve">Directive </w:t>
      </w:r>
      <w:hyperlink r:id="rId172" w:history="1">
        <w:r>
          <w:rPr>
            <w:rStyle w:val="Hyperlink"/>
            <w:lang w:val="fr-BE"/>
          </w:rPr>
          <w:t>2013/29/EU</w:t>
        </w:r>
      </w:hyperlink>
      <w:r>
        <w:rPr>
          <w:lang w:val="fr-BE"/>
        </w:rPr>
        <w:t>.</w:t>
      </w:r>
    </w:p>
  </w:footnote>
  <w:footnote w:id="121">
    <w:p w:rsidR="001557B7" w:rsidRDefault="00AD3265">
      <w:pPr>
        <w:pStyle w:val="FootnoteText"/>
        <w:rPr>
          <w:rFonts w:cs="Arial"/>
          <w:lang w:val="fr-BE"/>
        </w:rPr>
      </w:pPr>
      <w:r>
        <w:rPr>
          <w:rStyle w:val="FootnoteReference"/>
          <w:rFonts w:cs="Arial"/>
        </w:rPr>
        <w:footnoteRef/>
      </w:r>
      <w:r>
        <w:rPr>
          <w:rFonts w:cs="Arial"/>
          <w:lang w:val="fr-BE"/>
        </w:rPr>
        <w:t xml:space="preserve"> </w:t>
      </w:r>
      <w:r>
        <w:rPr>
          <w:rFonts w:cs="Arial"/>
          <w:lang w:val="fr-BE"/>
        </w:rPr>
        <w:tab/>
      </w:r>
      <w:r>
        <w:rPr>
          <w:lang w:val="fr-BE"/>
        </w:rPr>
        <w:t xml:space="preserve">Directive </w:t>
      </w:r>
      <w:hyperlink r:id="rId173" w:history="1">
        <w:r>
          <w:rPr>
            <w:rStyle w:val="Hyperlink"/>
            <w:lang w:val="fr-BE"/>
          </w:rPr>
          <w:t>2011/36/EU</w:t>
        </w:r>
      </w:hyperlink>
      <w:r>
        <w:rPr>
          <w:lang w:val="fr-BE"/>
        </w:rPr>
        <w:t>.</w:t>
      </w:r>
    </w:p>
  </w:footnote>
  <w:footnote w:id="122">
    <w:p w:rsidR="001557B7" w:rsidRDefault="00AD3265">
      <w:pPr>
        <w:pStyle w:val="FootnoteText"/>
      </w:pPr>
      <w:r>
        <w:rPr>
          <w:rStyle w:val="FootnoteReference"/>
        </w:rPr>
        <w:footnoteRef/>
      </w:r>
      <w:r>
        <w:t xml:space="preserve"> </w:t>
      </w:r>
      <w:r>
        <w:tab/>
        <w:t>Directive</w:t>
      </w:r>
      <w:r>
        <w:rPr>
          <w:rFonts w:eastAsia="Calibri"/>
          <w:kern w:val="20"/>
          <w:sz w:val="20"/>
        </w:rPr>
        <w:t xml:space="preserve"> </w:t>
      </w:r>
      <w:hyperlink r:id="rId174" w:history="1">
        <w:r>
          <w:rPr>
            <w:rStyle w:val="Hyperlink"/>
          </w:rPr>
          <w:t>2015/2087/EU</w:t>
        </w:r>
      </w:hyperlink>
      <w:r>
        <w:t xml:space="preserve"> amending Directive </w:t>
      </w:r>
      <w:hyperlink r:id="rId175" w:history="1">
        <w:r>
          <w:rPr>
            <w:rStyle w:val="Hyperlink"/>
          </w:rPr>
          <w:t>2000/59/EC</w:t>
        </w:r>
      </w:hyperlink>
      <w:r>
        <w:t>.</w:t>
      </w:r>
    </w:p>
  </w:footnote>
  <w:footnote w:id="123">
    <w:p w:rsidR="001557B7" w:rsidRDefault="00AD3265">
      <w:pPr>
        <w:pStyle w:val="FootnoteText"/>
        <w:rPr>
          <w:rFonts w:cs="Arial"/>
        </w:rPr>
      </w:pPr>
      <w:r>
        <w:rPr>
          <w:rStyle w:val="FootnoteReference"/>
          <w:rFonts w:cs="Arial"/>
        </w:rPr>
        <w:footnoteRef/>
      </w:r>
      <w:r>
        <w:rPr>
          <w:rFonts w:cs="Arial"/>
        </w:rPr>
        <w:t xml:space="preserve"> </w:t>
      </w:r>
      <w:r>
        <w:rPr>
          <w:rFonts w:cs="Arial"/>
        </w:rPr>
        <w:tab/>
      </w:r>
      <w:r>
        <w:t>Direc</w:t>
      </w:r>
      <w:r>
        <w:t xml:space="preserve">tive </w:t>
      </w:r>
      <w:hyperlink r:id="rId176" w:history="1">
        <w:r>
          <w:rPr>
            <w:rStyle w:val="Hyperlink"/>
          </w:rPr>
          <w:t>2014/95/EU</w:t>
        </w:r>
      </w:hyperlink>
      <w:r>
        <w:t>.</w:t>
      </w:r>
    </w:p>
  </w:footnote>
  <w:footnote w:id="124">
    <w:p w:rsidR="001557B7" w:rsidRDefault="00AD3265">
      <w:pPr>
        <w:pStyle w:val="FootnoteText"/>
        <w:rPr>
          <w:rFonts w:cs="Arial"/>
        </w:rPr>
      </w:pPr>
      <w:r>
        <w:rPr>
          <w:rStyle w:val="FootnoteReference"/>
          <w:rFonts w:cs="Arial"/>
        </w:rPr>
        <w:footnoteRef/>
      </w:r>
      <w:r>
        <w:rPr>
          <w:rFonts w:cs="Arial"/>
        </w:rPr>
        <w:t xml:space="preserve"> </w:t>
      </w:r>
      <w:r>
        <w:rPr>
          <w:rFonts w:cs="Arial"/>
        </w:rPr>
        <w:tab/>
        <w:t>These rulings are almost exclusively handed down in infringement procedures.</w:t>
      </w:r>
    </w:p>
  </w:footnote>
  <w:footnote w:id="125">
    <w:p w:rsidR="001557B7" w:rsidRDefault="00AD3265">
      <w:pPr>
        <w:pStyle w:val="FootnoteText"/>
        <w:rPr>
          <w:rFonts w:cs="Arial"/>
        </w:rPr>
      </w:pPr>
      <w:r>
        <w:rPr>
          <w:rStyle w:val="FootnoteReference"/>
          <w:rFonts w:cs="Arial"/>
        </w:rPr>
        <w:footnoteRef/>
      </w:r>
      <w:r>
        <w:rPr>
          <w:rFonts w:cs="Arial"/>
        </w:rPr>
        <w:t xml:space="preserve"> </w:t>
      </w:r>
      <w:r>
        <w:rPr>
          <w:rFonts w:cs="Arial"/>
        </w:rPr>
        <w:tab/>
      </w:r>
      <w:r>
        <w:t xml:space="preserve">Directive </w:t>
      </w:r>
      <w:hyperlink r:id="rId177" w:history="1">
        <w:r>
          <w:rPr>
            <w:rStyle w:val="Hyperlink"/>
          </w:rPr>
          <w:t>92/43/EEC</w:t>
        </w:r>
      </w:hyperlink>
      <w:r>
        <w:t>,</w:t>
      </w:r>
      <w:r>
        <w:rPr>
          <w:rFonts w:cs="Arial"/>
        </w:rPr>
        <w:t xml:space="preserve"> </w:t>
      </w:r>
      <w:r>
        <w:t xml:space="preserve">Commission v Germany, </w:t>
      </w:r>
      <w:hyperlink r:id="rId178" w:history="1">
        <w:r>
          <w:rPr>
            <w:rStyle w:val="Hyperlink"/>
          </w:rPr>
          <w:t>C-142/16</w:t>
        </w:r>
      </w:hyperlink>
      <w:r>
        <w:t>.</w:t>
      </w:r>
    </w:p>
  </w:footnote>
  <w:footnote w:id="126">
    <w:p w:rsidR="001557B7" w:rsidRDefault="00AD3265">
      <w:pPr>
        <w:pStyle w:val="FootnoteText"/>
        <w:rPr>
          <w:rFonts w:cs="Arial"/>
        </w:rPr>
      </w:pPr>
      <w:r>
        <w:rPr>
          <w:rStyle w:val="FootnoteReference"/>
          <w:rFonts w:cs="Arial"/>
        </w:rPr>
        <w:footnoteRef/>
      </w:r>
      <w:r>
        <w:rPr>
          <w:rFonts w:cs="Arial"/>
        </w:rPr>
        <w:t xml:space="preserve"> </w:t>
      </w:r>
      <w:r>
        <w:rPr>
          <w:rFonts w:cs="Arial"/>
        </w:rPr>
        <w:tab/>
        <w:t xml:space="preserve">Directive </w:t>
      </w:r>
      <w:hyperlink r:id="rId179" w:history="1">
        <w:r>
          <w:rPr>
            <w:rStyle w:val="Hyperlink"/>
            <w:rFonts w:cs="Arial"/>
          </w:rPr>
          <w:t>2005/65/EC</w:t>
        </w:r>
      </w:hyperlink>
      <w:r>
        <w:rPr>
          <w:rFonts w:cs="Arial"/>
        </w:rPr>
        <w:t xml:space="preserve">, </w:t>
      </w:r>
      <w:r>
        <w:t xml:space="preserve">Commission v Germany, </w:t>
      </w:r>
      <w:hyperlink r:id="rId180" w:history="1">
        <w:r>
          <w:rPr>
            <w:rStyle w:val="Hyperlink"/>
          </w:rPr>
          <w:t>C-58/16</w:t>
        </w:r>
      </w:hyperlink>
      <w:r>
        <w:t>.</w:t>
      </w:r>
    </w:p>
  </w:footnote>
  <w:footnote w:id="127">
    <w:p w:rsidR="001557B7" w:rsidRDefault="00AD3265">
      <w:pPr>
        <w:pStyle w:val="FootnoteText"/>
        <w:rPr>
          <w:rFonts w:cs="Arial"/>
        </w:rPr>
      </w:pPr>
      <w:r>
        <w:rPr>
          <w:rStyle w:val="FootnoteReference"/>
          <w:rFonts w:cs="Arial"/>
        </w:rPr>
        <w:footnoteRef/>
      </w:r>
      <w:r>
        <w:rPr>
          <w:rFonts w:cs="Arial"/>
        </w:rPr>
        <w:t xml:space="preserve"> </w:t>
      </w:r>
      <w:r>
        <w:rPr>
          <w:rFonts w:cs="Arial"/>
        </w:rPr>
        <w:tab/>
        <w:t xml:space="preserve">Associations </w:t>
      </w:r>
      <w:r>
        <w:rPr>
          <w:rFonts w:cs="Arial"/>
        </w:rPr>
        <w:t>of taxpayers who come together to purchase services from third parties.</w:t>
      </w:r>
    </w:p>
  </w:footnote>
  <w:footnote w:id="128">
    <w:p w:rsidR="001557B7" w:rsidRDefault="00AD3265">
      <w:pPr>
        <w:pStyle w:val="FootnoteText"/>
        <w:rPr>
          <w:rFonts w:cs="Arial"/>
        </w:rPr>
      </w:pPr>
      <w:r>
        <w:rPr>
          <w:rStyle w:val="FootnoteReference"/>
          <w:rFonts w:cs="Arial"/>
        </w:rPr>
        <w:footnoteRef/>
      </w:r>
      <w:r>
        <w:rPr>
          <w:rFonts w:cs="Arial"/>
        </w:rPr>
        <w:t xml:space="preserve"> </w:t>
      </w:r>
      <w:r>
        <w:rPr>
          <w:rFonts w:cs="Arial"/>
        </w:rPr>
        <w:tab/>
      </w:r>
      <w:r>
        <w:t xml:space="preserve">Commission v Germany, </w:t>
      </w:r>
      <w:hyperlink r:id="rId181" w:history="1">
        <w:r>
          <w:rPr>
            <w:rStyle w:val="Hyperlink"/>
          </w:rPr>
          <w:t>C-616/15</w:t>
        </w:r>
      </w:hyperlink>
      <w:r>
        <w:t xml:space="preserve">, </w:t>
      </w:r>
      <w:hyperlink r:id="rId182" w:history="1">
        <w:r>
          <w:rPr>
            <w:rStyle w:val="Hyperlink"/>
          </w:rPr>
          <w:t>IP/15/4493</w:t>
        </w:r>
      </w:hyperlink>
      <w:r>
        <w:t>.</w:t>
      </w:r>
    </w:p>
  </w:footnote>
  <w:footnote w:id="129">
    <w:p w:rsidR="001557B7" w:rsidRDefault="00AD3265">
      <w:pPr>
        <w:pStyle w:val="FootnoteText"/>
        <w:rPr>
          <w:rFonts w:cs="Arial"/>
        </w:rPr>
      </w:pPr>
      <w:r>
        <w:rPr>
          <w:rStyle w:val="FootnoteReference"/>
          <w:rFonts w:cs="Arial"/>
        </w:rPr>
        <w:footnoteRef/>
      </w:r>
      <w:r>
        <w:rPr>
          <w:rFonts w:cs="Arial"/>
        </w:rPr>
        <w:t xml:space="preserve"> </w:t>
      </w:r>
      <w:r>
        <w:rPr>
          <w:rFonts w:cs="Arial"/>
        </w:rPr>
        <w:tab/>
      </w:r>
      <w:r>
        <w:t xml:space="preserve">Directive </w:t>
      </w:r>
      <w:hyperlink r:id="rId183" w:history="1">
        <w:r>
          <w:rPr>
            <w:rStyle w:val="Hyperlink"/>
          </w:rPr>
          <w:t>91/440/EEC</w:t>
        </w:r>
      </w:hyperlink>
      <w:r>
        <w:t xml:space="preserve"> and Directive </w:t>
      </w:r>
      <w:hyperlink r:id="rId184" w:history="1">
        <w:r>
          <w:rPr>
            <w:rStyle w:val="Hyperlink"/>
          </w:rPr>
          <w:t>2001/14/EC</w:t>
        </w:r>
      </w:hyperlink>
      <w:r>
        <w:t xml:space="preserve">, Commission v Germany, </w:t>
      </w:r>
      <w:hyperlink r:id="rId185" w:history="1">
        <w:r>
          <w:rPr>
            <w:rStyle w:val="Hyperlink"/>
          </w:rPr>
          <w:t>C-482/14</w:t>
        </w:r>
      </w:hyperlink>
      <w:r>
        <w:t>.</w:t>
      </w:r>
    </w:p>
  </w:footnote>
  <w:footnote w:id="130">
    <w:p w:rsidR="001557B7" w:rsidRDefault="00AD3265">
      <w:pPr>
        <w:pStyle w:val="FootnoteText"/>
        <w:rPr>
          <w:rFonts w:cs="Arial"/>
        </w:rPr>
      </w:pPr>
      <w:r>
        <w:rPr>
          <w:rStyle w:val="FootnoteReference"/>
          <w:rFonts w:cs="Arial"/>
        </w:rPr>
        <w:footnoteRef/>
      </w:r>
      <w:r>
        <w:rPr>
          <w:rFonts w:cs="Arial"/>
        </w:rPr>
        <w:t xml:space="preserve"> </w:t>
      </w:r>
      <w:r>
        <w:rPr>
          <w:rFonts w:cs="Arial"/>
        </w:rPr>
        <w:tab/>
        <w:t xml:space="preserve">Regulation (EC) No </w:t>
      </w:r>
      <w:hyperlink r:id="rId186" w:history="1">
        <w:r>
          <w:rPr>
            <w:rStyle w:val="Hyperlink"/>
            <w:rFonts w:cs="Arial"/>
          </w:rPr>
          <w:t>1083/2006</w:t>
        </w:r>
      </w:hyperlink>
      <w:r>
        <w:rPr>
          <w:rFonts w:cs="Arial"/>
        </w:rPr>
        <w:t xml:space="preserve"> and Cases </w:t>
      </w:r>
      <w:hyperlink r:id="rId187" w:history="1">
        <w:r>
          <w:rPr>
            <w:rStyle w:val="Hyperlink"/>
            <w:rFonts w:cs="Arial"/>
          </w:rPr>
          <w:t>T-97/09</w:t>
        </w:r>
      </w:hyperlink>
      <w:r>
        <w:rPr>
          <w:rFonts w:cs="Arial"/>
        </w:rPr>
        <w:t xml:space="preserve">, </w:t>
      </w:r>
      <w:hyperlink r:id="rId188" w:history="1">
        <w:r>
          <w:rPr>
            <w:rStyle w:val="Hyperlink"/>
            <w:rFonts w:cs="Arial"/>
          </w:rPr>
          <w:t>T-21-10</w:t>
        </w:r>
      </w:hyperlink>
      <w:r>
        <w:rPr>
          <w:rFonts w:cs="Arial"/>
        </w:rPr>
        <w:t xml:space="preserve">, </w:t>
      </w:r>
      <w:hyperlink r:id="rId189" w:history="1">
        <w:r>
          <w:rPr>
            <w:rStyle w:val="Hyperlink"/>
            <w:rFonts w:cs="Arial"/>
          </w:rPr>
          <w:t>T-104/10</w:t>
        </w:r>
      </w:hyperlink>
      <w:r>
        <w:rPr>
          <w:rFonts w:cs="Arial"/>
        </w:rPr>
        <w:t xml:space="preserve">, </w:t>
      </w:r>
      <w:hyperlink r:id="rId190" w:history="1">
        <w:r>
          <w:rPr>
            <w:rStyle w:val="Hyperlink"/>
            <w:rFonts w:cs="Arial"/>
          </w:rPr>
          <w:t>T-114/10</w:t>
        </w:r>
      </w:hyperlink>
      <w:r>
        <w:rPr>
          <w:rFonts w:cs="Arial"/>
        </w:rPr>
        <w:t xml:space="preserve"> and </w:t>
      </w:r>
      <w:hyperlink r:id="rId191" w:history="1">
        <w:r>
          <w:rPr>
            <w:rStyle w:val="Hyperlink"/>
            <w:rFonts w:cs="Arial"/>
          </w:rPr>
          <w:t>T-116/10</w:t>
        </w:r>
      </w:hyperlink>
      <w:r>
        <w:rPr>
          <w:rFonts w:cs="Arial"/>
        </w:rPr>
        <w:t>, Germany v Commission</w:t>
      </w:r>
      <w:r>
        <w:rPr>
          <w:rFonts w:cs="Arial"/>
          <w:szCs w:val="18"/>
        </w:rPr>
        <w:t>.</w:t>
      </w:r>
    </w:p>
  </w:footnote>
  <w:footnote w:id="131">
    <w:p w:rsidR="001557B7" w:rsidRDefault="00AD3265">
      <w:pPr>
        <w:pStyle w:val="FootnoteText"/>
      </w:pPr>
      <w:r>
        <w:rPr>
          <w:rStyle w:val="FootnoteReference"/>
          <w:rFonts w:cs="Arial"/>
        </w:rPr>
        <w:footnoteRef/>
      </w:r>
      <w:r>
        <w:rPr>
          <w:rFonts w:cs="Arial"/>
        </w:rPr>
        <w:t xml:space="preserve"> </w:t>
      </w:r>
      <w:r>
        <w:rPr>
          <w:rFonts w:cs="Arial"/>
        </w:rPr>
        <w:tab/>
        <w:t xml:space="preserve">TofuTown.com, </w:t>
      </w:r>
      <w:hyperlink r:id="rId192" w:history="1">
        <w:r>
          <w:rPr>
            <w:rStyle w:val="Hyperlink"/>
            <w:rFonts w:cs="Arial"/>
          </w:rPr>
          <w:t>C</w:t>
        </w:r>
        <w:r>
          <w:rPr>
            <w:rStyle w:val="Hyperlink"/>
            <w:rFonts w:ascii="MS Gothic" w:eastAsia="MS Gothic" w:hAnsi="MS Gothic" w:cs="MS Gothic"/>
          </w:rPr>
          <w:t>‑</w:t>
        </w:r>
        <w:r>
          <w:rPr>
            <w:rStyle w:val="Hyperlink"/>
            <w:rFonts w:cs="Arial"/>
          </w:rPr>
          <w:t>422/16</w:t>
        </w:r>
      </w:hyperlink>
      <w:r>
        <w:t xml:space="preserve"> and Court press release </w:t>
      </w:r>
      <w:hyperlink r:id="rId193" w:history="1">
        <w:r>
          <w:rPr>
            <w:rStyle w:val="Hyperlink"/>
          </w:rPr>
          <w:t>No 63/17</w:t>
        </w:r>
      </w:hyperlink>
      <w:r>
        <w:t>.</w:t>
      </w:r>
    </w:p>
  </w:footnote>
  <w:footnote w:id="132">
    <w:p w:rsidR="001557B7" w:rsidRDefault="00AD3265">
      <w:pPr>
        <w:pStyle w:val="FootnoteText"/>
        <w:rPr>
          <w:lang w:val="fr-BE"/>
        </w:rPr>
      </w:pPr>
      <w:r>
        <w:rPr>
          <w:rStyle w:val="FootnoteReference"/>
        </w:rPr>
        <w:footnoteRef/>
      </w:r>
      <w:r>
        <w:rPr>
          <w:lang w:val="fr-BE"/>
        </w:rPr>
        <w:t xml:space="preserve"> </w:t>
      </w:r>
      <w:r>
        <w:rPr>
          <w:lang w:val="fr-BE"/>
        </w:rPr>
        <w:tab/>
        <w:t xml:space="preserve">Comité Interprofessionnel du Vin de Champagne, </w:t>
      </w:r>
      <w:hyperlink r:id="rId194" w:history="1">
        <w:r>
          <w:rPr>
            <w:rStyle w:val="Hyperlink"/>
            <w:lang w:val="fr-BE"/>
          </w:rPr>
          <w:t>C-393/16</w:t>
        </w:r>
      </w:hyperlink>
      <w:r>
        <w:rPr>
          <w:lang w:val="fr-BE"/>
        </w:rPr>
        <w:t xml:space="preserve"> and Court press release </w:t>
      </w:r>
      <w:hyperlink r:id="rId195" w:history="1">
        <w:r>
          <w:rPr>
            <w:rStyle w:val="Hyperlink"/>
            <w:lang w:val="fr-BE"/>
          </w:rPr>
          <w:t>No 139/17</w:t>
        </w:r>
      </w:hyperlink>
      <w:r>
        <w:rPr>
          <w:lang w:val="fr-BE"/>
        </w:rPr>
        <w:t>.</w:t>
      </w:r>
    </w:p>
  </w:footnote>
  <w:footnote w:id="133">
    <w:p w:rsidR="001557B7" w:rsidRDefault="00AD3265">
      <w:pPr>
        <w:pStyle w:val="FootnoteText"/>
        <w:rPr>
          <w:lang w:val="fr-BE"/>
        </w:rPr>
      </w:pPr>
      <w:r>
        <w:rPr>
          <w:rStyle w:val="FootnoteReference"/>
        </w:rPr>
        <w:footnoteRef/>
      </w:r>
      <w:r>
        <w:rPr>
          <w:lang w:val="fr-BE"/>
        </w:rPr>
        <w:t xml:space="preserve"> </w:t>
      </w:r>
      <w:r>
        <w:rPr>
          <w:lang w:val="fr-BE"/>
        </w:rPr>
        <w:tab/>
        <w:t xml:space="preserve">Regulation </w:t>
      </w:r>
      <w:hyperlink r:id="rId196" w:history="1">
        <w:r>
          <w:rPr>
            <w:rStyle w:val="Hyperlink"/>
            <w:lang w:val="fr-BE"/>
          </w:rPr>
          <w:t>(EC) No 1907/2006</w:t>
        </w:r>
      </w:hyperlink>
      <w:r>
        <w:rPr>
          <w:lang w:val="fr-BE"/>
        </w:rPr>
        <w:t xml:space="preserve">, Pinckernelle, </w:t>
      </w:r>
      <w:hyperlink r:id="rId197" w:history="1">
        <w:r>
          <w:rPr>
            <w:rStyle w:val="Hyperlink"/>
            <w:lang w:val="fr-BE"/>
          </w:rPr>
          <w:t>C-535/15</w:t>
        </w:r>
      </w:hyperlink>
      <w:r>
        <w:rPr>
          <w:lang w:val="fr-BE"/>
        </w:rPr>
        <w:t>.</w:t>
      </w:r>
    </w:p>
  </w:footnote>
  <w:footnote w:id="134">
    <w:p w:rsidR="001557B7" w:rsidRDefault="00AD3265">
      <w:pPr>
        <w:pStyle w:val="FootnoteText"/>
        <w:rPr>
          <w:lang w:val="fr-BE"/>
        </w:rPr>
      </w:pPr>
      <w:r>
        <w:rPr>
          <w:rStyle w:val="FootnoteReference"/>
        </w:rPr>
        <w:footnoteRef/>
      </w:r>
      <w:r>
        <w:rPr>
          <w:lang w:val="fr-BE"/>
        </w:rPr>
        <w:t xml:space="preserve"> </w:t>
      </w:r>
      <w:r>
        <w:rPr>
          <w:lang w:val="fr-BE"/>
        </w:rPr>
        <w:tab/>
        <w:t xml:space="preserve">Jan Šalplachta, </w:t>
      </w:r>
      <w:hyperlink r:id="rId198" w:history="1">
        <w:r>
          <w:rPr>
            <w:rStyle w:val="Hyperlink"/>
            <w:lang w:val="fr-BE"/>
          </w:rPr>
          <w:t>C-670/15</w:t>
        </w:r>
      </w:hyperlink>
      <w:r>
        <w:rPr>
          <w:lang w:val="fr-BE"/>
        </w:rPr>
        <w:t>.</w:t>
      </w:r>
    </w:p>
  </w:footnote>
  <w:footnote w:id="135">
    <w:p w:rsidR="001557B7" w:rsidRDefault="00AD3265">
      <w:pPr>
        <w:pStyle w:val="FootnoteText"/>
      </w:pPr>
      <w:r>
        <w:rPr>
          <w:rStyle w:val="FootnoteReference"/>
        </w:rPr>
        <w:footnoteRef/>
      </w:r>
      <w:r>
        <w:t xml:space="preserve"> </w:t>
      </w:r>
      <w:r>
        <w:tab/>
        <w:t xml:space="preserve">Regulation </w:t>
      </w:r>
      <w:hyperlink r:id="rId199" w:history="1">
        <w:r>
          <w:rPr>
            <w:rStyle w:val="Hyperlink"/>
          </w:rPr>
          <w:t>(EU) No 1259/2010</w:t>
        </w:r>
      </w:hyperlink>
      <w:r>
        <w:t>.</w:t>
      </w:r>
    </w:p>
  </w:footnote>
  <w:footnote w:id="136">
    <w:p w:rsidR="001557B7" w:rsidRDefault="00AD3265">
      <w:pPr>
        <w:pStyle w:val="FootnoteText"/>
      </w:pPr>
      <w:r>
        <w:rPr>
          <w:rStyle w:val="FootnoteReference"/>
        </w:rPr>
        <w:footnoteRef/>
      </w:r>
      <w:r>
        <w:t xml:space="preserve"> </w:t>
      </w:r>
      <w:r>
        <w:tab/>
        <w:t xml:space="preserve">Sahyouni, </w:t>
      </w:r>
      <w:hyperlink r:id="rId200" w:history="1">
        <w:r>
          <w:rPr>
            <w:rStyle w:val="Hyperlink"/>
          </w:rPr>
          <w:t>C-372/16</w:t>
        </w:r>
      </w:hyperlink>
      <w:r>
        <w:t xml:space="preserve"> and Court press r</w:t>
      </w:r>
      <w:r>
        <w:t xml:space="preserve">elease </w:t>
      </w:r>
      <w:hyperlink r:id="rId201" w:history="1">
        <w:r>
          <w:rPr>
            <w:rStyle w:val="Hyperlink"/>
          </w:rPr>
          <w:t>No 137/17</w:t>
        </w:r>
      </w:hyperlink>
      <w:r>
        <w:t>.</w:t>
      </w:r>
    </w:p>
  </w:footnote>
  <w:footnote w:id="137">
    <w:p w:rsidR="001557B7" w:rsidRDefault="00AD3265">
      <w:pPr>
        <w:pStyle w:val="FootnoteText"/>
      </w:pPr>
      <w:r>
        <w:rPr>
          <w:rStyle w:val="FootnoteReference"/>
        </w:rPr>
        <w:footnoteRef/>
      </w:r>
      <w:r>
        <w:t xml:space="preserve"> </w:t>
      </w:r>
      <w:r>
        <w:tab/>
        <w:t xml:space="preserve">Directive </w:t>
      </w:r>
      <w:hyperlink r:id="rId202" w:history="1">
        <w:r>
          <w:rPr>
            <w:rStyle w:val="Hyperlink"/>
          </w:rPr>
          <w:t>2011/83/EU</w:t>
        </w:r>
      </w:hyperlink>
      <w:r>
        <w:t>.</w:t>
      </w:r>
    </w:p>
  </w:footnote>
  <w:footnote w:id="138">
    <w:p w:rsidR="001557B7" w:rsidRDefault="00AD3265">
      <w:pPr>
        <w:pStyle w:val="FootnoteText"/>
      </w:pPr>
      <w:r>
        <w:rPr>
          <w:rStyle w:val="FootnoteReference"/>
        </w:rPr>
        <w:footnoteRef/>
      </w:r>
      <w:r>
        <w:t xml:space="preserve"> </w:t>
      </w:r>
      <w:r>
        <w:tab/>
        <w:t>Zentrale zu</w:t>
      </w:r>
      <w:r>
        <w:t xml:space="preserve">r Bekämpfung des unlauteren Wettbewerbs, </w:t>
      </w:r>
      <w:hyperlink r:id="rId203" w:history="1">
        <w:r>
          <w:rPr>
            <w:rStyle w:val="Hyperlink"/>
          </w:rPr>
          <w:t>C-568/15</w:t>
        </w:r>
      </w:hyperlink>
      <w:r>
        <w:t xml:space="preserve"> and Court press release </w:t>
      </w:r>
      <w:hyperlink r:id="rId204" w:history="1">
        <w:r>
          <w:rPr>
            <w:rStyle w:val="Hyperlink"/>
          </w:rPr>
          <w:t>No 21/17</w:t>
        </w:r>
      </w:hyperlink>
      <w:r>
        <w:t>.</w:t>
      </w:r>
    </w:p>
  </w:footnote>
  <w:footnote w:id="139">
    <w:p w:rsidR="001557B7" w:rsidRDefault="00AD3265">
      <w:pPr>
        <w:pStyle w:val="FootnoteText"/>
        <w:rPr>
          <w:lang w:val="de-DE"/>
        </w:rPr>
      </w:pPr>
      <w:r>
        <w:rPr>
          <w:rStyle w:val="FootnoteReference"/>
        </w:rPr>
        <w:footnoteRef/>
      </w:r>
      <w:r>
        <w:rPr>
          <w:lang w:val="de-DE"/>
        </w:rPr>
        <w:t xml:space="preserve"> </w:t>
      </w:r>
      <w:r>
        <w:rPr>
          <w:lang w:val="de-DE"/>
        </w:rPr>
        <w:tab/>
        <w:t xml:space="preserve">Tekdemir v Kreis Bergstraße, </w:t>
      </w:r>
      <w:hyperlink r:id="rId205" w:history="1">
        <w:r>
          <w:rPr>
            <w:rStyle w:val="Hyperlink"/>
            <w:lang w:val="de-DE"/>
          </w:rPr>
          <w:t>C-652/15</w:t>
        </w:r>
      </w:hyperlink>
      <w:r>
        <w:rPr>
          <w:lang w:val="de-DE"/>
        </w:rPr>
        <w:t>.</w:t>
      </w:r>
    </w:p>
  </w:footnote>
  <w:footnote w:id="140">
    <w:p w:rsidR="001557B7" w:rsidRDefault="00AD3265">
      <w:pPr>
        <w:pStyle w:val="FootnoteText"/>
        <w:rPr>
          <w:rFonts w:ascii="Times New Roman" w:hAnsi="Times New Roman"/>
          <w:sz w:val="20"/>
          <w:lang w:val="de-DE"/>
        </w:rPr>
      </w:pPr>
      <w:r>
        <w:rPr>
          <w:rStyle w:val="FootnoteReference"/>
        </w:rPr>
        <w:footnoteRef/>
      </w:r>
      <w:r>
        <w:rPr>
          <w:lang w:val="de-DE"/>
        </w:rPr>
        <w:t xml:space="preserve"> </w:t>
      </w:r>
      <w:r>
        <w:rPr>
          <w:lang w:val="de-DE"/>
        </w:rPr>
        <w:tab/>
        <w:t xml:space="preserve">Fahimian, </w:t>
      </w:r>
      <w:hyperlink r:id="rId206" w:history="1">
        <w:r>
          <w:rPr>
            <w:rStyle w:val="Hyperlink"/>
            <w:lang w:val="de-DE"/>
          </w:rPr>
          <w:t>C-544/15</w:t>
        </w:r>
      </w:hyperlink>
      <w:r>
        <w:rPr>
          <w:lang w:val="de-DE"/>
        </w:rPr>
        <w:t>.</w:t>
      </w:r>
    </w:p>
  </w:footnote>
  <w:footnote w:id="141">
    <w:p w:rsidR="001557B7" w:rsidRDefault="00AD3265">
      <w:pPr>
        <w:pStyle w:val="FootnoteText"/>
        <w:rPr>
          <w:lang w:val="de-DE"/>
        </w:rPr>
      </w:pPr>
      <w:r>
        <w:rPr>
          <w:rStyle w:val="FootnoteReference"/>
        </w:rPr>
        <w:footnoteRef/>
      </w:r>
      <w:r>
        <w:rPr>
          <w:lang w:val="de-DE"/>
        </w:rPr>
        <w:t xml:space="preserve"> </w:t>
      </w:r>
      <w:r>
        <w:rPr>
          <w:lang w:val="de-DE"/>
        </w:rPr>
        <w:tab/>
        <w:t xml:space="preserve">CTL Logistics GmbH, </w:t>
      </w:r>
      <w:hyperlink r:id="rId207" w:history="1">
        <w:r>
          <w:rPr>
            <w:rStyle w:val="Hyperlink"/>
            <w:lang w:val="de-DE"/>
          </w:rPr>
          <w:t>C-489/15</w:t>
        </w:r>
      </w:hyperlink>
      <w:r>
        <w:rPr>
          <w:lang w:val="de-DE"/>
        </w:rPr>
        <w:t>.</w:t>
      </w:r>
    </w:p>
  </w:footnote>
  <w:footnote w:id="142">
    <w:p w:rsidR="001557B7" w:rsidRDefault="00AD3265">
      <w:pPr>
        <w:pStyle w:val="FootnoteText"/>
        <w:rPr>
          <w:lang w:val="de-DE"/>
        </w:rPr>
      </w:pPr>
      <w:r>
        <w:rPr>
          <w:rStyle w:val="FootnoteReference"/>
        </w:rPr>
        <w:footnoteRef/>
      </w:r>
      <w:r>
        <w:rPr>
          <w:lang w:val="de-DE"/>
        </w:rPr>
        <w:t xml:space="preserve"> </w:t>
      </w:r>
      <w:r>
        <w:rPr>
          <w:lang w:val="de-DE"/>
        </w:rPr>
        <w:tab/>
        <w:t xml:space="preserve">Erzberger, </w:t>
      </w:r>
      <w:hyperlink r:id="rId208" w:history="1">
        <w:r>
          <w:rPr>
            <w:rStyle w:val="Hyperlink"/>
            <w:lang w:val="de-DE"/>
          </w:rPr>
          <w:t>C-566/15</w:t>
        </w:r>
      </w:hyperlink>
      <w:r>
        <w:rPr>
          <w:lang w:val="de-DE"/>
        </w:rPr>
        <w:t>.</w:t>
      </w:r>
    </w:p>
  </w:footnote>
  <w:footnote w:id="143">
    <w:p w:rsidR="001557B7" w:rsidRDefault="00AD3265">
      <w:pPr>
        <w:pStyle w:val="FootnoteText"/>
        <w:rPr>
          <w:lang w:val="de-DE"/>
        </w:rPr>
      </w:pPr>
      <w:r>
        <w:rPr>
          <w:rStyle w:val="FootnoteReference"/>
        </w:rPr>
        <w:footnoteRef/>
      </w:r>
      <w:r>
        <w:rPr>
          <w:lang w:val="de-DE"/>
        </w:rPr>
        <w:t xml:space="preserve"> </w:t>
      </w:r>
      <w:r>
        <w:rPr>
          <w:lang w:val="de-DE"/>
        </w:rPr>
        <w:tab/>
        <w:t xml:space="preserve">Deister, </w:t>
      </w:r>
      <w:hyperlink r:id="rId209" w:history="1">
        <w:r>
          <w:rPr>
            <w:rStyle w:val="Hyperlink"/>
            <w:lang w:val="de-DE"/>
          </w:rPr>
          <w:t>C-504/16</w:t>
        </w:r>
      </w:hyperlink>
      <w:r>
        <w:rPr>
          <w:lang w:val="de-DE"/>
        </w:rPr>
        <w:t xml:space="preserve"> and Juhler Holding, </w:t>
      </w:r>
      <w:hyperlink r:id="rId210" w:history="1">
        <w:r>
          <w:rPr>
            <w:rStyle w:val="Hyperlink"/>
            <w:lang w:val="de-DE"/>
          </w:rPr>
          <w:t>C-613/16</w:t>
        </w:r>
      </w:hyperlink>
      <w:r>
        <w:rPr>
          <w:lang w:val="de-DE"/>
        </w:rPr>
        <w:t>.</w:t>
      </w:r>
    </w:p>
  </w:footnote>
  <w:footnote w:id="144">
    <w:p w:rsidR="001557B7" w:rsidRDefault="00AD3265">
      <w:pPr>
        <w:pStyle w:val="FootnoteText"/>
        <w:rPr>
          <w:lang w:val="de-DE"/>
        </w:rPr>
      </w:pPr>
      <w:r>
        <w:rPr>
          <w:rStyle w:val="FootnoteReference"/>
        </w:rPr>
        <w:footnoteRef/>
      </w:r>
      <w:r>
        <w:rPr>
          <w:lang w:val="de-DE"/>
        </w:rPr>
        <w:t xml:space="preserve"> </w:t>
      </w:r>
      <w:r>
        <w:rPr>
          <w:lang w:val="de-DE"/>
        </w:rPr>
        <w:tab/>
        <w:t xml:space="preserve">Bechtel &amp; Bechtel, </w:t>
      </w:r>
      <w:hyperlink r:id="rId211" w:history="1">
        <w:r>
          <w:rPr>
            <w:rStyle w:val="Hyperlink"/>
            <w:lang w:val="de-DE"/>
          </w:rPr>
          <w:t>C-20/16</w:t>
        </w:r>
      </w:hyperlink>
      <w:r>
        <w:rPr>
          <w:lang w:val="de-DE"/>
        </w:rPr>
        <w:t>.</w:t>
      </w:r>
    </w:p>
  </w:footnote>
  <w:footnote w:id="145">
    <w:p w:rsidR="001557B7" w:rsidRDefault="00AD3265">
      <w:pPr>
        <w:pStyle w:val="FootnoteText"/>
        <w:rPr>
          <w:lang w:val="de-DE"/>
        </w:rPr>
      </w:pPr>
      <w:r>
        <w:rPr>
          <w:rStyle w:val="FootnoteReference"/>
        </w:rPr>
        <w:footnoteRef/>
      </w:r>
      <w:r>
        <w:rPr>
          <w:lang w:val="de-DE"/>
        </w:rPr>
        <w:t xml:space="preserve"> </w:t>
      </w:r>
      <w:r>
        <w:rPr>
          <w:lang w:val="de-DE"/>
        </w:rPr>
        <w:tab/>
        <w:t xml:space="preserve">Freitag, </w:t>
      </w:r>
      <w:hyperlink r:id="rId212" w:history="1">
        <w:r>
          <w:rPr>
            <w:rStyle w:val="Hyperlink"/>
            <w:lang w:val="de-DE"/>
          </w:rPr>
          <w:t>C-541/15</w:t>
        </w:r>
      </w:hyperlink>
      <w:r>
        <w:rPr>
          <w:lang w:val="de-DE"/>
        </w:rPr>
        <w:t>.</w:t>
      </w:r>
    </w:p>
  </w:footnote>
  <w:footnote w:id="146">
    <w:p w:rsidR="001557B7" w:rsidRDefault="00AD3265">
      <w:pPr>
        <w:pStyle w:val="FootnoteText"/>
        <w:rPr>
          <w:lang w:val="de-DE"/>
        </w:rPr>
      </w:pPr>
      <w:r>
        <w:rPr>
          <w:rStyle w:val="FootnoteReference"/>
        </w:rPr>
        <w:footnoteRef/>
      </w:r>
      <w:r>
        <w:rPr>
          <w:lang w:val="de-DE"/>
        </w:rPr>
        <w:t xml:space="preserve"> </w:t>
      </w:r>
      <w:r>
        <w:rPr>
          <w:lang w:val="de-DE"/>
        </w:rPr>
        <w:tab/>
        <w:t xml:space="preserve">Hamamatsu Photonics Deutschland GmbH, </w:t>
      </w:r>
      <w:hyperlink r:id="rId213" w:history="1">
        <w:r>
          <w:rPr>
            <w:rStyle w:val="Hyperlink"/>
            <w:lang w:val="de-DE"/>
          </w:rPr>
          <w:t>C-529/16</w:t>
        </w:r>
      </w:hyperlink>
      <w:r>
        <w:rPr>
          <w:lang w:val="de-DE"/>
        </w:rPr>
        <w:t>.</w:t>
      </w:r>
    </w:p>
  </w:footnote>
  <w:footnote w:id="147">
    <w:p w:rsidR="001557B7" w:rsidRDefault="00AD3265">
      <w:pPr>
        <w:pStyle w:val="FootnoteText"/>
      </w:pPr>
      <w:r>
        <w:rPr>
          <w:rStyle w:val="FootnoteReference"/>
        </w:rPr>
        <w:footnoteRef/>
      </w:r>
      <w:r>
        <w:t xml:space="preserve"> </w:t>
      </w:r>
      <w:r>
        <w:tab/>
      </w:r>
      <w:r>
        <w:rPr>
          <w:rStyle w:val="affairetitle"/>
        </w:rPr>
        <w:t>Fries</w:t>
      </w:r>
      <w:r>
        <w:t xml:space="preserve">, </w:t>
      </w:r>
      <w:hyperlink r:id="rId214" w:history="1">
        <w:r>
          <w:rPr>
            <w:rStyle w:val="Hyperlink"/>
          </w:rPr>
          <w:t>C-190/16</w:t>
        </w:r>
      </w:hyperlink>
      <w:r>
        <w:t xml:space="preserve"> and Court press release</w:t>
      </w:r>
      <w:hyperlink r:id="rId215" w:history="1">
        <w:r>
          <w:rPr>
            <w:rStyle w:val="Hyperlink"/>
          </w:rPr>
          <w:t xml:space="preserve"> No 73/17</w:t>
        </w:r>
      </w:hyperlink>
      <w:r>
        <w:t>.</w:t>
      </w:r>
    </w:p>
  </w:footnote>
  <w:footnote w:id="148">
    <w:p w:rsidR="001557B7" w:rsidRDefault="00AD3265">
      <w:pPr>
        <w:pStyle w:val="FootnoteText"/>
      </w:pPr>
      <w:r>
        <w:rPr>
          <w:rStyle w:val="FootnoteReference"/>
        </w:rPr>
        <w:footnoteRef/>
      </w:r>
      <w:r>
        <w:t xml:space="preserve"> </w:t>
      </w:r>
      <w:r>
        <w:tab/>
        <w:t xml:space="preserve">Air Berlin, </w:t>
      </w:r>
      <w:hyperlink r:id="rId216" w:history="1">
        <w:r>
          <w:rPr>
            <w:rStyle w:val="Hyperlink"/>
          </w:rPr>
          <w:t>C-290/16</w:t>
        </w:r>
      </w:hyperlink>
      <w:r>
        <w:t xml:space="preserve"> and Court press release </w:t>
      </w:r>
      <w:hyperlink r:id="rId217" w:history="1">
        <w:r>
          <w:rPr>
            <w:rStyle w:val="Hyperlink"/>
          </w:rPr>
          <w:t>No 75/17.</w:t>
        </w:r>
      </w:hyperlink>
    </w:p>
  </w:footnote>
  <w:footnote w:id="149">
    <w:p w:rsidR="001557B7" w:rsidRDefault="00AD3265">
      <w:pPr>
        <w:pStyle w:val="FootnoteText"/>
      </w:pPr>
      <w:r>
        <w:rPr>
          <w:rStyle w:val="FootnoteReference"/>
        </w:rPr>
        <w:footnoteRef/>
      </w:r>
      <w:r>
        <w:t xml:space="preserve"> </w:t>
      </w:r>
      <w:r>
        <w:tab/>
        <w:t xml:space="preserve">Bossen and Others, </w:t>
      </w:r>
      <w:hyperlink r:id="rId218" w:history="1">
        <w:r>
          <w:rPr>
            <w:rStyle w:val="Hyperlink"/>
          </w:rPr>
          <w:t>C-559/16</w:t>
        </w:r>
      </w:hyperlink>
      <w:r>
        <w:t xml:space="preserve"> and Court press release </w:t>
      </w:r>
      <w:hyperlink r:id="rId219" w:history="1">
        <w:r>
          <w:rPr>
            <w:rStyle w:val="Hyperlink"/>
          </w:rPr>
          <w:t>No 92/17</w:t>
        </w:r>
      </w:hyperlink>
      <w:r>
        <w:t>.</w:t>
      </w:r>
    </w:p>
  </w:footnote>
  <w:footnote w:id="150">
    <w:p w:rsidR="001557B7" w:rsidRDefault="00AD3265">
      <w:pPr>
        <w:pStyle w:val="FootnoteText"/>
      </w:pPr>
      <w:r>
        <w:rPr>
          <w:rStyle w:val="FootnoteReference"/>
        </w:rPr>
        <w:footnoteRef/>
      </w:r>
      <w:r>
        <w:t xml:space="preserve"> </w:t>
      </w:r>
      <w:r>
        <w:tab/>
        <w:t xml:space="preserve">Directives </w:t>
      </w:r>
      <w:hyperlink r:id="rId220" w:history="1">
        <w:r>
          <w:rPr>
            <w:rStyle w:val="Hyperlink"/>
          </w:rPr>
          <w:t>2009/72/EC</w:t>
        </w:r>
      </w:hyperlink>
      <w:r>
        <w:t xml:space="preserve"> and </w:t>
      </w:r>
      <w:hyperlink r:id="rId221" w:history="1">
        <w:r>
          <w:rPr>
            <w:rStyle w:val="Hyperlink"/>
          </w:rPr>
          <w:t>2009/73/EC</w:t>
        </w:r>
      </w:hyperlink>
      <w:r>
        <w:t xml:space="preserve">, </w:t>
      </w:r>
      <w:hyperlink r:id="rId222" w:history="1">
        <w:r>
          <w:rPr>
            <w:rStyle w:val="Hyperlink"/>
          </w:rPr>
          <w:t>MEMO/17/1281</w:t>
        </w:r>
      </w:hyperlink>
      <w:r>
        <w:t>.</w:t>
      </w:r>
    </w:p>
  </w:footnote>
  <w:footnote w:id="151">
    <w:p w:rsidR="001557B7" w:rsidRDefault="00AD3265">
      <w:pPr>
        <w:pStyle w:val="FootnoteText"/>
      </w:pPr>
      <w:r>
        <w:rPr>
          <w:rStyle w:val="FootnoteReference"/>
        </w:rPr>
        <w:footnoteRef/>
      </w:r>
      <w:r>
        <w:t xml:space="preserve"> </w:t>
      </w:r>
      <w:r>
        <w:tab/>
        <w:t xml:space="preserve">Directives </w:t>
      </w:r>
      <w:hyperlink r:id="rId223" w:history="1">
        <w:r>
          <w:rPr>
            <w:rStyle w:val="Hyperlink"/>
          </w:rPr>
          <w:t>2016/1034/EU</w:t>
        </w:r>
      </w:hyperlink>
      <w:r>
        <w:t xml:space="preserve"> and </w:t>
      </w:r>
      <w:hyperlink r:id="rId224" w:history="1">
        <w:r>
          <w:rPr>
            <w:rStyle w:val="Hyperlink"/>
          </w:rPr>
          <w:t>2014/56/EU</w:t>
        </w:r>
      </w:hyperlink>
      <w:r>
        <w:t>.</w:t>
      </w:r>
    </w:p>
  </w:footnote>
  <w:footnote w:id="152">
    <w:p w:rsidR="001557B7" w:rsidRDefault="00AD3265">
      <w:pPr>
        <w:pStyle w:val="FootnoteText"/>
      </w:pPr>
      <w:r>
        <w:rPr>
          <w:rStyle w:val="FootnoteReference"/>
        </w:rPr>
        <w:footnoteRef/>
      </w:r>
      <w:r>
        <w:t xml:space="preserve"> </w:t>
      </w:r>
      <w:r>
        <w:tab/>
        <w:t xml:space="preserve">Directive </w:t>
      </w:r>
      <w:hyperlink r:id="rId225" w:history="1">
        <w:r>
          <w:rPr>
            <w:rStyle w:val="Hyperlink"/>
          </w:rPr>
          <w:t>2015/849/EU</w:t>
        </w:r>
      </w:hyperlink>
      <w:r>
        <w:t>.</w:t>
      </w:r>
    </w:p>
  </w:footnote>
  <w:footnote w:id="153">
    <w:p w:rsidR="001557B7" w:rsidRDefault="00AD3265">
      <w:pPr>
        <w:pStyle w:val="FootnoteText"/>
      </w:pPr>
      <w:r>
        <w:rPr>
          <w:rStyle w:val="FootnoteReference"/>
        </w:rPr>
        <w:footnoteRef/>
      </w:r>
      <w:r>
        <w:t xml:space="preserve"> </w:t>
      </w:r>
      <w:r>
        <w:tab/>
        <w:t xml:space="preserve">Directive </w:t>
      </w:r>
      <w:hyperlink r:id="rId226" w:history="1">
        <w:r>
          <w:rPr>
            <w:rStyle w:val="Hyperlink"/>
          </w:rPr>
          <w:t>(EU) 2015/652.</w:t>
        </w:r>
      </w:hyperlink>
    </w:p>
  </w:footnote>
  <w:footnote w:id="154">
    <w:p w:rsidR="001557B7" w:rsidRDefault="00AD3265">
      <w:pPr>
        <w:pStyle w:val="FootnoteText"/>
      </w:pPr>
      <w:r>
        <w:rPr>
          <w:rStyle w:val="FootnoteReference"/>
        </w:rPr>
        <w:footnoteRef/>
      </w:r>
      <w:r>
        <w:t xml:space="preserve"> </w:t>
      </w:r>
      <w:r>
        <w:tab/>
        <w:t xml:space="preserve">Directive </w:t>
      </w:r>
      <w:hyperlink r:id="rId227" w:history="1">
        <w:r>
          <w:rPr>
            <w:rStyle w:val="Hyperlink"/>
          </w:rPr>
          <w:t>98/70/EC</w:t>
        </w:r>
      </w:hyperlink>
      <w:r>
        <w:t>.</w:t>
      </w:r>
    </w:p>
  </w:footnote>
  <w:footnote w:id="155">
    <w:p w:rsidR="001557B7" w:rsidRDefault="00AD3265">
      <w:pPr>
        <w:pStyle w:val="FootnoteText"/>
      </w:pPr>
      <w:r>
        <w:rPr>
          <w:rStyle w:val="FootnoteReference"/>
        </w:rPr>
        <w:footnoteRef/>
      </w:r>
      <w:r>
        <w:t xml:space="preserve"> </w:t>
      </w:r>
      <w:r>
        <w:tab/>
        <w:t xml:space="preserve">Directive </w:t>
      </w:r>
      <w:hyperlink r:id="rId228" w:history="1">
        <w:r>
          <w:rPr>
            <w:rStyle w:val="Hyperlink"/>
          </w:rPr>
          <w:t>2014/112/EU</w:t>
        </w:r>
      </w:hyperlink>
      <w:r>
        <w:t>.</w:t>
      </w:r>
    </w:p>
  </w:footnote>
  <w:footnote w:id="156">
    <w:p w:rsidR="001557B7" w:rsidRDefault="00AD3265">
      <w:pPr>
        <w:pStyle w:val="FootnoteText"/>
        <w:rPr>
          <w:szCs w:val="18"/>
        </w:rPr>
      </w:pPr>
      <w:r>
        <w:rPr>
          <w:rStyle w:val="FootnoteReference"/>
          <w:szCs w:val="18"/>
        </w:rPr>
        <w:footnoteRef/>
      </w:r>
      <w:r>
        <w:rPr>
          <w:szCs w:val="18"/>
        </w:rPr>
        <w:t xml:space="preserve"> </w:t>
      </w:r>
      <w:r>
        <w:rPr>
          <w:szCs w:val="18"/>
        </w:rPr>
        <w:tab/>
      </w:r>
      <w:r>
        <w:t xml:space="preserve">Commission Decisions </w:t>
      </w:r>
      <w:hyperlink r:id="rId229" w:history="1">
        <w:r>
          <w:rPr>
            <w:rStyle w:val="Hyperlink"/>
          </w:rPr>
          <w:t>C (2013) 6181</w:t>
        </w:r>
      </w:hyperlink>
      <w:r>
        <w:t xml:space="preserve"> and </w:t>
      </w:r>
      <w:hyperlink r:id="rId230" w:history="1">
        <w:r>
          <w:rPr>
            <w:rStyle w:val="Hyperlink"/>
          </w:rPr>
          <w:t>C(</w:t>
        </w:r>
        <w:r>
          <w:rPr>
            <w:rStyle w:val="Hyperlink"/>
          </w:rPr>
          <w:t>2013)6178</w:t>
        </w:r>
      </w:hyperlink>
      <w:r>
        <w:t>.</w:t>
      </w:r>
    </w:p>
  </w:footnote>
  <w:footnote w:id="157">
    <w:p w:rsidR="001557B7" w:rsidRDefault="00AD3265">
      <w:pPr>
        <w:pStyle w:val="FootnoteText"/>
        <w:rPr>
          <w:szCs w:val="18"/>
        </w:rPr>
      </w:pPr>
      <w:r>
        <w:rPr>
          <w:rStyle w:val="FootnoteReference"/>
          <w:szCs w:val="18"/>
        </w:rPr>
        <w:footnoteRef/>
      </w:r>
      <w:r>
        <w:rPr>
          <w:szCs w:val="18"/>
        </w:rPr>
        <w:t xml:space="preserve"> </w:t>
      </w:r>
      <w:r>
        <w:rPr>
          <w:szCs w:val="18"/>
        </w:rPr>
        <w:tab/>
      </w:r>
      <w:r>
        <w:t xml:space="preserve">Directive </w:t>
      </w:r>
      <w:hyperlink r:id="rId231" w:history="1">
        <w:r>
          <w:rPr>
            <w:rStyle w:val="Hyperlink"/>
          </w:rPr>
          <w:t>2014/36/EU</w:t>
        </w:r>
      </w:hyperlink>
      <w:r>
        <w:t>.</w:t>
      </w:r>
    </w:p>
  </w:footnote>
  <w:footnote w:id="158">
    <w:p w:rsidR="001557B7" w:rsidRDefault="00AD3265">
      <w:pPr>
        <w:pStyle w:val="FootnoteText"/>
        <w:rPr>
          <w:szCs w:val="18"/>
        </w:rPr>
      </w:pPr>
      <w:r>
        <w:rPr>
          <w:rStyle w:val="FootnoteReference"/>
          <w:szCs w:val="18"/>
        </w:rPr>
        <w:footnoteRef/>
      </w:r>
      <w:r>
        <w:rPr>
          <w:szCs w:val="18"/>
        </w:rPr>
        <w:t xml:space="preserve"> </w:t>
      </w:r>
      <w:r>
        <w:rPr>
          <w:szCs w:val="18"/>
        </w:rPr>
        <w:tab/>
      </w:r>
      <w:r>
        <w:t xml:space="preserve">Directives </w:t>
      </w:r>
      <w:hyperlink r:id="rId232" w:history="1">
        <w:r>
          <w:rPr>
            <w:rStyle w:val="Hyperlink"/>
          </w:rPr>
          <w:t>2013/34/EU</w:t>
        </w:r>
      </w:hyperlink>
      <w:r>
        <w:t xml:space="preserve"> </w:t>
      </w:r>
      <w:r>
        <w:rPr>
          <w:szCs w:val="18"/>
        </w:rPr>
        <w:t xml:space="preserve">and </w:t>
      </w:r>
      <w:hyperlink r:id="rId233" w:history="1">
        <w:r>
          <w:rPr>
            <w:rStyle w:val="Hyperlink"/>
            <w:szCs w:val="18"/>
          </w:rPr>
          <w:t>2014/91/EU</w:t>
        </w:r>
      </w:hyperlink>
      <w:r>
        <w:rPr>
          <w:szCs w:val="18"/>
        </w:rPr>
        <w:t>.</w:t>
      </w:r>
    </w:p>
  </w:footnote>
  <w:footnote w:id="159">
    <w:p w:rsidR="001557B7" w:rsidRDefault="00AD3265">
      <w:pPr>
        <w:pStyle w:val="FootnoteText"/>
      </w:pPr>
      <w:r>
        <w:rPr>
          <w:rStyle w:val="FootnoteReference"/>
          <w:szCs w:val="18"/>
        </w:rPr>
        <w:footnoteRef/>
      </w:r>
      <w:r>
        <w:rPr>
          <w:szCs w:val="18"/>
        </w:rPr>
        <w:t xml:space="preserve"> </w:t>
      </w:r>
      <w:r>
        <w:rPr>
          <w:szCs w:val="18"/>
        </w:rPr>
        <w:tab/>
      </w:r>
      <w:r>
        <w:t xml:space="preserve">Directive </w:t>
      </w:r>
      <w:hyperlink r:id="rId234" w:history="1">
        <w:r>
          <w:rPr>
            <w:color w:val="0000FF"/>
            <w:u w:val="single"/>
          </w:rPr>
          <w:t>2012/34/EU</w:t>
        </w:r>
      </w:hyperlink>
      <w:r>
        <w:t>.</w:t>
      </w:r>
    </w:p>
  </w:footnote>
  <w:footnote w:id="160">
    <w:p w:rsidR="001557B7" w:rsidRDefault="00AD3265">
      <w:pPr>
        <w:pStyle w:val="FootnoteText"/>
        <w:rPr>
          <w:szCs w:val="18"/>
        </w:rPr>
      </w:pPr>
      <w:r>
        <w:rPr>
          <w:rStyle w:val="FootnoteReference"/>
          <w:szCs w:val="18"/>
        </w:rPr>
        <w:footnoteRef/>
      </w:r>
      <w:r>
        <w:rPr>
          <w:szCs w:val="18"/>
        </w:rPr>
        <w:t xml:space="preserve"> </w:t>
      </w:r>
      <w:r>
        <w:rPr>
          <w:szCs w:val="18"/>
        </w:rPr>
        <w:tab/>
        <w:t xml:space="preserve">Directive </w:t>
      </w:r>
      <w:hyperlink r:id="rId235" w:history="1">
        <w:r>
          <w:rPr>
            <w:rStyle w:val="Hyperlink"/>
            <w:szCs w:val="18"/>
          </w:rPr>
          <w:t>2014/94/EU</w:t>
        </w:r>
      </w:hyperlink>
      <w:r>
        <w:rPr>
          <w:szCs w:val="18"/>
        </w:rPr>
        <w:t>.</w:t>
      </w:r>
    </w:p>
  </w:footnote>
  <w:footnote w:id="161">
    <w:p w:rsidR="001557B7" w:rsidRDefault="00AD3265">
      <w:pPr>
        <w:pStyle w:val="FootnoteText"/>
        <w:rPr>
          <w:sz w:val="16"/>
        </w:rPr>
      </w:pPr>
      <w:r>
        <w:rPr>
          <w:rStyle w:val="FootnoteReference"/>
          <w:szCs w:val="18"/>
        </w:rPr>
        <w:footnoteRef/>
      </w:r>
      <w:r>
        <w:rPr>
          <w:szCs w:val="18"/>
        </w:rPr>
        <w:t xml:space="preserve"> </w:t>
      </w:r>
      <w:r>
        <w:rPr>
          <w:szCs w:val="18"/>
        </w:rPr>
        <w:tab/>
        <w:t>These rulings are almost exclusively handed down in infringement procedures.</w:t>
      </w:r>
    </w:p>
  </w:footnote>
  <w:footnote w:id="162">
    <w:p w:rsidR="001557B7" w:rsidRDefault="00AD3265">
      <w:pPr>
        <w:pStyle w:val="FootnoteText"/>
      </w:pPr>
      <w:r>
        <w:rPr>
          <w:rStyle w:val="FootnoteReference"/>
        </w:rPr>
        <w:footnoteRef/>
      </w:r>
      <w:r>
        <w:t xml:space="preserve"> </w:t>
      </w:r>
      <w:r>
        <w:tab/>
        <w:t xml:space="preserve">Council Decision </w:t>
      </w:r>
      <w:hyperlink r:id="rId236" w:history="1">
        <w:r>
          <w:rPr>
            <w:rStyle w:val="Hyperlink"/>
          </w:rPr>
          <w:t>2002/192/EC</w:t>
        </w:r>
      </w:hyperlink>
      <w:r>
        <w:t>.</w:t>
      </w:r>
    </w:p>
  </w:footnote>
  <w:footnote w:id="163">
    <w:p w:rsidR="001557B7" w:rsidRDefault="00AD3265">
      <w:pPr>
        <w:pStyle w:val="FootnoteText"/>
      </w:pPr>
      <w:r>
        <w:rPr>
          <w:rStyle w:val="FootnoteReference"/>
        </w:rPr>
        <w:footnoteRef/>
      </w:r>
      <w:r>
        <w:t xml:space="preserve"> </w:t>
      </w:r>
      <w:r>
        <w:tab/>
        <w:t xml:space="preserve">Council Decisions </w:t>
      </w:r>
      <w:hyperlink r:id="rId237" w:history="1">
        <w:r>
          <w:rPr>
            <w:rStyle w:val="Hyperlink"/>
          </w:rPr>
          <w:t>2008/615/JHA</w:t>
        </w:r>
      </w:hyperlink>
      <w:r>
        <w:t xml:space="preserve"> and </w:t>
      </w:r>
      <w:hyperlink r:id="rId238" w:history="1">
        <w:r>
          <w:rPr>
            <w:rStyle w:val="Hyperlink"/>
          </w:rPr>
          <w:t>2008/616/JHA</w:t>
        </w:r>
      </w:hyperlink>
      <w:r>
        <w:t>.</w:t>
      </w:r>
    </w:p>
  </w:footnote>
  <w:footnote w:id="164">
    <w:p w:rsidR="001557B7" w:rsidRDefault="00AD3265">
      <w:pPr>
        <w:pStyle w:val="FootnoteText"/>
        <w:rPr>
          <w:lang w:val="pt-PT"/>
        </w:rPr>
      </w:pPr>
      <w:r>
        <w:rPr>
          <w:rStyle w:val="FootnoteReference"/>
        </w:rPr>
        <w:footnoteRef/>
      </w:r>
      <w:r>
        <w:rPr>
          <w:lang w:val="pt-PT"/>
        </w:rPr>
        <w:t xml:space="preserve"> </w:t>
      </w:r>
      <w:r>
        <w:rPr>
          <w:sz w:val="16"/>
          <w:szCs w:val="16"/>
          <w:lang w:val="pt-PT"/>
        </w:rPr>
        <w:tab/>
      </w:r>
      <w:hyperlink r:id="rId239" w:history="1">
        <w:r>
          <w:rPr>
            <w:rStyle w:val="Hyperlink"/>
            <w:lang w:val="pt-PT"/>
          </w:rPr>
          <w:t>MEMO/17/1281</w:t>
        </w:r>
      </w:hyperlink>
      <w:r>
        <w:rPr>
          <w:lang w:val="pt-PT"/>
        </w:rPr>
        <w:t>.</w:t>
      </w:r>
    </w:p>
  </w:footnote>
  <w:footnote w:id="16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40" w:history="1">
        <w:r>
          <w:rPr>
            <w:rStyle w:val="Hyperlink"/>
            <w:lang w:val="pt-PT"/>
          </w:rPr>
          <w:t>2007/60/EC</w:t>
        </w:r>
      </w:hyperlink>
      <w:r>
        <w:rPr>
          <w:lang w:val="pt-PT"/>
        </w:rPr>
        <w:t>.</w:t>
      </w:r>
    </w:p>
  </w:footnote>
  <w:footnote w:id="16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41" w:history="1">
        <w:r>
          <w:rPr>
            <w:rStyle w:val="Hyperlink"/>
            <w:lang w:val="pt-PT"/>
          </w:rPr>
          <w:t>2000/60/EC</w:t>
        </w:r>
      </w:hyperlink>
      <w:r>
        <w:rPr>
          <w:lang w:val="pt-PT"/>
        </w:rPr>
        <w:t>.</w:t>
      </w:r>
    </w:p>
  </w:footnote>
  <w:footnote w:id="167">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42" w:history="1">
        <w:r>
          <w:rPr>
            <w:rStyle w:val="Hyperlink"/>
            <w:lang w:val="pt-PT"/>
          </w:rPr>
          <w:t>2005/45/EC</w:t>
        </w:r>
      </w:hyperlink>
      <w:r>
        <w:rPr>
          <w:lang w:val="pt-PT"/>
        </w:rPr>
        <w:t xml:space="preserve">, </w:t>
      </w:r>
      <w:hyperlink r:id="rId243" w:history="1">
        <w:r>
          <w:rPr>
            <w:rStyle w:val="Hyperlink"/>
            <w:lang w:val="pt-PT"/>
          </w:rPr>
          <w:t>MEMO/17/4767</w:t>
        </w:r>
      </w:hyperlink>
      <w:r>
        <w:rPr>
          <w:lang w:val="pt-PT"/>
        </w:rPr>
        <w:t>.</w:t>
      </w:r>
    </w:p>
  </w:footnote>
  <w:footnote w:id="168">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44" w:history="1">
        <w:r>
          <w:rPr>
            <w:rStyle w:val="Hyperlink"/>
            <w:lang w:val="pt-PT"/>
          </w:rPr>
          <w:t>2002/21/EC</w:t>
        </w:r>
      </w:hyperlink>
      <w:r>
        <w:rPr>
          <w:lang w:val="pt-PT"/>
        </w:rPr>
        <w:t xml:space="preserve">, </w:t>
      </w:r>
      <w:hyperlink r:id="rId245" w:history="1">
        <w:r>
          <w:rPr>
            <w:rStyle w:val="Hyperlink"/>
            <w:lang w:val="pt-PT"/>
          </w:rPr>
          <w:t>MEMO/17/3494</w:t>
        </w:r>
      </w:hyperlink>
      <w:r>
        <w:rPr>
          <w:lang w:val="pt-PT"/>
        </w:rPr>
        <w:t>.</w:t>
      </w:r>
    </w:p>
  </w:footnote>
  <w:footnote w:id="169">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46" w:history="1">
        <w:r>
          <w:rPr>
            <w:rStyle w:val="Hyperlink"/>
            <w:lang w:val="pt-PT"/>
          </w:rPr>
          <w:t>2009/18/EC</w:t>
        </w:r>
      </w:hyperlink>
      <w:r>
        <w:rPr>
          <w:lang w:val="pt-PT"/>
        </w:rPr>
        <w:t xml:space="preserve">, </w:t>
      </w:r>
      <w:hyperlink r:id="rId247" w:history="1">
        <w:r>
          <w:rPr>
            <w:rStyle w:val="Hyperlink"/>
            <w:lang w:val="pt-PT"/>
          </w:rPr>
          <w:t>MEMO/17/1045</w:t>
        </w:r>
      </w:hyperlink>
      <w:r>
        <w:rPr>
          <w:lang w:val="pt-PT"/>
        </w:rPr>
        <w:t>.</w:t>
      </w:r>
    </w:p>
  </w:footnote>
  <w:footnote w:id="170">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48" w:history="1">
        <w:r>
          <w:rPr>
            <w:rStyle w:val="Hyperlink"/>
            <w:lang w:val="pt-PT"/>
          </w:rPr>
          <w:t>2015/849/EU</w:t>
        </w:r>
      </w:hyperlink>
      <w:r>
        <w:rPr>
          <w:lang w:val="pt-PT"/>
        </w:rPr>
        <w:t>.</w:t>
      </w:r>
    </w:p>
  </w:footnote>
  <w:footnote w:id="171">
    <w:p w:rsidR="001557B7" w:rsidRDefault="00AD3265">
      <w:pPr>
        <w:pStyle w:val="FootnoteText"/>
        <w:rPr>
          <w:lang w:val="fr-BE"/>
        </w:rPr>
      </w:pPr>
      <w:r>
        <w:rPr>
          <w:rStyle w:val="FootnoteReference"/>
        </w:rPr>
        <w:footnoteRef/>
      </w:r>
      <w:r>
        <w:rPr>
          <w:lang w:val="fr-BE"/>
        </w:rPr>
        <w:t xml:space="preserve"> </w:t>
      </w:r>
      <w:r>
        <w:rPr>
          <w:lang w:val="fr-BE"/>
        </w:rPr>
        <w:tab/>
        <w:t>Directi</w:t>
      </w:r>
      <w:r>
        <w:rPr>
          <w:lang w:val="fr-BE"/>
        </w:rPr>
        <w:t xml:space="preserve">ve </w:t>
      </w:r>
      <w:hyperlink r:id="rId249" w:history="1">
        <w:r>
          <w:rPr>
            <w:rStyle w:val="Hyperlink"/>
            <w:lang w:val="fr-BE"/>
          </w:rPr>
          <w:t>2014/95/EU</w:t>
        </w:r>
      </w:hyperlink>
      <w:r>
        <w:rPr>
          <w:lang w:val="fr-BE"/>
        </w:rPr>
        <w:t>.</w:t>
      </w:r>
    </w:p>
  </w:footnote>
  <w:footnote w:id="172">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250" w:history="1">
        <w:r>
          <w:rPr>
            <w:rStyle w:val="Hyperlink"/>
            <w:lang w:val="fr-BE"/>
          </w:rPr>
          <w:t>2015/1794/EU</w:t>
        </w:r>
      </w:hyperlink>
      <w:r>
        <w:rPr>
          <w:lang w:val="fr-BE"/>
        </w:rPr>
        <w:t>.</w:t>
      </w:r>
    </w:p>
  </w:footnote>
  <w:footnote w:id="173">
    <w:p w:rsidR="001557B7" w:rsidRDefault="00AD3265">
      <w:pPr>
        <w:pStyle w:val="FootnoteText"/>
        <w:rPr>
          <w:lang w:val="fr-BE"/>
        </w:rPr>
      </w:pPr>
      <w:r>
        <w:rPr>
          <w:rStyle w:val="FootnoteReference"/>
        </w:rPr>
        <w:footnoteRef/>
      </w:r>
      <w:r>
        <w:rPr>
          <w:lang w:val="fr-BE"/>
        </w:rPr>
        <w:t xml:space="preserve"> </w:t>
      </w:r>
      <w:r>
        <w:rPr>
          <w:lang w:val="fr-BE"/>
        </w:rPr>
        <w:tab/>
        <w:t>Direct</w:t>
      </w:r>
      <w:r>
        <w:rPr>
          <w:lang w:val="fr-BE"/>
        </w:rPr>
        <w:t xml:space="preserve">ive </w:t>
      </w:r>
      <w:hyperlink r:id="rId251" w:history="1">
        <w:r>
          <w:rPr>
            <w:rStyle w:val="Hyperlink"/>
            <w:lang w:val="fr-BE"/>
          </w:rPr>
          <w:t>91/271/EEC</w:t>
        </w:r>
      </w:hyperlink>
      <w:r>
        <w:rPr>
          <w:lang w:val="fr-BE"/>
        </w:rPr>
        <w:t xml:space="preserve">, Commission v Ireland, </w:t>
      </w:r>
      <w:hyperlink r:id="rId252" w:history="1">
        <w:r>
          <w:rPr>
            <w:rStyle w:val="Hyperlink"/>
            <w:lang w:val="fr-BE"/>
          </w:rPr>
          <w:t>C-427/17</w:t>
        </w:r>
      </w:hyperlink>
      <w:r>
        <w:rPr>
          <w:lang w:val="fr-BE"/>
        </w:rPr>
        <w:t xml:space="preserve">, </w:t>
      </w:r>
      <w:hyperlink r:id="rId253" w:history="1">
        <w:r>
          <w:rPr>
            <w:rStyle w:val="Hyperlink"/>
            <w:lang w:val="fr-BE"/>
          </w:rPr>
          <w:t>IP/17/236</w:t>
        </w:r>
      </w:hyperlink>
      <w:r>
        <w:rPr>
          <w:lang w:val="fr-BE"/>
        </w:rPr>
        <w:t>.</w:t>
      </w:r>
    </w:p>
  </w:footnote>
  <w:footnote w:id="174">
    <w:p w:rsidR="001557B7" w:rsidRDefault="00AD3265">
      <w:pPr>
        <w:pStyle w:val="FootnoteText"/>
      </w:pPr>
      <w:r>
        <w:rPr>
          <w:rStyle w:val="FootnoteReference"/>
        </w:rPr>
        <w:footnoteRef/>
      </w:r>
      <w:r>
        <w:t xml:space="preserve"> </w:t>
      </w:r>
      <w:r>
        <w:tab/>
        <w:t>The fuel that may benefit from a reduced tax rate has to be marked by coloured dye.</w:t>
      </w:r>
    </w:p>
  </w:footnote>
  <w:footnote w:id="175">
    <w:p w:rsidR="001557B7" w:rsidRDefault="00AD3265">
      <w:pPr>
        <w:pStyle w:val="FootnoteText"/>
      </w:pPr>
      <w:r>
        <w:rPr>
          <w:rStyle w:val="FootnoteReference"/>
        </w:rPr>
        <w:footnoteRef/>
      </w:r>
      <w:r>
        <w:t xml:space="preserve"> </w:t>
      </w:r>
      <w:r>
        <w:tab/>
        <w:t xml:space="preserve">Directive </w:t>
      </w:r>
      <w:hyperlink r:id="rId254" w:history="1">
        <w:r>
          <w:rPr>
            <w:rStyle w:val="Hyperlink"/>
          </w:rPr>
          <w:t>2003/96/EC</w:t>
        </w:r>
      </w:hyperlink>
      <w:r>
        <w:t xml:space="preserve">, Directive </w:t>
      </w:r>
      <w:hyperlink r:id="rId255" w:history="1">
        <w:r>
          <w:rPr>
            <w:rStyle w:val="Hyperlink"/>
          </w:rPr>
          <w:t>96/60/EC</w:t>
        </w:r>
      </w:hyperlink>
      <w:r>
        <w:t>, Commission v Ireland</w:t>
      </w:r>
      <w:r>
        <w:t xml:space="preserve">, </w:t>
      </w:r>
      <w:hyperlink r:id="rId256" w:history="1">
        <w:r>
          <w:rPr>
            <w:rStyle w:val="Hyperlink"/>
          </w:rPr>
          <w:t>C-504/17</w:t>
        </w:r>
      </w:hyperlink>
      <w:r>
        <w:t xml:space="preserve">, </w:t>
      </w:r>
      <w:hyperlink r:id="rId257" w:history="1">
        <w:r>
          <w:rPr>
            <w:rStyle w:val="Hyperlink"/>
          </w:rPr>
          <w:t>IP/14/2138</w:t>
        </w:r>
      </w:hyperlink>
      <w:r>
        <w:t xml:space="preserve">, </w:t>
      </w:r>
      <w:hyperlink r:id="rId258" w:history="1">
        <w:r>
          <w:rPr>
            <w:rStyle w:val="Hyperlink"/>
          </w:rPr>
          <w:t>MEMO/14/2130</w:t>
        </w:r>
      </w:hyperlink>
      <w:r>
        <w:t>.</w:t>
      </w:r>
    </w:p>
  </w:footnote>
  <w:footnote w:id="176">
    <w:p w:rsidR="001557B7" w:rsidRDefault="00AD3265">
      <w:pPr>
        <w:pStyle w:val="FootnoteText"/>
      </w:pPr>
      <w:r>
        <w:rPr>
          <w:rStyle w:val="FootnoteReference"/>
        </w:rPr>
        <w:footnoteRef/>
      </w:r>
      <w:r>
        <w:t xml:space="preserve"> </w:t>
      </w:r>
      <w:r>
        <w:tab/>
        <w:t xml:space="preserve">Directive </w:t>
      </w:r>
      <w:hyperlink r:id="rId259" w:history="1">
        <w:r>
          <w:rPr>
            <w:rStyle w:val="Hyperlink"/>
          </w:rPr>
          <w:t>2014/94/EU</w:t>
        </w:r>
      </w:hyperlink>
      <w:r>
        <w:t>.</w:t>
      </w:r>
    </w:p>
  </w:footnote>
  <w:footnote w:id="177">
    <w:p w:rsidR="001557B7" w:rsidRDefault="00AD3265">
      <w:pPr>
        <w:pStyle w:val="FootnoteText"/>
      </w:pPr>
      <w:r>
        <w:rPr>
          <w:rStyle w:val="FootnoteReference"/>
        </w:rPr>
        <w:footnoteRef/>
      </w:r>
      <w:r>
        <w:t xml:space="preserve"> </w:t>
      </w:r>
      <w:r>
        <w:tab/>
        <w:t xml:space="preserve">Directive </w:t>
      </w:r>
      <w:hyperlink r:id="rId260" w:history="1">
        <w:r>
          <w:rPr>
            <w:rStyle w:val="Hyperlink"/>
          </w:rPr>
          <w:t>2005/36/EC</w:t>
        </w:r>
      </w:hyperlink>
      <w:r>
        <w:t>.</w:t>
      </w:r>
    </w:p>
  </w:footnote>
  <w:footnote w:id="178">
    <w:p w:rsidR="001557B7" w:rsidRDefault="00AD3265">
      <w:pPr>
        <w:pStyle w:val="FootnoteText"/>
      </w:pPr>
      <w:r>
        <w:rPr>
          <w:rStyle w:val="FootnoteReference"/>
        </w:rPr>
        <w:footnoteRef/>
      </w:r>
      <w:r>
        <w:t xml:space="preserve"> </w:t>
      </w:r>
      <w:r>
        <w:tab/>
        <w:t xml:space="preserve">Directive </w:t>
      </w:r>
      <w:hyperlink r:id="rId261" w:history="1">
        <w:r>
          <w:rPr>
            <w:rStyle w:val="Hyperlink"/>
          </w:rPr>
          <w:t>2013/40/EU</w:t>
        </w:r>
      </w:hyperlink>
      <w:r>
        <w:t>.</w:t>
      </w:r>
    </w:p>
  </w:footnote>
  <w:footnote w:id="179">
    <w:p w:rsidR="001557B7" w:rsidRDefault="00AD3265">
      <w:pPr>
        <w:pStyle w:val="FootnoteText"/>
      </w:pPr>
      <w:r>
        <w:rPr>
          <w:rStyle w:val="FootnoteReference"/>
        </w:rPr>
        <w:footnoteRef/>
      </w:r>
      <w:r>
        <w:t xml:space="preserve"> </w:t>
      </w:r>
      <w:r>
        <w:tab/>
        <w:t xml:space="preserve">Directive </w:t>
      </w:r>
      <w:hyperlink r:id="rId262" w:history="1">
        <w:r>
          <w:rPr>
            <w:rStyle w:val="Hyperlink"/>
          </w:rPr>
          <w:t>2013/40/EU</w:t>
        </w:r>
      </w:hyperlink>
      <w:r>
        <w:t>.</w:t>
      </w:r>
    </w:p>
  </w:footnote>
  <w:footnote w:id="180">
    <w:p w:rsidR="001557B7" w:rsidRDefault="00AD3265">
      <w:pPr>
        <w:pStyle w:val="FootnoteText"/>
      </w:pPr>
      <w:r>
        <w:rPr>
          <w:rStyle w:val="FootnoteReference"/>
        </w:rPr>
        <w:footnoteRef/>
      </w:r>
      <w:r>
        <w:rPr>
          <w:sz w:val="16"/>
        </w:rPr>
        <w:t xml:space="preserve"> </w:t>
      </w:r>
      <w:r>
        <w:rPr>
          <w:sz w:val="16"/>
        </w:rPr>
        <w:tab/>
      </w:r>
      <w:r>
        <w:t>These rulings are almost exclusively handed down in infringement procedures.</w:t>
      </w:r>
    </w:p>
  </w:footnote>
  <w:footnote w:id="181">
    <w:p w:rsidR="001557B7" w:rsidRDefault="00AD3265">
      <w:pPr>
        <w:pStyle w:val="FootnoteText"/>
      </w:pPr>
      <w:r>
        <w:rPr>
          <w:rStyle w:val="FootnoteReference"/>
        </w:rPr>
        <w:footnoteRef/>
      </w:r>
      <w:r>
        <w:t xml:space="preserve"> </w:t>
      </w:r>
      <w:r>
        <w:tab/>
        <w:t xml:space="preserve">Commission v Ireland, </w:t>
      </w:r>
      <w:hyperlink r:id="rId263" w:history="1">
        <w:r>
          <w:rPr>
            <w:rStyle w:val="Hyperlink"/>
          </w:rPr>
          <w:t>C-552/15</w:t>
        </w:r>
      </w:hyperlink>
      <w:r>
        <w:t xml:space="preserve">, </w:t>
      </w:r>
      <w:hyperlink r:id="rId264" w:history="1">
        <w:r>
          <w:rPr>
            <w:rStyle w:val="Hyperlink"/>
          </w:rPr>
          <w:t>IP/15/5355</w:t>
        </w:r>
      </w:hyperlink>
      <w:r>
        <w:t xml:space="preserve">, </w:t>
      </w:r>
      <w:hyperlink r:id="rId265" w:history="1">
        <w:r>
          <w:rPr>
            <w:rStyle w:val="Hyperlink"/>
          </w:rPr>
          <w:t>MEMO/15/5356</w:t>
        </w:r>
      </w:hyperlink>
      <w:r>
        <w:t>.</w:t>
      </w:r>
    </w:p>
  </w:footnote>
  <w:footnote w:id="182">
    <w:p w:rsidR="001557B7" w:rsidRDefault="00AD3265">
      <w:pPr>
        <w:pStyle w:val="FootnoteText"/>
      </w:pPr>
      <w:r>
        <w:rPr>
          <w:rStyle w:val="FootnoteReference"/>
        </w:rPr>
        <w:footnoteRef/>
      </w:r>
      <w:r>
        <w:t xml:space="preserve"> </w:t>
      </w:r>
      <w:r>
        <w:tab/>
        <w:t xml:space="preserve">Gusa, </w:t>
      </w:r>
      <w:hyperlink r:id="rId266" w:history="1">
        <w:r>
          <w:rPr>
            <w:rStyle w:val="Hyperlink"/>
          </w:rPr>
          <w:t>C-442/16</w:t>
        </w:r>
      </w:hyperlink>
      <w:r>
        <w:t xml:space="preserve"> and Court press release </w:t>
      </w:r>
      <w:hyperlink r:id="rId267" w:history="1">
        <w:r>
          <w:rPr>
            <w:rStyle w:val="Hyperlink"/>
          </w:rPr>
          <w:t>No 144/17</w:t>
        </w:r>
      </w:hyperlink>
      <w:r>
        <w:t>.</w:t>
      </w:r>
    </w:p>
  </w:footnote>
  <w:footnote w:id="183">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68" w:history="1">
        <w:r>
          <w:rPr>
            <w:rStyle w:val="Hyperlink"/>
            <w:lang w:val="pt-PT"/>
          </w:rPr>
          <w:t>2015/849/EU</w:t>
        </w:r>
      </w:hyperlink>
      <w:r>
        <w:rPr>
          <w:lang w:val="pt-PT"/>
        </w:rPr>
        <w:t xml:space="preserve">, </w:t>
      </w:r>
      <w:hyperlink r:id="rId269" w:history="1">
        <w:r>
          <w:rPr>
            <w:rStyle w:val="Hyperlink"/>
            <w:lang w:val="pt-PT"/>
          </w:rPr>
          <w:t>MEMO/17/4767</w:t>
        </w:r>
      </w:hyperlink>
      <w:r>
        <w:rPr>
          <w:lang w:val="pt-PT"/>
        </w:rPr>
        <w:t>.</w:t>
      </w:r>
    </w:p>
  </w:footnote>
  <w:footnote w:id="184">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70" w:history="1">
        <w:r>
          <w:rPr>
            <w:rStyle w:val="Hyperlink"/>
            <w:lang w:val="pt-PT"/>
          </w:rPr>
          <w:t>2014/65/EU</w:t>
        </w:r>
      </w:hyperlink>
      <w:r>
        <w:rPr>
          <w:lang w:val="pt-PT"/>
        </w:rPr>
        <w:t>.</w:t>
      </w:r>
    </w:p>
  </w:footnote>
  <w:footnote w:id="18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71" w:history="1">
        <w:r>
          <w:rPr>
            <w:rStyle w:val="Hyperlink"/>
            <w:lang w:val="pt-PT"/>
          </w:rPr>
          <w:t>2015/1794/EU</w:t>
        </w:r>
      </w:hyperlink>
      <w:r>
        <w:rPr>
          <w:lang w:val="pt-PT"/>
        </w:rPr>
        <w:t>.</w:t>
      </w:r>
    </w:p>
  </w:footnote>
  <w:footnote w:id="18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72" w:history="1">
        <w:r>
          <w:rPr>
            <w:rStyle w:val="Hyperlink"/>
            <w:lang w:val="pt-PT"/>
          </w:rPr>
          <w:t>(EU) 2015/652.</w:t>
        </w:r>
      </w:hyperlink>
    </w:p>
  </w:footnote>
  <w:footnote w:id="187">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73" w:history="1">
        <w:r>
          <w:rPr>
            <w:rStyle w:val="Hyperlink"/>
            <w:lang w:val="pt-PT"/>
          </w:rPr>
          <w:t>98/70/EC</w:t>
        </w:r>
      </w:hyperlink>
      <w:r>
        <w:rPr>
          <w:lang w:val="pt-PT"/>
        </w:rPr>
        <w:t>.</w:t>
      </w:r>
    </w:p>
  </w:footnote>
  <w:footnote w:id="188">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74" w:history="1">
        <w:r>
          <w:rPr>
            <w:rStyle w:val="Hyperlink"/>
            <w:lang w:val="pt-PT"/>
          </w:rPr>
          <w:t>2013/55/EU</w:t>
        </w:r>
      </w:hyperlink>
      <w:r>
        <w:rPr>
          <w:lang w:val="pt-PT"/>
        </w:rPr>
        <w:t>.</w:t>
      </w:r>
    </w:p>
  </w:footnote>
  <w:footnote w:id="189">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75" w:history="1">
        <w:r>
          <w:rPr>
            <w:rStyle w:val="Hyperlink"/>
            <w:lang w:val="pt-PT"/>
          </w:rPr>
          <w:t>2014/89/EU</w:t>
        </w:r>
      </w:hyperlink>
      <w:r>
        <w:rPr>
          <w:lang w:val="pt-PT"/>
        </w:rPr>
        <w:t xml:space="preserve">, </w:t>
      </w:r>
      <w:hyperlink r:id="rId276" w:history="1">
        <w:r>
          <w:rPr>
            <w:rStyle w:val="Hyperlink"/>
            <w:lang w:val="pt-PT"/>
          </w:rPr>
          <w:t>MEMO/17/1935</w:t>
        </w:r>
      </w:hyperlink>
      <w:r>
        <w:rPr>
          <w:lang w:val="pt-PT"/>
        </w:rPr>
        <w:t>.</w:t>
      </w:r>
    </w:p>
  </w:footnote>
  <w:footnote w:id="190">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77" w:history="1">
        <w:r>
          <w:rPr>
            <w:rStyle w:val="Hyperlink"/>
            <w:lang w:val="pt-PT"/>
          </w:rPr>
          <w:t>2010/31/EU</w:t>
        </w:r>
      </w:hyperlink>
      <w:r>
        <w:rPr>
          <w:lang w:val="pt-PT"/>
        </w:rPr>
        <w:t xml:space="preserve">, </w:t>
      </w:r>
      <w:hyperlink r:id="rId278" w:history="1">
        <w:r>
          <w:rPr>
            <w:rStyle w:val="Hyperlink"/>
            <w:lang w:val="pt-PT"/>
          </w:rPr>
          <w:t>MEMO/17/4767</w:t>
        </w:r>
      </w:hyperlink>
      <w:r>
        <w:rPr>
          <w:lang w:val="pt-PT"/>
        </w:rPr>
        <w:t>.</w:t>
      </w:r>
    </w:p>
  </w:footnote>
  <w:footnote w:id="191">
    <w:p w:rsidR="001557B7" w:rsidRDefault="00AD3265">
      <w:pPr>
        <w:pStyle w:val="FootnoteText"/>
        <w:rPr>
          <w:lang w:val="pt-PT"/>
        </w:rPr>
      </w:pPr>
      <w:r>
        <w:rPr>
          <w:rStyle w:val="FootnoteReference"/>
        </w:rPr>
        <w:footnoteRef/>
      </w:r>
      <w:r>
        <w:rPr>
          <w:lang w:val="pt-PT"/>
        </w:rPr>
        <w:t xml:space="preserve"> </w:t>
      </w:r>
      <w:r>
        <w:rPr>
          <w:lang w:val="pt-PT"/>
        </w:rPr>
        <w:tab/>
        <w:t xml:space="preserve">Council Decisions </w:t>
      </w:r>
      <w:hyperlink r:id="rId279" w:history="1">
        <w:r>
          <w:rPr>
            <w:rStyle w:val="Hyperlink"/>
            <w:lang w:val="pt-PT"/>
          </w:rPr>
          <w:t>2008/615/JHA</w:t>
        </w:r>
      </w:hyperlink>
      <w:r>
        <w:rPr>
          <w:lang w:val="pt-PT"/>
        </w:rPr>
        <w:t xml:space="preserve"> and </w:t>
      </w:r>
      <w:hyperlink r:id="rId280" w:history="1">
        <w:r>
          <w:rPr>
            <w:rStyle w:val="Hyperlink"/>
            <w:lang w:val="pt-PT"/>
          </w:rPr>
          <w:t>2008/616/JHA</w:t>
        </w:r>
      </w:hyperlink>
      <w:r>
        <w:rPr>
          <w:lang w:val="pt-PT"/>
        </w:rPr>
        <w:t xml:space="preserve">, </w:t>
      </w:r>
      <w:hyperlink r:id="rId281" w:history="1">
        <w:r>
          <w:rPr>
            <w:rStyle w:val="Hyperlink"/>
            <w:lang w:val="pt-PT"/>
          </w:rPr>
          <w:t>MEMO/17/3494</w:t>
        </w:r>
      </w:hyperlink>
      <w:r>
        <w:rPr>
          <w:lang w:val="pt-PT"/>
        </w:rPr>
        <w:t>.</w:t>
      </w:r>
    </w:p>
  </w:footnote>
  <w:footnote w:id="192">
    <w:p w:rsidR="001557B7" w:rsidRDefault="00AD3265">
      <w:pPr>
        <w:pStyle w:val="FootnoteText"/>
        <w:rPr>
          <w:lang w:val="pt-PT"/>
        </w:rPr>
      </w:pPr>
      <w:r>
        <w:rPr>
          <w:rStyle w:val="FootnoteReference"/>
        </w:rPr>
        <w:footnoteRef/>
      </w:r>
      <w:r>
        <w:rPr>
          <w:lang w:val="pt-PT"/>
        </w:rPr>
        <w:t xml:space="preserve"> </w:t>
      </w:r>
      <w:r>
        <w:rPr>
          <w:lang w:val="pt-PT"/>
        </w:rPr>
        <w:tab/>
      </w:r>
      <w:hyperlink r:id="rId282" w:history="1">
        <w:r>
          <w:rPr>
            <w:rStyle w:val="Hyperlink"/>
            <w:lang w:val="pt-PT"/>
          </w:rPr>
          <w:t>MEMO/17/4767</w:t>
        </w:r>
      </w:hyperlink>
      <w:r>
        <w:rPr>
          <w:lang w:val="pt-PT"/>
        </w:rPr>
        <w:t>.</w:t>
      </w:r>
    </w:p>
  </w:footnote>
  <w:footnote w:id="193">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83" w:history="1">
        <w:r>
          <w:rPr>
            <w:rStyle w:val="Hyperlink"/>
            <w:lang w:val="pt-PT"/>
          </w:rPr>
          <w:t>91/676/EEC</w:t>
        </w:r>
      </w:hyperlink>
      <w:r>
        <w:rPr>
          <w:lang w:val="pt-PT"/>
        </w:rPr>
        <w:t xml:space="preserve">, </w:t>
      </w:r>
      <w:hyperlink r:id="rId284" w:history="1">
        <w:r>
          <w:rPr>
            <w:rStyle w:val="Hyperlink"/>
            <w:lang w:val="pt-PT"/>
          </w:rPr>
          <w:t>MEMO/17/3494</w:t>
        </w:r>
      </w:hyperlink>
      <w:r>
        <w:rPr>
          <w:lang w:val="pt-PT"/>
        </w:rPr>
        <w:t>.</w:t>
      </w:r>
    </w:p>
  </w:footnote>
  <w:footnote w:id="194">
    <w:p w:rsidR="001557B7" w:rsidRDefault="00AD3265">
      <w:pPr>
        <w:pStyle w:val="FootnoteText"/>
        <w:rPr>
          <w:lang w:val="pt-PT"/>
        </w:rPr>
      </w:pPr>
      <w:r>
        <w:rPr>
          <w:rStyle w:val="FootnoteReference"/>
        </w:rPr>
        <w:footnoteRef/>
      </w:r>
      <w:r>
        <w:rPr>
          <w:lang w:val="pt-PT"/>
        </w:rPr>
        <w:t xml:space="preserve"> </w:t>
      </w:r>
      <w:r>
        <w:rPr>
          <w:lang w:val="pt-PT"/>
        </w:rPr>
        <w:tab/>
      </w:r>
      <w:hyperlink r:id="rId285" w:history="1">
        <w:r>
          <w:rPr>
            <w:rStyle w:val="Hyperlink"/>
            <w:lang w:val="pt-PT"/>
          </w:rPr>
          <w:t>MEMO/17/1281</w:t>
        </w:r>
      </w:hyperlink>
      <w:r>
        <w:rPr>
          <w:lang w:val="pt-PT"/>
        </w:rPr>
        <w:t>.</w:t>
      </w:r>
    </w:p>
  </w:footnote>
  <w:footnote w:id="19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86" w:history="1">
        <w:r>
          <w:rPr>
            <w:rStyle w:val="Hyperlink"/>
            <w:lang w:val="pt-PT"/>
          </w:rPr>
          <w:t>2007/60/EC</w:t>
        </w:r>
      </w:hyperlink>
      <w:r>
        <w:rPr>
          <w:lang w:val="pt-PT"/>
        </w:rPr>
        <w:t>.</w:t>
      </w:r>
    </w:p>
  </w:footnote>
  <w:footnote w:id="19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87" w:history="1">
        <w:r>
          <w:rPr>
            <w:rStyle w:val="Hyperlink"/>
            <w:lang w:val="pt-PT"/>
          </w:rPr>
          <w:t>2000/60/EC</w:t>
        </w:r>
      </w:hyperlink>
      <w:r>
        <w:rPr>
          <w:lang w:val="pt-PT"/>
        </w:rPr>
        <w:t>.</w:t>
      </w:r>
    </w:p>
  </w:footnote>
  <w:footnote w:id="197">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88" w:history="1">
        <w:r>
          <w:rPr>
            <w:rStyle w:val="Hyperlink"/>
            <w:lang w:val="pt-PT"/>
          </w:rPr>
          <w:t>2008/56/EC</w:t>
        </w:r>
      </w:hyperlink>
      <w:r>
        <w:rPr>
          <w:lang w:val="pt-PT"/>
        </w:rPr>
        <w:t>.</w:t>
      </w:r>
    </w:p>
  </w:footnote>
  <w:footnote w:id="198">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89" w:history="1">
        <w:r>
          <w:rPr>
            <w:rStyle w:val="Hyperlink"/>
            <w:lang w:val="pt-PT"/>
          </w:rPr>
          <w:t>2002/49/EC</w:t>
        </w:r>
      </w:hyperlink>
      <w:r>
        <w:rPr>
          <w:lang w:val="pt-PT"/>
        </w:rPr>
        <w:t xml:space="preserve">, </w:t>
      </w:r>
      <w:hyperlink r:id="rId290" w:history="1">
        <w:r>
          <w:rPr>
            <w:rStyle w:val="Hyperlink"/>
            <w:lang w:val="pt-PT"/>
          </w:rPr>
          <w:t>MEMO/17/4767</w:t>
        </w:r>
      </w:hyperlink>
      <w:r>
        <w:rPr>
          <w:lang w:val="pt-PT"/>
        </w:rPr>
        <w:t>.</w:t>
      </w:r>
    </w:p>
  </w:footnote>
  <w:footnote w:id="199">
    <w:p w:rsidR="001557B7" w:rsidRDefault="00AD3265">
      <w:pPr>
        <w:pStyle w:val="FootnoteText"/>
        <w:rPr>
          <w:lang w:val="pt-PT"/>
        </w:rPr>
      </w:pPr>
      <w:r>
        <w:rPr>
          <w:rStyle w:val="FootnoteReference"/>
        </w:rPr>
        <w:footnoteRef/>
      </w:r>
      <w:r>
        <w:rPr>
          <w:lang w:val="pt-PT"/>
        </w:rPr>
        <w:t xml:space="preserve"> </w:t>
      </w:r>
      <w:r>
        <w:rPr>
          <w:lang w:val="pt-PT"/>
        </w:rPr>
        <w:tab/>
        <w:t xml:space="preserve">Directives </w:t>
      </w:r>
      <w:hyperlink r:id="rId291" w:history="1">
        <w:r>
          <w:rPr>
            <w:rStyle w:val="Hyperlink"/>
            <w:lang w:val="pt-PT"/>
          </w:rPr>
          <w:t>2000/35/EC</w:t>
        </w:r>
      </w:hyperlink>
      <w:r>
        <w:rPr>
          <w:lang w:val="pt-PT"/>
        </w:rPr>
        <w:t xml:space="preserve"> and </w:t>
      </w:r>
      <w:hyperlink r:id="rId292" w:history="1">
        <w:r>
          <w:rPr>
            <w:rStyle w:val="Hyperlink"/>
            <w:lang w:val="pt-PT"/>
          </w:rPr>
          <w:t>2011/7/EU</w:t>
        </w:r>
      </w:hyperlink>
      <w:r>
        <w:rPr>
          <w:lang w:val="pt-PT"/>
        </w:rPr>
        <w:t xml:space="preserve">, </w:t>
      </w:r>
      <w:hyperlink r:id="rId293" w:history="1">
        <w:r>
          <w:rPr>
            <w:rStyle w:val="Hyperlink"/>
            <w:lang w:val="pt-PT"/>
          </w:rPr>
          <w:t>MEMO/17/1281</w:t>
        </w:r>
      </w:hyperlink>
      <w:r>
        <w:rPr>
          <w:lang w:val="pt-PT"/>
        </w:rPr>
        <w:t>.</w:t>
      </w:r>
    </w:p>
  </w:footnote>
  <w:footnote w:id="200">
    <w:p w:rsidR="001557B7" w:rsidRDefault="00AD3265">
      <w:pPr>
        <w:pStyle w:val="FootnoteText"/>
        <w:rPr>
          <w:lang w:val="pt-PT"/>
        </w:rPr>
      </w:pPr>
      <w:r>
        <w:rPr>
          <w:rStyle w:val="FootnoteReference"/>
        </w:rPr>
        <w:footnoteRef/>
      </w:r>
      <w:r>
        <w:rPr>
          <w:lang w:val="pt-PT"/>
        </w:rPr>
        <w:t xml:space="preserve"> </w:t>
      </w:r>
      <w:r>
        <w:rPr>
          <w:lang w:val="pt-PT"/>
        </w:rPr>
        <w:tab/>
        <w:t xml:space="preserve">Commission v Greece, </w:t>
      </w:r>
      <w:hyperlink r:id="rId294" w:history="1">
        <w:r>
          <w:rPr>
            <w:rStyle w:val="Hyperlink"/>
            <w:lang w:val="pt-PT"/>
          </w:rPr>
          <w:t>C-93/17</w:t>
        </w:r>
      </w:hyperlink>
      <w:r>
        <w:rPr>
          <w:lang w:val="pt-PT"/>
        </w:rPr>
        <w:t xml:space="preserve">; </w:t>
      </w:r>
      <w:hyperlink r:id="rId295" w:history="1">
        <w:r>
          <w:rPr>
            <w:rStyle w:val="Hyperlink"/>
            <w:lang w:val="pt-PT"/>
          </w:rPr>
          <w:t>IP/16/2592</w:t>
        </w:r>
      </w:hyperlink>
      <w:r>
        <w:rPr>
          <w:lang w:val="pt-PT"/>
        </w:rPr>
        <w:t>.</w:t>
      </w:r>
    </w:p>
  </w:footnote>
  <w:footnote w:id="201">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296" w:history="1">
        <w:r>
          <w:rPr>
            <w:rStyle w:val="Hyperlink"/>
            <w:lang w:val="pt-PT"/>
          </w:rPr>
          <w:t>2005/36/EC</w:t>
        </w:r>
      </w:hyperlink>
      <w:r>
        <w:rPr>
          <w:lang w:val="pt-PT"/>
        </w:rPr>
        <w:t>.</w:t>
      </w:r>
    </w:p>
  </w:footnote>
  <w:footnote w:id="202">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297" w:history="1">
        <w:r>
          <w:rPr>
            <w:rStyle w:val="Hyperlink"/>
            <w:lang w:val="fr-BE"/>
          </w:rPr>
          <w:t>2014/28/EU</w:t>
        </w:r>
      </w:hyperlink>
      <w:r>
        <w:rPr>
          <w:lang w:val="fr-BE"/>
        </w:rPr>
        <w:t>.</w:t>
      </w:r>
    </w:p>
  </w:footnote>
  <w:footnote w:id="203">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298" w:history="1">
        <w:r>
          <w:rPr>
            <w:rStyle w:val="Hyperlink"/>
            <w:lang w:val="fr-BE"/>
          </w:rPr>
          <w:t>2009/138/EC</w:t>
        </w:r>
      </w:hyperlink>
      <w:r>
        <w:rPr>
          <w:lang w:val="fr-BE"/>
        </w:rPr>
        <w:t>.</w:t>
      </w:r>
    </w:p>
  </w:footnote>
  <w:footnote w:id="204">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299" w:history="1">
        <w:r>
          <w:rPr>
            <w:rStyle w:val="Hyperlink"/>
            <w:lang w:val="fr-BE"/>
          </w:rPr>
          <w:t>2013/50/EU</w:t>
        </w:r>
      </w:hyperlink>
      <w:r>
        <w:rPr>
          <w:lang w:val="fr-BE"/>
        </w:rPr>
        <w:t>.</w:t>
      </w:r>
    </w:p>
  </w:footnote>
  <w:footnote w:id="205">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00" w:history="1">
        <w:r>
          <w:rPr>
            <w:rStyle w:val="Hyperlink"/>
            <w:lang w:val="fr-BE"/>
          </w:rPr>
          <w:t>2013/34/EU</w:t>
        </w:r>
      </w:hyperlink>
      <w:r>
        <w:rPr>
          <w:lang w:val="fr-BE"/>
        </w:rPr>
        <w:t>.</w:t>
      </w:r>
    </w:p>
  </w:footnote>
  <w:footnote w:id="206">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01" w:history="1">
        <w:r>
          <w:rPr>
            <w:rStyle w:val="Hyperlink"/>
            <w:lang w:val="fr-BE"/>
          </w:rPr>
          <w:t>2014/51/EU</w:t>
        </w:r>
      </w:hyperlink>
      <w:r>
        <w:rPr>
          <w:lang w:val="fr-BE"/>
        </w:rPr>
        <w:t>.</w:t>
      </w:r>
    </w:p>
  </w:footnote>
  <w:footnote w:id="207">
    <w:p w:rsidR="001557B7" w:rsidRDefault="00AD3265">
      <w:pPr>
        <w:pStyle w:val="FootnoteText"/>
        <w:rPr>
          <w:lang w:val="fr-BE"/>
        </w:rPr>
      </w:pPr>
      <w:r>
        <w:rPr>
          <w:rStyle w:val="FootnoteReference"/>
        </w:rPr>
        <w:footnoteRef/>
      </w:r>
      <w:r>
        <w:rPr>
          <w:lang w:val="fr-BE"/>
        </w:rPr>
        <w:t xml:space="preserve"> </w:t>
      </w:r>
      <w:r>
        <w:rPr>
          <w:lang w:val="fr-BE"/>
        </w:rPr>
        <w:tab/>
        <w:t xml:space="preserve">Commission Decisions </w:t>
      </w:r>
      <w:hyperlink r:id="rId302" w:history="1">
        <w:r>
          <w:rPr>
            <w:rStyle w:val="Hyperlink"/>
            <w:lang w:val="fr-BE"/>
          </w:rPr>
          <w:t>C (2013) 6181</w:t>
        </w:r>
      </w:hyperlink>
      <w:r>
        <w:rPr>
          <w:lang w:val="fr-BE"/>
        </w:rPr>
        <w:t xml:space="preserve"> and </w:t>
      </w:r>
      <w:hyperlink r:id="rId303" w:history="1">
        <w:r>
          <w:rPr>
            <w:rStyle w:val="Hyperlink"/>
            <w:lang w:val="fr-BE"/>
          </w:rPr>
          <w:t>C (2013) 6178</w:t>
        </w:r>
      </w:hyperlink>
      <w:r>
        <w:rPr>
          <w:lang w:val="fr-BE"/>
        </w:rPr>
        <w:t>.</w:t>
      </w:r>
    </w:p>
  </w:footnote>
  <w:footnote w:id="208">
    <w:p w:rsidR="001557B7" w:rsidRDefault="00AD3265">
      <w:pPr>
        <w:pStyle w:val="FootnoteText"/>
      </w:pPr>
      <w:r>
        <w:rPr>
          <w:rStyle w:val="FootnoteReference"/>
        </w:rPr>
        <w:footnoteRef/>
      </w:r>
      <w:r>
        <w:t xml:space="preserve"> </w:t>
      </w:r>
      <w:r>
        <w:tab/>
      </w:r>
      <w:hyperlink r:id="rId304" w:history="1">
        <w:r>
          <w:rPr>
            <w:rStyle w:val="Hyperlink"/>
          </w:rPr>
          <w:t>IP/17/5109</w:t>
        </w:r>
      </w:hyperlink>
      <w:r>
        <w:t>.</w:t>
      </w:r>
    </w:p>
  </w:footnote>
  <w:footnote w:id="209">
    <w:p w:rsidR="001557B7" w:rsidRDefault="00AD3265">
      <w:pPr>
        <w:pStyle w:val="FootnoteText"/>
      </w:pPr>
      <w:r>
        <w:rPr>
          <w:rStyle w:val="FootnoteReference"/>
        </w:rPr>
        <w:footnoteRef/>
      </w:r>
      <w:r>
        <w:t xml:space="preserve"> </w:t>
      </w:r>
      <w:r>
        <w:tab/>
        <w:t xml:space="preserve">Directive </w:t>
      </w:r>
      <w:hyperlink r:id="rId305" w:history="1">
        <w:r>
          <w:rPr>
            <w:rStyle w:val="Hyperlink"/>
          </w:rPr>
          <w:t>2008/56/EC</w:t>
        </w:r>
      </w:hyperlink>
      <w:r>
        <w:t>.</w:t>
      </w:r>
    </w:p>
  </w:footnote>
  <w:footnote w:id="210">
    <w:p w:rsidR="001557B7" w:rsidRDefault="00AD3265">
      <w:pPr>
        <w:pStyle w:val="FootnoteText"/>
      </w:pPr>
      <w:r>
        <w:rPr>
          <w:rStyle w:val="FootnoteReference"/>
        </w:rPr>
        <w:footnoteRef/>
      </w:r>
      <w:r>
        <w:t xml:space="preserve"> </w:t>
      </w:r>
      <w:r>
        <w:tab/>
        <w:t xml:space="preserve">Regulation </w:t>
      </w:r>
      <w:hyperlink r:id="rId306" w:history="1">
        <w:r>
          <w:rPr>
            <w:rStyle w:val="Hyperlink"/>
          </w:rPr>
          <w:t>(EC) No 1967/2006</w:t>
        </w:r>
      </w:hyperlink>
      <w:r>
        <w:t>.</w:t>
      </w:r>
    </w:p>
  </w:footnote>
  <w:footnote w:id="211">
    <w:p w:rsidR="001557B7" w:rsidRDefault="00AD3265">
      <w:pPr>
        <w:pStyle w:val="FootnoteText"/>
      </w:pPr>
      <w:r>
        <w:rPr>
          <w:rStyle w:val="FootnoteReference"/>
        </w:rPr>
        <w:footnoteRef/>
      </w:r>
      <w:r>
        <w:t xml:space="preserve"> </w:t>
      </w:r>
      <w:r>
        <w:tab/>
        <w:t xml:space="preserve">Regulation </w:t>
      </w:r>
      <w:hyperlink r:id="rId307" w:history="1">
        <w:r>
          <w:rPr>
            <w:rStyle w:val="Hyperlink"/>
          </w:rPr>
          <w:t>(EU) No 1177/2010</w:t>
        </w:r>
      </w:hyperlink>
      <w:r>
        <w:t>.</w:t>
      </w:r>
    </w:p>
  </w:footnote>
  <w:footnote w:id="212">
    <w:p w:rsidR="001557B7" w:rsidRDefault="00AD3265">
      <w:pPr>
        <w:pStyle w:val="FootnoteText"/>
        <w:rPr>
          <w:sz w:val="16"/>
        </w:rPr>
      </w:pPr>
      <w:r>
        <w:rPr>
          <w:rStyle w:val="FootnoteReference"/>
          <w:rFonts w:eastAsia="Calibri" w:cs="Arial"/>
          <w:bCs/>
          <w:kern w:val="20"/>
          <w:sz w:val="20"/>
        </w:rPr>
        <w:footnoteRef/>
      </w:r>
      <w:r>
        <w:rPr>
          <w:rStyle w:val="FootnoteReference"/>
          <w:rFonts w:eastAsia="Calibri" w:cs="Arial"/>
          <w:bCs/>
          <w:kern w:val="20"/>
          <w:sz w:val="20"/>
        </w:rPr>
        <w:t xml:space="preserve"> </w:t>
      </w:r>
      <w:r>
        <w:rPr>
          <w:sz w:val="16"/>
        </w:rPr>
        <w:tab/>
      </w:r>
      <w:r>
        <w:rPr>
          <w:szCs w:val="18"/>
        </w:rPr>
        <w:t xml:space="preserve">These rulings are almost </w:t>
      </w:r>
      <w:r>
        <w:rPr>
          <w:szCs w:val="18"/>
        </w:rPr>
        <w:t>exclusively handed down in infringement procedures.</w:t>
      </w:r>
    </w:p>
  </w:footnote>
  <w:footnote w:id="213">
    <w:p w:rsidR="001557B7" w:rsidRDefault="00AD3265">
      <w:pPr>
        <w:pStyle w:val="FootnoteText"/>
      </w:pPr>
      <w:r>
        <w:rPr>
          <w:rStyle w:val="FootnoteReference"/>
        </w:rPr>
        <w:footnoteRef/>
      </w:r>
      <w:r>
        <w:t xml:space="preserve"> </w:t>
      </w:r>
      <w:r>
        <w:tab/>
        <w:t xml:space="preserve">Directives </w:t>
      </w:r>
      <w:hyperlink r:id="rId308" w:history="1">
        <w:r>
          <w:rPr>
            <w:rStyle w:val="Hyperlink"/>
          </w:rPr>
          <w:t>2008/98/EC</w:t>
        </w:r>
      </w:hyperlink>
      <w:r>
        <w:t xml:space="preserve"> and </w:t>
      </w:r>
      <w:hyperlink r:id="rId309" w:history="1">
        <w:r>
          <w:rPr>
            <w:rStyle w:val="Hyperlink"/>
          </w:rPr>
          <w:t>1999/31/EC</w:t>
        </w:r>
      </w:hyperlink>
      <w:r>
        <w:t xml:space="preserve">, Commission v Greece, </w:t>
      </w:r>
      <w:hyperlink r:id="rId310" w:history="1">
        <w:r>
          <w:rPr>
            <w:rStyle w:val="Hyperlink"/>
          </w:rPr>
          <w:t>C-202/16</w:t>
        </w:r>
      </w:hyperlink>
      <w:r>
        <w:t>.</w:t>
      </w:r>
    </w:p>
  </w:footnote>
  <w:footnote w:id="214">
    <w:p w:rsidR="001557B7" w:rsidRDefault="00AD3265">
      <w:pPr>
        <w:pStyle w:val="FootnoteText"/>
      </w:pPr>
      <w:r>
        <w:rPr>
          <w:rStyle w:val="FootnoteReference"/>
        </w:rPr>
        <w:footnoteRef/>
      </w:r>
      <w:r>
        <w:t xml:space="preserve"> </w:t>
      </w:r>
      <w:r>
        <w:tab/>
        <w:t xml:space="preserve">Directive </w:t>
      </w:r>
      <w:hyperlink r:id="rId311" w:history="1">
        <w:r>
          <w:rPr>
            <w:rStyle w:val="Hyperlink"/>
          </w:rPr>
          <w:t>91/271/EEC</w:t>
        </w:r>
      </w:hyperlink>
      <w:r>
        <w:t xml:space="preserve">, Commission v Greece, </w:t>
      </w:r>
      <w:hyperlink r:id="rId312" w:history="1">
        <w:r>
          <w:rPr>
            <w:rStyle w:val="Hyperlink"/>
          </w:rPr>
          <w:t>C-320/15</w:t>
        </w:r>
      </w:hyperlink>
      <w:r>
        <w:t>.</w:t>
      </w:r>
    </w:p>
  </w:footnote>
  <w:footnote w:id="215">
    <w:p w:rsidR="001557B7" w:rsidRDefault="00AD3265">
      <w:pPr>
        <w:pStyle w:val="FootnoteText"/>
      </w:pPr>
      <w:r>
        <w:rPr>
          <w:rStyle w:val="FootnoteReference"/>
        </w:rPr>
        <w:footnoteRef/>
      </w:r>
      <w:r>
        <w:t xml:space="preserve"> </w:t>
      </w:r>
      <w:r>
        <w:tab/>
        <w:t xml:space="preserve">Commission v Greece, </w:t>
      </w:r>
      <w:hyperlink r:id="rId313" w:history="1">
        <w:r>
          <w:rPr>
            <w:rStyle w:val="Hyperlink"/>
          </w:rPr>
          <w:t>C-160/16</w:t>
        </w:r>
      </w:hyperlink>
      <w:r>
        <w:t>.</w:t>
      </w:r>
    </w:p>
  </w:footnote>
  <w:footnote w:id="216">
    <w:p w:rsidR="001557B7" w:rsidRDefault="00AD3265">
      <w:pPr>
        <w:pStyle w:val="FootnoteText"/>
      </w:pPr>
      <w:r>
        <w:rPr>
          <w:rStyle w:val="FootnoteReference"/>
        </w:rPr>
        <w:footnoteRef/>
      </w:r>
      <w:r>
        <w:t xml:space="preserve"> </w:t>
      </w:r>
      <w:r>
        <w:tab/>
        <w:t xml:space="preserve">Commission v Greece, </w:t>
      </w:r>
      <w:hyperlink r:id="rId314" w:history="1">
        <w:r>
          <w:rPr>
            <w:rStyle w:val="Hyperlink"/>
          </w:rPr>
          <w:t>C-98/16</w:t>
        </w:r>
      </w:hyperlink>
      <w:r>
        <w:t>.</w:t>
      </w:r>
    </w:p>
  </w:footnote>
  <w:footnote w:id="217">
    <w:p w:rsidR="001557B7" w:rsidRDefault="00AD3265">
      <w:pPr>
        <w:pStyle w:val="FootnoteText"/>
      </w:pPr>
      <w:r>
        <w:rPr>
          <w:rStyle w:val="FootnoteReference"/>
        </w:rPr>
        <w:footnoteRef/>
      </w:r>
      <w:r>
        <w:t xml:space="preserve"> </w:t>
      </w:r>
      <w:r>
        <w:tab/>
        <w:t xml:space="preserve">Kalliri, </w:t>
      </w:r>
      <w:hyperlink r:id="rId315" w:history="1">
        <w:r>
          <w:rPr>
            <w:rStyle w:val="Hyperlink"/>
          </w:rPr>
          <w:t>C-409/16</w:t>
        </w:r>
      </w:hyperlink>
      <w:r>
        <w:t xml:space="preserve"> and Court press release No </w:t>
      </w:r>
      <w:hyperlink r:id="rId316" w:history="1">
        <w:r>
          <w:rPr>
            <w:rStyle w:val="Hyperlink"/>
          </w:rPr>
          <w:t>106/17</w:t>
        </w:r>
      </w:hyperlink>
      <w:r>
        <w:t>.</w:t>
      </w:r>
    </w:p>
  </w:footnote>
  <w:footnote w:id="218">
    <w:p w:rsidR="001557B7" w:rsidRDefault="00AD3265">
      <w:pPr>
        <w:pStyle w:val="FootnoteText"/>
        <w:rPr>
          <w:lang w:val="pt-PT"/>
        </w:rPr>
      </w:pPr>
      <w:r>
        <w:rPr>
          <w:rStyle w:val="FootnoteReference"/>
        </w:rPr>
        <w:footnoteRef/>
      </w:r>
      <w:r>
        <w:rPr>
          <w:lang w:val="pt-PT"/>
        </w:rPr>
        <w:t xml:space="preserve"> </w:t>
      </w:r>
      <w:r>
        <w:rPr>
          <w:lang w:val="pt-PT"/>
        </w:rPr>
        <w:tab/>
        <w:t xml:space="preserve">Petrea, </w:t>
      </w:r>
      <w:hyperlink r:id="rId317" w:history="1">
        <w:r>
          <w:rPr>
            <w:rStyle w:val="Hyperlink"/>
            <w:lang w:val="pt-PT"/>
          </w:rPr>
          <w:t>C-184/16</w:t>
        </w:r>
      </w:hyperlink>
      <w:r>
        <w:rPr>
          <w:lang w:val="pt-PT"/>
        </w:rPr>
        <w:t>.</w:t>
      </w:r>
    </w:p>
  </w:footnote>
  <w:footnote w:id="219">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18" w:history="1">
        <w:r>
          <w:rPr>
            <w:rStyle w:val="Hyperlink"/>
            <w:lang w:val="pt-PT"/>
          </w:rPr>
          <w:t>2015/849/EU</w:t>
        </w:r>
      </w:hyperlink>
      <w:r>
        <w:rPr>
          <w:lang w:val="pt-PT"/>
        </w:rPr>
        <w:t xml:space="preserve">, </w:t>
      </w:r>
      <w:hyperlink r:id="rId319" w:history="1">
        <w:r>
          <w:rPr>
            <w:rStyle w:val="Hyperlink"/>
            <w:lang w:val="pt-PT"/>
          </w:rPr>
          <w:t>MEMO/17/4767</w:t>
        </w:r>
      </w:hyperlink>
      <w:r>
        <w:rPr>
          <w:lang w:val="pt-PT"/>
        </w:rPr>
        <w:t>.</w:t>
      </w:r>
    </w:p>
  </w:footnote>
  <w:footnote w:id="220">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20" w:history="1">
        <w:r>
          <w:rPr>
            <w:rStyle w:val="Hyperlink"/>
            <w:lang w:val="pt-PT"/>
          </w:rPr>
          <w:t>2012/34/EU</w:t>
        </w:r>
      </w:hyperlink>
      <w:r>
        <w:rPr>
          <w:lang w:val="pt-PT"/>
        </w:rPr>
        <w:t xml:space="preserve">, </w:t>
      </w:r>
      <w:hyperlink r:id="rId321" w:history="1">
        <w:r>
          <w:rPr>
            <w:rStyle w:val="Hyperlink"/>
            <w:lang w:val="pt-PT"/>
          </w:rPr>
          <w:t>MEMO/17/1577</w:t>
        </w:r>
      </w:hyperlink>
      <w:r>
        <w:rPr>
          <w:lang w:val="pt-PT"/>
        </w:rPr>
        <w:t>.</w:t>
      </w:r>
    </w:p>
  </w:footnote>
  <w:footnote w:id="221">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22" w:history="1">
        <w:r>
          <w:rPr>
            <w:rStyle w:val="Hyperlink"/>
            <w:lang w:val="pt-PT"/>
          </w:rPr>
          <w:t>2013/55/EU</w:t>
        </w:r>
      </w:hyperlink>
      <w:r>
        <w:rPr>
          <w:lang w:val="pt-PT"/>
        </w:rPr>
        <w:t>.</w:t>
      </w:r>
    </w:p>
  </w:footnote>
  <w:footnote w:id="222">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23" w:history="1">
        <w:r>
          <w:rPr>
            <w:rStyle w:val="Hyperlink"/>
            <w:lang w:val="pt-PT"/>
          </w:rPr>
          <w:t>(EU) 2015/652</w:t>
        </w:r>
      </w:hyperlink>
      <w:r>
        <w:rPr>
          <w:lang w:val="pt-PT"/>
        </w:rPr>
        <w:t>.</w:t>
      </w:r>
    </w:p>
  </w:footnote>
  <w:footnote w:id="223">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24" w:history="1">
        <w:r>
          <w:rPr>
            <w:rStyle w:val="Hyperlink"/>
            <w:lang w:val="pt-PT"/>
          </w:rPr>
          <w:t>98/70/EC</w:t>
        </w:r>
      </w:hyperlink>
      <w:r>
        <w:rPr>
          <w:lang w:val="pt-PT"/>
        </w:rPr>
        <w:t>.</w:t>
      </w:r>
    </w:p>
  </w:footnote>
  <w:footnote w:id="224">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25" w:history="1">
        <w:r>
          <w:rPr>
            <w:rStyle w:val="Hyperlink"/>
            <w:lang w:val="pt-PT"/>
          </w:rPr>
          <w:t>2014/65/EU</w:t>
        </w:r>
      </w:hyperlink>
      <w:r>
        <w:rPr>
          <w:lang w:val="pt-PT"/>
        </w:rPr>
        <w:t>.</w:t>
      </w:r>
    </w:p>
  </w:footnote>
  <w:footnote w:id="22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26" w:history="1">
        <w:r>
          <w:rPr>
            <w:rStyle w:val="Hyperlink"/>
            <w:lang w:val="pt-PT"/>
          </w:rPr>
          <w:t>2014/92/EU</w:t>
        </w:r>
      </w:hyperlink>
      <w:r>
        <w:rPr>
          <w:lang w:val="pt-PT"/>
        </w:rPr>
        <w:t xml:space="preserve">, </w:t>
      </w:r>
      <w:hyperlink r:id="rId327" w:history="1">
        <w:r>
          <w:rPr>
            <w:rStyle w:val="Hyperlink"/>
            <w:lang w:val="pt-PT"/>
          </w:rPr>
          <w:t>MEMO/17/1045</w:t>
        </w:r>
      </w:hyperlink>
      <w:r>
        <w:rPr>
          <w:lang w:val="pt-PT"/>
        </w:rPr>
        <w:t>.</w:t>
      </w:r>
    </w:p>
  </w:footnote>
  <w:footnote w:id="22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28" w:history="1">
        <w:r>
          <w:rPr>
            <w:rStyle w:val="Hyperlink"/>
            <w:lang w:val="pt-PT"/>
          </w:rPr>
          <w:t>2014/95/EU</w:t>
        </w:r>
      </w:hyperlink>
      <w:r>
        <w:rPr>
          <w:lang w:val="pt-PT"/>
        </w:rPr>
        <w:t xml:space="preserve">, </w:t>
      </w:r>
      <w:hyperlink r:id="rId329" w:history="1">
        <w:r>
          <w:rPr>
            <w:rStyle w:val="Hyperlink"/>
            <w:lang w:val="pt-PT"/>
          </w:rPr>
          <w:t>MEMO/17/1577</w:t>
        </w:r>
      </w:hyperlink>
      <w:r>
        <w:rPr>
          <w:lang w:val="pt-PT"/>
        </w:rPr>
        <w:t>.</w:t>
      </w:r>
    </w:p>
  </w:footnote>
  <w:footnote w:id="227">
    <w:p w:rsidR="001557B7" w:rsidRDefault="00AD3265">
      <w:pPr>
        <w:pStyle w:val="FootnoteText"/>
        <w:rPr>
          <w:lang w:val="pt-PT"/>
        </w:rPr>
      </w:pPr>
      <w:r>
        <w:rPr>
          <w:rStyle w:val="FootnoteReference"/>
        </w:rPr>
        <w:footnoteRef/>
      </w:r>
      <w:r>
        <w:rPr>
          <w:lang w:val="pt-PT"/>
        </w:rPr>
        <w:t xml:space="preserve"> </w:t>
      </w:r>
      <w:r>
        <w:rPr>
          <w:lang w:val="pt-PT"/>
        </w:rPr>
        <w:tab/>
      </w:r>
      <w:hyperlink r:id="rId330" w:history="1">
        <w:r>
          <w:rPr>
            <w:rStyle w:val="Hyperlink"/>
            <w:lang w:val="pt-PT"/>
          </w:rPr>
          <w:t>MEMO/17/234.</w:t>
        </w:r>
      </w:hyperlink>
    </w:p>
  </w:footnote>
  <w:footnote w:id="228">
    <w:p w:rsidR="001557B7" w:rsidRDefault="00AD3265">
      <w:pPr>
        <w:pStyle w:val="FootnoteText"/>
        <w:rPr>
          <w:lang w:val="pt-PT"/>
        </w:rPr>
      </w:pPr>
      <w:r>
        <w:rPr>
          <w:rStyle w:val="FootnoteReference"/>
        </w:rPr>
        <w:footnoteRef/>
      </w:r>
      <w:r>
        <w:rPr>
          <w:lang w:val="pt-PT"/>
        </w:rPr>
        <w:t xml:space="preserve"> </w:t>
      </w:r>
      <w:r>
        <w:rPr>
          <w:lang w:val="pt-PT"/>
        </w:rPr>
        <w:tab/>
      </w:r>
      <w:hyperlink r:id="rId331" w:history="1">
        <w:r>
          <w:rPr>
            <w:rStyle w:val="Hyperlink"/>
            <w:lang w:val="pt-PT"/>
          </w:rPr>
          <w:t>MEMO/17/1935</w:t>
        </w:r>
      </w:hyperlink>
      <w:r>
        <w:rPr>
          <w:lang w:val="pt-PT"/>
        </w:rPr>
        <w:t>.</w:t>
      </w:r>
    </w:p>
  </w:footnote>
  <w:footnote w:id="229">
    <w:p w:rsidR="001557B7" w:rsidRDefault="00AD3265">
      <w:pPr>
        <w:pStyle w:val="FootnoteText"/>
        <w:rPr>
          <w:lang w:val="pt-PT"/>
        </w:rPr>
      </w:pPr>
      <w:r>
        <w:rPr>
          <w:rStyle w:val="FootnoteReference"/>
        </w:rPr>
        <w:footnoteRef/>
      </w:r>
      <w:r>
        <w:rPr>
          <w:lang w:val="pt-PT"/>
        </w:rPr>
        <w:t xml:space="preserve"> </w:t>
      </w:r>
      <w:r>
        <w:rPr>
          <w:lang w:val="pt-PT"/>
        </w:rPr>
        <w:tab/>
      </w:r>
      <w:hyperlink r:id="rId332" w:history="1">
        <w:r>
          <w:rPr>
            <w:rStyle w:val="Hyperlink"/>
            <w:lang w:val="pt-PT"/>
          </w:rPr>
          <w:t>MEMO/17/4767</w:t>
        </w:r>
      </w:hyperlink>
      <w:r>
        <w:rPr>
          <w:lang w:val="pt-PT"/>
        </w:rPr>
        <w:t>.</w:t>
      </w:r>
    </w:p>
  </w:footnote>
  <w:footnote w:id="230">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33" w:history="1">
        <w:r>
          <w:rPr>
            <w:rStyle w:val="Hyperlink"/>
            <w:lang w:val="pt-PT"/>
          </w:rPr>
          <w:t>2011/7/EU</w:t>
        </w:r>
      </w:hyperlink>
      <w:r>
        <w:rPr>
          <w:lang w:val="pt-PT"/>
        </w:rPr>
        <w:t xml:space="preserve">, </w:t>
      </w:r>
      <w:hyperlink r:id="rId334" w:history="1">
        <w:r>
          <w:rPr>
            <w:rStyle w:val="Hyperlink"/>
            <w:lang w:val="pt-PT"/>
          </w:rPr>
          <w:t>IP/17/239</w:t>
        </w:r>
      </w:hyperlink>
      <w:r>
        <w:rPr>
          <w:lang w:val="pt-PT"/>
        </w:rPr>
        <w:t>.</w:t>
      </w:r>
    </w:p>
  </w:footnote>
  <w:footnote w:id="231">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35" w:history="1">
        <w:r>
          <w:rPr>
            <w:rStyle w:val="Hyperlink"/>
            <w:lang w:val="pt-PT"/>
          </w:rPr>
          <w:t>2002/21/EC</w:t>
        </w:r>
      </w:hyperlink>
      <w:r>
        <w:rPr>
          <w:lang w:val="pt-PT"/>
        </w:rPr>
        <w:t xml:space="preserve">, </w:t>
      </w:r>
      <w:hyperlink r:id="rId336" w:history="1">
        <w:r>
          <w:rPr>
            <w:rStyle w:val="Hyperlink"/>
            <w:lang w:val="pt-PT"/>
          </w:rPr>
          <w:t>MEMO/17/3494</w:t>
        </w:r>
      </w:hyperlink>
      <w:r>
        <w:rPr>
          <w:lang w:val="pt-PT"/>
        </w:rPr>
        <w:t>.</w:t>
      </w:r>
    </w:p>
  </w:footnote>
  <w:footnote w:id="232">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37" w:history="1">
        <w:r>
          <w:rPr>
            <w:rStyle w:val="Hyperlink"/>
            <w:lang w:val="pt-PT"/>
          </w:rPr>
          <w:t>2012/27/EU</w:t>
        </w:r>
      </w:hyperlink>
      <w:r>
        <w:rPr>
          <w:lang w:val="pt-PT"/>
        </w:rPr>
        <w:t>,</w:t>
      </w:r>
      <w:r>
        <w:rPr>
          <w:sz w:val="22"/>
          <w:lang w:val="pt-PT"/>
        </w:rPr>
        <w:t xml:space="preserve"> </w:t>
      </w:r>
      <w:hyperlink r:id="rId338" w:history="1">
        <w:r>
          <w:rPr>
            <w:rStyle w:val="Hyperlink"/>
            <w:lang w:val="pt-PT"/>
          </w:rPr>
          <w:t>MEMO/17/3494</w:t>
        </w:r>
      </w:hyperlink>
      <w:r>
        <w:rPr>
          <w:lang w:val="pt-PT"/>
        </w:rPr>
        <w:t>.</w:t>
      </w:r>
    </w:p>
  </w:footnote>
  <w:footnote w:id="233">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39" w:history="1">
        <w:r>
          <w:rPr>
            <w:rStyle w:val="Hyperlink"/>
            <w:lang w:val="pt-PT"/>
          </w:rPr>
          <w:t>2008/98/EC</w:t>
        </w:r>
      </w:hyperlink>
      <w:r>
        <w:rPr>
          <w:lang w:val="pt-PT"/>
        </w:rPr>
        <w:t xml:space="preserve">, </w:t>
      </w:r>
      <w:hyperlink r:id="rId340" w:history="1">
        <w:r>
          <w:rPr>
            <w:rStyle w:val="Hyperlink"/>
            <w:lang w:val="pt-PT"/>
          </w:rPr>
          <w:t>MEMO/17/1935</w:t>
        </w:r>
      </w:hyperlink>
      <w:r>
        <w:rPr>
          <w:lang w:val="pt-PT"/>
        </w:rPr>
        <w:t>.</w:t>
      </w:r>
    </w:p>
  </w:footnote>
  <w:footnote w:id="234">
    <w:p w:rsidR="001557B7" w:rsidRDefault="00AD3265">
      <w:pPr>
        <w:pStyle w:val="FootnoteText"/>
        <w:rPr>
          <w:lang w:val="pt-PT"/>
        </w:rPr>
      </w:pPr>
      <w:r>
        <w:rPr>
          <w:rStyle w:val="FootnoteReference"/>
        </w:rPr>
        <w:footnoteRef/>
      </w:r>
      <w:r>
        <w:rPr>
          <w:lang w:val="pt-PT"/>
        </w:rPr>
        <w:t xml:space="preserve"> </w:t>
      </w:r>
      <w:r>
        <w:rPr>
          <w:lang w:val="pt-PT"/>
        </w:rPr>
        <w:tab/>
      </w:r>
      <w:hyperlink r:id="rId341" w:history="1">
        <w:r>
          <w:rPr>
            <w:rStyle w:val="Hyperlink"/>
            <w:lang w:val="pt-PT"/>
          </w:rPr>
          <w:t>MEMO/17/1281</w:t>
        </w:r>
      </w:hyperlink>
      <w:r>
        <w:rPr>
          <w:lang w:val="pt-PT"/>
        </w:rPr>
        <w:t>.</w:t>
      </w:r>
    </w:p>
  </w:footnote>
  <w:footnote w:id="23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42" w:history="1">
        <w:r>
          <w:rPr>
            <w:rStyle w:val="Hyperlink"/>
            <w:lang w:val="pt-PT"/>
          </w:rPr>
          <w:t>2008/98/EC</w:t>
        </w:r>
      </w:hyperlink>
      <w:r>
        <w:rPr>
          <w:rStyle w:val="Hyperlink"/>
          <w:lang w:val="pt-PT"/>
        </w:rPr>
        <w:t>,</w:t>
      </w:r>
      <w:r>
        <w:rPr>
          <w:lang w:val="pt-PT"/>
        </w:rPr>
        <w:t xml:space="preserve"> </w:t>
      </w:r>
      <w:hyperlink r:id="rId343" w:history="1">
        <w:r>
          <w:rPr>
            <w:rStyle w:val="Hyperlink"/>
            <w:lang w:val="pt-PT"/>
          </w:rPr>
          <w:t>MEMO/17/3494</w:t>
        </w:r>
      </w:hyperlink>
      <w:r>
        <w:rPr>
          <w:lang w:val="pt-PT"/>
        </w:rPr>
        <w:t>.</w:t>
      </w:r>
    </w:p>
  </w:footnote>
  <w:footnote w:id="236">
    <w:p w:rsidR="001557B7" w:rsidRDefault="00AD3265">
      <w:pPr>
        <w:pStyle w:val="FootnoteText"/>
        <w:rPr>
          <w:lang w:val="pt-PT"/>
        </w:rPr>
      </w:pPr>
      <w:r>
        <w:rPr>
          <w:rStyle w:val="FootnoteReference"/>
        </w:rPr>
        <w:footnoteRef/>
      </w:r>
      <w:r>
        <w:rPr>
          <w:lang w:val="pt-PT"/>
        </w:rPr>
        <w:t xml:space="preserve"> </w:t>
      </w:r>
      <w:r>
        <w:rPr>
          <w:lang w:val="pt-PT"/>
        </w:rPr>
        <w:tab/>
      </w:r>
      <w:hyperlink r:id="rId344" w:history="1">
        <w:r>
          <w:rPr>
            <w:rStyle w:val="Hyperlink"/>
            <w:lang w:val="pt-PT"/>
          </w:rPr>
          <w:t>MEMO/17/3494</w:t>
        </w:r>
      </w:hyperlink>
      <w:r>
        <w:rPr>
          <w:lang w:val="pt-PT"/>
        </w:rPr>
        <w:t>.</w:t>
      </w:r>
    </w:p>
  </w:footnote>
  <w:footnote w:id="237">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45" w:history="1">
        <w:r>
          <w:rPr>
            <w:rStyle w:val="Hyperlink"/>
            <w:lang w:val="pt-PT"/>
          </w:rPr>
          <w:t>2000/60/EC</w:t>
        </w:r>
      </w:hyperlink>
      <w:r>
        <w:rPr>
          <w:lang w:val="pt-PT"/>
        </w:rPr>
        <w:t xml:space="preserve">, </w:t>
      </w:r>
      <w:hyperlink r:id="rId346" w:history="1">
        <w:r>
          <w:rPr>
            <w:rStyle w:val="Hyperlink"/>
            <w:lang w:val="pt-PT"/>
          </w:rPr>
          <w:t>MEMO/17/3494</w:t>
        </w:r>
      </w:hyperlink>
      <w:r>
        <w:rPr>
          <w:lang w:val="pt-PT"/>
        </w:rPr>
        <w:t>.</w:t>
      </w:r>
    </w:p>
  </w:footnote>
  <w:footnote w:id="238">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47" w:history="1">
        <w:r>
          <w:rPr>
            <w:rStyle w:val="Hyperlink"/>
            <w:lang w:val="pt-PT"/>
          </w:rPr>
          <w:t>2008/50/EC</w:t>
        </w:r>
      </w:hyperlink>
      <w:r>
        <w:rPr>
          <w:lang w:val="pt-PT"/>
        </w:rPr>
        <w:t xml:space="preserve">, </w:t>
      </w:r>
      <w:hyperlink r:id="rId348" w:history="1">
        <w:r>
          <w:rPr>
            <w:rStyle w:val="Hyperlink"/>
            <w:lang w:val="pt-PT"/>
          </w:rPr>
          <w:t>IP/17/238</w:t>
        </w:r>
      </w:hyperlink>
      <w:r>
        <w:rPr>
          <w:lang w:val="pt-PT"/>
        </w:rPr>
        <w:t>.</w:t>
      </w:r>
    </w:p>
  </w:footnote>
  <w:footnote w:id="239">
    <w:p w:rsidR="001557B7" w:rsidRDefault="00AD3265">
      <w:pPr>
        <w:pStyle w:val="FootnoteText"/>
      </w:pPr>
      <w:r>
        <w:rPr>
          <w:rStyle w:val="FootnoteReference"/>
        </w:rPr>
        <w:footnoteRef/>
      </w:r>
      <w:r>
        <w:t xml:space="preserve"> </w:t>
      </w:r>
      <w:r>
        <w:tab/>
        <w:t xml:space="preserve">Regulation </w:t>
      </w:r>
      <w:hyperlink r:id="rId349" w:history="1">
        <w:r>
          <w:rPr>
            <w:rStyle w:val="Hyperlink"/>
          </w:rPr>
          <w:t xml:space="preserve">(EC) </w:t>
        </w:r>
        <w:r>
          <w:rPr>
            <w:rStyle w:val="Hyperlink"/>
          </w:rPr>
          <w:t>No 1071/2009</w:t>
        </w:r>
      </w:hyperlink>
      <w:r>
        <w:t xml:space="preserve">, Commission v Spain, </w:t>
      </w:r>
      <w:hyperlink r:id="rId350" w:history="1">
        <w:r>
          <w:rPr>
            <w:rStyle w:val="Hyperlink"/>
          </w:rPr>
          <w:t>C-181/17</w:t>
        </w:r>
      </w:hyperlink>
      <w:r>
        <w:t xml:space="preserve">; </w:t>
      </w:r>
      <w:hyperlink r:id="rId351" w:history="1">
        <w:r>
          <w:rPr>
            <w:rStyle w:val="Hyperlink"/>
          </w:rPr>
          <w:t>IP/16/3651</w:t>
        </w:r>
      </w:hyperlink>
      <w:r>
        <w:t xml:space="preserve">, </w:t>
      </w:r>
      <w:hyperlink r:id="rId352" w:history="1">
        <w:r>
          <w:rPr>
            <w:rStyle w:val="Hyperlink"/>
          </w:rPr>
          <w:t>MEMO/16/3644</w:t>
        </w:r>
      </w:hyperlink>
      <w:r>
        <w:t>.</w:t>
      </w:r>
    </w:p>
  </w:footnote>
  <w:footnote w:id="240">
    <w:p w:rsidR="001557B7" w:rsidRDefault="00AD3265">
      <w:pPr>
        <w:pStyle w:val="FootnoteText"/>
      </w:pPr>
      <w:r>
        <w:rPr>
          <w:rStyle w:val="FootnoteReference"/>
        </w:rPr>
        <w:footnoteRef/>
      </w:r>
      <w:r>
        <w:t xml:space="preserve"> </w:t>
      </w:r>
      <w:r>
        <w:tab/>
        <w:t xml:space="preserve">Commission Implementing Directive </w:t>
      </w:r>
      <w:hyperlink r:id="rId353" w:history="1">
        <w:r>
          <w:rPr>
            <w:rStyle w:val="Hyperlink"/>
          </w:rPr>
          <w:t>(EU) 2015/2392</w:t>
        </w:r>
      </w:hyperlink>
      <w:r>
        <w:t xml:space="preserve">, Commission v Spain, </w:t>
      </w:r>
      <w:hyperlink r:id="rId354" w:history="1">
        <w:r>
          <w:rPr>
            <w:rStyle w:val="Hyperlink"/>
          </w:rPr>
          <w:t>C-599/17</w:t>
        </w:r>
      </w:hyperlink>
      <w:r>
        <w:t xml:space="preserve">, </w:t>
      </w:r>
      <w:hyperlink r:id="rId355" w:history="1">
        <w:r>
          <w:rPr>
            <w:rStyle w:val="Hyperlink"/>
          </w:rPr>
          <w:t>IP/17/1950</w:t>
        </w:r>
      </w:hyperlink>
      <w:r>
        <w:t>.</w:t>
      </w:r>
    </w:p>
  </w:footnote>
  <w:footnote w:id="241">
    <w:p w:rsidR="001557B7" w:rsidRDefault="00AD3265">
      <w:pPr>
        <w:pStyle w:val="FootnoteText"/>
      </w:pPr>
      <w:r>
        <w:rPr>
          <w:rStyle w:val="FootnoteReference"/>
        </w:rPr>
        <w:footnoteRef/>
      </w:r>
      <w:r>
        <w:t xml:space="preserve"> </w:t>
      </w:r>
      <w:r>
        <w:tab/>
        <w:t xml:space="preserve">Directive </w:t>
      </w:r>
      <w:hyperlink r:id="rId356" w:history="1">
        <w:r>
          <w:rPr>
            <w:rStyle w:val="Hyperlink"/>
          </w:rPr>
          <w:t>91/271/EEC</w:t>
        </w:r>
      </w:hyperlink>
      <w:r>
        <w:t xml:space="preserve">, Commission v Spain, </w:t>
      </w:r>
      <w:hyperlink r:id="rId357" w:history="1">
        <w:r>
          <w:rPr>
            <w:rStyle w:val="Hyperlink"/>
          </w:rPr>
          <w:t>C-205/17</w:t>
        </w:r>
      </w:hyperlink>
      <w:r>
        <w:t xml:space="preserve">, </w:t>
      </w:r>
      <w:hyperlink r:id="rId358" w:history="1">
        <w:r>
          <w:rPr>
            <w:rStyle w:val="Hyperlink"/>
          </w:rPr>
          <w:t>MEMO/16/3644</w:t>
        </w:r>
      </w:hyperlink>
      <w:r>
        <w:t xml:space="preserve">, </w:t>
      </w:r>
      <w:hyperlink r:id="rId359" w:history="1">
        <w:r>
          <w:rPr>
            <w:rStyle w:val="Hyperlink"/>
          </w:rPr>
          <w:t>IP/16/3645</w:t>
        </w:r>
      </w:hyperlink>
      <w:r>
        <w:t>.</w:t>
      </w:r>
    </w:p>
  </w:footnote>
  <w:footnote w:id="242">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60" w:history="1">
        <w:r>
          <w:rPr>
            <w:rStyle w:val="Hyperlink"/>
            <w:lang w:val="fr-BE"/>
          </w:rPr>
          <w:t>2014/17/EU</w:t>
        </w:r>
      </w:hyperlink>
      <w:r>
        <w:rPr>
          <w:lang w:val="fr-BE"/>
        </w:rPr>
        <w:t xml:space="preserve">, Commission v Spain, </w:t>
      </w:r>
      <w:hyperlink r:id="rId361" w:history="1">
        <w:r>
          <w:rPr>
            <w:rStyle w:val="Hyperlink"/>
            <w:lang w:val="fr-BE"/>
          </w:rPr>
          <w:t>C-569/17</w:t>
        </w:r>
      </w:hyperlink>
      <w:r>
        <w:rPr>
          <w:lang w:val="fr-BE"/>
        </w:rPr>
        <w:t xml:space="preserve">; </w:t>
      </w:r>
      <w:hyperlink r:id="rId362" w:history="1">
        <w:r>
          <w:rPr>
            <w:rStyle w:val="Hyperlink"/>
            <w:lang w:val="fr-BE"/>
          </w:rPr>
          <w:t>IP/17/1049</w:t>
        </w:r>
      </w:hyperlink>
      <w:r>
        <w:rPr>
          <w:lang w:val="fr-BE"/>
        </w:rPr>
        <w:t>.</w:t>
      </w:r>
    </w:p>
  </w:footnote>
  <w:footnote w:id="243">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63" w:history="1">
        <w:r>
          <w:rPr>
            <w:rStyle w:val="Hyperlink"/>
            <w:lang w:val="fr-BE"/>
          </w:rPr>
          <w:t>2005/36/EC</w:t>
        </w:r>
      </w:hyperlink>
      <w:r>
        <w:rPr>
          <w:lang w:val="fr-BE"/>
        </w:rPr>
        <w:t>.</w:t>
      </w:r>
    </w:p>
  </w:footnote>
  <w:footnote w:id="244">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64" w:history="1">
        <w:r>
          <w:rPr>
            <w:rStyle w:val="Hyperlink"/>
            <w:lang w:val="fr-BE"/>
          </w:rPr>
          <w:t>2009/138/EC</w:t>
        </w:r>
      </w:hyperlink>
      <w:r>
        <w:rPr>
          <w:lang w:val="fr-BE"/>
        </w:rPr>
        <w:t>.</w:t>
      </w:r>
    </w:p>
  </w:footnote>
  <w:footnote w:id="245">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65" w:history="1">
        <w:r>
          <w:rPr>
            <w:rStyle w:val="Hyperlink"/>
            <w:lang w:val="fr-BE"/>
          </w:rPr>
          <w:t>2014/51/EU</w:t>
        </w:r>
      </w:hyperlink>
      <w:r>
        <w:rPr>
          <w:lang w:val="fr-BE"/>
        </w:rPr>
        <w:t>.</w:t>
      </w:r>
    </w:p>
  </w:footnote>
  <w:footnote w:id="246">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66" w:history="1">
        <w:r>
          <w:rPr>
            <w:rStyle w:val="Hyperlink"/>
            <w:lang w:val="fr-BE"/>
          </w:rPr>
          <w:t>2013/34/EU</w:t>
        </w:r>
      </w:hyperlink>
      <w:r>
        <w:rPr>
          <w:lang w:val="fr-BE"/>
        </w:rPr>
        <w:t>.</w:t>
      </w:r>
    </w:p>
  </w:footnote>
  <w:footnote w:id="247">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67" w:history="1">
        <w:r>
          <w:rPr>
            <w:rStyle w:val="Hyperlink"/>
            <w:lang w:val="fr-BE"/>
          </w:rPr>
          <w:t>98/26/EC</w:t>
        </w:r>
      </w:hyperlink>
      <w:r>
        <w:rPr>
          <w:lang w:val="fr-BE"/>
        </w:rPr>
        <w:t>.</w:t>
      </w:r>
    </w:p>
  </w:footnote>
  <w:footnote w:id="248">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68" w:history="1">
        <w:r>
          <w:rPr>
            <w:rStyle w:val="Hyperlink"/>
            <w:lang w:val="fr-BE"/>
          </w:rPr>
          <w:t>2014/89/EU</w:t>
        </w:r>
      </w:hyperlink>
      <w:r>
        <w:rPr>
          <w:lang w:val="fr-BE"/>
        </w:rPr>
        <w:t>.</w:t>
      </w:r>
    </w:p>
  </w:footnote>
  <w:footnote w:id="249">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69" w:history="1">
        <w:r>
          <w:rPr>
            <w:rStyle w:val="Hyperlink"/>
            <w:lang w:val="fr-BE"/>
          </w:rPr>
          <w:t>2014/60/EU</w:t>
        </w:r>
      </w:hyperlink>
      <w:r>
        <w:rPr>
          <w:lang w:val="fr-BE"/>
        </w:rPr>
        <w:t>.</w:t>
      </w:r>
    </w:p>
  </w:footnote>
  <w:footnote w:id="250">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70" w:history="1">
        <w:r>
          <w:rPr>
            <w:rStyle w:val="Hyperlink"/>
            <w:lang w:val="fr-BE"/>
          </w:rPr>
          <w:t>2014/28/EU</w:t>
        </w:r>
      </w:hyperlink>
      <w:r>
        <w:rPr>
          <w:lang w:val="fr-BE"/>
        </w:rPr>
        <w:t>.</w:t>
      </w:r>
    </w:p>
  </w:footnote>
  <w:footnote w:id="251">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71" w:history="1">
        <w:r>
          <w:rPr>
            <w:rStyle w:val="Hyperlink"/>
            <w:lang w:val="fr-BE"/>
          </w:rPr>
          <w:t>2013/51/Euratom</w:t>
        </w:r>
      </w:hyperlink>
      <w:r>
        <w:rPr>
          <w:lang w:val="fr-BE"/>
        </w:rPr>
        <w:t>.</w:t>
      </w:r>
    </w:p>
  </w:footnote>
  <w:footnote w:id="252">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72" w:history="1">
        <w:r>
          <w:rPr>
            <w:rStyle w:val="Hyperlink"/>
            <w:lang w:val="fr-BE"/>
          </w:rPr>
          <w:t>2013/51/Euratom</w:t>
        </w:r>
      </w:hyperlink>
      <w:r>
        <w:rPr>
          <w:lang w:val="fr-BE"/>
        </w:rPr>
        <w:t>.</w:t>
      </w:r>
    </w:p>
  </w:footnote>
  <w:footnote w:id="253">
    <w:p w:rsidR="001557B7" w:rsidRDefault="00AD3265">
      <w:pPr>
        <w:pStyle w:val="FootnoteText"/>
      </w:pPr>
      <w:r>
        <w:rPr>
          <w:rStyle w:val="FootnoteReference"/>
        </w:rPr>
        <w:footnoteRef/>
      </w:r>
      <w:r>
        <w:t xml:space="preserve"> </w:t>
      </w:r>
      <w:r>
        <w:tab/>
        <w:t>Directiv</w:t>
      </w:r>
      <w:r>
        <w:t xml:space="preserve">e </w:t>
      </w:r>
      <w:hyperlink r:id="rId373" w:history="1">
        <w:r>
          <w:rPr>
            <w:rStyle w:val="Hyperlink"/>
          </w:rPr>
          <w:t>2003/88/EC</w:t>
        </w:r>
      </w:hyperlink>
      <w:r>
        <w:t>.</w:t>
      </w:r>
    </w:p>
  </w:footnote>
  <w:footnote w:id="254">
    <w:p w:rsidR="001557B7" w:rsidRDefault="00AD3265">
      <w:pPr>
        <w:pStyle w:val="FootnoteText"/>
      </w:pPr>
      <w:r>
        <w:rPr>
          <w:rStyle w:val="FootnoteReference"/>
        </w:rPr>
        <w:footnoteRef/>
      </w:r>
      <w:r>
        <w:t xml:space="preserve"> </w:t>
      </w:r>
      <w:r>
        <w:tab/>
      </w:r>
      <w:r>
        <w:rPr>
          <w:szCs w:val="18"/>
        </w:rPr>
        <w:t>These rulings are almost exclusively handed down in infringement procedures.</w:t>
      </w:r>
    </w:p>
  </w:footnote>
  <w:footnote w:id="255">
    <w:p w:rsidR="001557B7" w:rsidRDefault="00AD3265">
      <w:pPr>
        <w:pStyle w:val="FootnoteText"/>
      </w:pPr>
      <w:r>
        <w:rPr>
          <w:rStyle w:val="FootnoteReference"/>
        </w:rPr>
        <w:footnoteRef/>
      </w:r>
      <w:r>
        <w:t xml:space="preserve"> </w:t>
      </w:r>
      <w:r>
        <w:tab/>
        <w:t xml:space="preserve">Commission v Spain, </w:t>
      </w:r>
      <w:hyperlink r:id="rId374" w:history="1">
        <w:r>
          <w:rPr>
            <w:rStyle w:val="Hyperlink"/>
          </w:rPr>
          <w:t>C</w:t>
        </w:r>
        <w:r>
          <w:rPr>
            <w:rStyle w:val="Hyperlink"/>
          </w:rPr>
          <w:noBreakHyphen/>
          <w:t>576/13</w:t>
        </w:r>
      </w:hyperlink>
      <w:r>
        <w:t>.</w:t>
      </w:r>
    </w:p>
  </w:footnote>
  <w:footnote w:id="256">
    <w:p w:rsidR="001557B7" w:rsidRDefault="00AD3265">
      <w:pPr>
        <w:pStyle w:val="FootnoteText"/>
      </w:pPr>
      <w:r>
        <w:rPr>
          <w:rStyle w:val="FootnoteReference"/>
        </w:rPr>
        <w:footnoteRef/>
      </w:r>
      <w:r>
        <w:t xml:space="preserve"> </w:t>
      </w:r>
      <w:r>
        <w:tab/>
        <w:t xml:space="preserve">Commission v Spain, </w:t>
      </w:r>
      <w:hyperlink r:id="rId375" w:history="1">
        <w:r>
          <w:rPr>
            <w:rStyle w:val="Hyperlink"/>
          </w:rPr>
          <w:t>C-388/16</w:t>
        </w:r>
      </w:hyperlink>
      <w:r>
        <w:t>.</w:t>
      </w:r>
    </w:p>
  </w:footnote>
  <w:footnote w:id="257">
    <w:p w:rsidR="001557B7" w:rsidRDefault="00AD3265">
      <w:pPr>
        <w:pStyle w:val="FootnoteText"/>
      </w:pPr>
      <w:r>
        <w:rPr>
          <w:rStyle w:val="FootnoteReference"/>
        </w:rPr>
        <w:footnoteRef/>
      </w:r>
      <w:r>
        <w:t xml:space="preserve"> </w:t>
      </w:r>
      <w:r>
        <w:tab/>
        <w:t xml:space="preserve">Directive </w:t>
      </w:r>
      <w:hyperlink r:id="rId376" w:history="1">
        <w:r>
          <w:rPr>
            <w:rStyle w:val="Hyperlink"/>
          </w:rPr>
          <w:t>2008/98/EC</w:t>
        </w:r>
      </w:hyperlink>
      <w:r>
        <w:t xml:space="preserve">, Commission v Spain, </w:t>
      </w:r>
      <w:hyperlink r:id="rId377" w:history="1">
        <w:r>
          <w:rPr>
            <w:rStyle w:val="Hyperlink"/>
          </w:rPr>
          <w:t>C-563/15</w:t>
        </w:r>
      </w:hyperlink>
      <w:r>
        <w:t>.</w:t>
      </w:r>
    </w:p>
  </w:footnote>
  <w:footnote w:id="258">
    <w:p w:rsidR="001557B7" w:rsidRDefault="00AD3265">
      <w:pPr>
        <w:pStyle w:val="FootnoteText"/>
      </w:pPr>
      <w:r>
        <w:rPr>
          <w:rStyle w:val="FootnoteReference"/>
        </w:rPr>
        <w:footnoteRef/>
      </w:r>
      <w:r>
        <w:t xml:space="preserve"> </w:t>
      </w:r>
      <w:r>
        <w:tab/>
        <w:t xml:space="preserve">Directive </w:t>
      </w:r>
      <w:hyperlink r:id="rId378" w:history="1">
        <w:r>
          <w:rPr>
            <w:rStyle w:val="Hyperlink"/>
          </w:rPr>
          <w:t>2004/38/EC</w:t>
        </w:r>
      </w:hyperlink>
      <w:r>
        <w:t xml:space="preserve">, E, </w:t>
      </w:r>
      <w:hyperlink r:id="rId379" w:history="1">
        <w:r>
          <w:rPr>
            <w:rStyle w:val="Hyperlink"/>
          </w:rPr>
          <w:t>C-193/16</w:t>
        </w:r>
      </w:hyperlink>
      <w:r>
        <w:t>.</w:t>
      </w:r>
    </w:p>
  </w:footnote>
  <w:footnote w:id="259">
    <w:p w:rsidR="001557B7" w:rsidRDefault="00AD3265">
      <w:pPr>
        <w:pStyle w:val="FootnoteText"/>
      </w:pPr>
      <w:r>
        <w:rPr>
          <w:rStyle w:val="FootnoteReference"/>
        </w:rPr>
        <w:footnoteRef/>
      </w:r>
      <w:r>
        <w:t xml:space="preserve"> </w:t>
      </w:r>
      <w:r>
        <w:tab/>
        <w:t>Asociación Profesional Elite Ta</w:t>
      </w:r>
      <w:r>
        <w:t xml:space="preserve">xi, </w:t>
      </w:r>
      <w:hyperlink r:id="rId380" w:history="1">
        <w:r>
          <w:rPr>
            <w:rStyle w:val="Hyperlink"/>
          </w:rPr>
          <w:t>C-434/15</w:t>
        </w:r>
      </w:hyperlink>
      <w:r>
        <w:t>.</w:t>
      </w:r>
    </w:p>
  </w:footnote>
  <w:footnote w:id="260">
    <w:p w:rsidR="001557B7" w:rsidRDefault="00AD3265">
      <w:pPr>
        <w:pStyle w:val="FootnoteText"/>
        <w:rPr>
          <w:lang w:val="es-ES"/>
        </w:rPr>
      </w:pPr>
      <w:r>
        <w:rPr>
          <w:rStyle w:val="FootnoteReference"/>
        </w:rPr>
        <w:footnoteRef/>
      </w:r>
      <w:r>
        <w:rPr>
          <w:lang w:val="es-ES"/>
        </w:rPr>
        <w:t xml:space="preserve"> </w:t>
      </w:r>
      <w:r>
        <w:rPr>
          <w:lang w:val="es-ES"/>
        </w:rPr>
        <w:tab/>
        <w:t xml:space="preserve">Directive </w:t>
      </w:r>
      <w:hyperlink r:id="rId381" w:history="1">
        <w:r>
          <w:rPr>
            <w:rStyle w:val="Hyperlink"/>
            <w:lang w:val="es-ES"/>
          </w:rPr>
          <w:t>1999/70/EC</w:t>
        </w:r>
      </w:hyperlink>
      <w:r>
        <w:rPr>
          <w:lang w:val="es-ES"/>
        </w:rPr>
        <w:t xml:space="preserve">, Vega Gonzalez, </w:t>
      </w:r>
      <w:hyperlink r:id="rId382" w:history="1">
        <w:r>
          <w:rPr>
            <w:rStyle w:val="Hyperlink"/>
            <w:lang w:val="es-ES"/>
          </w:rPr>
          <w:t>C-158/16</w:t>
        </w:r>
      </w:hyperlink>
      <w:r>
        <w:rPr>
          <w:lang w:val="es-ES"/>
        </w:rPr>
        <w:t>.</w:t>
      </w:r>
    </w:p>
  </w:footnote>
  <w:footnote w:id="261">
    <w:p w:rsidR="001557B7" w:rsidRDefault="00AD3265">
      <w:pPr>
        <w:pStyle w:val="FootnoteText"/>
      </w:pPr>
      <w:r>
        <w:rPr>
          <w:rStyle w:val="FootnoteReference"/>
        </w:rPr>
        <w:footnoteRef/>
      </w:r>
      <w:r>
        <w:t xml:space="preserve"> </w:t>
      </w:r>
      <w:r>
        <w:tab/>
        <w:t xml:space="preserve">Elecdey Carcelen SA and Others, </w:t>
      </w:r>
      <w:hyperlink r:id="rId383" w:history="1">
        <w:r>
          <w:rPr>
            <w:rStyle w:val="Hyperlink"/>
          </w:rPr>
          <w:t>C-215/16</w:t>
        </w:r>
      </w:hyperlink>
      <w:r>
        <w:t>.</w:t>
      </w:r>
    </w:p>
  </w:footnote>
  <w:footnote w:id="262">
    <w:p w:rsidR="001557B7" w:rsidRDefault="00AD3265">
      <w:pPr>
        <w:pStyle w:val="FootnoteText"/>
        <w:rPr>
          <w:lang w:val="pt-PT"/>
        </w:rPr>
      </w:pPr>
      <w:r>
        <w:rPr>
          <w:rStyle w:val="FootnoteReference"/>
        </w:rPr>
        <w:footnoteRef/>
      </w:r>
      <w:r>
        <w:rPr>
          <w:lang w:val="pt-PT"/>
        </w:rPr>
        <w:t xml:space="preserve"> </w:t>
      </w:r>
      <w:r>
        <w:rPr>
          <w:lang w:val="pt-PT"/>
        </w:rPr>
        <w:tab/>
        <w:t>Directi</w:t>
      </w:r>
      <w:r>
        <w:rPr>
          <w:lang w:val="pt-PT"/>
        </w:rPr>
        <w:t xml:space="preserve">ve </w:t>
      </w:r>
      <w:hyperlink r:id="rId384" w:history="1">
        <w:r>
          <w:rPr>
            <w:rStyle w:val="Hyperlink"/>
            <w:lang w:val="pt-PT"/>
          </w:rPr>
          <w:t>93/13/EEC</w:t>
        </w:r>
      </w:hyperlink>
      <w:r>
        <w:rPr>
          <w:lang w:val="pt-PT"/>
        </w:rPr>
        <w:t xml:space="preserve">, Banco Primus, </w:t>
      </w:r>
      <w:hyperlink r:id="rId385" w:history="1">
        <w:r>
          <w:rPr>
            <w:rStyle w:val="Hyperlink"/>
            <w:lang w:val="pt-PT"/>
          </w:rPr>
          <w:t>C-421/14</w:t>
        </w:r>
      </w:hyperlink>
      <w:r>
        <w:rPr>
          <w:lang w:val="pt-PT"/>
        </w:rPr>
        <w:t>.</w:t>
      </w:r>
    </w:p>
  </w:footnote>
  <w:footnote w:id="263">
    <w:p w:rsidR="001557B7" w:rsidRDefault="00AD3265">
      <w:pPr>
        <w:pStyle w:val="FootnoteText"/>
        <w:rPr>
          <w:lang w:val="pt-PT"/>
        </w:rPr>
      </w:pPr>
      <w:r>
        <w:rPr>
          <w:rStyle w:val="FootnoteReference"/>
        </w:rPr>
        <w:footnoteRef/>
      </w:r>
      <w:r>
        <w:rPr>
          <w:lang w:val="pt-PT"/>
        </w:rPr>
        <w:t xml:space="preserve"> </w:t>
      </w:r>
      <w:r>
        <w:rPr>
          <w:lang w:val="pt-PT"/>
        </w:rPr>
        <w:tab/>
      </w:r>
      <w:r>
        <w:rPr>
          <w:rFonts w:cs="Arial"/>
          <w:lang w:val="pt-PT"/>
        </w:rPr>
        <w:t xml:space="preserve">Directive </w:t>
      </w:r>
      <w:hyperlink r:id="rId386" w:history="1">
        <w:r>
          <w:rPr>
            <w:rStyle w:val="Hyperlink"/>
            <w:rFonts w:cs="Arial"/>
            <w:lang w:val="pt-PT"/>
          </w:rPr>
          <w:t>2011/7/EU</w:t>
        </w:r>
      </w:hyperlink>
      <w:r>
        <w:rPr>
          <w:rFonts w:cs="Arial"/>
          <w:lang w:val="pt-PT"/>
        </w:rPr>
        <w:t xml:space="preserve">, </w:t>
      </w:r>
      <w:r>
        <w:rPr>
          <w:lang w:val="pt-PT"/>
        </w:rPr>
        <w:t xml:space="preserve">IOS Finance EFC, </w:t>
      </w:r>
      <w:hyperlink r:id="rId387" w:history="1">
        <w:r>
          <w:rPr>
            <w:rStyle w:val="Hyperlink"/>
            <w:lang w:val="pt-PT"/>
          </w:rPr>
          <w:t>C-555/14</w:t>
        </w:r>
      </w:hyperlink>
      <w:r>
        <w:rPr>
          <w:lang w:val="pt-PT"/>
        </w:rPr>
        <w:t>.</w:t>
      </w:r>
    </w:p>
  </w:footnote>
  <w:footnote w:id="264">
    <w:p w:rsidR="001557B7" w:rsidRDefault="00AD3265">
      <w:pPr>
        <w:pStyle w:val="FootnoteText"/>
      </w:pPr>
      <w:r>
        <w:rPr>
          <w:rStyle w:val="FootnoteReference"/>
        </w:rPr>
        <w:footnoteRef/>
      </w:r>
      <w:r>
        <w:t xml:space="preserve"> </w:t>
      </w:r>
      <w:r>
        <w:tab/>
        <w:t xml:space="preserve">López Pastuzano, </w:t>
      </w:r>
      <w:hyperlink r:id="rId388" w:history="1">
        <w:r>
          <w:rPr>
            <w:rStyle w:val="Hyperlink"/>
          </w:rPr>
          <w:t>C-636/16</w:t>
        </w:r>
      </w:hyperlink>
      <w:r>
        <w:t xml:space="preserve"> and Court press release No </w:t>
      </w:r>
      <w:hyperlink r:id="rId389" w:history="1">
        <w:r>
          <w:rPr>
            <w:rStyle w:val="Hyperlink"/>
          </w:rPr>
          <w:t>134/17</w:t>
        </w:r>
      </w:hyperlink>
      <w:r>
        <w:t>.</w:t>
      </w:r>
    </w:p>
  </w:footnote>
  <w:footnote w:id="265">
    <w:p w:rsidR="001557B7" w:rsidRDefault="00AD3265">
      <w:pPr>
        <w:pStyle w:val="FootnoteText"/>
        <w:rPr>
          <w:lang w:val="pt-PT"/>
        </w:rPr>
      </w:pPr>
      <w:r>
        <w:rPr>
          <w:rStyle w:val="FootnoteReference"/>
        </w:rPr>
        <w:footnoteRef/>
      </w:r>
      <w:r>
        <w:rPr>
          <w:lang w:val="pt-PT"/>
        </w:rPr>
        <w:t xml:space="preserve"> </w:t>
      </w:r>
      <w:r>
        <w:rPr>
          <w:lang w:val="pt-PT"/>
        </w:rPr>
        <w:tab/>
      </w:r>
      <w:hyperlink r:id="rId390" w:history="1">
        <w:r>
          <w:rPr>
            <w:rStyle w:val="Hyperlink"/>
            <w:lang w:val="pt-PT"/>
          </w:rPr>
          <w:t>MEMO/17/234.</w:t>
        </w:r>
      </w:hyperlink>
    </w:p>
  </w:footnote>
  <w:footnote w:id="26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391" w:history="1">
        <w:r>
          <w:rPr>
            <w:rStyle w:val="Hyperlink"/>
            <w:lang w:val="pt-PT"/>
          </w:rPr>
          <w:t>2012/34/EU</w:t>
        </w:r>
      </w:hyperlink>
      <w:r>
        <w:rPr>
          <w:lang w:val="pt-PT"/>
        </w:rPr>
        <w:t>.</w:t>
      </w:r>
    </w:p>
  </w:footnote>
  <w:footnote w:id="267">
    <w:p w:rsidR="001557B7" w:rsidRDefault="00AD3265">
      <w:pPr>
        <w:pStyle w:val="FootnoteText"/>
        <w:rPr>
          <w:lang w:val="pt-PT"/>
        </w:rPr>
      </w:pPr>
      <w:r>
        <w:rPr>
          <w:rStyle w:val="FootnoteReference"/>
        </w:rPr>
        <w:footnoteRef/>
      </w:r>
      <w:r>
        <w:rPr>
          <w:lang w:val="pt-PT"/>
        </w:rPr>
        <w:t xml:space="preserve"> </w:t>
      </w:r>
      <w:r>
        <w:rPr>
          <w:lang w:val="pt-PT"/>
        </w:rPr>
        <w:tab/>
      </w:r>
      <w:hyperlink r:id="rId392" w:history="1">
        <w:r>
          <w:rPr>
            <w:rStyle w:val="Hyperlink"/>
            <w:lang w:val="pt-PT"/>
          </w:rPr>
          <w:t>MEMO/17/1281</w:t>
        </w:r>
      </w:hyperlink>
      <w:r>
        <w:rPr>
          <w:lang w:val="pt-PT"/>
        </w:rPr>
        <w:t>.</w:t>
      </w:r>
    </w:p>
  </w:footnote>
  <w:footnote w:id="268">
    <w:p w:rsidR="001557B7" w:rsidRDefault="00AD3265">
      <w:pPr>
        <w:pStyle w:val="FootnoteText"/>
        <w:rPr>
          <w:lang w:val="pt-PT"/>
        </w:rPr>
      </w:pPr>
      <w:r>
        <w:rPr>
          <w:rStyle w:val="FootnoteReference"/>
        </w:rPr>
        <w:footnoteRef/>
      </w:r>
      <w:r>
        <w:rPr>
          <w:lang w:val="pt-PT"/>
        </w:rPr>
        <w:t xml:space="preserve"> </w:t>
      </w:r>
      <w:r>
        <w:rPr>
          <w:lang w:val="pt-PT"/>
        </w:rPr>
        <w:tab/>
      </w:r>
      <w:hyperlink r:id="rId393" w:history="1">
        <w:r>
          <w:rPr>
            <w:rStyle w:val="Hyperlink"/>
            <w:lang w:val="pt-PT"/>
          </w:rPr>
          <w:t>MEMO/17/3494</w:t>
        </w:r>
      </w:hyperlink>
      <w:r>
        <w:rPr>
          <w:lang w:val="pt-PT"/>
        </w:rPr>
        <w:t>.</w:t>
      </w:r>
    </w:p>
  </w:footnote>
  <w:footnote w:id="269">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94" w:history="1">
        <w:r>
          <w:rPr>
            <w:rStyle w:val="Hyperlink"/>
            <w:lang w:val="fr-BE"/>
          </w:rPr>
          <w:t>2015/652/EU</w:t>
        </w:r>
      </w:hyperlink>
      <w:r>
        <w:rPr>
          <w:lang w:val="fr-BE"/>
        </w:rPr>
        <w:t>.</w:t>
      </w:r>
    </w:p>
  </w:footnote>
  <w:footnote w:id="270">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95" w:history="1">
        <w:r>
          <w:rPr>
            <w:rStyle w:val="Hyperlink"/>
            <w:lang w:val="fr-BE"/>
          </w:rPr>
          <w:t>98/70/EC</w:t>
        </w:r>
      </w:hyperlink>
      <w:r>
        <w:rPr>
          <w:lang w:val="fr-BE"/>
        </w:rPr>
        <w:t>.</w:t>
      </w:r>
    </w:p>
  </w:footnote>
  <w:footnote w:id="271">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96" w:history="1">
        <w:r>
          <w:rPr>
            <w:rStyle w:val="Hyperlink"/>
            <w:lang w:val="fr-BE"/>
          </w:rPr>
          <w:t>20</w:t>
        </w:r>
        <w:r>
          <w:rPr>
            <w:rStyle w:val="Hyperlink"/>
            <w:lang w:val="fr-BE"/>
          </w:rPr>
          <w:t>14/65/EU</w:t>
        </w:r>
      </w:hyperlink>
      <w:r>
        <w:rPr>
          <w:lang w:val="fr-BE"/>
        </w:rPr>
        <w:t>.</w:t>
      </w:r>
    </w:p>
  </w:footnote>
  <w:footnote w:id="272">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97" w:history="1">
        <w:r>
          <w:rPr>
            <w:rStyle w:val="Hyperlink"/>
            <w:lang w:val="fr-BE"/>
          </w:rPr>
          <w:t>2008/50/EC</w:t>
        </w:r>
      </w:hyperlink>
      <w:r>
        <w:rPr>
          <w:lang w:val="fr-BE"/>
        </w:rPr>
        <w:t xml:space="preserve">, </w:t>
      </w:r>
      <w:hyperlink r:id="rId398" w:history="1">
        <w:r>
          <w:rPr>
            <w:rStyle w:val="Hyperlink"/>
            <w:lang w:val="fr-BE"/>
          </w:rPr>
          <w:t>IP/17/238</w:t>
        </w:r>
      </w:hyperlink>
      <w:r>
        <w:rPr>
          <w:lang w:val="fr-BE"/>
        </w:rPr>
        <w:t>.</w:t>
      </w:r>
    </w:p>
  </w:footnote>
  <w:footnote w:id="273">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399" w:history="1">
        <w:r>
          <w:rPr>
            <w:rStyle w:val="Hyperlink"/>
            <w:lang w:val="fr-BE"/>
          </w:rPr>
          <w:t>2002/49/EC</w:t>
        </w:r>
      </w:hyperlink>
      <w:r>
        <w:rPr>
          <w:lang w:val="fr-BE"/>
        </w:rPr>
        <w:t xml:space="preserve">; </w:t>
      </w:r>
      <w:hyperlink r:id="rId400" w:history="1">
        <w:r>
          <w:rPr>
            <w:rStyle w:val="Hyperlink"/>
            <w:lang w:val="fr-BE"/>
          </w:rPr>
          <w:t>MEMO/17/4767</w:t>
        </w:r>
      </w:hyperlink>
      <w:r>
        <w:rPr>
          <w:lang w:val="fr-BE"/>
        </w:rPr>
        <w:t>.</w:t>
      </w:r>
    </w:p>
  </w:footnote>
  <w:footnote w:id="274">
    <w:p w:rsidR="001557B7" w:rsidRDefault="00AD3265">
      <w:pPr>
        <w:pStyle w:val="FootnoteText"/>
      </w:pPr>
      <w:r>
        <w:rPr>
          <w:rStyle w:val="FootnoteReference"/>
        </w:rPr>
        <w:footnoteRef/>
      </w:r>
      <w:r>
        <w:rPr>
          <w:lang w:val="fr-BE"/>
        </w:rPr>
        <w:t xml:space="preserve"> </w:t>
      </w:r>
      <w:r>
        <w:rPr>
          <w:lang w:val="fr-BE"/>
        </w:rPr>
        <w:tab/>
        <w:t xml:space="preserve">Directive </w:t>
      </w:r>
      <w:hyperlink r:id="rId401" w:history="1">
        <w:r>
          <w:rPr>
            <w:rStyle w:val="Hyperlink"/>
            <w:lang w:val="fr-BE"/>
          </w:rPr>
          <w:t>2009/147/CE</w:t>
        </w:r>
      </w:hyperlink>
      <w:r>
        <w:rPr>
          <w:lang w:val="fr-BE"/>
        </w:rPr>
        <w:t xml:space="preserve">, Commission v France, </w:t>
      </w:r>
      <w:hyperlink r:id="rId402" w:history="1">
        <w:r>
          <w:rPr>
            <w:rStyle w:val="Hyperlink"/>
            <w:lang w:val="fr-BE"/>
          </w:rPr>
          <w:t>C-420/17</w:t>
        </w:r>
      </w:hyperlink>
      <w:r>
        <w:rPr>
          <w:lang w:val="fr-BE"/>
        </w:rPr>
        <w:t xml:space="preserve">, </w:t>
      </w:r>
      <w:hyperlink r:id="rId403" w:history="1">
        <w:r>
          <w:rPr>
            <w:rStyle w:val="Hyperlink"/>
            <w:lang w:val="fr-BE"/>
          </w:rPr>
          <w:t>IP/16/4213</w:t>
        </w:r>
      </w:hyperlink>
      <w:r>
        <w:rPr>
          <w:lang w:val="fr-BE"/>
        </w:rPr>
        <w:t xml:space="preserve">. </w:t>
      </w:r>
      <w:r>
        <w:t xml:space="preserve">France subsequently took the necessary measure to ensure compliance with EU law and the Commission has therefore withdrawn this case from the Court; </w:t>
      </w:r>
      <w:hyperlink r:id="rId404" w:history="1">
        <w:r>
          <w:rPr>
            <w:rStyle w:val="Hyperlink"/>
          </w:rPr>
          <w:t>MEX/17/4652</w:t>
        </w:r>
      </w:hyperlink>
      <w:r>
        <w:t>.</w:t>
      </w:r>
    </w:p>
  </w:footnote>
  <w:footnote w:id="275">
    <w:p w:rsidR="001557B7" w:rsidRDefault="00AD3265">
      <w:pPr>
        <w:pStyle w:val="FootnoteText"/>
        <w:rPr>
          <w:szCs w:val="18"/>
          <w:lang w:val="fr-BE"/>
        </w:rPr>
      </w:pPr>
      <w:r>
        <w:rPr>
          <w:rStyle w:val="FootnoteReference"/>
          <w:szCs w:val="18"/>
        </w:rPr>
        <w:footnoteRef/>
      </w:r>
      <w:r>
        <w:rPr>
          <w:szCs w:val="18"/>
          <w:lang w:val="fr-BE"/>
        </w:rPr>
        <w:t xml:space="preserve"> </w:t>
      </w:r>
      <w:r>
        <w:rPr>
          <w:szCs w:val="18"/>
          <w:lang w:val="fr-BE"/>
        </w:rPr>
        <w:tab/>
      </w:r>
      <w:r>
        <w:rPr>
          <w:lang w:val="fr-BE"/>
        </w:rPr>
        <w:t xml:space="preserve">Accor SA, </w:t>
      </w:r>
      <w:hyperlink r:id="rId405" w:history="1">
        <w:r>
          <w:rPr>
            <w:rStyle w:val="Hyperlink"/>
            <w:szCs w:val="18"/>
            <w:lang w:val="fr-BE"/>
          </w:rPr>
          <w:t>C-310/09</w:t>
        </w:r>
      </w:hyperlink>
      <w:r>
        <w:rPr>
          <w:szCs w:val="18"/>
          <w:lang w:val="fr-BE"/>
        </w:rPr>
        <w:t>.</w:t>
      </w:r>
    </w:p>
  </w:footnote>
  <w:footnote w:id="276">
    <w:p w:rsidR="001557B7" w:rsidRDefault="00AD3265">
      <w:pPr>
        <w:pStyle w:val="FootnoteText"/>
        <w:rPr>
          <w:lang w:val="fr-BE"/>
        </w:rPr>
      </w:pPr>
      <w:r>
        <w:rPr>
          <w:rStyle w:val="FootnoteReference"/>
          <w:szCs w:val="18"/>
        </w:rPr>
        <w:footnoteRef/>
      </w:r>
      <w:r>
        <w:rPr>
          <w:szCs w:val="18"/>
          <w:lang w:val="fr-BE"/>
        </w:rPr>
        <w:t xml:space="preserve"> </w:t>
      </w:r>
      <w:r>
        <w:rPr>
          <w:szCs w:val="18"/>
          <w:lang w:val="fr-BE"/>
        </w:rPr>
        <w:tab/>
      </w:r>
      <w:r>
        <w:rPr>
          <w:rStyle w:val="affairetitle"/>
          <w:lang w:val="fr-BE"/>
        </w:rPr>
        <w:t>Commission v France,</w:t>
      </w:r>
      <w:r>
        <w:rPr>
          <w:lang w:val="fr-BE"/>
        </w:rPr>
        <w:t xml:space="preserve"> </w:t>
      </w:r>
      <w:hyperlink r:id="rId406" w:history="1">
        <w:r>
          <w:rPr>
            <w:rStyle w:val="Hyperlink"/>
            <w:lang w:val="fr-BE"/>
          </w:rPr>
          <w:t>C-416/17</w:t>
        </w:r>
      </w:hyperlink>
      <w:r>
        <w:rPr>
          <w:lang w:val="fr-BE"/>
        </w:rPr>
        <w:t xml:space="preserve">, </w:t>
      </w:r>
      <w:hyperlink r:id="rId407" w:history="1">
        <w:r>
          <w:rPr>
            <w:rStyle w:val="Hyperlink"/>
            <w:lang w:val="fr-BE"/>
          </w:rPr>
          <w:t>IP/16/4216</w:t>
        </w:r>
      </w:hyperlink>
      <w:r>
        <w:rPr>
          <w:lang w:val="fr-BE"/>
        </w:rPr>
        <w:t>.</w:t>
      </w:r>
    </w:p>
  </w:footnote>
  <w:footnote w:id="277">
    <w:p w:rsidR="001557B7" w:rsidRDefault="00AD3265">
      <w:pPr>
        <w:pStyle w:val="FootnoteText"/>
        <w:rPr>
          <w:szCs w:val="18"/>
          <w:lang w:val="fr-BE"/>
        </w:rPr>
      </w:pPr>
      <w:r>
        <w:rPr>
          <w:rStyle w:val="FootnoteReference"/>
          <w:szCs w:val="18"/>
        </w:rPr>
        <w:footnoteRef/>
      </w:r>
      <w:r>
        <w:rPr>
          <w:szCs w:val="18"/>
          <w:lang w:val="fr-BE"/>
        </w:rPr>
        <w:t xml:space="preserve"> </w:t>
      </w:r>
      <w:r>
        <w:rPr>
          <w:szCs w:val="18"/>
          <w:lang w:val="fr-BE"/>
        </w:rPr>
        <w:tab/>
        <w:t xml:space="preserve">Directive </w:t>
      </w:r>
      <w:hyperlink r:id="rId408" w:history="1">
        <w:r>
          <w:rPr>
            <w:rStyle w:val="Hyperlink"/>
            <w:szCs w:val="18"/>
            <w:lang w:val="fr-BE"/>
          </w:rPr>
          <w:t>2014/66/EU</w:t>
        </w:r>
      </w:hyperlink>
      <w:r>
        <w:rPr>
          <w:szCs w:val="18"/>
          <w:lang w:val="fr-BE"/>
        </w:rPr>
        <w:t xml:space="preserve">, </w:t>
      </w:r>
      <w:hyperlink r:id="rId409" w:history="1">
        <w:r>
          <w:rPr>
            <w:rStyle w:val="Hyperlink"/>
            <w:szCs w:val="18"/>
            <w:lang w:val="fr-BE"/>
          </w:rPr>
          <w:t>MEMO/17/3494</w:t>
        </w:r>
      </w:hyperlink>
      <w:r>
        <w:rPr>
          <w:szCs w:val="18"/>
          <w:lang w:val="fr-BE"/>
        </w:rPr>
        <w:t>.</w:t>
      </w:r>
    </w:p>
  </w:footnote>
  <w:footnote w:id="278">
    <w:p w:rsidR="001557B7" w:rsidRDefault="00AD3265">
      <w:pPr>
        <w:pStyle w:val="FootnoteText"/>
        <w:rPr>
          <w:szCs w:val="18"/>
          <w:lang w:val="fr-BE"/>
        </w:rPr>
      </w:pPr>
      <w:r>
        <w:rPr>
          <w:rStyle w:val="FootnoteReference"/>
          <w:szCs w:val="18"/>
        </w:rPr>
        <w:footnoteRef/>
      </w:r>
      <w:r>
        <w:rPr>
          <w:szCs w:val="18"/>
          <w:lang w:val="fr-BE"/>
        </w:rPr>
        <w:t xml:space="preserve"> </w:t>
      </w:r>
      <w:r>
        <w:rPr>
          <w:szCs w:val="18"/>
          <w:lang w:val="fr-BE"/>
        </w:rPr>
        <w:tab/>
        <w:t xml:space="preserve">Directive </w:t>
      </w:r>
      <w:hyperlink r:id="rId410" w:history="1">
        <w:r>
          <w:rPr>
            <w:rStyle w:val="Hyperlink"/>
            <w:szCs w:val="18"/>
            <w:lang w:val="fr-BE"/>
          </w:rPr>
          <w:t>2011/51/EU</w:t>
        </w:r>
      </w:hyperlink>
      <w:r>
        <w:rPr>
          <w:szCs w:val="18"/>
          <w:lang w:val="fr-BE"/>
        </w:rPr>
        <w:t>.</w:t>
      </w:r>
    </w:p>
  </w:footnote>
  <w:footnote w:id="279">
    <w:p w:rsidR="001557B7" w:rsidRDefault="00AD3265">
      <w:pPr>
        <w:pStyle w:val="FootnoteText"/>
        <w:rPr>
          <w:szCs w:val="18"/>
          <w:lang w:val="fr-BE"/>
        </w:rPr>
      </w:pPr>
      <w:r>
        <w:rPr>
          <w:rStyle w:val="FootnoteReference"/>
          <w:szCs w:val="18"/>
        </w:rPr>
        <w:footnoteRef/>
      </w:r>
      <w:r>
        <w:rPr>
          <w:szCs w:val="18"/>
          <w:lang w:val="fr-BE"/>
        </w:rPr>
        <w:t xml:space="preserve"> </w:t>
      </w:r>
      <w:r>
        <w:rPr>
          <w:szCs w:val="18"/>
          <w:lang w:val="fr-BE"/>
        </w:rPr>
        <w:tab/>
        <w:t xml:space="preserve">Directive </w:t>
      </w:r>
      <w:hyperlink r:id="rId411" w:history="1">
        <w:r>
          <w:rPr>
            <w:rStyle w:val="Hyperlink"/>
            <w:szCs w:val="18"/>
            <w:lang w:val="fr-BE"/>
          </w:rPr>
          <w:t>2014/89/EU</w:t>
        </w:r>
      </w:hyperlink>
      <w:r>
        <w:rPr>
          <w:szCs w:val="18"/>
          <w:lang w:val="fr-BE"/>
        </w:rPr>
        <w:t>.</w:t>
      </w:r>
    </w:p>
  </w:footnote>
  <w:footnote w:id="280">
    <w:p w:rsidR="001557B7" w:rsidRDefault="00AD3265">
      <w:pPr>
        <w:pStyle w:val="FootnoteText"/>
        <w:rPr>
          <w:szCs w:val="18"/>
          <w:lang w:val="fr-BE"/>
        </w:rPr>
      </w:pPr>
      <w:r>
        <w:rPr>
          <w:rStyle w:val="FootnoteReference"/>
          <w:szCs w:val="18"/>
        </w:rPr>
        <w:footnoteRef/>
      </w:r>
      <w:r>
        <w:rPr>
          <w:szCs w:val="18"/>
          <w:lang w:val="fr-BE"/>
        </w:rPr>
        <w:t xml:space="preserve"> </w:t>
      </w:r>
      <w:r>
        <w:rPr>
          <w:szCs w:val="18"/>
          <w:lang w:val="fr-BE"/>
        </w:rPr>
        <w:tab/>
      </w:r>
      <w:hyperlink r:id="rId412" w:history="1">
        <w:r>
          <w:rPr>
            <w:rStyle w:val="Hyperlink"/>
            <w:color w:val="auto"/>
            <w:szCs w:val="18"/>
            <w:u w:val="none"/>
            <w:lang w:val="fr-BE"/>
          </w:rPr>
          <w:t xml:space="preserve">Directive </w:t>
        </w:r>
        <w:r>
          <w:rPr>
            <w:rStyle w:val="Hyperlink"/>
            <w:szCs w:val="18"/>
            <w:lang w:val="fr-BE"/>
          </w:rPr>
          <w:t>2012/18/EU</w:t>
        </w:r>
      </w:hyperlink>
      <w:r>
        <w:rPr>
          <w:szCs w:val="18"/>
          <w:lang w:val="fr-BE"/>
        </w:rPr>
        <w:t>.</w:t>
      </w:r>
    </w:p>
  </w:footnote>
  <w:footnote w:id="281">
    <w:p w:rsidR="001557B7" w:rsidRDefault="00AD3265">
      <w:pPr>
        <w:pStyle w:val="FootnoteText"/>
        <w:rPr>
          <w:szCs w:val="18"/>
          <w:lang w:val="fr-BE"/>
        </w:rPr>
      </w:pPr>
      <w:r>
        <w:rPr>
          <w:rStyle w:val="FootnoteReference"/>
          <w:szCs w:val="18"/>
        </w:rPr>
        <w:footnoteRef/>
      </w:r>
      <w:r>
        <w:rPr>
          <w:szCs w:val="18"/>
          <w:lang w:val="fr-BE"/>
        </w:rPr>
        <w:t xml:space="preserve"> </w:t>
      </w:r>
      <w:r>
        <w:rPr>
          <w:szCs w:val="18"/>
          <w:lang w:val="fr-BE"/>
        </w:rPr>
        <w:tab/>
        <w:t xml:space="preserve">Directive </w:t>
      </w:r>
      <w:hyperlink r:id="rId413" w:history="1">
        <w:r>
          <w:rPr>
            <w:rStyle w:val="Hyperlink"/>
            <w:szCs w:val="18"/>
            <w:lang w:val="fr-BE"/>
          </w:rPr>
          <w:t>2013/50/EU</w:t>
        </w:r>
      </w:hyperlink>
      <w:r>
        <w:rPr>
          <w:szCs w:val="18"/>
          <w:lang w:val="fr-BE"/>
        </w:rPr>
        <w:t>.</w:t>
      </w:r>
    </w:p>
  </w:footnote>
  <w:footnote w:id="282">
    <w:p w:rsidR="001557B7" w:rsidRDefault="00AD3265">
      <w:pPr>
        <w:pStyle w:val="FootnoteText"/>
        <w:rPr>
          <w:szCs w:val="18"/>
          <w:lang w:val="fr-BE"/>
        </w:rPr>
      </w:pPr>
      <w:r>
        <w:rPr>
          <w:rStyle w:val="FootnoteReference"/>
          <w:szCs w:val="18"/>
        </w:rPr>
        <w:footnoteRef/>
      </w:r>
      <w:r>
        <w:rPr>
          <w:szCs w:val="18"/>
          <w:lang w:val="fr-BE"/>
        </w:rPr>
        <w:t xml:space="preserve"> </w:t>
      </w:r>
      <w:r>
        <w:rPr>
          <w:szCs w:val="18"/>
          <w:lang w:val="fr-BE"/>
        </w:rPr>
        <w:tab/>
      </w:r>
      <w:r>
        <w:rPr>
          <w:lang w:val="fr-BE"/>
        </w:rPr>
        <w:t xml:space="preserve">Directive </w:t>
      </w:r>
      <w:hyperlink r:id="rId414" w:history="1">
        <w:r>
          <w:rPr>
            <w:rStyle w:val="Hyperlink"/>
            <w:lang w:val="fr-BE"/>
          </w:rPr>
          <w:t>2013/34/EU</w:t>
        </w:r>
      </w:hyperlink>
      <w:r>
        <w:rPr>
          <w:lang w:val="fr-BE"/>
        </w:rPr>
        <w:t>.</w:t>
      </w:r>
    </w:p>
  </w:footnote>
  <w:footnote w:id="283">
    <w:p w:rsidR="001557B7" w:rsidRDefault="00AD3265">
      <w:pPr>
        <w:pStyle w:val="FootnoteText"/>
        <w:rPr>
          <w:szCs w:val="18"/>
          <w:lang w:val="fr-BE"/>
        </w:rPr>
      </w:pPr>
      <w:r>
        <w:rPr>
          <w:rStyle w:val="FootnoteReference"/>
          <w:szCs w:val="18"/>
        </w:rPr>
        <w:footnoteRef/>
      </w:r>
      <w:r>
        <w:rPr>
          <w:szCs w:val="18"/>
          <w:lang w:val="fr-BE"/>
        </w:rPr>
        <w:t xml:space="preserve"> </w:t>
      </w:r>
      <w:r>
        <w:rPr>
          <w:szCs w:val="18"/>
          <w:lang w:val="fr-BE"/>
        </w:rPr>
        <w:tab/>
        <w:t xml:space="preserve">Directive </w:t>
      </w:r>
      <w:hyperlink r:id="rId415" w:history="1">
        <w:r>
          <w:rPr>
            <w:rStyle w:val="Hyperlink"/>
            <w:szCs w:val="18"/>
            <w:lang w:val="fr-BE"/>
          </w:rPr>
          <w:t>2014/91/EU</w:t>
        </w:r>
      </w:hyperlink>
      <w:r>
        <w:rPr>
          <w:szCs w:val="18"/>
          <w:lang w:val="fr-BE"/>
        </w:rPr>
        <w:t>.</w:t>
      </w:r>
    </w:p>
  </w:footnote>
  <w:footnote w:id="284">
    <w:p w:rsidR="001557B7" w:rsidRDefault="00AD3265">
      <w:pPr>
        <w:pStyle w:val="FootnoteText"/>
        <w:rPr>
          <w:lang w:val="fr-BE"/>
        </w:rPr>
      </w:pPr>
      <w:r>
        <w:rPr>
          <w:rStyle w:val="FootnoteReference"/>
          <w:szCs w:val="18"/>
        </w:rPr>
        <w:footnoteRef/>
      </w:r>
      <w:r>
        <w:rPr>
          <w:szCs w:val="18"/>
          <w:lang w:val="fr-BE"/>
        </w:rPr>
        <w:t xml:space="preserve"> </w:t>
      </w:r>
      <w:r>
        <w:rPr>
          <w:szCs w:val="18"/>
          <w:lang w:val="fr-BE"/>
        </w:rPr>
        <w:tab/>
      </w:r>
      <w:r>
        <w:rPr>
          <w:lang w:val="fr-BE"/>
        </w:rPr>
        <w:t xml:space="preserve">Directive </w:t>
      </w:r>
      <w:hyperlink r:id="rId416" w:history="1">
        <w:r>
          <w:rPr>
            <w:rStyle w:val="Hyperlink"/>
            <w:lang w:val="fr-BE"/>
          </w:rPr>
          <w:t>2010/31/EU</w:t>
        </w:r>
      </w:hyperlink>
      <w:r>
        <w:rPr>
          <w:lang w:val="fr-BE"/>
        </w:rPr>
        <w:t>.</w:t>
      </w:r>
    </w:p>
  </w:footnote>
  <w:footnote w:id="285">
    <w:p w:rsidR="001557B7" w:rsidRDefault="00AD3265">
      <w:pPr>
        <w:pStyle w:val="FootnoteText"/>
        <w:rPr>
          <w:lang w:val="fr-BE"/>
        </w:rPr>
      </w:pPr>
      <w:r>
        <w:rPr>
          <w:rStyle w:val="FootnoteReference"/>
          <w:szCs w:val="18"/>
        </w:rPr>
        <w:footnoteRef/>
      </w:r>
      <w:r>
        <w:rPr>
          <w:szCs w:val="18"/>
          <w:lang w:val="fr-BE"/>
        </w:rPr>
        <w:t xml:space="preserve"> </w:t>
      </w:r>
      <w:r>
        <w:rPr>
          <w:szCs w:val="18"/>
          <w:lang w:val="fr-BE"/>
        </w:rPr>
        <w:tab/>
      </w:r>
      <w:r>
        <w:rPr>
          <w:lang w:val="fr-BE"/>
        </w:rPr>
        <w:t xml:space="preserve">APVE and Others, </w:t>
      </w:r>
      <w:hyperlink r:id="rId417" w:history="1">
        <w:r>
          <w:rPr>
            <w:rStyle w:val="Hyperlink"/>
            <w:lang w:val="fr-BE"/>
          </w:rPr>
          <w:t>C-671/15</w:t>
        </w:r>
      </w:hyperlink>
      <w:r>
        <w:rPr>
          <w:lang w:val="fr-BE"/>
        </w:rPr>
        <w:t xml:space="preserve"> and Court press release </w:t>
      </w:r>
      <w:hyperlink r:id="rId418" w:history="1">
        <w:r>
          <w:rPr>
            <w:rStyle w:val="Hyperlink"/>
            <w:lang w:val="fr-BE"/>
          </w:rPr>
          <w:t>No 120/17</w:t>
        </w:r>
      </w:hyperlink>
      <w:r>
        <w:rPr>
          <w:lang w:val="fr-BE"/>
        </w:rPr>
        <w:t>.</w:t>
      </w:r>
    </w:p>
  </w:footnote>
  <w:footnote w:id="286">
    <w:p w:rsidR="001557B7" w:rsidRDefault="00AD3265">
      <w:pPr>
        <w:pStyle w:val="FootnoteText"/>
      </w:pPr>
      <w:r>
        <w:rPr>
          <w:rStyle w:val="FootnoteReference"/>
        </w:rPr>
        <w:footnoteRef/>
      </w:r>
      <w:r>
        <w:t xml:space="preserve"> </w:t>
      </w:r>
      <w:r>
        <w:tab/>
        <w:t xml:space="preserve">Eni SpA and Others, </w:t>
      </w:r>
      <w:hyperlink r:id="rId419" w:history="1">
        <w:r>
          <w:rPr>
            <w:rStyle w:val="Hyperlink"/>
          </w:rPr>
          <w:t>C-226/16</w:t>
        </w:r>
      </w:hyperlink>
      <w:r>
        <w:rPr>
          <w:rStyle w:val="Hyperlink"/>
        </w:rPr>
        <w:t>.</w:t>
      </w:r>
    </w:p>
  </w:footnote>
  <w:footnote w:id="287">
    <w:p w:rsidR="001557B7" w:rsidRDefault="00AD3265">
      <w:pPr>
        <w:pStyle w:val="FootnoteText"/>
        <w:rPr>
          <w:lang w:val="fr-BE"/>
        </w:rPr>
      </w:pPr>
      <w:r>
        <w:rPr>
          <w:rStyle w:val="FootnoteReference"/>
        </w:rPr>
        <w:footnoteRef/>
      </w:r>
      <w:r>
        <w:rPr>
          <w:lang w:val="fr-BE"/>
        </w:rPr>
        <w:t xml:space="preserve"> </w:t>
      </w:r>
      <w:r>
        <w:rPr>
          <w:lang w:val="fr-BE"/>
        </w:rPr>
        <w:tab/>
        <w:t xml:space="preserve">Jean-Philippe Lahorgue, </w:t>
      </w:r>
      <w:hyperlink r:id="rId420" w:history="1">
        <w:r>
          <w:rPr>
            <w:rStyle w:val="Hyperlink"/>
            <w:lang w:val="fr-BE"/>
          </w:rPr>
          <w:t>C-99/16</w:t>
        </w:r>
      </w:hyperlink>
      <w:r>
        <w:rPr>
          <w:lang w:val="fr-BE"/>
        </w:rPr>
        <w:t>.</w:t>
      </w:r>
    </w:p>
  </w:footnote>
  <w:footnote w:id="288">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421" w:history="1">
        <w:r>
          <w:rPr>
            <w:rStyle w:val="Hyperlink"/>
            <w:lang w:val="fr-BE"/>
          </w:rPr>
          <w:t>2011/96/EU</w:t>
        </w:r>
      </w:hyperlink>
      <w:r>
        <w:rPr>
          <w:lang w:val="fr-BE"/>
        </w:rPr>
        <w:t>.</w:t>
      </w:r>
    </w:p>
  </w:footnote>
  <w:footnote w:id="289">
    <w:p w:rsidR="001557B7" w:rsidRDefault="00AD3265">
      <w:pPr>
        <w:pStyle w:val="FootnoteText"/>
      </w:pPr>
      <w:r>
        <w:rPr>
          <w:rStyle w:val="FootnoteReference"/>
        </w:rPr>
        <w:footnoteRef/>
      </w:r>
      <w:r>
        <w:t xml:space="preserve"> </w:t>
      </w:r>
      <w:r>
        <w:tab/>
      </w:r>
      <w:r>
        <w:rPr>
          <w:rStyle w:val="affairetitle"/>
        </w:rPr>
        <w:t xml:space="preserve">AFEP and Others, </w:t>
      </w:r>
      <w:hyperlink r:id="rId422" w:history="1">
        <w:r>
          <w:rPr>
            <w:rStyle w:val="Hyperlink"/>
          </w:rPr>
          <w:t>C-365/16</w:t>
        </w:r>
      </w:hyperlink>
      <w:r>
        <w:t>.</w:t>
      </w:r>
    </w:p>
  </w:footnote>
  <w:footnote w:id="290">
    <w:p w:rsidR="001557B7" w:rsidRDefault="00AD3265">
      <w:pPr>
        <w:pStyle w:val="FootnoteText"/>
      </w:pPr>
      <w:r>
        <w:rPr>
          <w:rStyle w:val="FootnoteReference"/>
        </w:rPr>
        <w:footnoteRef/>
      </w:r>
      <w:r>
        <w:t xml:space="preserve"> </w:t>
      </w:r>
      <w:r>
        <w:tab/>
        <w:t xml:space="preserve">A-ROSA, </w:t>
      </w:r>
      <w:hyperlink r:id="rId423" w:history="1">
        <w:r>
          <w:rPr>
            <w:rStyle w:val="Hyperlink"/>
          </w:rPr>
          <w:t>C-620/15</w:t>
        </w:r>
      </w:hyperlink>
      <w:r>
        <w:t>.</w:t>
      </w:r>
    </w:p>
  </w:footnote>
  <w:footnote w:id="291">
    <w:p w:rsidR="001557B7" w:rsidRDefault="00AD3265">
      <w:pPr>
        <w:pStyle w:val="FootnoteText"/>
        <w:rPr>
          <w:sz w:val="16"/>
        </w:rPr>
      </w:pPr>
      <w:r>
        <w:rPr>
          <w:rStyle w:val="FootnoteReference"/>
          <w:sz w:val="16"/>
        </w:rPr>
        <w:footnoteRef/>
      </w:r>
      <w:r>
        <w:rPr>
          <w:sz w:val="16"/>
        </w:rPr>
        <w:t xml:space="preserve"> </w:t>
      </w:r>
      <w:r>
        <w:t>Croatia joined the EU on 1 July 2013.</w:t>
      </w:r>
    </w:p>
  </w:footnote>
  <w:footnote w:id="292">
    <w:p w:rsidR="001557B7" w:rsidRDefault="00AD3265">
      <w:pPr>
        <w:pStyle w:val="FootnoteText"/>
      </w:pPr>
      <w:r>
        <w:rPr>
          <w:rStyle w:val="FootnoteReference"/>
        </w:rPr>
        <w:footnoteRef/>
      </w:r>
      <w:r>
        <w:t xml:space="preserve"> Croatia joined the EU Pilot system in July 2013.</w:t>
      </w:r>
    </w:p>
  </w:footnote>
  <w:footnote w:id="293">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24" w:history="1">
        <w:r>
          <w:rPr>
            <w:rStyle w:val="Hyperlink"/>
            <w:lang w:val="pt-PT"/>
          </w:rPr>
          <w:t>2014/36/EU</w:t>
        </w:r>
      </w:hyperlink>
      <w:r>
        <w:rPr>
          <w:lang w:val="pt-PT"/>
        </w:rPr>
        <w:t xml:space="preserve">, </w:t>
      </w:r>
      <w:hyperlink r:id="rId425" w:history="1">
        <w:r>
          <w:rPr>
            <w:rStyle w:val="Hyperlink"/>
            <w:lang w:val="pt-PT"/>
          </w:rPr>
          <w:t>MEMO/17/1935</w:t>
        </w:r>
      </w:hyperlink>
      <w:r>
        <w:rPr>
          <w:lang w:val="pt-PT"/>
        </w:rPr>
        <w:t>.</w:t>
      </w:r>
    </w:p>
  </w:footnote>
  <w:footnote w:id="294">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26" w:history="1">
        <w:r>
          <w:rPr>
            <w:rStyle w:val="Hyperlink"/>
            <w:lang w:val="pt-PT"/>
          </w:rPr>
          <w:t>2014/89/EU</w:t>
        </w:r>
      </w:hyperlink>
      <w:r>
        <w:rPr>
          <w:lang w:val="pt-PT"/>
        </w:rPr>
        <w:t xml:space="preserve">, </w:t>
      </w:r>
      <w:hyperlink r:id="rId427" w:history="1">
        <w:r>
          <w:rPr>
            <w:rStyle w:val="Hyperlink"/>
            <w:lang w:val="pt-PT"/>
          </w:rPr>
          <w:t>MEMO/17/1935</w:t>
        </w:r>
      </w:hyperlink>
      <w:r>
        <w:rPr>
          <w:lang w:val="pt-PT"/>
        </w:rPr>
        <w:t>.</w:t>
      </w:r>
    </w:p>
  </w:footnote>
  <w:footnote w:id="29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28" w:history="1">
        <w:r>
          <w:rPr>
            <w:rStyle w:val="Hyperlink"/>
            <w:lang w:val="pt-PT"/>
          </w:rPr>
          <w:t>2014/65/EU</w:t>
        </w:r>
      </w:hyperlink>
      <w:r>
        <w:rPr>
          <w:lang w:val="pt-PT"/>
        </w:rPr>
        <w:t>.</w:t>
      </w:r>
    </w:p>
  </w:footnote>
  <w:footnote w:id="29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29" w:history="1">
        <w:r>
          <w:rPr>
            <w:rStyle w:val="Hyperlink"/>
            <w:lang w:val="pt-PT"/>
          </w:rPr>
          <w:t>2014/92/EU</w:t>
        </w:r>
      </w:hyperlink>
      <w:r>
        <w:rPr>
          <w:lang w:val="pt-PT"/>
        </w:rPr>
        <w:t xml:space="preserve">, </w:t>
      </w:r>
      <w:hyperlink r:id="rId430" w:history="1">
        <w:r>
          <w:rPr>
            <w:rStyle w:val="Hyperlink"/>
            <w:lang w:val="pt-PT"/>
          </w:rPr>
          <w:t>MEMO/17/1045</w:t>
        </w:r>
      </w:hyperlink>
      <w:r>
        <w:rPr>
          <w:lang w:val="pt-PT"/>
        </w:rPr>
        <w:t>.</w:t>
      </w:r>
    </w:p>
  </w:footnote>
  <w:footnote w:id="297">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31" w:history="1">
        <w:r>
          <w:rPr>
            <w:rStyle w:val="Hyperlink"/>
            <w:lang w:val="pt-PT"/>
          </w:rPr>
          <w:t>2015/1794/EU</w:t>
        </w:r>
      </w:hyperlink>
      <w:r>
        <w:rPr>
          <w:lang w:val="pt-PT"/>
        </w:rPr>
        <w:t>.</w:t>
      </w:r>
    </w:p>
  </w:footnote>
  <w:footnote w:id="298">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32" w:history="1">
        <w:r>
          <w:rPr>
            <w:rStyle w:val="Hyperlink"/>
            <w:lang w:val="pt-PT"/>
          </w:rPr>
          <w:t>2015/849/EU</w:t>
        </w:r>
      </w:hyperlink>
      <w:r>
        <w:rPr>
          <w:lang w:val="pt-PT"/>
        </w:rPr>
        <w:t>.</w:t>
      </w:r>
    </w:p>
  </w:footnote>
  <w:footnote w:id="299">
    <w:p w:rsidR="001557B7" w:rsidRDefault="00AD3265">
      <w:pPr>
        <w:pStyle w:val="FootnoteText"/>
        <w:rPr>
          <w:lang w:val="pt-PT"/>
        </w:rPr>
      </w:pPr>
      <w:r>
        <w:rPr>
          <w:rStyle w:val="FootnoteReference"/>
        </w:rPr>
        <w:footnoteRef/>
      </w:r>
      <w:r>
        <w:rPr>
          <w:lang w:val="pt-PT"/>
        </w:rPr>
        <w:t xml:space="preserve"> </w:t>
      </w:r>
      <w:r>
        <w:rPr>
          <w:lang w:val="pt-PT"/>
        </w:rPr>
        <w:tab/>
      </w:r>
      <w:hyperlink r:id="rId433" w:history="1">
        <w:r>
          <w:rPr>
            <w:rStyle w:val="Hyperlink"/>
            <w:lang w:val="pt-PT"/>
          </w:rPr>
          <w:t>MEMO/17/1577</w:t>
        </w:r>
      </w:hyperlink>
      <w:r>
        <w:rPr>
          <w:lang w:val="pt-PT"/>
        </w:rPr>
        <w:t>.</w:t>
      </w:r>
    </w:p>
  </w:footnote>
  <w:footnote w:id="300">
    <w:p w:rsidR="001557B7" w:rsidRDefault="00AD3265">
      <w:pPr>
        <w:pStyle w:val="FootnoteText"/>
        <w:rPr>
          <w:lang w:val="pt-PT"/>
        </w:rPr>
      </w:pPr>
      <w:r>
        <w:rPr>
          <w:rStyle w:val="FootnoteReference"/>
        </w:rPr>
        <w:footnoteRef/>
      </w:r>
      <w:r>
        <w:rPr>
          <w:lang w:val="pt-PT"/>
        </w:rPr>
        <w:t xml:space="preserve"> </w:t>
      </w:r>
      <w:r>
        <w:rPr>
          <w:lang w:val="pt-PT"/>
        </w:rPr>
        <w:tab/>
      </w:r>
      <w:r>
        <w:rPr>
          <w:szCs w:val="18"/>
          <w:lang w:val="pt-PT"/>
        </w:rPr>
        <w:t xml:space="preserve">Council Decisions </w:t>
      </w:r>
      <w:hyperlink r:id="rId434" w:history="1">
        <w:r>
          <w:rPr>
            <w:rStyle w:val="Hyperlink"/>
            <w:szCs w:val="18"/>
            <w:lang w:val="pt-PT"/>
          </w:rPr>
          <w:t>2008/615/JHA</w:t>
        </w:r>
      </w:hyperlink>
      <w:r>
        <w:rPr>
          <w:szCs w:val="18"/>
          <w:lang w:val="pt-PT"/>
        </w:rPr>
        <w:t xml:space="preserve"> and </w:t>
      </w:r>
      <w:hyperlink r:id="rId435" w:history="1">
        <w:r>
          <w:rPr>
            <w:rStyle w:val="Hyperlink"/>
            <w:szCs w:val="18"/>
            <w:lang w:val="pt-PT"/>
          </w:rPr>
          <w:t>2008/616/JHA</w:t>
        </w:r>
      </w:hyperlink>
      <w:r>
        <w:rPr>
          <w:szCs w:val="18"/>
          <w:lang w:val="pt-PT"/>
        </w:rPr>
        <w:t xml:space="preserve">, </w:t>
      </w:r>
      <w:hyperlink r:id="rId436" w:history="1">
        <w:r>
          <w:rPr>
            <w:rStyle w:val="Hyperlink"/>
            <w:szCs w:val="18"/>
            <w:lang w:val="pt-PT"/>
          </w:rPr>
          <w:t>MEMO/17/1280</w:t>
        </w:r>
      </w:hyperlink>
      <w:r>
        <w:rPr>
          <w:szCs w:val="18"/>
          <w:lang w:val="pt-PT"/>
        </w:rPr>
        <w:t>.</w:t>
      </w:r>
    </w:p>
  </w:footnote>
  <w:footnote w:id="301">
    <w:p w:rsidR="001557B7" w:rsidRDefault="00AD3265">
      <w:pPr>
        <w:pStyle w:val="FootnoteText"/>
      </w:pPr>
      <w:r>
        <w:rPr>
          <w:rStyle w:val="FootnoteReference"/>
        </w:rPr>
        <w:footnoteRef/>
      </w:r>
      <w:r>
        <w:t xml:space="preserve"> </w:t>
      </w:r>
      <w:r>
        <w:tab/>
        <w:t xml:space="preserve">Directives </w:t>
      </w:r>
      <w:hyperlink r:id="rId437" w:history="1">
        <w:r>
          <w:rPr>
            <w:rStyle w:val="Hyperlink"/>
          </w:rPr>
          <w:t>2009/72/EC</w:t>
        </w:r>
      </w:hyperlink>
      <w:r>
        <w:t xml:space="preserve"> and </w:t>
      </w:r>
      <w:hyperlink r:id="rId438" w:history="1">
        <w:r>
          <w:rPr>
            <w:rStyle w:val="Hyperlink"/>
          </w:rPr>
          <w:t>2009/73/EC</w:t>
        </w:r>
      </w:hyperlink>
      <w:r>
        <w:t xml:space="preserve">, </w:t>
      </w:r>
      <w:hyperlink r:id="rId439" w:history="1">
        <w:r>
          <w:rPr>
            <w:rStyle w:val="Hyperlink"/>
          </w:rPr>
          <w:t>MEMO/17/1936</w:t>
        </w:r>
      </w:hyperlink>
      <w:r>
        <w:t>.</w:t>
      </w:r>
    </w:p>
  </w:footnote>
  <w:footnote w:id="302">
    <w:p w:rsidR="001557B7" w:rsidRDefault="00AD3265">
      <w:pPr>
        <w:pStyle w:val="FootnoteText"/>
      </w:pPr>
      <w:r>
        <w:rPr>
          <w:rStyle w:val="FootnoteReference"/>
        </w:rPr>
        <w:footnoteRef/>
      </w:r>
      <w:r>
        <w:t xml:space="preserve"> </w:t>
      </w:r>
      <w:r>
        <w:tab/>
        <w:t>Direc</w:t>
      </w:r>
      <w:r>
        <w:t xml:space="preserve">tives </w:t>
      </w:r>
      <w:hyperlink r:id="rId440" w:history="1">
        <w:r>
          <w:rPr>
            <w:rStyle w:val="Hyperlink"/>
          </w:rPr>
          <w:t>2009/147/EC</w:t>
        </w:r>
      </w:hyperlink>
      <w:r>
        <w:t xml:space="preserve"> and </w:t>
      </w:r>
      <w:hyperlink r:id="rId441" w:history="1">
        <w:r>
          <w:rPr>
            <w:rStyle w:val="Hyperlink"/>
          </w:rPr>
          <w:t>92/43/EEC</w:t>
        </w:r>
      </w:hyperlink>
      <w:r>
        <w:t xml:space="preserve">, </w:t>
      </w:r>
      <w:hyperlink r:id="rId442" w:history="1">
        <w:r>
          <w:rPr>
            <w:rStyle w:val="Hyperlink"/>
          </w:rPr>
          <w:t>MEMO/17/1045</w:t>
        </w:r>
      </w:hyperlink>
      <w:r>
        <w:t>.</w:t>
      </w:r>
    </w:p>
  </w:footnote>
  <w:footnote w:id="303">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43" w:history="1">
        <w:r>
          <w:rPr>
            <w:rStyle w:val="Hyperlink"/>
            <w:lang w:val="pt-PT"/>
          </w:rPr>
          <w:t>2002/49/EC</w:t>
        </w:r>
      </w:hyperlink>
      <w:r>
        <w:rPr>
          <w:lang w:val="pt-PT"/>
        </w:rPr>
        <w:t>.</w:t>
      </w:r>
    </w:p>
  </w:footnote>
  <w:footnote w:id="304">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44" w:history="1">
        <w:r>
          <w:rPr>
            <w:rStyle w:val="Hyperlink"/>
            <w:lang w:val="pt-PT"/>
          </w:rPr>
          <w:t>2011/70/Euratom</w:t>
        </w:r>
      </w:hyperlink>
      <w:r>
        <w:rPr>
          <w:lang w:val="pt-PT"/>
        </w:rPr>
        <w:t xml:space="preserve">, </w:t>
      </w:r>
      <w:hyperlink r:id="rId445" w:history="1">
        <w:r>
          <w:rPr>
            <w:rStyle w:val="Hyperlink"/>
            <w:lang w:val="pt-PT"/>
          </w:rPr>
          <w:t>MEMO/17/1935</w:t>
        </w:r>
      </w:hyperlink>
      <w:r>
        <w:rPr>
          <w:lang w:val="pt-PT"/>
        </w:rPr>
        <w:t>.</w:t>
      </w:r>
    </w:p>
  </w:footnote>
  <w:footnote w:id="30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46" w:history="1">
        <w:r>
          <w:rPr>
            <w:rStyle w:val="Hyperlink"/>
            <w:lang w:val="pt-PT"/>
          </w:rPr>
          <w:t>2008/56/EC</w:t>
        </w:r>
      </w:hyperlink>
      <w:r>
        <w:rPr>
          <w:lang w:val="pt-PT"/>
        </w:rPr>
        <w:t>.</w:t>
      </w:r>
    </w:p>
  </w:footnote>
  <w:footnote w:id="306">
    <w:p w:rsidR="001557B7" w:rsidRDefault="00AD3265">
      <w:pPr>
        <w:pStyle w:val="FootnoteText"/>
        <w:rPr>
          <w:lang w:val="pt-PT"/>
        </w:rPr>
      </w:pPr>
      <w:r>
        <w:rPr>
          <w:rStyle w:val="FootnoteReference"/>
        </w:rPr>
        <w:footnoteRef/>
      </w:r>
      <w:r>
        <w:rPr>
          <w:lang w:val="pt-PT"/>
        </w:rPr>
        <w:t xml:space="preserve"> </w:t>
      </w:r>
      <w:r>
        <w:rPr>
          <w:lang w:val="pt-PT"/>
        </w:rPr>
        <w:tab/>
        <w:t xml:space="preserve">Regulation </w:t>
      </w:r>
      <w:hyperlink r:id="rId447" w:history="1">
        <w:r>
          <w:rPr>
            <w:rStyle w:val="Hyperlink"/>
            <w:lang w:val="pt-PT"/>
          </w:rPr>
          <w:t>(EC) No 300/2008</w:t>
        </w:r>
      </w:hyperlink>
      <w:r>
        <w:rPr>
          <w:lang w:val="pt-PT"/>
        </w:rPr>
        <w:t xml:space="preserve">; </w:t>
      </w:r>
      <w:hyperlink r:id="rId448" w:history="1">
        <w:r>
          <w:rPr>
            <w:rStyle w:val="Hyperlink"/>
            <w:lang w:val="pt-PT"/>
          </w:rPr>
          <w:t>MEMO/17/3494</w:t>
        </w:r>
      </w:hyperlink>
      <w:r>
        <w:rPr>
          <w:lang w:val="pt-PT"/>
        </w:rPr>
        <w:t>.</w:t>
      </w:r>
    </w:p>
  </w:footnote>
  <w:footnote w:id="307">
    <w:p w:rsidR="001557B7" w:rsidRDefault="00AD3265">
      <w:pPr>
        <w:pStyle w:val="FootnoteText"/>
        <w:rPr>
          <w:lang w:val="pt-PT"/>
        </w:rPr>
      </w:pPr>
      <w:r>
        <w:rPr>
          <w:rStyle w:val="FootnoteReference"/>
        </w:rPr>
        <w:footnoteRef/>
      </w:r>
      <w:r>
        <w:rPr>
          <w:lang w:val="pt-PT"/>
        </w:rPr>
        <w:t xml:space="preserve"> </w:t>
      </w:r>
      <w:r>
        <w:rPr>
          <w:lang w:val="pt-PT"/>
        </w:rPr>
        <w:tab/>
      </w:r>
      <w:hyperlink r:id="rId449" w:history="1">
        <w:r>
          <w:rPr>
            <w:rStyle w:val="Hyperlink"/>
            <w:lang w:val="pt-PT"/>
          </w:rPr>
          <w:t>MEMO/17/1936</w:t>
        </w:r>
      </w:hyperlink>
      <w:r>
        <w:rPr>
          <w:lang w:val="pt-PT"/>
        </w:rPr>
        <w:t>.</w:t>
      </w:r>
    </w:p>
  </w:footnote>
  <w:footnote w:id="308">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50" w:history="1">
        <w:r>
          <w:rPr>
            <w:rStyle w:val="Hyperlink"/>
            <w:lang w:val="pt-PT"/>
          </w:rPr>
          <w:t>2014/17/EU</w:t>
        </w:r>
      </w:hyperlink>
      <w:r>
        <w:rPr>
          <w:lang w:val="pt-PT"/>
        </w:rPr>
        <w:t xml:space="preserve">, Commission v Croatia, </w:t>
      </w:r>
      <w:hyperlink r:id="rId451" w:history="1">
        <w:r>
          <w:rPr>
            <w:rStyle w:val="Hyperlink"/>
            <w:lang w:val="pt-PT"/>
          </w:rPr>
          <w:t>C-381/17</w:t>
        </w:r>
      </w:hyperlink>
      <w:r>
        <w:rPr>
          <w:lang w:val="pt-PT"/>
        </w:rPr>
        <w:t xml:space="preserve">, </w:t>
      </w:r>
      <w:hyperlink r:id="rId452" w:history="1">
        <w:r>
          <w:rPr>
            <w:rStyle w:val="Hyperlink"/>
            <w:lang w:val="pt-PT"/>
          </w:rPr>
          <w:t>IP/17/1049</w:t>
        </w:r>
      </w:hyperlink>
      <w:r>
        <w:rPr>
          <w:lang w:val="pt-PT"/>
        </w:rPr>
        <w:t>.</w:t>
      </w:r>
    </w:p>
  </w:footnote>
  <w:footnote w:id="309">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53" w:history="1">
        <w:r>
          <w:rPr>
            <w:rStyle w:val="Hyperlink"/>
            <w:lang w:val="pt-PT"/>
          </w:rPr>
          <w:t>2014/56/EU</w:t>
        </w:r>
      </w:hyperlink>
      <w:r>
        <w:rPr>
          <w:lang w:val="pt-PT"/>
        </w:rPr>
        <w:t xml:space="preserve">, Commission v Croatia, </w:t>
      </w:r>
      <w:hyperlink r:id="rId454" w:history="1">
        <w:r>
          <w:rPr>
            <w:rStyle w:val="Hyperlink"/>
            <w:lang w:val="pt-PT"/>
          </w:rPr>
          <w:t>C-415/17</w:t>
        </w:r>
      </w:hyperlink>
      <w:r>
        <w:rPr>
          <w:lang w:val="pt-PT"/>
        </w:rPr>
        <w:t xml:space="preserve">; </w:t>
      </w:r>
      <w:hyperlink r:id="rId455" w:history="1">
        <w:r>
          <w:rPr>
            <w:rStyle w:val="Hyperlink"/>
            <w:lang w:val="pt-PT"/>
          </w:rPr>
          <w:t>IP/17/1579</w:t>
        </w:r>
      </w:hyperlink>
      <w:r>
        <w:rPr>
          <w:lang w:val="pt-PT"/>
        </w:rPr>
        <w:t>.</w:t>
      </w:r>
    </w:p>
  </w:footnote>
  <w:footnote w:id="310">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56" w:history="1">
        <w:r>
          <w:rPr>
            <w:rStyle w:val="Hyperlink"/>
            <w:lang w:val="pt-PT"/>
          </w:rPr>
          <w:t>2014/24/EU</w:t>
        </w:r>
      </w:hyperlink>
      <w:r>
        <w:rPr>
          <w:lang w:val="pt-PT"/>
        </w:rPr>
        <w:t>.</w:t>
      </w:r>
    </w:p>
  </w:footnote>
  <w:footnote w:id="311">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57" w:history="1">
        <w:r>
          <w:rPr>
            <w:rStyle w:val="Hyperlink"/>
            <w:lang w:val="pt-PT"/>
          </w:rPr>
          <w:t>2014/25/EU</w:t>
        </w:r>
      </w:hyperlink>
      <w:r>
        <w:rPr>
          <w:lang w:val="pt-PT"/>
        </w:rPr>
        <w:t>.</w:t>
      </w:r>
    </w:p>
  </w:footnote>
  <w:footnote w:id="312">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58" w:history="1">
        <w:r>
          <w:rPr>
            <w:rStyle w:val="Hyperlink"/>
            <w:lang w:val="pt-PT"/>
          </w:rPr>
          <w:t>2014/94/EU</w:t>
        </w:r>
      </w:hyperlink>
      <w:r>
        <w:rPr>
          <w:lang w:val="pt-PT"/>
        </w:rPr>
        <w:t>.</w:t>
      </w:r>
    </w:p>
  </w:footnote>
  <w:footnote w:id="313">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59" w:history="1">
        <w:r>
          <w:rPr>
            <w:rStyle w:val="Hyperlink"/>
            <w:lang w:val="pt-PT"/>
          </w:rPr>
          <w:t>2</w:t>
        </w:r>
        <w:r>
          <w:rPr>
            <w:rStyle w:val="Hyperlink"/>
            <w:lang w:val="pt-PT"/>
          </w:rPr>
          <w:t>014/28/EU</w:t>
        </w:r>
      </w:hyperlink>
      <w:r>
        <w:rPr>
          <w:lang w:val="pt-PT"/>
        </w:rPr>
        <w:t>.</w:t>
      </w:r>
    </w:p>
  </w:footnote>
  <w:footnote w:id="314">
    <w:p w:rsidR="001557B7" w:rsidRDefault="00AD3265">
      <w:pPr>
        <w:pStyle w:val="FootnoteText"/>
        <w:rPr>
          <w:lang w:val="pt-PT"/>
        </w:rPr>
      </w:pPr>
      <w:r>
        <w:rPr>
          <w:rStyle w:val="FootnoteReference"/>
        </w:rPr>
        <w:footnoteRef/>
      </w:r>
      <w:r>
        <w:rPr>
          <w:lang w:val="pt-PT"/>
        </w:rPr>
        <w:t xml:space="preserve">    Directive </w:t>
      </w:r>
      <w:hyperlink r:id="rId460" w:history="1">
        <w:r>
          <w:rPr>
            <w:rStyle w:val="Hyperlink"/>
            <w:lang w:val="pt-PT"/>
          </w:rPr>
          <w:t>2015/2087/EU</w:t>
        </w:r>
      </w:hyperlink>
      <w:r>
        <w:rPr>
          <w:lang w:val="pt-PT"/>
        </w:rPr>
        <w:t xml:space="preserve"> amending Directive </w:t>
      </w:r>
      <w:hyperlink r:id="rId461" w:history="1">
        <w:r>
          <w:rPr>
            <w:rStyle w:val="Hyperlink"/>
            <w:lang w:val="pt-PT"/>
          </w:rPr>
          <w:t>2000/59/EC</w:t>
        </w:r>
      </w:hyperlink>
      <w:r>
        <w:rPr>
          <w:lang w:val="pt-PT"/>
        </w:rPr>
        <w:t>.</w:t>
      </w:r>
    </w:p>
  </w:footnote>
  <w:footnote w:id="31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62" w:history="1">
        <w:r>
          <w:rPr>
            <w:rStyle w:val="Hyperlink"/>
            <w:lang w:val="pt-PT"/>
          </w:rPr>
          <w:t>2014/89/EU</w:t>
        </w:r>
      </w:hyperlink>
      <w:r>
        <w:rPr>
          <w:lang w:val="pt-PT"/>
        </w:rPr>
        <w:t>.</w:t>
      </w:r>
    </w:p>
  </w:footnote>
  <w:footnote w:id="31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63" w:history="1">
        <w:r>
          <w:rPr>
            <w:rStyle w:val="Hyperlink"/>
            <w:lang w:val="pt-PT"/>
          </w:rPr>
          <w:t>(EU) 2015/652</w:t>
        </w:r>
      </w:hyperlink>
      <w:r>
        <w:rPr>
          <w:lang w:val="pt-PT"/>
        </w:rPr>
        <w:t>.</w:t>
      </w:r>
    </w:p>
  </w:footnote>
  <w:footnote w:id="317">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64" w:history="1">
        <w:r>
          <w:rPr>
            <w:rStyle w:val="Hyperlink"/>
            <w:lang w:val="pt-PT"/>
          </w:rPr>
          <w:t>98/70/EC</w:t>
        </w:r>
      </w:hyperlink>
      <w:r>
        <w:rPr>
          <w:lang w:val="pt-PT"/>
        </w:rPr>
        <w:t>.</w:t>
      </w:r>
    </w:p>
  </w:footnote>
  <w:footnote w:id="318">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65" w:history="1">
        <w:r>
          <w:rPr>
            <w:rStyle w:val="Hyperlink"/>
            <w:lang w:val="pt-PT"/>
          </w:rPr>
          <w:t>2006/126/EC</w:t>
        </w:r>
      </w:hyperlink>
      <w:r>
        <w:rPr>
          <w:lang w:val="pt-PT"/>
        </w:rPr>
        <w:t>.</w:t>
      </w:r>
    </w:p>
  </w:footnote>
  <w:footnote w:id="319">
    <w:p w:rsidR="001557B7" w:rsidRDefault="00AD3265">
      <w:pPr>
        <w:pStyle w:val="FootnoteText"/>
        <w:rPr>
          <w:lang w:val="pt-PT"/>
        </w:rPr>
      </w:pPr>
      <w:r>
        <w:rPr>
          <w:rStyle w:val="FootnoteReference"/>
        </w:rPr>
        <w:footnoteRef/>
      </w:r>
      <w:r>
        <w:rPr>
          <w:lang w:val="pt-PT"/>
        </w:rPr>
        <w:t xml:space="preserve"> </w:t>
      </w:r>
      <w:r>
        <w:rPr>
          <w:lang w:val="pt-PT"/>
        </w:rPr>
        <w:tab/>
        <w:t xml:space="preserve">Regulations </w:t>
      </w:r>
      <w:hyperlink r:id="rId466" w:history="1">
        <w:r>
          <w:rPr>
            <w:rStyle w:val="Hyperlink"/>
            <w:lang w:val="pt-PT"/>
          </w:rPr>
          <w:t>(EC) No 805/2004</w:t>
        </w:r>
      </w:hyperlink>
      <w:r>
        <w:rPr>
          <w:lang w:val="pt-PT"/>
        </w:rPr>
        <w:t xml:space="preserve"> and </w:t>
      </w:r>
      <w:hyperlink r:id="rId467" w:history="1">
        <w:r>
          <w:rPr>
            <w:rStyle w:val="Hyperlink"/>
            <w:lang w:val="pt-PT"/>
          </w:rPr>
          <w:t>(EU) No 1215/2012</w:t>
        </w:r>
      </w:hyperlink>
      <w:r>
        <w:rPr>
          <w:lang w:val="pt-PT"/>
        </w:rPr>
        <w:t>.</w:t>
      </w:r>
    </w:p>
  </w:footnote>
  <w:footnote w:id="320">
    <w:p w:rsidR="001557B7" w:rsidRDefault="00AD3265">
      <w:pPr>
        <w:pStyle w:val="FootnoteText"/>
      </w:pPr>
      <w:r>
        <w:rPr>
          <w:rStyle w:val="FootnoteReference"/>
        </w:rPr>
        <w:footnoteRef/>
      </w:r>
      <w:r>
        <w:t xml:space="preserve"> </w:t>
      </w:r>
      <w:r>
        <w:tab/>
        <w:t xml:space="preserve">Pula Parking, </w:t>
      </w:r>
      <w:hyperlink r:id="rId468" w:history="1">
        <w:r>
          <w:rPr>
            <w:rStyle w:val="Hyperlink"/>
          </w:rPr>
          <w:t>C</w:t>
        </w:r>
        <w:r>
          <w:rPr>
            <w:rStyle w:val="Hyperlink"/>
            <w:rFonts w:cs="Arial"/>
          </w:rPr>
          <w:t>-</w:t>
        </w:r>
        <w:r>
          <w:rPr>
            <w:rStyle w:val="Hyperlink"/>
          </w:rPr>
          <w:t>551/15</w:t>
        </w:r>
      </w:hyperlink>
      <w:r>
        <w:t xml:space="preserve"> and Court press release No </w:t>
      </w:r>
      <w:hyperlink r:id="rId469" w:history="1">
        <w:r>
          <w:rPr>
            <w:rStyle w:val="Hyperlink"/>
          </w:rPr>
          <w:t>25/17</w:t>
        </w:r>
      </w:hyperlink>
      <w:r>
        <w:t>.</w:t>
      </w:r>
    </w:p>
  </w:footnote>
  <w:footnote w:id="321">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70" w:history="1">
        <w:r>
          <w:rPr>
            <w:rStyle w:val="Hyperlink"/>
            <w:lang w:val="pt-PT"/>
          </w:rPr>
          <w:t>2008/98/EC</w:t>
        </w:r>
      </w:hyperlink>
      <w:r>
        <w:rPr>
          <w:lang w:val="pt-PT"/>
        </w:rPr>
        <w:t xml:space="preserve">, VG Čistoća, </w:t>
      </w:r>
      <w:hyperlink r:id="rId471" w:history="1">
        <w:r>
          <w:rPr>
            <w:rStyle w:val="Hyperlink"/>
            <w:lang w:val="pt-PT"/>
          </w:rPr>
          <w:t>C-335/16</w:t>
        </w:r>
      </w:hyperlink>
      <w:r>
        <w:rPr>
          <w:lang w:val="pt-PT"/>
        </w:rPr>
        <w:t>.</w:t>
      </w:r>
    </w:p>
  </w:footnote>
  <w:footnote w:id="322">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72" w:history="1">
        <w:r>
          <w:rPr>
            <w:rStyle w:val="Hyperlink"/>
            <w:lang w:val="pt-PT"/>
          </w:rPr>
          <w:t>2011/70/Euratom</w:t>
        </w:r>
      </w:hyperlink>
      <w:r>
        <w:rPr>
          <w:lang w:val="pt-PT"/>
        </w:rPr>
        <w:t xml:space="preserve">, </w:t>
      </w:r>
      <w:hyperlink r:id="rId473" w:history="1">
        <w:r>
          <w:rPr>
            <w:rStyle w:val="Hyperlink"/>
            <w:lang w:val="pt-PT"/>
          </w:rPr>
          <w:t>MEMO/17/1935</w:t>
        </w:r>
      </w:hyperlink>
      <w:r>
        <w:rPr>
          <w:lang w:val="pt-PT"/>
        </w:rPr>
        <w:t>.</w:t>
      </w:r>
    </w:p>
  </w:footnote>
  <w:footnote w:id="323">
    <w:p w:rsidR="001557B7" w:rsidRDefault="00AD3265">
      <w:pPr>
        <w:pStyle w:val="FootnoteText"/>
        <w:rPr>
          <w:lang w:val="fr-BE"/>
        </w:rPr>
      </w:pPr>
      <w:r>
        <w:rPr>
          <w:rStyle w:val="FootnoteReference"/>
        </w:rPr>
        <w:footnoteRef/>
      </w:r>
      <w:r>
        <w:rPr>
          <w:lang w:val="fr-BE"/>
        </w:rPr>
        <w:t xml:space="preserve"> </w:t>
      </w:r>
      <w:r>
        <w:rPr>
          <w:lang w:val="fr-BE"/>
        </w:rPr>
        <w:tab/>
        <w:t xml:space="preserve">Commission Implementing Decision (EU)2015/789, </w:t>
      </w:r>
      <w:hyperlink r:id="rId474" w:history="1">
        <w:r>
          <w:rPr>
            <w:rStyle w:val="Hyperlink"/>
            <w:lang w:val="fr-BE"/>
          </w:rPr>
          <w:t>MEMO/17/1935</w:t>
        </w:r>
      </w:hyperlink>
      <w:r>
        <w:rPr>
          <w:lang w:val="fr-BE"/>
        </w:rPr>
        <w:t>.</w:t>
      </w:r>
    </w:p>
  </w:footnote>
  <w:footnote w:id="324">
    <w:p w:rsidR="001557B7" w:rsidRDefault="00AD3265">
      <w:pPr>
        <w:pStyle w:val="FootnoteText"/>
      </w:pPr>
      <w:r>
        <w:rPr>
          <w:rStyle w:val="FootnoteReference"/>
        </w:rPr>
        <w:footnoteRef/>
      </w:r>
      <w:r>
        <w:t xml:space="preserve"> </w:t>
      </w:r>
      <w:r>
        <w:tab/>
      </w:r>
      <w:r>
        <w:rPr>
          <w:szCs w:val="18"/>
        </w:rPr>
        <w:t xml:space="preserve">Council Decisions </w:t>
      </w:r>
      <w:hyperlink r:id="rId475" w:history="1">
        <w:r>
          <w:rPr>
            <w:rStyle w:val="Hyperlink"/>
            <w:szCs w:val="18"/>
          </w:rPr>
          <w:t>2008/615/JHA</w:t>
        </w:r>
      </w:hyperlink>
      <w:r>
        <w:rPr>
          <w:szCs w:val="18"/>
        </w:rPr>
        <w:t xml:space="preserve"> and </w:t>
      </w:r>
      <w:hyperlink r:id="rId476" w:history="1">
        <w:r>
          <w:rPr>
            <w:rStyle w:val="Hyperlink"/>
            <w:szCs w:val="18"/>
          </w:rPr>
          <w:t>2008/616/JHA</w:t>
        </w:r>
      </w:hyperlink>
      <w:r>
        <w:rPr>
          <w:szCs w:val="18"/>
        </w:rPr>
        <w:t>.</w:t>
      </w:r>
    </w:p>
  </w:footnote>
  <w:footnote w:id="325">
    <w:p w:rsidR="001557B7" w:rsidRDefault="00AD3265">
      <w:pPr>
        <w:pStyle w:val="FootnoteText"/>
        <w:rPr>
          <w:lang w:val="pt-PT"/>
        </w:rPr>
      </w:pPr>
      <w:r>
        <w:rPr>
          <w:rStyle w:val="FootnoteReference"/>
        </w:rPr>
        <w:footnoteRef/>
      </w:r>
      <w:r>
        <w:rPr>
          <w:lang w:val="pt-PT"/>
        </w:rPr>
        <w:tab/>
        <w:t xml:space="preserve">Directive </w:t>
      </w:r>
      <w:hyperlink r:id="rId477" w:history="1">
        <w:r>
          <w:rPr>
            <w:rStyle w:val="Hyperlink"/>
            <w:lang w:val="pt-PT"/>
          </w:rPr>
          <w:t>2012/34/EU</w:t>
        </w:r>
      </w:hyperlink>
      <w:r>
        <w:rPr>
          <w:lang w:val="pt-PT"/>
        </w:rPr>
        <w:t>.</w:t>
      </w:r>
    </w:p>
  </w:footnote>
  <w:footnote w:id="32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478" w:history="1">
        <w:r>
          <w:rPr>
            <w:rStyle w:val="Hyperlink"/>
            <w:lang w:val="pt-PT"/>
          </w:rPr>
          <w:t>2008/98/EC</w:t>
        </w:r>
      </w:hyperlink>
      <w:r>
        <w:rPr>
          <w:lang w:val="pt-PT"/>
        </w:rPr>
        <w:t xml:space="preserve">, </w:t>
      </w:r>
      <w:hyperlink r:id="rId479" w:history="1">
        <w:r>
          <w:rPr>
            <w:rStyle w:val="Hyperlink"/>
            <w:lang w:val="pt-PT"/>
          </w:rPr>
          <w:t>MEMO/17/234.</w:t>
        </w:r>
      </w:hyperlink>
    </w:p>
  </w:footnote>
  <w:footnote w:id="327">
    <w:p w:rsidR="001557B7" w:rsidRDefault="00AD3265">
      <w:pPr>
        <w:pStyle w:val="FootnoteText"/>
        <w:rPr>
          <w:lang w:val="pt-PT"/>
        </w:rPr>
      </w:pPr>
      <w:r>
        <w:rPr>
          <w:rStyle w:val="FootnoteReference"/>
        </w:rPr>
        <w:footnoteRef/>
      </w:r>
      <w:r>
        <w:rPr>
          <w:lang w:val="pt-PT"/>
        </w:rPr>
        <w:t xml:space="preserve"> </w:t>
      </w:r>
      <w:r>
        <w:rPr>
          <w:lang w:val="pt-PT"/>
        </w:rPr>
        <w:tab/>
      </w:r>
      <w:hyperlink r:id="rId480" w:history="1">
        <w:r>
          <w:rPr>
            <w:rStyle w:val="Hyperlink"/>
            <w:lang w:val="pt-PT"/>
          </w:rPr>
          <w:t>MEMO/17/1281</w:t>
        </w:r>
      </w:hyperlink>
      <w:r>
        <w:rPr>
          <w:lang w:val="pt-PT"/>
        </w:rPr>
        <w:t>.</w:t>
      </w:r>
    </w:p>
  </w:footnote>
  <w:footnote w:id="328">
    <w:p w:rsidR="001557B7" w:rsidRDefault="00AD3265">
      <w:pPr>
        <w:pStyle w:val="FootnoteText"/>
      </w:pPr>
      <w:r>
        <w:rPr>
          <w:rStyle w:val="FootnoteReference"/>
        </w:rPr>
        <w:footnoteRef/>
      </w:r>
      <w:r>
        <w:t xml:space="preserve"> </w:t>
      </w:r>
      <w:r>
        <w:tab/>
      </w:r>
      <w:hyperlink r:id="rId481" w:history="1">
        <w:r>
          <w:rPr>
            <w:rStyle w:val="Hyperlink"/>
          </w:rPr>
          <w:t>MEMO/17/1280</w:t>
        </w:r>
      </w:hyperlink>
      <w:r>
        <w:t>.</w:t>
      </w:r>
    </w:p>
  </w:footnote>
  <w:footnote w:id="329">
    <w:p w:rsidR="001557B7" w:rsidRDefault="00AD3265">
      <w:pPr>
        <w:pStyle w:val="FootnoteText"/>
      </w:pPr>
      <w:r>
        <w:rPr>
          <w:rStyle w:val="FootnoteReference"/>
        </w:rPr>
        <w:footnoteRef/>
      </w:r>
      <w:r>
        <w:t xml:space="preserve"> </w:t>
      </w:r>
      <w:r>
        <w:tab/>
        <w:t>PM</w:t>
      </w:r>
      <w:r>
        <w:rPr>
          <w:vertAlign w:val="subscript"/>
        </w:rPr>
        <w:t>10</w:t>
      </w:r>
      <w:r>
        <w:t xml:space="preserve"> is an air pollutant consisting of small particles with an aerodynamic diameter less than or equal to a nominal 10 micrometres. The particles’ small size allows them to penetrate deep into the lungs where they may be deposited and caus</w:t>
      </w:r>
      <w:r>
        <w:t>e adverse health effects. (Source: European Environment Agency).</w:t>
      </w:r>
    </w:p>
  </w:footnote>
  <w:footnote w:id="330">
    <w:p w:rsidR="001557B7" w:rsidRDefault="00AD3265">
      <w:pPr>
        <w:pStyle w:val="FootnoteText"/>
      </w:pPr>
      <w:r>
        <w:rPr>
          <w:rStyle w:val="FootnoteReference"/>
        </w:rPr>
        <w:footnoteRef/>
      </w:r>
      <w:r>
        <w:t xml:space="preserve"> </w:t>
      </w:r>
      <w:r>
        <w:tab/>
        <w:t xml:space="preserve">Directive </w:t>
      </w:r>
      <w:hyperlink r:id="rId482" w:history="1">
        <w:r>
          <w:rPr>
            <w:rStyle w:val="Hyperlink"/>
          </w:rPr>
          <w:t>2008/50/EC</w:t>
        </w:r>
      </w:hyperlink>
      <w:r>
        <w:t>.</w:t>
      </w:r>
    </w:p>
  </w:footnote>
  <w:footnote w:id="331">
    <w:p w:rsidR="001557B7" w:rsidRDefault="00AD3265">
      <w:pPr>
        <w:pStyle w:val="FootnoteText"/>
      </w:pPr>
      <w:r>
        <w:rPr>
          <w:rStyle w:val="FootnoteReference"/>
        </w:rPr>
        <w:footnoteRef/>
      </w:r>
      <w:r>
        <w:t xml:space="preserve"> </w:t>
      </w:r>
      <w:r>
        <w:tab/>
        <w:t xml:space="preserve">Directive </w:t>
      </w:r>
      <w:hyperlink r:id="rId483" w:history="1">
        <w:r>
          <w:rPr>
            <w:rStyle w:val="Hyperlink"/>
          </w:rPr>
          <w:t>2008/50/EC</w:t>
        </w:r>
      </w:hyperlink>
      <w:r>
        <w:t xml:space="preserve">, </w:t>
      </w:r>
      <w:hyperlink r:id="rId484" w:history="1">
        <w:r>
          <w:rPr>
            <w:rStyle w:val="Hyperlink"/>
          </w:rPr>
          <w:t>IP/17/238</w:t>
        </w:r>
      </w:hyperlink>
      <w:r>
        <w:t>.</w:t>
      </w:r>
    </w:p>
  </w:footnote>
  <w:footnote w:id="332">
    <w:p w:rsidR="001557B7" w:rsidRDefault="00AD3265">
      <w:pPr>
        <w:pStyle w:val="FootnoteText"/>
      </w:pPr>
      <w:r>
        <w:rPr>
          <w:rStyle w:val="FootnoteReference"/>
        </w:rPr>
        <w:footnoteRef/>
      </w:r>
      <w:r>
        <w:t xml:space="preserve"> </w:t>
      </w:r>
      <w:r>
        <w:tab/>
        <w:t xml:space="preserve">Directive </w:t>
      </w:r>
      <w:hyperlink r:id="rId485" w:history="1">
        <w:r>
          <w:rPr>
            <w:rStyle w:val="Hyperlink"/>
          </w:rPr>
          <w:t>2005/45/EC</w:t>
        </w:r>
      </w:hyperlink>
      <w:r>
        <w:t xml:space="preserve">, </w:t>
      </w:r>
      <w:hyperlink r:id="rId486" w:history="1">
        <w:r>
          <w:rPr>
            <w:rStyle w:val="Hyperlink"/>
          </w:rPr>
          <w:t>MEMO/17/4767</w:t>
        </w:r>
      </w:hyperlink>
      <w:r>
        <w:t>.</w:t>
      </w:r>
    </w:p>
  </w:footnote>
  <w:footnote w:id="333">
    <w:p w:rsidR="001557B7" w:rsidRDefault="00AD3265">
      <w:pPr>
        <w:pStyle w:val="FootnoteText"/>
      </w:pPr>
      <w:r>
        <w:rPr>
          <w:rStyle w:val="FootnoteReference"/>
        </w:rPr>
        <w:footnoteRef/>
      </w:r>
      <w:r>
        <w:t xml:space="preserve"> </w:t>
      </w:r>
      <w:r>
        <w:tab/>
        <w:t xml:space="preserve">Directive </w:t>
      </w:r>
      <w:hyperlink r:id="rId487" w:history="1">
        <w:r>
          <w:rPr>
            <w:rStyle w:val="Hyperlink"/>
          </w:rPr>
          <w:t>2015/2203/EU</w:t>
        </w:r>
      </w:hyperlink>
      <w:r>
        <w:t xml:space="preserve">, </w:t>
      </w:r>
      <w:hyperlink r:id="rId488" w:history="1">
        <w:r>
          <w:rPr>
            <w:rStyle w:val="Hyperlink"/>
          </w:rPr>
          <w:t>MEMO/17/1935</w:t>
        </w:r>
      </w:hyperlink>
      <w:r>
        <w:rPr>
          <w:rStyle w:val="Hyperlink"/>
        </w:rPr>
        <w:t>.</w:t>
      </w:r>
    </w:p>
  </w:footnote>
  <w:footnote w:id="334">
    <w:p w:rsidR="001557B7" w:rsidRDefault="00AD3265">
      <w:pPr>
        <w:pStyle w:val="FootnoteText"/>
      </w:pPr>
      <w:r>
        <w:rPr>
          <w:rStyle w:val="FootnoteReference"/>
        </w:rPr>
        <w:footnoteRef/>
      </w:r>
      <w:r>
        <w:t xml:space="preserve"> </w:t>
      </w:r>
      <w:r>
        <w:tab/>
        <w:t xml:space="preserve">Directive </w:t>
      </w:r>
      <w:hyperlink r:id="rId489" w:history="1">
        <w:r>
          <w:rPr>
            <w:rStyle w:val="Hyperlink"/>
          </w:rPr>
          <w:t>2015/1794/EU</w:t>
        </w:r>
      </w:hyperlink>
      <w:r>
        <w:t>.</w:t>
      </w:r>
    </w:p>
  </w:footnote>
  <w:footnote w:id="335">
    <w:p w:rsidR="001557B7" w:rsidRDefault="00AD3265">
      <w:pPr>
        <w:pStyle w:val="FootnoteText"/>
      </w:pPr>
      <w:r>
        <w:rPr>
          <w:rStyle w:val="FootnoteReference"/>
        </w:rPr>
        <w:footnoteRef/>
      </w:r>
      <w:r>
        <w:t xml:space="preserve"> </w:t>
      </w:r>
      <w:r>
        <w:tab/>
        <w:t xml:space="preserve">Directive </w:t>
      </w:r>
      <w:hyperlink r:id="rId490" w:history="1">
        <w:r>
          <w:rPr>
            <w:rStyle w:val="Hyperlink"/>
          </w:rPr>
          <w:t>1999/31/EC</w:t>
        </w:r>
      </w:hyperlink>
      <w:r>
        <w:t xml:space="preserve">, Commission v Italy, </w:t>
      </w:r>
      <w:hyperlink r:id="rId491" w:history="1">
        <w:r>
          <w:rPr>
            <w:rStyle w:val="Hyperlink"/>
          </w:rPr>
          <w:t>C-498/17</w:t>
        </w:r>
      </w:hyperlink>
      <w:r>
        <w:t xml:space="preserve">, </w:t>
      </w:r>
      <w:hyperlink r:id="rId492" w:history="1">
        <w:r>
          <w:rPr>
            <w:rStyle w:val="Hyperlink"/>
          </w:rPr>
          <w:t>IP/17/1283</w:t>
        </w:r>
      </w:hyperlink>
      <w:r>
        <w:t>.</w:t>
      </w:r>
    </w:p>
  </w:footnote>
  <w:footnote w:id="336">
    <w:p w:rsidR="001557B7" w:rsidRDefault="00AD3265">
      <w:pPr>
        <w:pStyle w:val="FootnoteText"/>
      </w:pPr>
      <w:r>
        <w:rPr>
          <w:rStyle w:val="FootnoteReference"/>
        </w:rPr>
        <w:footnoteRef/>
      </w:r>
      <w:r>
        <w:t xml:space="preserve"> </w:t>
      </w:r>
      <w:r>
        <w:tab/>
        <w:t xml:space="preserve">Directive </w:t>
      </w:r>
      <w:hyperlink r:id="rId493" w:history="1">
        <w:r>
          <w:rPr>
            <w:rStyle w:val="Hyperlink"/>
          </w:rPr>
          <w:t>2004/18/EC</w:t>
        </w:r>
      </w:hyperlink>
      <w:r>
        <w:t xml:space="preserve">, Commission v Italy, </w:t>
      </w:r>
      <w:hyperlink r:id="rId494" w:history="1">
        <w:r>
          <w:rPr>
            <w:rStyle w:val="Hyperlink"/>
          </w:rPr>
          <w:t>C-526/2017</w:t>
        </w:r>
      </w:hyperlink>
      <w:r>
        <w:t xml:space="preserve">, </w:t>
      </w:r>
      <w:hyperlink r:id="rId495" w:history="1">
        <w:r>
          <w:rPr>
            <w:rStyle w:val="Hyperlink"/>
          </w:rPr>
          <w:t>IP/17/1284</w:t>
        </w:r>
      </w:hyperlink>
      <w:r>
        <w:t>.</w:t>
      </w:r>
    </w:p>
  </w:footnote>
  <w:footnote w:id="337">
    <w:p w:rsidR="001557B7" w:rsidRDefault="00AD3265">
      <w:pPr>
        <w:pStyle w:val="FootnoteText"/>
      </w:pPr>
      <w:r>
        <w:rPr>
          <w:rStyle w:val="FootnoteReference"/>
        </w:rPr>
        <w:footnoteRef/>
      </w:r>
      <w:r>
        <w:t xml:space="preserve"> </w:t>
      </w:r>
      <w:r>
        <w:tab/>
        <w:t xml:space="preserve">Directive </w:t>
      </w:r>
      <w:hyperlink r:id="rId496" w:history="1">
        <w:r>
          <w:rPr>
            <w:rStyle w:val="Hyperlink"/>
          </w:rPr>
          <w:t>91/271/EEC</w:t>
        </w:r>
      </w:hyperlink>
      <w:r>
        <w:t xml:space="preserve">, Commission v Italy, </w:t>
      </w:r>
      <w:hyperlink r:id="rId497" w:history="1">
        <w:r>
          <w:rPr>
            <w:rStyle w:val="Hyperlink"/>
          </w:rPr>
          <w:t>C-251/17</w:t>
        </w:r>
      </w:hyperlink>
      <w:r>
        <w:t xml:space="preserve">; </w:t>
      </w:r>
      <w:hyperlink r:id="rId498" w:history="1">
        <w:r>
          <w:rPr>
            <w:rStyle w:val="Hyperlink"/>
          </w:rPr>
          <w:t>IP/16/4212</w:t>
        </w:r>
      </w:hyperlink>
      <w:r>
        <w:t>.</w:t>
      </w:r>
    </w:p>
  </w:footnote>
  <w:footnote w:id="338">
    <w:p w:rsidR="001557B7" w:rsidRDefault="00AD3265">
      <w:pPr>
        <w:pStyle w:val="FootnoteText"/>
      </w:pPr>
      <w:r>
        <w:rPr>
          <w:rStyle w:val="FootnoteReference"/>
        </w:rPr>
        <w:footnoteRef/>
      </w:r>
      <w:r>
        <w:t xml:space="preserve"> </w:t>
      </w:r>
      <w:r>
        <w:tab/>
        <w:t xml:space="preserve">Council Directive </w:t>
      </w:r>
      <w:hyperlink r:id="rId499" w:history="1">
        <w:r>
          <w:rPr>
            <w:rStyle w:val="Hyperlink"/>
          </w:rPr>
          <w:t>90/314/EEC</w:t>
        </w:r>
      </w:hyperlink>
      <w:r>
        <w:t>.</w:t>
      </w:r>
    </w:p>
  </w:footnote>
  <w:footnote w:id="339">
    <w:p w:rsidR="001557B7" w:rsidRDefault="00AD3265">
      <w:pPr>
        <w:pStyle w:val="FootnoteText"/>
      </w:pPr>
      <w:r>
        <w:rPr>
          <w:rStyle w:val="FootnoteReference"/>
        </w:rPr>
        <w:footnoteRef/>
      </w:r>
      <w:r>
        <w:t xml:space="preserve"> </w:t>
      </w:r>
      <w:r>
        <w:tab/>
      </w:r>
      <w:hyperlink r:id="rId500" w:history="1">
        <w:r>
          <w:rPr>
            <w:rStyle w:val="Hyperlink"/>
          </w:rPr>
          <w:t>MEMO/17/4767</w:t>
        </w:r>
      </w:hyperlink>
      <w:r>
        <w:t>.</w:t>
      </w:r>
    </w:p>
  </w:footnote>
  <w:footnote w:id="340">
    <w:p w:rsidR="001557B7" w:rsidRDefault="00AD3265">
      <w:pPr>
        <w:pStyle w:val="FootnoteText"/>
      </w:pPr>
      <w:r>
        <w:rPr>
          <w:rStyle w:val="FootnoteReference"/>
        </w:rPr>
        <w:footnoteRef/>
      </w:r>
      <w:r>
        <w:t xml:space="preserve"> </w:t>
      </w:r>
      <w:r>
        <w:tab/>
        <w:t xml:space="preserve">Regulation </w:t>
      </w:r>
      <w:hyperlink r:id="rId501" w:history="1">
        <w:r>
          <w:rPr>
            <w:rStyle w:val="Hyperlink"/>
          </w:rPr>
          <w:t>No 343/2003/EC</w:t>
        </w:r>
      </w:hyperlink>
      <w:r>
        <w:t xml:space="preserve"> and Directive </w:t>
      </w:r>
      <w:hyperlink r:id="rId502" w:history="1">
        <w:r>
          <w:rPr>
            <w:rStyle w:val="Hyperlink"/>
          </w:rPr>
          <w:t>2005/85/EC</w:t>
        </w:r>
      </w:hyperlink>
      <w:r>
        <w:t>.</w:t>
      </w:r>
    </w:p>
  </w:footnote>
  <w:footnote w:id="341">
    <w:p w:rsidR="001557B7" w:rsidRDefault="00AD3265">
      <w:pPr>
        <w:pStyle w:val="FootnoteText"/>
      </w:pPr>
      <w:r>
        <w:rPr>
          <w:rStyle w:val="FootnoteReference"/>
        </w:rPr>
        <w:footnoteRef/>
      </w:r>
      <w:r>
        <w:t xml:space="preserve"> </w:t>
      </w:r>
      <w:r>
        <w:tab/>
        <w:t xml:space="preserve">Directive </w:t>
      </w:r>
      <w:hyperlink r:id="rId503" w:history="1">
        <w:r>
          <w:rPr>
            <w:rStyle w:val="Hyperlink"/>
          </w:rPr>
          <w:t>2014/94/EU</w:t>
        </w:r>
      </w:hyperlink>
      <w:r>
        <w:t>.</w:t>
      </w:r>
    </w:p>
  </w:footnote>
  <w:footnote w:id="342">
    <w:p w:rsidR="001557B7" w:rsidRDefault="00AD3265">
      <w:pPr>
        <w:pStyle w:val="FootnoteText"/>
      </w:pPr>
      <w:r>
        <w:rPr>
          <w:rStyle w:val="FootnoteReference"/>
        </w:rPr>
        <w:footnoteRef/>
      </w:r>
      <w:r>
        <w:t xml:space="preserve"> </w:t>
      </w:r>
      <w:r>
        <w:tab/>
        <w:t xml:space="preserve">Directive </w:t>
      </w:r>
      <w:hyperlink r:id="rId504" w:history="1">
        <w:r>
          <w:rPr>
            <w:rStyle w:val="Hyperlink"/>
          </w:rPr>
          <w:t>2011/95/EU</w:t>
        </w:r>
      </w:hyperlink>
      <w:r>
        <w:t>.</w:t>
      </w:r>
    </w:p>
  </w:footnote>
  <w:footnote w:id="343">
    <w:p w:rsidR="001557B7" w:rsidRDefault="00AD3265">
      <w:pPr>
        <w:pStyle w:val="FootnoteText"/>
      </w:pPr>
      <w:r>
        <w:rPr>
          <w:rStyle w:val="FootnoteReference"/>
        </w:rPr>
        <w:footnoteRef/>
      </w:r>
      <w:r>
        <w:t xml:space="preserve"> </w:t>
      </w:r>
      <w:r>
        <w:tab/>
        <w:t xml:space="preserve">Directive </w:t>
      </w:r>
      <w:hyperlink r:id="rId505" w:history="1">
        <w:r>
          <w:rPr>
            <w:rStyle w:val="Hyperlink"/>
          </w:rPr>
          <w:t>2011/51/EU</w:t>
        </w:r>
      </w:hyperlink>
      <w:r>
        <w:t>.</w:t>
      </w:r>
    </w:p>
  </w:footnote>
  <w:footnote w:id="344">
    <w:p w:rsidR="001557B7" w:rsidRDefault="00AD3265">
      <w:pPr>
        <w:pStyle w:val="FootnoteText"/>
      </w:pPr>
      <w:r>
        <w:rPr>
          <w:rStyle w:val="FootnoteReference"/>
        </w:rPr>
        <w:footnoteRef/>
      </w:r>
      <w:r>
        <w:t xml:space="preserve"> </w:t>
      </w:r>
      <w:r>
        <w:tab/>
        <w:t xml:space="preserve">Directive </w:t>
      </w:r>
      <w:hyperlink r:id="rId506" w:history="1">
        <w:r>
          <w:rPr>
            <w:rStyle w:val="Hyperlink"/>
          </w:rPr>
          <w:t>2009/138/EC</w:t>
        </w:r>
      </w:hyperlink>
      <w:r>
        <w:t>.</w:t>
      </w:r>
    </w:p>
  </w:footnote>
  <w:footnote w:id="345">
    <w:p w:rsidR="001557B7" w:rsidRDefault="00AD3265">
      <w:pPr>
        <w:pStyle w:val="FootnoteText"/>
      </w:pPr>
      <w:r>
        <w:rPr>
          <w:rStyle w:val="FootnoteReference"/>
        </w:rPr>
        <w:footnoteRef/>
      </w:r>
      <w:r>
        <w:t xml:space="preserve"> </w:t>
      </w:r>
      <w:r>
        <w:tab/>
        <w:t xml:space="preserve">Directive </w:t>
      </w:r>
      <w:hyperlink r:id="rId507" w:history="1">
        <w:r>
          <w:rPr>
            <w:rStyle w:val="Hyperlink"/>
          </w:rPr>
          <w:t>2014/51/EU</w:t>
        </w:r>
      </w:hyperlink>
      <w:r>
        <w:t>.</w:t>
      </w:r>
    </w:p>
  </w:footnote>
  <w:footnote w:id="346">
    <w:p w:rsidR="001557B7" w:rsidRDefault="00AD3265">
      <w:pPr>
        <w:pStyle w:val="FootnoteText"/>
      </w:pPr>
      <w:r>
        <w:rPr>
          <w:rStyle w:val="FootnoteReference"/>
        </w:rPr>
        <w:footnoteRef/>
      </w:r>
      <w:r>
        <w:t xml:space="preserve"> </w:t>
      </w:r>
      <w:r>
        <w:tab/>
        <w:t xml:space="preserve">Directive </w:t>
      </w:r>
      <w:hyperlink r:id="rId508" w:history="1">
        <w:r>
          <w:rPr>
            <w:rStyle w:val="Hyperlink"/>
          </w:rPr>
          <w:t>2014/59/EU</w:t>
        </w:r>
      </w:hyperlink>
      <w:r>
        <w:t>.</w:t>
      </w:r>
    </w:p>
  </w:footnote>
  <w:footnote w:id="347">
    <w:p w:rsidR="001557B7" w:rsidRDefault="00AD3265">
      <w:pPr>
        <w:pStyle w:val="FootnoteText"/>
      </w:pPr>
      <w:r>
        <w:rPr>
          <w:rStyle w:val="FootnoteReference"/>
        </w:rPr>
        <w:footnoteRef/>
      </w:r>
      <w:r>
        <w:t xml:space="preserve"> </w:t>
      </w:r>
      <w:r>
        <w:tab/>
        <w:t xml:space="preserve">Directive </w:t>
      </w:r>
      <w:hyperlink r:id="rId509" w:history="1">
        <w:r>
          <w:rPr>
            <w:rStyle w:val="Hyperlink"/>
          </w:rPr>
          <w:t>2014/49/EU</w:t>
        </w:r>
      </w:hyperlink>
      <w:r>
        <w:t>.</w:t>
      </w:r>
    </w:p>
  </w:footnote>
  <w:footnote w:id="348">
    <w:p w:rsidR="001557B7" w:rsidRDefault="00AD3265">
      <w:pPr>
        <w:pStyle w:val="FootnoteText"/>
      </w:pPr>
      <w:r>
        <w:rPr>
          <w:rStyle w:val="FootnoteReference"/>
        </w:rPr>
        <w:footnoteRef/>
      </w:r>
      <w:r>
        <w:t xml:space="preserve"> </w:t>
      </w:r>
      <w:r>
        <w:tab/>
        <w:t xml:space="preserve">Directive </w:t>
      </w:r>
      <w:hyperlink r:id="rId510" w:history="1">
        <w:r>
          <w:rPr>
            <w:rStyle w:val="Hyperlink"/>
          </w:rPr>
          <w:t>2013/50/EU</w:t>
        </w:r>
      </w:hyperlink>
      <w:r>
        <w:t>.</w:t>
      </w:r>
    </w:p>
  </w:footnote>
  <w:footnote w:id="349">
    <w:p w:rsidR="001557B7" w:rsidRDefault="00AD3265">
      <w:pPr>
        <w:pStyle w:val="FootnoteText"/>
      </w:pPr>
      <w:r>
        <w:rPr>
          <w:rStyle w:val="FootnoteReference"/>
        </w:rPr>
        <w:footnoteRef/>
      </w:r>
      <w:r>
        <w:t xml:space="preserve"> </w:t>
      </w:r>
      <w:r>
        <w:tab/>
        <w:t xml:space="preserve">Moussa Sacko, </w:t>
      </w:r>
      <w:hyperlink r:id="rId511" w:history="1">
        <w:r>
          <w:rPr>
            <w:rStyle w:val="Hyperlink"/>
          </w:rPr>
          <w:t>C-348/16</w:t>
        </w:r>
      </w:hyperlink>
      <w:r>
        <w:t>.</w:t>
      </w:r>
    </w:p>
  </w:footnote>
  <w:footnote w:id="350">
    <w:p w:rsidR="001557B7" w:rsidRDefault="00AD3265">
      <w:pPr>
        <w:pStyle w:val="FootnoteText"/>
      </w:pPr>
      <w:r>
        <w:rPr>
          <w:rStyle w:val="FootnoteReference"/>
        </w:rPr>
        <w:footnoteRef/>
      </w:r>
      <w:r>
        <w:t xml:space="preserve"> </w:t>
      </w:r>
      <w:r>
        <w:tab/>
      </w:r>
      <w:r>
        <w:rPr>
          <w:rStyle w:val="affairetitle"/>
        </w:rPr>
        <w:t xml:space="preserve">Europa Way and Persidera, </w:t>
      </w:r>
      <w:hyperlink r:id="rId512" w:history="1">
        <w:r>
          <w:rPr>
            <w:rStyle w:val="Hyperlink"/>
          </w:rPr>
          <w:t>C-560/15</w:t>
        </w:r>
      </w:hyperlink>
      <w:r>
        <w:rPr>
          <w:rStyle w:val="Hyperlink"/>
        </w:rPr>
        <w:t xml:space="preserve"> </w:t>
      </w:r>
      <w:r>
        <w:rPr>
          <w:rStyle w:val="Hyperlink"/>
          <w:color w:val="auto"/>
          <w:u w:val="none"/>
        </w:rPr>
        <w:t>and</w:t>
      </w:r>
      <w:r>
        <w:rPr>
          <w:rStyle w:val="Hyperlink"/>
          <w:color w:val="auto"/>
        </w:rPr>
        <w:t xml:space="preserve"> </w:t>
      </w:r>
      <w:r>
        <w:t xml:space="preserve"> </w:t>
      </w:r>
      <w:r>
        <w:rPr>
          <w:rStyle w:val="Hyperlink"/>
          <w:color w:val="auto"/>
        </w:rPr>
        <w:t>Persidera</w:t>
      </w:r>
      <w:r>
        <w:rPr>
          <w:rStyle w:val="Hyperlink"/>
          <w:color w:val="auto"/>
        </w:rPr>
        <w:t xml:space="preserve">, </w:t>
      </w:r>
      <w:hyperlink r:id="rId513" w:history="1">
        <w:r>
          <w:rPr>
            <w:rStyle w:val="Hyperlink"/>
          </w:rPr>
          <w:t>C-112/16</w:t>
        </w:r>
      </w:hyperlink>
      <w:r>
        <w:t>.</w:t>
      </w:r>
    </w:p>
  </w:footnote>
  <w:footnote w:id="351">
    <w:p w:rsidR="001557B7" w:rsidRDefault="00AD3265">
      <w:pPr>
        <w:pStyle w:val="FootnoteText"/>
      </w:pPr>
      <w:r>
        <w:rPr>
          <w:rStyle w:val="FootnoteReference"/>
        </w:rPr>
        <w:footnoteRef/>
      </w:r>
      <w:r>
        <w:t xml:space="preserve"> </w:t>
      </w:r>
      <w:r>
        <w:tab/>
        <w:t xml:space="preserve">Directive </w:t>
      </w:r>
      <w:hyperlink r:id="rId514" w:history="1">
        <w:r>
          <w:rPr>
            <w:rStyle w:val="Hyperlink"/>
          </w:rPr>
          <w:t>2001/29/EC</w:t>
        </w:r>
      </w:hyperlink>
      <w:r>
        <w:t>.</w:t>
      </w:r>
    </w:p>
  </w:footnote>
  <w:footnote w:id="352">
    <w:p w:rsidR="001557B7" w:rsidRDefault="00AD3265">
      <w:pPr>
        <w:pStyle w:val="FootnoteText"/>
      </w:pPr>
      <w:r>
        <w:rPr>
          <w:rStyle w:val="FootnoteReference"/>
        </w:rPr>
        <w:footnoteRef/>
      </w:r>
      <w:r>
        <w:t xml:space="preserve"> </w:t>
      </w:r>
      <w:r>
        <w:tab/>
        <w:t>VCAST Limited v RTI SpA,</w:t>
      </w:r>
      <w:hyperlink r:id="rId515" w:history="1">
        <w:r>
          <w:rPr>
            <w:rStyle w:val="Hyperlink"/>
          </w:rPr>
          <w:t>C-265/16</w:t>
        </w:r>
      </w:hyperlink>
      <w:r>
        <w:t>.</w:t>
      </w:r>
    </w:p>
  </w:footnote>
  <w:footnote w:id="353">
    <w:p w:rsidR="001557B7" w:rsidRDefault="00AD3265">
      <w:pPr>
        <w:pStyle w:val="FootnoteText"/>
      </w:pPr>
      <w:r>
        <w:rPr>
          <w:rStyle w:val="FootnoteReference"/>
        </w:rPr>
        <w:footnoteRef/>
      </w:r>
      <w:r>
        <w:t xml:space="preserve"> </w:t>
      </w:r>
      <w:r>
        <w:tab/>
        <w:t xml:space="preserve">Global Starnet, </w:t>
      </w:r>
      <w:hyperlink r:id="rId516" w:history="1">
        <w:r>
          <w:rPr>
            <w:rStyle w:val="Hyperlink"/>
          </w:rPr>
          <w:t>C-322/16</w:t>
        </w:r>
      </w:hyperlink>
      <w:r>
        <w:t>.</w:t>
      </w:r>
    </w:p>
  </w:footnote>
  <w:footnote w:id="354">
    <w:p w:rsidR="001557B7" w:rsidRDefault="00AD3265">
      <w:pPr>
        <w:pStyle w:val="FootnoteText"/>
      </w:pPr>
      <w:r>
        <w:rPr>
          <w:rStyle w:val="FootnoteReference"/>
        </w:rPr>
        <w:footnoteRef/>
      </w:r>
      <w:r>
        <w:t xml:space="preserve"> </w:t>
      </w:r>
      <w:r>
        <w:tab/>
        <w:t xml:space="preserve">Martínez Silva, </w:t>
      </w:r>
      <w:hyperlink r:id="rId517" w:history="1">
        <w:r>
          <w:rPr>
            <w:rStyle w:val="Hyperlink"/>
          </w:rPr>
          <w:t>C-449/16</w:t>
        </w:r>
      </w:hyperlink>
      <w:r>
        <w:t>.</w:t>
      </w:r>
    </w:p>
  </w:footnote>
  <w:footnote w:id="355">
    <w:p w:rsidR="001557B7" w:rsidRDefault="00AD3265">
      <w:pPr>
        <w:pStyle w:val="FootnoteText"/>
        <w:rPr>
          <w:rFonts w:cs="Arial"/>
        </w:rPr>
      </w:pPr>
      <w:r>
        <w:rPr>
          <w:rStyle w:val="FootnoteReference"/>
        </w:rPr>
        <w:footnoteRef/>
      </w:r>
      <w:r>
        <w:t xml:space="preserve"> </w:t>
      </w:r>
      <w:r>
        <w:tab/>
      </w:r>
      <w:r>
        <w:rPr>
          <w:rFonts w:cs="Arial"/>
        </w:rPr>
        <w:t xml:space="preserve">Joined cases Comune di Corridonia, </w:t>
      </w:r>
      <w:hyperlink r:id="rId518" w:history="1">
        <w:r>
          <w:rPr>
            <w:rStyle w:val="Hyperlink"/>
            <w:rFonts w:cs="Arial"/>
          </w:rPr>
          <w:t>C</w:t>
        </w:r>
        <w:r>
          <w:rPr>
            <w:rStyle w:val="Hyperlink"/>
            <w:rFonts w:ascii="MS Gothic" w:eastAsia="MS Gothic" w:hAnsi="MS Gothic" w:cs="MS Gothic" w:hint="eastAsia"/>
          </w:rPr>
          <w:t>‑</w:t>
        </w:r>
        <w:r>
          <w:rPr>
            <w:rStyle w:val="Hyperlink"/>
            <w:rFonts w:cs="Arial"/>
          </w:rPr>
          <w:t>196/16</w:t>
        </w:r>
      </w:hyperlink>
      <w:r>
        <w:rPr>
          <w:rFonts w:cs="Arial"/>
        </w:rPr>
        <w:t xml:space="preserve">, </w:t>
      </w:r>
      <w:r>
        <w:rPr>
          <w:rStyle w:val="affairetitle"/>
        </w:rPr>
        <w:t>Bartol</w:t>
      </w:r>
      <w:r>
        <w:rPr>
          <w:rStyle w:val="affairetitle"/>
        </w:rPr>
        <w:t xml:space="preserve">ini and Others, </w:t>
      </w:r>
      <w:hyperlink r:id="rId519" w:history="1">
        <w:r>
          <w:rPr>
            <w:rStyle w:val="Hyperlink"/>
            <w:rFonts w:cs="Arial"/>
          </w:rPr>
          <w:t>C</w:t>
        </w:r>
        <w:r>
          <w:rPr>
            <w:rStyle w:val="Hyperlink"/>
            <w:rFonts w:ascii="MS Gothic" w:eastAsia="MS Gothic" w:hAnsi="MS Gothic" w:cs="MS Gothic" w:hint="eastAsia"/>
          </w:rPr>
          <w:t>‑</w:t>
        </w:r>
        <w:r>
          <w:rPr>
            <w:rStyle w:val="Hyperlink"/>
            <w:rFonts w:cs="Arial"/>
          </w:rPr>
          <w:t>197/16</w:t>
        </w:r>
      </w:hyperlink>
      <w:r>
        <w:rPr>
          <w:rFonts w:cs="Arial"/>
        </w:rPr>
        <w:t>.</w:t>
      </w:r>
    </w:p>
  </w:footnote>
  <w:footnote w:id="356">
    <w:p w:rsidR="001557B7" w:rsidRDefault="00AD3265">
      <w:pPr>
        <w:pStyle w:val="FootnoteText"/>
        <w:rPr>
          <w:rFonts w:cs="Arial"/>
        </w:rPr>
      </w:pPr>
      <w:r>
        <w:rPr>
          <w:rStyle w:val="FootnoteReference"/>
          <w:rFonts w:cs="Arial"/>
        </w:rPr>
        <w:footnoteRef/>
      </w:r>
      <w:r>
        <w:rPr>
          <w:rFonts w:cs="Arial"/>
        </w:rPr>
        <w:t xml:space="preserve"> </w:t>
      </w:r>
      <w:r>
        <w:rPr>
          <w:rFonts w:cs="Arial"/>
        </w:rPr>
        <w:tab/>
        <w:t xml:space="preserve">Malpensa Logistica Europa, </w:t>
      </w:r>
      <w:hyperlink r:id="rId520" w:history="1">
        <w:r>
          <w:rPr>
            <w:rStyle w:val="Hyperlink"/>
            <w:rFonts w:cs="Arial"/>
          </w:rPr>
          <w:t>C-701/15</w:t>
        </w:r>
      </w:hyperlink>
      <w:r>
        <w:rPr>
          <w:rFonts w:cs="Arial"/>
        </w:rPr>
        <w:t>.</w:t>
      </w:r>
    </w:p>
  </w:footnote>
  <w:footnote w:id="357">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21" w:history="1">
        <w:r>
          <w:rPr>
            <w:rStyle w:val="Hyperlink"/>
            <w:lang w:val="pt-PT"/>
          </w:rPr>
          <w:t>2015/2203/EU</w:t>
        </w:r>
      </w:hyperlink>
      <w:r>
        <w:rPr>
          <w:lang w:val="pt-PT"/>
        </w:rPr>
        <w:t>.</w:t>
      </w:r>
    </w:p>
  </w:footnote>
  <w:footnote w:id="358">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22" w:history="1">
        <w:r>
          <w:rPr>
            <w:rStyle w:val="Hyperlink"/>
            <w:lang w:val="pt-PT"/>
          </w:rPr>
          <w:t>2</w:t>
        </w:r>
        <w:r>
          <w:rPr>
            <w:rStyle w:val="Hyperlink"/>
            <w:lang w:val="pt-PT"/>
          </w:rPr>
          <w:t>015/849/EU</w:t>
        </w:r>
      </w:hyperlink>
      <w:r>
        <w:rPr>
          <w:lang w:val="pt-PT"/>
        </w:rPr>
        <w:t xml:space="preserve">.; </w:t>
      </w:r>
      <w:hyperlink r:id="rId523" w:history="1">
        <w:r>
          <w:rPr>
            <w:rStyle w:val="Hyperlink"/>
            <w:lang w:val="pt-PT"/>
          </w:rPr>
          <w:t>MEMO/17/4767</w:t>
        </w:r>
      </w:hyperlink>
      <w:r>
        <w:rPr>
          <w:lang w:val="pt-PT"/>
        </w:rPr>
        <w:t>.</w:t>
      </w:r>
    </w:p>
  </w:footnote>
  <w:footnote w:id="359">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24" w:history="1">
        <w:r>
          <w:rPr>
            <w:rStyle w:val="Hyperlink"/>
            <w:lang w:val="pt-PT"/>
          </w:rPr>
          <w:t>2014/89/EU</w:t>
        </w:r>
      </w:hyperlink>
      <w:r>
        <w:rPr>
          <w:lang w:val="pt-PT"/>
        </w:rPr>
        <w:t xml:space="preserve">; </w:t>
      </w:r>
      <w:hyperlink r:id="rId525" w:history="1">
        <w:r>
          <w:rPr>
            <w:rStyle w:val="Hyperlink"/>
            <w:lang w:val="pt-PT"/>
          </w:rPr>
          <w:t>MEMO/17/1935</w:t>
        </w:r>
      </w:hyperlink>
      <w:r>
        <w:rPr>
          <w:lang w:val="pt-PT"/>
        </w:rPr>
        <w:t>.</w:t>
      </w:r>
    </w:p>
  </w:footnote>
  <w:footnote w:id="360">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26" w:history="1">
        <w:r>
          <w:rPr>
            <w:rStyle w:val="Hyperlink"/>
            <w:lang w:val="pt-PT"/>
          </w:rPr>
          <w:t>2014/92/EU</w:t>
        </w:r>
      </w:hyperlink>
      <w:r>
        <w:rPr>
          <w:lang w:val="pt-PT"/>
        </w:rPr>
        <w:t xml:space="preserve">, </w:t>
      </w:r>
      <w:hyperlink r:id="rId527" w:history="1">
        <w:r>
          <w:rPr>
            <w:rStyle w:val="Hyperlink"/>
            <w:lang w:val="pt-PT"/>
          </w:rPr>
          <w:t>MEMO/17/1045</w:t>
        </w:r>
      </w:hyperlink>
      <w:r>
        <w:rPr>
          <w:lang w:val="pt-PT"/>
        </w:rPr>
        <w:t>.</w:t>
      </w:r>
    </w:p>
  </w:footnote>
  <w:footnote w:id="361">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28" w:history="1">
        <w:r>
          <w:rPr>
            <w:rStyle w:val="Hyperlink"/>
            <w:lang w:val="pt-PT"/>
          </w:rPr>
          <w:t>2014/95/EU</w:t>
        </w:r>
      </w:hyperlink>
      <w:r>
        <w:rPr>
          <w:lang w:val="pt-PT"/>
        </w:rPr>
        <w:t xml:space="preserve">; </w:t>
      </w:r>
      <w:hyperlink r:id="rId529" w:history="1">
        <w:r>
          <w:rPr>
            <w:rStyle w:val="Hyperlink"/>
            <w:lang w:val="pt-PT"/>
          </w:rPr>
          <w:t>MEMO/17/1</w:t>
        </w:r>
        <w:r>
          <w:rPr>
            <w:rStyle w:val="Hyperlink"/>
            <w:lang w:val="pt-PT"/>
          </w:rPr>
          <w:t>577</w:t>
        </w:r>
      </w:hyperlink>
      <w:r>
        <w:rPr>
          <w:lang w:val="pt-PT"/>
        </w:rPr>
        <w:t>.</w:t>
      </w:r>
    </w:p>
  </w:footnote>
  <w:footnote w:id="362">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30" w:history="1">
        <w:r>
          <w:rPr>
            <w:rStyle w:val="Hyperlink"/>
            <w:lang w:val="pt-PT"/>
          </w:rPr>
          <w:t>2014/56/EU</w:t>
        </w:r>
      </w:hyperlink>
      <w:r>
        <w:rPr>
          <w:lang w:val="pt-PT"/>
        </w:rPr>
        <w:t xml:space="preserve">; </w:t>
      </w:r>
      <w:hyperlink r:id="rId531" w:history="1">
        <w:r>
          <w:rPr>
            <w:rStyle w:val="Hyperlink"/>
            <w:lang w:val="pt-PT"/>
          </w:rPr>
          <w:t>MEMO/17/234.</w:t>
        </w:r>
      </w:hyperlink>
    </w:p>
  </w:footnote>
  <w:footnote w:id="363">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32" w:history="1">
        <w:r>
          <w:rPr>
            <w:rStyle w:val="Hyperlink"/>
            <w:lang w:val="pt-PT"/>
          </w:rPr>
          <w:t>2015/1794/EU</w:t>
        </w:r>
      </w:hyperlink>
      <w:r>
        <w:rPr>
          <w:lang w:val="pt-PT"/>
        </w:rPr>
        <w:t>.</w:t>
      </w:r>
    </w:p>
  </w:footnote>
  <w:footnote w:id="364">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33" w:history="1">
        <w:r>
          <w:rPr>
            <w:rStyle w:val="Hyperlink"/>
            <w:lang w:val="pt-PT"/>
          </w:rPr>
          <w:t>2015/652/EU</w:t>
        </w:r>
      </w:hyperlink>
      <w:r>
        <w:rPr>
          <w:lang w:val="pt-PT"/>
        </w:rPr>
        <w:t>.</w:t>
      </w:r>
    </w:p>
  </w:footnote>
  <w:footnote w:id="36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34" w:history="1">
        <w:r>
          <w:rPr>
            <w:rStyle w:val="Hyperlink"/>
            <w:lang w:val="pt-PT"/>
          </w:rPr>
          <w:t>98/70/EC</w:t>
        </w:r>
      </w:hyperlink>
      <w:r>
        <w:rPr>
          <w:lang w:val="pt-PT"/>
        </w:rPr>
        <w:t>.</w:t>
      </w:r>
    </w:p>
  </w:footnote>
  <w:footnote w:id="366">
    <w:p w:rsidR="001557B7" w:rsidRDefault="00AD3265">
      <w:pPr>
        <w:pStyle w:val="FootnoteText"/>
        <w:rPr>
          <w:lang w:val="pt-PT"/>
        </w:rPr>
      </w:pPr>
      <w:r>
        <w:rPr>
          <w:rStyle w:val="FootnoteReference"/>
        </w:rPr>
        <w:footnoteRef/>
      </w:r>
      <w:r>
        <w:rPr>
          <w:lang w:val="pt-PT"/>
        </w:rPr>
        <w:t xml:space="preserve"> </w:t>
      </w:r>
      <w:r>
        <w:rPr>
          <w:lang w:val="pt-PT"/>
        </w:rPr>
        <w:tab/>
        <w:t xml:space="preserve">Directives </w:t>
      </w:r>
      <w:hyperlink r:id="rId535" w:history="1">
        <w:r>
          <w:rPr>
            <w:rStyle w:val="Hyperlink"/>
            <w:lang w:val="pt-PT"/>
          </w:rPr>
          <w:t>2009/72/EC</w:t>
        </w:r>
      </w:hyperlink>
      <w:r>
        <w:rPr>
          <w:lang w:val="pt-PT"/>
        </w:rPr>
        <w:t xml:space="preserve"> and </w:t>
      </w:r>
      <w:hyperlink r:id="rId536" w:history="1">
        <w:r>
          <w:rPr>
            <w:rStyle w:val="Hyperlink"/>
            <w:lang w:val="pt-PT"/>
          </w:rPr>
          <w:t>2009/73/EC</w:t>
        </w:r>
      </w:hyperlink>
      <w:r>
        <w:rPr>
          <w:lang w:val="pt-PT"/>
        </w:rPr>
        <w:t xml:space="preserve">; </w:t>
      </w:r>
      <w:hyperlink r:id="rId537" w:history="1">
        <w:r>
          <w:rPr>
            <w:rStyle w:val="Hyperlink"/>
            <w:lang w:val="pt-PT"/>
          </w:rPr>
          <w:t>MEMO/17/4767</w:t>
        </w:r>
      </w:hyperlink>
      <w:r>
        <w:rPr>
          <w:lang w:val="pt-PT"/>
        </w:rPr>
        <w:t>.</w:t>
      </w:r>
    </w:p>
  </w:footnote>
  <w:footnote w:id="367">
    <w:p w:rsidR="001557B7" w:rsidRDefault="00AD3265">
      <w:pPr>
        <w:pStyle w:val="FootnoteText"/>
        <w:rPr>
          <w:lang w:val="pt-PT"/>
        </w:rPr>
      </w:pPr>
      <w:r>
        <w:rPr>
          <w:rStyle w:val="FootnoteReference"/>
        </w:rPr>
        <w:footnoteRef/>
      </w:r>
      <w:r>
        <w:rPr>
          <w:lang w:val="pt-PT"/>
        </w:rPr>
        <w:t xml:space="preserve"> </w:t>
      </w:r>
      <w:r>
        <w:rPr>
          <w:lang w:val="pt-PT"/>
        </w:rPr>
        <w:tab/>
      </w:r>
      <w:hyperlink r:id="rId538" w:history="1">
        <w:r>
          <w:rPr>
            <w:rStyle w:val="Hyperlink"/>
            <w:lang w:val="pt-PT"/>
          </w:rPr>
          <w:t>MEMO/17/234.</w:t>
        </w:r>
      </w:hyperlink>
    </w:p>
  </w:footnote>
  <w:footnote w:id="368">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39" w:history="1">
        <w:r>
          <w:rPr>
            <w:rStyle w:val="Hyperlink"/>
            <w:lang w:val="pt-PT"/>
          </w:rPr>
          <w:t>2005/36/EC</w:t>
        </w:r>
      </w:hyperlink>
      <w:r>
        <w:rPr>
          <w:lang w:val="pt-PT"/>
        </w:rPr>
        <w:t xml:space="preserve">; </w:t>
      </w:r>
      <w:hyperlink r:id="rId540" w:history="1">
        <w:r>
          <w:rPr>
            <w:rStyle w:val="Hyperlink"/>
            <w:lang w:val="pt-PT"/>
          </w:rPr>
          <w:t>IP/17/4773</w:t>
        </w:r>
      </w:hyperlink>
      <w:r>
        <w:rPr>
          <w:lang w:val="pt-PT"/>
        </w:rPr>
        <w:t>.</w:t>
      </w:r>
    </w:p>
  </w:footnote>
  <w:footnote w:id="369">
    <w:p w:rsidR="001557B7" w:rsidRDefault="00AD3265">
      <w:pPr>
        <w:pStyle w:val="FootnoteText"/>
        <w:rPr>
          <w:lang w:val="pt-PT"/>
        </w:rPr>
      </w:pPr>
      <w:r>
        <w:rPr>
          <w:rStyle w:val="FootnoteReference"/>
        </w:rPr>
        <w:footnoteRef/>
      </w:r>
      <w:r>
        <w:rPr>
          <w:lang w:val="pt-PT"/>
        </w:rPr>
        <w:t xml:space="preserve"> </w:t>
      </w:r>
      <w:r>
        <w:rPr>
          <w:lang w:val="pt-PT"/>
        </w:rPr>
        <w:tab/>
      </w:r>
      <w:hyperlink r:id="rId541" w:history="1">
        <w:r>
          <w:rPr>
            <w:rStyle w:val="Hyperlink"/>
            <w:lang w:val="pt-PT"/>
          </w:rPr>
          <w:t>MEMO/17/1281</w:t>
        </w:r>
      </w:hyperlink>
      <w:r>
        <w:rPr>
          <w:lang w:val="pt-PT"/>
        </w:rPr>
        <w:t>.</w:t>
      </w:r>
    </w:p>
  </w:footnote>
  <w:footnote w:id="370">
    <w:p w:rsidR="001557B7" w:rsidRDefault="00AD3265">
      <w:pPr>
        <w:pStyle w:val="FootnoteText"/>
        <w:rPr>
          <w:lang w:val="pt-PT"/>
        </w:rPr>
      </w:pPr>
      <w:r>
        <w:rPr>
          <w:rStyle w:val="FootnoteReference"/>
        </w:rPr>
        <w:footnoteRef/>
      </w:r>
      <w:r>
        <w:rPr>
          <w:lang w:val="pt-PT"/>
        </w:rPr>
        <w:t xml:space="preserve"> </w:t>
      </w:r>
      <w:r>
        <w:rPr>
          <w:lang w:val="pt-PT"/>
        </w:rPr>
        <w:tab/>
      </w:r>
      <w:hyperlink r:id="rId542" w:history="1">
        <w:r>
          <w:rPr>
            <w:rStyle w:val="Hyperlink"/>
            <w:lang w:val="pt-PT"/>
          </w:rPr>
          <w:t>MEMO/17/1936</w:t>
        </w:r>
      </w:hyperlink>
      <w:r>
        <w:rPr>
          <w:lang w:val="pt-PT"/>
        </w:rPr>
        <w:t>.</w:t>
      </w:r>
    </w:p>
  </w:footnote>
  <w:footnote w:id="371">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43" w:history="1">
        <w:r>
          <w:rPr>
            <w:rStyle w:val="Hyperlink"/>
            <w:lang w:val="pt-PT"/>
          </w:rPr>
          <w:t>2002/49/EC</w:t>
        </w:r>
      </w:hyperlink>
      <w:r>
        <w:rPr>
          <w:lang w:val="pt-PT"/>
        </w:rPr>
        <w:t xml:space="preserve">, </w:t>
      </w:r>
      <w:hyperlink r:id="rId544" w:history="1">
        <w:r>
          <w:rPr>
            <w:rStyle w:val="Hyperlink"/>
            <w:lang w:val="pt-PT"/>
          </w:rPr>
          <w:t>MEMO/17/3494</w:t>
        </w:r>
      </w:hyperlink>
      <w:r>
        <w:rPr>
          <w:lang w:val="pt-PT"/>
        </w:rPr>
        <w:t>.</w:t>
      </w:r>
    </w:p>
  </w:footnote>
  <w:footnote w:id="372">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45" w:history="1">
        <w:r>
          <w:rPr>
            <w:rStyle w:val="Hyperlink"/>
            <w:lang w:val="pt-PT"/>
          </w:rPr>
          <w:t>2014/66/EU</w:t>
        </w:r>
      </w:hyperlink>
      <w:r>
        <w:rPr>
          <w:lang w:val="pt-PT"/>
        </w:rPr>
        <w:t xml:space="preserve">, </w:t>
      </w:r>
      <w:hyperlink r:id="rId546" w:history="1">
        <w:r>
          <w:rPr>
            <w:rStyle w:val="Hyperlink"/>
            <w:lang w:val="pt-PT"/>
          </w:rPr>
          <w:t>MEMO/17/3494</w:t>
        </w:r>
      </w:hyperlink>
      <w:r>
        <w:rPr>
          <w:lang w:val="pt-PT"/>
        </w:rPr>
        <w:t>.</w:t>
      </w:r>
    </w:p>
  </w:footnote>
  <w:footnote w:id="373">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47" w:history="1">
        <w:r>
          <w:rPr>
            <w:rStyle w:val="Hyperlink"/>
            <w:lang w:val="pt-PT"/>
          </w:rPr>
          <w:t>2011/95/EU</w:t>
        </w:r>
      </w:hyperlink>
      <w:r>
        <w:rPr>
          <w:lang w:val="pt-PT"/>
        </w:rPr>
        <w:t>.</w:t>
      </w:r>
    </w:p>
  </w:footnote>
  <w:footnote w:id="374">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48" w:history="1">
        <w:r>
          <w:rPr>
            <w:rStyle w:val="Hyperlink"/>
            <w:lang w:val="pt-PT"/>
          </w:rPr>
          <w:t>2014/25/EU</w:t>
        </w:r>
      </w:hyperlink>
      <w:r>
        <w:rPr>
          <w:lang w:val="pt-PT"/>
        </w:rPr>
        <w:t>.</w:t>
      </w:r>
    </w:p>
  </w:footnote>
  <w:footnote w:id="37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49" w:history="1">
        <w:r>
          <w:rPr>
            <w:rStyle w:val="Hyperlink"/>
            <w:szCs w:val="18"/>
            <w:lang w:val="pt-PT"/>
          </w:rPr>
          <w:t>2013/55/EU</w:t>
        </w:r>
      </w:hyperlink>
      <w:r>
        <w:rPr>
          <w:szCs w:val="18"/>
          <w:lang w:val="pt-PT"/>
        </w:rPr>
        <w:t>.</w:t>
      </w:r>
    </w:p>
  </w:footnote>
  <w:footnote w:id="37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50" w:history="1">
        <w:r>
          <w:rPr>
            <w:rStyle w:val="Hyperlink"/>
            <w:lang w:val="pt-PT"/>
          </w:rPr>
          <w:t>2014/33/EU</w:t>
        </w:r>
      </w:hyperlink>
      <w:r>
        <w:rPr>
          <w:color w:val="000000"/>
          <w:lang w:val="pt-PT"/>
        </w:rPr>
        <w:t>.</w:t>
      </w:r>
    </w:p>
  </w:footnote>
  <w:footnote w:id="377">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51" w:history="1">
        <w:r>
          <w:rPr>
            <w:rStyle w:val="Hyperlink"/>
            <w:lang w:val="pt-PT"/>
          </w:rPr>
          <w:t>2014/30/EU</w:t>
        </w:r>
      </w:hyperlink>
      <w:r>
        <w:rPr>
          <w:lang w:val="pt-PT"/>
        </w:rPr>
        <w:t>.</w:t>
      </w:r>
    </w:p>
  </w:footnote>
  <w:footnote w:id="378">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52" w:history="1">
        <w:r>
          <w:rPr>
            <w:rStyle w:val="Hyperlink"/>
            <w:lang w:val="pt-PT"/>
          </w:rPr>
          <w:t>2014/35/EU</w:t>
        </w:r>
      </w:hyperlink>
      <w:r>
        <w:rPr>
          <w:lang w:val="pt-PT"/>
        </w:rPr>
        <w:t>.</w:t>
      </w:r>
    </w:p>
  </w:footnote>
  <w:footnote w:id="379">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53" w:history="1">
        <w:r>
          <w:rPr>
            <w:rStyle w:val="Hyperlink"/>
            <w:lang w:val="pt-PT"/>
          </w:rPr>
          <w:t>2014/60/EU</w:t>
        </w:r>
      </w:hyperlink>
      <w:r>
        <w:rPr>
          <w:lang w:val="pt-PT"/>
        </w:rPr>
        <w:t>.</w:t>
      </w:r>
    </w:p>
  </w:footnote>
  <w:footnote w:id="380">
    <w:p w:rsidR="001557B7" w:rsidRDefault="00AD3265">
      <w:pPr>
        <w:pStyle w:val="FootnoteText"/>
        <w:rPr>
          <w:lang w:val="pt-PT"/>
        </w:rPr>
      </w:pPr>
      <w:r>
        <w:rPr>
          <w:rStyle w:val="FootnoteReference"/>
        </w:rPr>
        <w:footnoteRef/>
      </w:r>
      <w:r>
        <w:rPr>
          <w:lang w:val="pt-PT"/>
        </w:rPr>
        <w:t xml:space="preserve"> </w:t>
      </w:r>
      <w:r>
        <w:rPr>
          <w:lang w:val="pt-PT"/>
        </w:rPr>
        <w:tab/>
        <w:t>Direct</w:t>
      </w:r>
      <w:r>
        <w:rPr>
          <w:lang w:val="pt-PT"/>
        </w:rPr>
        <w:t xml:space="preserve">ive </w:t>
      </w:r>
      <w:hyperlink r:id="rId554" w:history="1">
        <w:r>
          <w:rPr>
            <w:rStyle w:val="Hyperlink"/>
            <w:lang w:val="pt-PT"/>
          </w:rPr>
          <w:t>2013/50/EU</w:t>
        </w:r>
      </w:hyperlink>
      <w:r>
        <w:rPr>
          <w:lang w:val="pt-PT"/>
        </w:rPr>
        <w:t>.</w:t>
      </w:r>
    </w:p>
  </w:footnote>
  <w:footnote w:id="381">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55" w:history="1">
        <w:r>
          <w:rPr>
            <w:rStyle w:val="Hyperlink"/>
            <w:lang w:val="pt-PT"/>
          </w:rPr>
          <w:t>2014/59/EU</w:t>
        </w:r>
      </w:hyperlink>
      <w:r>
        <w:rPr>
          <w:lang w:val="pt-PT"/>
        </w:rPr>
        <w:t>.</w:t>
      </w:r>
    </w:p>
  </w:footnote>
  <w:footnote w:id="382">
    <w:p w:rsidR="001557B7" w:rsidRDefault="00AD3265">
      <w:pPr>
        <w:pStyle w:val="FootnoteText"/>
        <w:rPr>
          <w:lang w:val="pt-PT"/>
        </w:rPr>
      </w:pPr>
      <w:r>
        <w:rPr>
          <w:rStyle w:val="FootnoteReference"/>
        </w:rPr>
        <w:footnoteRef/>
      </w:r>
      <w:r>
        <w:rPr>
          <w:lang w:val="pt-PT"/>
        </w:rPr>
        <w:t xml:space="preserve"> </w:t>
      </w:r>
      <w:r>
        <w:rPr>
          <w:lang w:val="pt-PT"/>
        </w:rPr>
        <w:tab/>
        <w:t>Dire</w:t>
      </w:r>
      <w:r>
        <w:rPr>
          <w:lang w:val="pt-PT"/>
        </w:rPr>
        <w:t xml:space="preserve">ctive </w:t>
      </w:r>
      <w:hyperlink r:id="rId556" w:history="1">
        <w:r>
          <w:rPr>
            <w:rStyle w:val="Hyperlink"/>
            <w:lang w:val="pt-PT"/>
          </w:rPr>
          <w:t>2013/34/EU</w:t>
        </w:r>
      </w:hyperlink>
      <w:r>
        <w:rPr>
          <w:lang w:val="pt-PT"/>
        </w:rPr>
        <w:t>.</w:t>
      </w:r>
    </w:p>
  </w:footnote>
  <w:footnote w:id="383">
    <w:p w:rsidR="001557B7" w:rsidRDefault="00AD3265">
      <w:pPr>
        <w:pStyle w:val="FootnoteText"/>
        <w:rPr>
          <w:lang w:val="pt-PT"/>
        </w:rPr>
      </w:pPr>
      <w:r>
        <w:rPr>
          <w:rStyle w:val="FootnoteReference"/>
        </w:rPr>
        <w:footnoteRef/>
      </w:r>
      <w:r>
        <w:rPr>
          <w:lang w:val="pt-PT"/>
        </w:rPr>
        <w:tab/>
        <w:t xml:space="preserve">Directive </w:t>
      </w:r>
      <w:hyperlink r:id="rId557" w:history="1">
        <w:r>
          <w:rPr>
            <w:rStyle w:val="Hyperlink"/>
            <w:lang w:val="pt-PT"/>
          </w:rPr>
          <w:t>2015/2087/EU</w:t>
        </w:r>
      </w:hyperlink>
      <w:r>
        <w:rPr>
          <w:lang w:val="pt-PT"/>
        </w:rPr>
        <w:t xml:space="preserve"> amend</w:t>
      </w:r>
      <w:r>
        <w:rPr>
          <w:lang w:val="pt-PT"/>
        </w:rPr>
        <w:t xml:space="preserve">ing Directive </w:t>
      </w:r>
      <w:hyperlink r:id="rId558" w:history="1">
        <w:r>
          <w:rPr>
            <w:rStyle w:val="Hyperlink"/>
            <w:lang w:val="pt-PT"/>
          </w:rPr>
          <w:t>2000/59/EC</w:t>
        </w:r>
      </w:hyperlink>
      <w:r>
        <w:rPr>
          <w:lang w:val="pt-PT"/>
        </w:rPr>
        <w:t>.</w:t>
      </w:r>
    </w:p>
  </w:footnote>
  <w:footnote w:id="384">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59" w:history="1">
        <w:r>
          <w:rPr>
            <w:rStyle w:val="Hyperlink"/>
            <w:lang w:val="pt-PT"/>
          </w:rPr>
          <w:t>2014/</w:t>
        </w:r>
        <w:r>
          <w:rPr>
            <w:rStyle w:val="Hyperlink"/>
            <w:lang w:val="pt-PT"/>
          </w:rPr>
          <w:t>49/EU</w:t>
        </w:r>
      </w:hyperlink>
      <w:r>
        <w:rPr>
          <w:lang w:val="pt-PT"/>
        </w:rPr>
        <w:t>.</w:t>
      </w:r>
    </w:p>
  </w:footnote>
  <w:footnote w:id="38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60" w:history="1">
        <w:r>
          <w:rPr>
            <w:rStyle w:val="Hyperlink"/>
            <w:lang w:val="pt-PT"/>
          </w:rPr>
          <w:t>98/26/EC</w:t>
        </w:r>
      </w:hyperlink>
      <w:r>
        <w:rPr>
          <w:lang w:val="pt-PT"/>
        </w:rPr>
        <w:t>.</w:t>
      </w:r>
    </w:p>
  </w:footnote>
  <w:footnote w:id="38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61" w:history="1">
        <w:r>
          <w:rPr>
            <w:rStyle w:val="Hyperlink"/>
            <w:lang w:val="pt-PT"/>
          </w:rPr>
          <w:t>2013/34/EU</w:t>
        </w:r>
      </w:hyperlink>
      <w:r>
        <w:rPr>
          <w:lang w:val="pt-PT"/>
        </w:rPr>
        <w:t>.</w:t>
      </w:r>
    </w:p>
  </w:footnote>
  <w:footnote w:id="387">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62" w:history="1">
        <w:r>
          <w:rPr>
            <w:rStyle w:val="Hyperlink"/>
            <w:lang w:val="pt-PT"/>
          </w:rPr>
          <w:t>2006/123/EC</w:t>
        </w:r>
      </w:hyperlink>
      <w:r>
        <w:rPr>
          <w:lang w:val="pt-PT"/>
        </w:rPr>
        <w:t xml:space="preserve">, </w:t>
      </w:r>
      <w:hyperlink r:id="rId563" w:history="1">
        <w:r>
          <w:rPr>
            <w:rStyle w:val="Hyperlink"/>
            <w:lang w:val="pt-PT"/>
          </w:rPr>
          <w:t>IP/17/4772</w:t>
        </w:r>
      </w:hyperlink>
      <w:r>
        <w:rPr>
          <w:lang w:val="pt-PT"/>
        </w:rPr>
        <w:t>.</w:t>
      </w:r>
    </w:p>
  </w:footnote>
  <w:footnote w:id="388">
    <w:p w:rsidR="001557B7" w:rsidRDefault="00AD3265">
      <w:pPr>
        <w:pStyle w:val="FootnoteText"/>
        <w:rPr>
          <w:lang w:val="pt-PT"/>
        </w:rPr>
      </w:pPr>
      <w:r>
        <w:rPr>
          <w:rStyle w:val="FootnoteReference"/>
        </w:rPr>
        <w:footnoteRef/>
      </w:r>
      <w:r>
        <w:rPr>
          <w:lang w:val="pt-PT"/>
        </w:rPr>
        <w:t xml:space="preserve"> </w:t>
      </w:r>
      <w:r>
        <w:rPr>
          <w:lang w:val="pt-PT"/>
        </w:rPr>
        <w:tab/>
      </w:r>
      <w:hyperlink r:id="rId564" w:history="1">
        <w:r>
          <w:rPr>
            <w:rStyle w:val="Hyperlink"/>
            <w:lang w:val="pt-PT"/>
          </w:rPr>
          <w:t>IP/17/5109</w:t>
        </w:r>
      </w:hyperlink>
      <w:r>
        <w:rPr>
          <w:lang w:val="pt-PT"/>
        </w:rPr>
        <w:t>.</w:t>
      </w:r>
    </w:p>
  </w:footnote>
  <w:footnote w:id="389">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65" w:history="1">
        <w:r>
          <w:rPr>
            <w:rStyle w:val="Hyperlink"/>
            <w:lang w:val="pt-PT"/>
          </w:rPr>
          <w:t>2014/94/EU</w:t>
        </w:r>
      </w:hyperlink>
      <w:r>
        <w:rPr>
          <w:lang w:val="pt-PT"/>
        </w:rPr>
        <w:t>.</w:t>
      </w:r>
    </w:p>
  </w:footnote>
  <w:footnote w:id="390">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66" w:history="1">
        <w:r>
          <w:rPr>
            <w:rStyle w:val="Hyperlink"/>
            <w:lang w:val="pt-PT"/>
          </w:rPr>
          <w:t>2006/126/EC</w:t>
        </w:r>
      </w:hyperlink>
      <w:r>
        <w:rPr>
          <w:lang w:val="pt-PT"/>
        </w:rPr>
        <w:t>.</w:t>
      </w:r>
    </w:p>
  </w:footnote>
  <w:footnote w:id="391">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67" w:history="1">
        <w:r>
          <w:rPr>
            <w:rStyle w:val="Hyperlink"/>
            <w:lang w:val="pt-PT"/>
          </w:rPr>
          <w:t>2010/31/EU</w:t>
        </w:r>
      </w:hyperlink>
      <w:r>
        <w:rPr>
          <w:lang w:val="pt-PT"/>
        </w:rPr>
        <w:t>.</w:t>
      </w:r>
    </w:p>
  </w:footnote>
  <w:footnote w:id="392">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68" w:history="1">
        <w:r>
          <w:rPr>
            <w:rStyle w:val="Hyperlink"/>
            <w:lang w:val="pt-PT"/>
          </w:rPr>
          <w:t>2014/65/EU</w:t>
        </w:r>
      </w:hyperlink>
      <w:r>
        <w:rPr>
          <w:lang w:val="pt-PT"/>
        </w:rPr>
        <w:t>.</w:t>
      </w:r>
    </w:p>
  </w:footnote>
  <w:footnote w:id="393">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69" w:history="1">
        <w:r>
          <w:rPr>
            <w:rStyle w:val="Hyperlink"/>
            <w:lang w:val="pt-PT"/>
          </w:rPr>
          <w:t>2015/849/EU</w:t>
        </w:r>
      </w:hyperlink>
      <w:r>
        <w:rPr>
          <w:lang w:val="pt-PT"/>
        </w:rPr>
        <w:t>.</w:t>
      </w:r>
    </w:p>
  </w:footnote>
  <w:footnote w:id="394">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70" w:history="1">
        <w:r>
          <w:rPr>
            <w:rStyle w:val="Hyperlink"/>
            <w:lang w:val="pt-PT"/>
          </w:rPr>
          <w:t>2015/652/EU</w:t>
        </w:r>
      </w:hyperlink>
      <w:r>
        <w:rPr>
          <w:lang w:val="pt-PT"/>
        </w:rPr>
        <w:t>.</w:t>
      </w:r>
    </w:p>
  </w:footnote>
  <w:footnote w:id="39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71" w:history="1">
        <w:r>
          <w:rPr>
            <w:rStyle w:val="Hyperlink"/>
            <w:lang w:val="pt-PT"/>
          </w:rPr>
          <w:t>98/70/EC</w:t>
        </w:r>
      </w:hyperlink>
      <w:r>
        <w:rPr>
          <w:lang w:val="pt-PT"/>
        </w:rPr>
        <w:t>.</w:t>
      </w:r>
    </w:p>
  </w:footnote>
  <w:footnote w:id="39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72" w:history="1">
        <w:r>
          <w:rPr>
            <w:rStyle w:val="Hyperlink"/>
            <w:lang w:val="pt-PT"/>
          </w:rPr>
          <w:t>2008/7/EC</w:t>
        </w:r>
      </w:hyperlink>
      <w:r>
        <w:rPr>
          <w:lang w:val="pt-PT"/>
        </w:rPr>
        <w:t xml:space="preserve">, </w:t>
      </w:r>
      <w:hyperlink r:id="rId573" w:history="1">
        <w:r>
          <w:rPr>
            <w:color w:val="0070C0"/>
            <w:u w:val="single"/>
            <w:lang w:val="pt-PT"/>
          </w:rPr>
          <w:t>MEMO/17/4767</w:t>
        </w:r>
      </w:hyperlink>
      <w:r>
        <w:rPr>
          <w:lang w:val="pt-PT"/>
        </w:rPr>
        <w:t>.</w:t>
      </w:r>
    </w:p>
  </w:footnote>
  <w:footnote w:id="397">
    <w:p w:rsidR="001557B7" w:rsidRDefault="00AD3265">
      <w:pPr>
        <w:pStyle w:val="FootnoteText"/>
        <w:rPr>
          <w:szCs w:val="18"/>
          <w:lang w:val="pt-PT"/>
        </w:rPr>
      </w:pPr>
      <w:r>
        <w:rPr>
          <w:rStyle w:val="FootnoteReference"/>
          <w:szCs w:val="18"/>
        </w:rPr>
        <w:footnoteRef/>
      </w:r>
      <w:r>
        <w:rPr>
          <w:szCs w:val="18"/>
          <w:lang w:val="pt-PT"/>
        </w:rPr>
        <w:t xml:space="preserve"> </w:t>
      </w:r>
      <w:r>
        <w:rPr>
          <w:szCs w:val="18"/>
          <w:lang w:val="pt-PT"/>
        </w:rPr>
        <w:tab/>
        <w:t xml:space="preserve">Directive </w:t>
      </w:r>
      <w:hyperlink r:id="rId574" w:history="1">
        <w:r>
          <w:rPr>
            <w:rStyle w:val="Hyperlink"/>
            <w:szCs w:val="18"/>
            <w:lang w:val="pt-PT"/>
          </w:rPr>
          <w:t>2014/66/EU</w:t>
        </w:r>
      </w:hyperlink>
      <w:r>
        <w:rPr>
          <w:szCs w:val="18"/>
          <w:lang w:val="pt-PT"/>
        </w:rPr>
        <w:t xml:space="preserve">; </w:t>
      </w:r>
      <w:hyperlink r:id="rId575" w:history="1">
        <w:r>
          <w:rPr>
            <w:rStyle w:val="Hyperlink"/>
            <w:szCs w:val="18"/>
            <w:lang w:val="pt-PT"/>
          </w:rPr>
          <w:t>MEMO/17/3494</w:t>
        </w:r>
      </w:hyperlink>
      <w:r>
        <w:rPr>
          <w:szCs w:val="18"/>
          <w:lang w:val="pt-PT"/>
        </w:rPr>
        <w:t>.</w:t>
      </w:r>
    </w:p>
  </w:footnote>
  <w:footnote w:id="398">
    <w:p w:rsidR="001557B7" w:rsidRDefault="00AD3265">
      <w:pPr>
        <w:pStyle w:val="FootnoteText"/>
        <w:rPr>
          <w:szCs w:val="18"/>
          <w:lang w:val="pt-PT"/>
        </w:rPr>
      </w:pPr>
      <w:r>
        <w:rPr>
          <w:rStyle w:val="FootnoteReference"/>
          <w:szCs w:val="18"/>
        </w:rPr>
        <w:footnoteRef/>
      </w:r>
      <w:r>
        <w:rPr>
          <w:szCs w:val="18"/>
          <w:lang w:val="pt-PT"/>
        </w:rPr>
        <w:t xml:space="preserve"> </w:t>
      </w:r>
      <w:r>
        <w:rPr>
          <w:szCs w:val="18"/>
          <w:lang w:val="pt-PT"/>
        </w:rPr>
        <w:tab/>
        <w:t xml:space="preserve">Directive </w:t>
      </w:r>
      <w:hyperlink r:id="rId576" w:history="1">
        <w:r>
          <w:rPr>
            <w:rStyle w:val="Hyperlink"/>
            <w:szCs w:val="18"/>
            <w:lang w:val="pt-PT"/>
          </w:rPr>
          <w:t>2014/36/EU</w:t>
        </w:r>
      </w:hyperlink>
      <w:r>
        <w:rPr>
          <w:szCs w:val="18"/>
          <w:lang w:val="pt-PT"/>
        </w:rPr>
        <w:t>.</w:t>
      </w:r>
    </w:p>
  </w:footnote>
  <w:footnote w:id="399">
    <w:p w:rsidR="001557B7" w:rsidRDefault="00AD3265">
      <w:pPr>
        <w:pStyle w:val="FootnoteText"/>
        <w:rPr>
          <w:szCs w:val="18"/>
          <w:lang w:val="pt-PT"/>
        </w:rPr>
      </w:pPr>
      <w:r>
        <w:rPr>
          <w:rStyle w:val="FootnoteReference"/>
          <w:szCs w:val="18"/>
        </w:rPr>
        <w:footnoteRef/>
      </w:r>
      <w:r>
        <w:rPr>
          <w:szCs w:val="18"/>
          <w:lang w:val="pt-PT"/>
        </w:rPr>
        <w:t xml:space="preserve"> </w:t>
      </w:r>
      <w:r>
        <w:rPr>
          <w:szCs w:val="18"/>
          <w:lang w:val="pt-PT"/>
        </w:rPr>
        <w:tab/>
        <w:t xml:space="preserve">Directive </w:t>
      </w:r>
      <w:hyperlink r:id="rId577" w:history="1">
        <w:r>
          <w:rPr>
            <w:rStyle w:val="Hyperlink"/>
            <w:szCs w:val="18"/>
            <w:lang w:val="pt-PT"/>
          </w:rPr>
          <w:t>2011/51/EU</w:t>
        </w:r>
      </w:hyperlink>
      <w:r>
        <w:rPr>
          <w:szCs w:val="18"/>
          <w:lang w:val="pt-PT"/>
        </w:rPr>
        <w:t>.</w:t>
      </w:r>
    </w:p>
  </w:footnote>
  <w:footnote w:id="400">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78" w:history="1">
        <w:r>
          <w:rPr>
            <w:rStyle w:val="Hyperlink"/>
            <w:lang w:val="pt-PT"/>
          </w:rPr>
          <w:t>2005/36/EC</w:t>
        </w:r>
      </w:hyperlink>
      <w:r>
        <w:rPr>
          <w:lang w:val="pt-PT"/>
        </w:rPr>
        <w:t>.</w:t>
      </w:r>
    </w:p>
  </w:footnote>
  <w:footnote w:id="401">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79" w:history="1">
        <w:r>
          <w:rPr>
            <w:rStyle w:val="Hyperlink"/>
            <w:lang w:val="pt-PT"/>
          </w:rPr>
          <w:t>2013/50/EU</w:t>
        </w:r>
      </w:hyperlink>
      <w:r>
        <w:rPr>
          <w:lang w:val="pt-PT"/>
        </w:rPr>
        <w:t xml:space="preserve">, </w:t>
      </w:r>
      <w:hyperlink r:id="rId580" w:history="1">
        <w:r>
          <w:rPr>
            <w:rStyle w:val="Hyperlink"/>
            <w:lang w:val="pt-PT"/>
          </w:rPr>
          <w:t>2013/34/EU</w:t>
        </w:r>
      </w:hyperlink>
      <w:r>
        <w:rPr>
          <w:lang w:val="pt-PT"/>
        </w:rPr>
        <w:t xml:space="preserve"> and </w:t>
      </w:r>
      <w:hyperlink r:id="rId581" w:history="1">
        <w:r>
          <w:rPr>
            <w:rStyle w:val="Hyperlink"/>
            <w:lang w:val="pt-PT"/>
          </w:rPr>
          <w:t>2013/36/EU</w:t>
        </w:r>
      </w:hyperlink>
      <w:r>
        <w:rPr>
          <w:lang w:val="pt-PT"/>
        </w:rPr>
        <w:t>.</w:t>
      </w:r>
    </w:p>
  </w:footnote>
  <w:footnote w:id="402">
    <w:p w:rsidR="001557B7" w:rsidRDefault="00AD3265">
      <w:pPr>
        <w:pStyle w:val="FootnoteText"/>
        <w:rPr>
          <w:szCs w:val="18"/>
          <w:lang w:val="pt-PT"/>
        </w:rPr>
      </w:pPr>
      <w:r>
        <w:rPr>
          <w:rStyle w:val="FootnoteReference"/>
          <w:szCs w:val="18"/>
        </w:rPr>
        <w:footnoteRef/>
      </w:r>
      <w:r>
        <w:rPr>
          <w:szCs w:val="18"/>
          <w:lang w:val="pt-PT"/>
        </w:rPr>
        <w:t xml:space="preserve"> </w:t>
      </w:r>
      <w:r>
        <w:rPr>
          <w:szCs w:val="18"/>
          <w:lang w:val="pt-PT"/>
        </w:rPr>
        <w:tab/>
        <w:t xml:space="preserve">Directive </w:t>
      </w:r>
      <w:hyperlink r:id="rId582" w:history="1">
        <w:r>
          <w:rPr>
            <w:rStyle w:val="Hyperlink"/>
            <w:szCs w:val="18"/>
            <w:lang w:val="pt-PT"/>
          </w:rPr>
          <w:t>2012/34/EU</w:t>
        </w:r>
      </w:hyperlink>
      <w:r>
        <w:rPr>
          <w:szCs w:val="18"/>
          <w:lang w:val="pt-PT"/>
        </w:rPr>
        <w:t>.</w:t>
      </w:r>
    </w:p>
  </w:footnote>
  <w:footnote w:id="403">
    <w:p w:rsidR="001557B7" w:rsidRDefault="00AD3265">
      <w:pPr>
        <w:pStyle w:val="FootnoteText"/>
        <w:rPr>
          <w:szCs w:val="18"/>
          <w:lang w:val="pt-PT"/>
        </w:rPr>
      </w:pPr>
      <w:r>
        <w:rPr>
          <w:rStyle w:val="FootnoteReference"/>
          <w:szCs w:val="18"/>
        </w:rPr>
        <w:footnoteRef/>
      </w:r>
      <w:r>
        <w:rPr>
          <w:szCs w:val="18"/>
          <w:lang w:val="pt-PT"/>
        </w:rPr>
        <w:t xml:space="preserve"> </w:t>
      </w:r>
      <w:r>
        <w:rPr>
          <w:szCs w:val="18"/>
          <w:lang w:val="pt-PT"/>
        </w:rPr>
        <w:tab/>
        <w:t xml:space="preserve">Directives </w:t>
      </w:r>
      <w:hyperlink r:id="rId583" w:history="1">
        <w:r>
          <w:rPr>
            <w:rStyle w:val="Hyperlink"/>
            <w:szCs w:val="18"/>
            <w:lang w:val="pt-PT"/>
          </w:rPr>
          <w:t>2013/55/EU</w:t>
        </w:r>
      </w:hyperlink>
      <w:r>
        <w:rPr>
          <w:szCs w:val="18"/>
          <w:lang w:val="pt-PT"/>
        </w:rPr>
        <w:t xml:space="preserve"> and </w:t>
      </w:r>
      <w:hyperlink r:id="rId584" w:history="1">
        <w:r>
          <w:rPr>
            <w:rStyle w:val="Hyperlink"/>
            <w:szCs w:val="18"/>
            <w:lang w:val="pt-PT"/>
          </w:rPr>
          <w:t>2016/970/EU</w:t>
        </w:r>
      </w:hyperlink>
      <w:r>
        <w:rPr>
          <w:szCs w:val="18"/>
          <w:lang w:val="pt-PT"/>
        </w:rPr>
        <w:t>.</w:t>
      </w:r>
    </w:p>
  </w:footnote>
  <w:footnote w:id="404">
    <w:p w:rsidR="001557B7" w:rsidRDefault="00AD3265">
      <w:pPr>
        <w:pStyle w:val="FootnoteText"/>
        <w:rPr>
          <w:szCs w:val="18"/>
          <w:lang w:val="pt-PT"/>
        </w:rPr>
      </w:pPr>
      <w:r>
        <w:rPr>
          <w:rStyle w:val="FootnoteReference"/>
          <w:szCs w:val="18"/>
        </w:rPr>
        <w:footnoteRef/>
      </w:r>
      <w:r>
        <w:rPr>
          <w:szCs w:val="18"/>
          <w:lang w:val="pt-PT"/>
        </w:rPr>
        <w:t xml:space="preserve"> </w:t>
      </w:r>
      <w:r>
        <w:rPr>
          <w:szCs w:val="18"/>
          <w:lang w:val="pt-PT"/>
        </w:rPr>
        <w:tab/>
        <w:t xml:space="preserve">Directive </w:t>
      </w:r>
      <w:hyperlink r:id="rId585" w:history="1">
        <w:r>
          <w:rPr>
            <w:rStyle w:val="Hyperlink"/>
            <w:szCs w:val="18"/>
            <w:lang w:val="pt-PT"/>
          </w:rPr>
          <w:t>2014/94/EU</w:t>
        </w:r>
      </w:hyperlink>
      <w:r>
        <w:rPr>
          <w:szCs w:val="18"/>
          <w:lang w:val="pt-PT"/>
        </w:rPr>
        <w:t>.</w:t>
      </w:r>
    </w:p>
  </w:footnote>
  <w:footnote w:id="405">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86" w:history="1">
        <w:r>
          <w:rPr>
            <w:rStyle w:val="Hyperlink"/>
            <w:lang w:val="pt-PT"/>
          </w:rPr>
          <w:t>2011/70/Euratom</w:t>
        </w:r>
      </w:hyperlink>
      <w:r>
        <w:rPr>
          <w:lang w:val="pt-PT"/>
        </w:rPr>
        <w:t>.</w:t>
      </w:r>
    </w:p>
  </w:footnote>
  <w:footnote w:id="40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87" w:history="1">
        <w:r>
          <w:rPr>
            <w:rStyle w:val="Hyperlink"/>
            <w:lang w:val="pt-PT"/>
          </w:rPr>
          <w:t>2008/56/EC</w:t>
        </w:r>
      </w:hyperlink>
      <w:r>
        <w:rPr>
          <w:lang w:val="pt-PT"/>
        </w:rPr>
        <w:t>.</w:t>
      </w:r>
    </w:p>
  </w:footnote>
  <w:footnote w:id="407">
    <w:p w:rsidR="001557B7" w:rsidRDefault="00AD3265">
      <w:pPr>
        <w:pStyle w:val="FootnoteText"/>
        <w:rPr>
          <w:lang w:val="pt-PT"/>
        </w:rPr>
      </w:pPr>
      <w:r>
        <w:rPr>
          <w:rStyle w:val="FootnoteReference"/>
        </w:rPr>
        <w:footnoteRef/>
      </w:r>
      <w:r>
        <w:rPr>
          <w:lang w:val="pt-PT"/>
        </w:rPr>
        <w:t xml:space="preserve"> </w:t>
      </w:r>
      <w:r>
        <w:rPr>
          <w:lang w:val="pt-PT"/>
        </w:rPr>
        <w:tab/>
        <w:t>Directi</w:t>
      </w:r>
      <w:r>
        <w:rPr>
          <w:lang w:val="pt-PT"/>
        </w:rPr>
        <w:t xml:space="preserve">ve </w:t>
      </w:r>
      <w:hyperlink r:id="rId588" w:history="1">
        <w:r>
          <w:rPr>
            <w:rStyle w:val="Hyperlink"/>
            <w:lang w:val="pt-PT"/>
          </w:rPr>
          <w:t>2010/31/EU</w:t>
        </w:r>
      </w:hyperlink>
      <w:r>
        <w:rPr>
          <w:lang w:val="pt-PT"/>
        </w:rPr>
        <w:t>.</w:t>
      </w:r>
    </w:p>
  </w:footnote>
  <w:footnote w:id="408">
    <w:p w:rsidR="001557B7" w:rsidRDefault="00AD3265">
      <w:pPr>
        <w:pStyle w:val="FootnoteText"/>
        <w:rPr>
          <w:lang w:val="pt-PT"/>
        </w:rPr>
      </w:pPr>
      <w:r>
        <w:rPr>
          <w:rStyle w:val="FootnoteReference"/>
        </w:rPr>
        <w:footnoteRef/>
      </w:r>
      <w:r>
        <w:rPr>
          <w:lang w:val="pt-PT"/>
        </w:rPr>
        <w:t xml:space="preserve"> </w:t>
      </w:r>
      <w:r>
        <w:rPr>
          <w:lang w:val="pt-PT"/>
        </w:rPr>
        <w:tab/>
        <w:t xml:space="preserve">Directives </w:t>
      </w:r>
      <w:hyperlink r:id="rId589" w:history="1">
        <w:r>
          <w:rPr>
            <w:rStyle w:val="Hyperlink"/>
            <w:lang w:val="pt-PT"/>
          </w:rPr>
          <w:t>2009/72/EC</w:t>
        </w:r>
      </w:hyperlink>
      <w:r>
        <w:rPr>
          <w:lang w:val="pt-PT"/>
        </w:rPr>
        <w:t xml:space="preserve"> and </w:t>
      </w:r>
      <w:hyperlink r:id="rId590" w:history="1">
        <w:r>
          <w:rPr>
            <w:rStyle w:val="Hyperlink"/>
            <w:lang w:val="pt-PT"/>
          </w:rPr>
          <w:t>2009/73/EC</w:t>
        </w:r>
      </w:hyperlink>
      <w:r>
        <w:rPr>
          <w:lang w:val="pt-PT"/>
        </w:rPr>
        <w:t>.</w:t>
      </w:r>
    </w:p>
  </w:footnote>
  <w:footnote w:id="409">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91" w:history="1">
        <w:r>
          <w:rPr>
            <w:rStyle w:val="Hyperlink"/>
            <w:lang w:val="pt-PT"/>
          </w:rPr>
          <w:t>2014/65/EU</w:t>
        </w:r>
      </w:hyperlink>
      <w:r>
        <w:rPr>
          <w:lang w:val="pt-PT"/>
        </w:rPr>
        <w:t>.</w:t>
      </w:r>
    </w:p>
  </w:footnote>
  <w:footnote w:id="410">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92" w:history="1">
        <w:r>
          <w:rPr>
            <w:rStyle w:val="Hyperlink"/>
            <w:lang w:val="pt-PT"/>
          </w:rPr>
          <w:t>2015/849/EU</w:t>
        </w:r>
      </w:hyperlink>
      <w:r>
        <w:rPr>
          <w:lang w:val="pt-PT"/>
        </w:rPr>
        <w:t>.</w:t>
      </w:r>
    </w:p>
  </w:footnote>
  <w:footnote w:id="411">
    <w:p w:rsidR="001557B7" w:rsidRDefault="00AD3265">
      <w:pPr>
        <w:pStyle w:val="FootnoteText"/>
        <w:rPr>
          <w:lang w:val="pt-PT"/>
        </w:rPr>
      </w:pPr>
      <w:r>
        <w:rPr>
          <w:rStyle w:val="FootnoteReference"/>
        </w:rPr>
        <w:footnoteRef/>
      </w:r>
      <w:r>
        <w:rPr>
          <w:lang w:val="pt-PT"/>
        </w:rPr>
        <w:t xml:space="preserve"> </w:t>
      </w:r>
      <w:r>
        <w:rPr>
          <w:lang w:val="pt-PT"/>
        </w:rPr>
        <w:tab/>
        <w:t xml:space="preserve">Council Directive </w:t>
      </w:r>
      <w:hyperlink r:id="rId593" w:history="1">
        <w:r>
          <w:rPr>
            <w:rStyle w:val="Hyperlink"/>
            <w:lang w:val="pt-PT"/>
          </w:rPr>
          <w:t>90/314/EEC</w:t>
        </w:r>
      </w:hyperlink>
      <w:r>
        <w:rPr>
          <w:lang w:val="pt-PT"/>
        </w:rPr>
        <w:t>.</w:t>
      </w:r>
    </w:p>
  </w:footnote>
  <w:footnote w:id="412">
    <w:p w:rsidR="001557B7" w:rsidRDefault="00AD3265">
      <w:pPr>
        <w:pStyle w:val="FootnoteText"/>
        <w:rPr>
          <w:lang w:val="pt-PT"/>
        </w:rPr>
      </w:pPr>
      <w:r>
        <w:rPr>
          <w:rStyle w:val="FootnoteReference"/>
        </w:rPr>
        <w:footnoteRef/>
      </w:r>
      <w:r>
        <w:rPr>
          <w:lang w:val="pt-PT"/>
        </w:rPr>
        <w:t xml:space="preserve"> </w:t>
      </w:r>
      <w:r>
        <w:rPr>
          <w:lang w:val="pt-PT"/>
        </w:rPr>
        <w:tab/>
      </w:r>
      <w:hyperlink r:id="rId594" w:history="1">
        <w:r>
          <w:rPr>
            <w:rStyle w:val="Hyperlink"/>
            <w:lang w:val="pt-PT"/>
          </w:rPr>
          <w:t>MEMO/17/4767</w:t>
        </w:r>
      </w:hyperlink>
      <w:r>
        <w:rPr>
          <w:lang w:val="pt-PT"/>
        </w:rPr>
        <w:t>.</w:t>
      </w:r>
    </w:p>
  </w:footnote>
  <w:footnote w:id="413">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595" w:history="1">
        <w:r>
          <w:rPr>
            <w:rStyle w:val="Hyperlink"/>
            <w:lang w:val="pt-PT"/>
          </w:rPr>
          <w:t>2009/72/EC</w:t>
        </w:r>
      </w:hyperlink>
      <w:r>
        <w:rPr>
          <w:lang w:val="pt-PT"/>
        </w:rPr>
        <w:t>.</w:t>
      </w:r>
    </w:p>
  </w:footnote>
  <w:footnote w:id="414">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596" w:history="1">
        <w:r>
          <w:rPr>
            <w:rStyle w:val="Hyperlink"/>
            <w:lang w:val="fr-BE"/>
          </w:rPr>
          <w:t>2009/73/EC</w:t>
        </w:r>
      </w:hyperlink>
      <w:r>
        <w:rPr>
          <w:lang w:val="fr-BE"/>
        </w:rPr>
        <w:t>.</w:t>
      </w:r>
    </w:p>
  </w:footnote>
  <w:footnote w:id="415">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597" w:history="1">
        <w:r>
          <w:rPr>
            <w:rStyle w:val="Hyperlink"/>
            <w:lang w:val="fr-BE"/>
          </w:rPr>
          <w:t>2007/65/EC</w:t>
        </w:r>
      </w:hyperlink>
      <w:r>
        <w:rPr>
          <w:lang w:val="fr-BE"/>
        </w:rPr>
        <w:t xml:space="preserve"> amending Directiv</w:t>
      </w:r>
      <w:r>
        <w:rPr>
          <w:lang w:val="fr-BE"/>
        </w:rPr>
        <w:t xml:space="preserve">e </w:t>
      </w:r>
      <w:hyperlink r:id="rId598" w:history="1">
        <w:r>
          <w:rPr>
            <w:rStyle w:val="Hyperlink"/>
            <w:lang w:val="fr-BE"/>
          </w:rPr>
          <w:t>89/552/EEC</w:t>
        </w:r>
      </w:hyperlink>
      <w:r>
        <w:rPr>
          <w:lang w:val="fr-BE"/>
        </w:rPr>
        <w:t>.</w:t>
      </w:r>
    </w:p>
  </w:footnote>
  <w:footnote w:id="416">
    <w:p w:rsidR="001557B7" w:rsidRDefault="00AD3265">
      <w:pPr>
        <w:pStyle w:val="FootnoteText"/>
        <w:rPr>
          <w:lang w:val="fr-BE"/>
        </w:rPr>
      </w:pPr>
      <w:r>
        <w:rPr>
          <w:rStyle w:val="FootnoteReference"/>
        </w:rPr>
        <w:footnoteRef/>
      </w:r>
      <w:r>
        <w:rPr>
          <w:lang w:val="fr-BE"/>
        </w:rPr>
        <w:t xml:space="preserve"> </w:t>
      </w:r>
      <w:r>
        <w:rPr>
          <w:lang w:val="fr-BE"/>
        </w:rPr>
        <w:tab/>
        <w:t xml:space="preserve">Commission Decisions </w:t>
      </w:r>
      <w:hyperlink r:id="rId599" w:history="1">
        <w:r>
          <w:rPr>
            <w:rStyle w:val="Hyperlink"/>
            <w:lang w:val="fr-BE"/>
          </w:rPr>
          <w:t>C (2013) 6181</w:t>
        </w:r>
      </w:hyperlink>
      <w:r>
        <w:rPr>
          <w:lang w:val="fr-BE"/>
        </w:rPr>
        <w:t xml:space="preserve"> and </w:t>
      </w:r>
      <w:hyperlink r:id="rId600" w:history="1">
        <w:r>
          <w:rPr>
            <w:rStyle w:val="Hyperlink"/>
            <w:lang w:val="fr-BE"/>
          </w:rPr>
          <w:t>C (2013) 6178</w:t>
        </w:r>
      </w:hyperlink>
      <w:r>
        <w:rPr>
          <w:lang w:val="fr-BE"/>
        </w:rPr>
        <w:t>.</w:t>
      </w:r>
    </w:p>
  </w:footnote>
  <w:footnote w:id="417">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601" w:history="1">
        <w:r>
          <w:rPr>
            <w:rStyle w:val="Hyperlink"/>
            <w:lang w:val="fr-BE"/>
          </w:rPr>
          <w:t>2014/66/EU</w:t>
        </w:r>
      </w:hyperlink>
      <w:r>
        <w:rPr>
          <w:lang w:val="fr-BE"/>
        </w:rPr>
        <w:t>.</w:t>
      </w:r>
    </w:p>
  </w:footnote>
  <w:footnote w:id="418">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602" w:history="1">
        <w:r>
          <w:rPr>
            <w:rStyle w:val="Hyperlink"/>
            <w:lang w:val="fr-BE"/>
          </w:rPr>
          <w:t>2014/36/EU</w:t>
        </w:r>
      </w:hyperlink>
      <w:r>
        <w:rPr>
          <w:lang w:val="fr-BE"/>
        </w:rPr>
        <w:t>.</w:t>
      </w:r>
    </w:p>
  </w:footnote>
  <w:footnote w:id="419">
    <w:p w:rsidR="001557B7" w:rsidRDefault="00AD3265">
      <w:pPr>
        <w:pStyle w:val="FootnoteText"/>
        <w:rPr>
          <w:lang w:val="fr-BE"/>
        </w:rPr>
      </w:pPr>
      <w:r>
        <w:rPr>
          <w:rStyle w:val="FootnoteReference"/>
        </w:rPr>
        <w:footnoteRef/>
      </w:r>
      <w:r>
        <w:rPr>
          <w:lang w:val="fr-BE"/>
        </w:rPr>
        <w:t xml:space="preserve"> </w:t>
      </w:r>
      <w:r>
        <w:rPr>
          <w:lang w:val="fr-BE"/>
        </w:rPr>
        <w:tab/>
        <w:t xml:space="preserve">Directive </w:t>
      </w:r>
      <w:hyperlink r:id="rId603" w:history="1">
        <w:r>
          <w:rPr>
            <w:rStyle w:val="Hyperlink"/>
            <w:lang w:val="fr-BE"/>
          </w:rPr>
          <w:t>2014/89/EU</w:t>
        </w:r>
      </w:hyperlink>
      <w:r>
        <w:rPr>
          <w:lang w:val="fr-BE"/>
        </w:rPr>
        <w:t>.</w:t>
      </w:r>
    </w:p>
  </w:footnote>
  <w:footnote w:id="420">
    <w:p w:rsidR="001557B7" w:rsidRDefault="00AD3265">
      <w:pPr>
        <w:pStyle w:val="FootnoteText"/>
        <w:rPr>
          <w:lang w:val="pt-PT"/>
        </w:rPr>
      </w:pPr>
      <w:r>
        <w:rPr>
          <w:rStyle w:val="FootnoteReference"/>
        </w:rPr>
        <w:footnoteRef/>
      </w:r>
      <w:r>
        <w:rPr>
          <w:lang w:val="pt-PT"/>
        </w:rPr>
        <w:t xml:space="preserve"> </w:t>
      </w:r>
      <w:r>
        <w:rPr>
          <w:lang w:val="pt-PT"/>
        </w:rPr>
        <w:tab/>
        <w:t xml:space="preserve">Directives </w:t>
      </w:r>
      <w:hyperlink r:id="rId604" w:history="1">
        <w:r>
          <w:rPr>
            <w:rStyle w:val="Hyperlink"/>
            <w:lang w:val="pt-PT"/>
          </w:rPr>
          <w:t>2013/50/EU</w:t>
        </w:r>
      </w:hyperlink>
      <w:r>
        <w:rPr>
          <w:lang w:val="pt-PT"/>
        </w:rPr>
        <w:t xml:space="preserve">, </w:t>
      </w:r>
      <w:hyperlink r:id="rId605" w:history="1">
        <w:r>
          <w:rPr>
            <w:rStyle w:val="Hyperlink"/>
            <w:lang w:val="pt-PT" w:eastAsia="en-GB"/>
          </w:rPr>
          <w:t>2014/49/EU</w:t>
        </w:r>
      </w:hyperlink>
      <w:r>
        <w:rPr>
          <w:lang w:val="pt-PT" w:eastAsia="en-GB"/>
        </w:rPr>
        <w:t xml:space="preserve"> and </w:t>
      </w:r>
      <w:hyperlink r:id="rId606" w:history="1">
        <w:r>
          <w:rPr>
            <w:rStyle w:val="Hyperlink"/>
            <w:lang w:val="pt-PT" w:eastAsia="en-GB"/>
          </w:rPr>
          <w:t>2014/91/EU</w:t>
        </w:r>
      </w:hyperlink>
      <w:r>
        <w:rPr>
          <w:lang w:val="pt-PT" w:eastAsia="en-GB"/>
        </w:rPr>
        <w:t>.</w:t>
      </w:r>
    </w:p>
  </w:footnote>
  <w:footnote w:id="421">
    <w:p w:rsidR="001557B7" w:rsidRDefault="00AD3265">
      <w:pPr>
        <w:pStyle w:val="FootnoteText"/>
        <w:rPr>
          <w:lang w:val="pt-PT"/>
        </w:rPr>
      </w:pPr>
      <w:r>
        <w:rPr>
          <w:rStyle w:val="FootnoteReference"/>
          <w:szCs w:val="18"/>
        </w:rPr>
        <w:footnoteRef/>
      </w:r>
      <w:r>
        <w:rPr>
          <w:lang w:val="pt-PT"/>
        </w:rPr>
        <w:t xml:space="preserve"> </w:t>
      </w:r>
      <w:r>
        <w:rPr>
          <w:lang w:val="pt-PT"/>
        </w:rPr>
        <w:tab/>
        <w:t xml:space="preserve">Directive </w:t>
      </w:r>
      <w:hyperlink r:id="rId607" w:history="1">
        <w:r>
          <w:rPr>
            <w:rStyle w:val="Hyperlink"/>
            <w:lang w:val="pt-PT"/>
          </w:rPr>
          <w:t>2012/34/EU</w:t>
        </w:r>
      </w:hyperlink>
      <w:r>
        <w:rPr>
          <w:lang w:val="pt-PT"/>
        </w:rPr>
        <w:t>.</w:t>
      </w:r>
    </w:p>
  </w:footnote>
  <w:footnote w:id="422">
    <w:p w:rsidR="001557B7" w:rsidRDefault="00AD3265">
      <w:pPr>
        <w:pStyle w:val="FootnoteText"/>
        <w:rPr>
          <w:lang w:val="pt-PT"/>
        </w:rPr>
      </w:pPr>
      <w:r>
        <w:rPr>
          <w:rStyle w:val="FootnoteReference"/>
          <w:szCs w:val="18"/>
        </w:rPr>
        <w:footnoteRef/>
      </w:r>
      <w:r>
        <w:rPr>
          <w:lang w:val="pt-PT"/>
        </w:rPr>
        <w:t xml:space="preserve"> </w:t>
      </w:r>
      <w:r>
        <w:rPr>
          <w:lang w:val="pt-PT"/>
        </w:rPr>
        <w:tab/>
        <w:t xml:space="preserve">Directive </w:t>
      </w:r>
      <w:hyperlink r:id="rId608" w:history="1">
        <w:r>
          <w:rPr>
            <w:rStyle w:val="Hyperlink"/>
            <w:lang w:val="pt-PT"/>
          </w:rPr>
          <w:t>2014/28/EU</w:t>
        </w:r>
      </w:hyperlink>
      <w:r>
        <w:rPr>
          <w:rStyle w:val="Strong"/>
          <w:b w:val="0"/>
          <w:lang w:val="pt-PT"/>
        </w:rPr>
        <w:t>.</w:t>
      </w:r>
    </w:p>
  </w:footnote>
  <w:footnote w:id="423">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609" w:history="1">
        <w:r>
          <w:rPr>
            <w:rStyle w:val="Hyperlink"/>
            <w:lang w:val="pt-PT"/>
          </w:rPr>
          <w:t>2014/94/EU</w:t>
        </w:r>
      </w:hyperlink>
      <w:r>
        <w:rPr>
          <w:lang w:val="pt-PT"/>
        </w:rPr>
        <w:t>.</w:t>
      </w:r>
    </w:p>
  </w:footnote>
  <w:footnote w:id="424">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610" w:history="1">
        <w:r>
          <w:rPr>
            <w:rStyle w:val="Hyperlink"/>
            <w:lang w:val="pt-PT"/>
          </w:rPr>
          <w:t>2007/2/EC</w:t>
        </w:r>
      </w:hyperlink>
      <w:r>
        <w:rPr>
          <w:lang w:val="pt-PT"/>
        </w:rPr>
        <w:t>.</w:t>
      </w:r>
    </w:p>
  </w:footnote>
  <w:footnote w:id="425">
    <w:p w:rsidR="001557B7" w:rsidRDefault="00AD3265">
      <w:pPr>
        <w:pStyle w:val="FootnoteText"/>
        <w:rPr>
          <w:lang w:val="pt-PT"/>
        </w:rPr>
      </w:pPr>
      <w:r>
        <w:rPr>
          <w:rStyle w:val="FootnoteReference"/>
        </w:rPr>
        <w:footnoteRef/>
      </w:r>
      <w:r>
        <w:rPr>
          <w:lang w:val="pt-PT"/>
        </w:rPr>
        <w:t xml:space="preserve"> </w:t>
      </w:r>
      <w:r>
        <w:rPr>
          <w:lang w:val="pt-PT"/>
        </w:rPr>
        <w:tab/>
      </w:r>
      <w:hyperlink r:id="rId611" w:history="1">
        <w:r>
          <w:rPr>
            <w:rStyle w:val="Hyperlink"/>
            <w:lang w:val="pt-PT"/>
          </w:rPr>
          <w:t>IP/17/5109</w:t>
        </w:r>
      </w:hyperlink>
      <w:r>
        <w:rPr>
          <w:szCs w:val="18"/>
          <w:lang w:val="pt-PT"/>
        </w:rPr>
        <w:t>.</w:t>
      </w:r>
    </w:p>
  </w:footnote>
  <w:footnote w:id="426">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612" w:history="1">
        <w:r>
          <w:rPr>
            <w:rStyle w:val="Hyperlink"/>
            <w:lang w:val="pt-PT"/>
          </w:rPr>
          <w:t>2005/29/EC</w:t>
        </w:r>
      </w:hyperlink>
      <w:r>
        <w:rPr>
          <w:lang w:val="pt-PT"/>
        </w:rPr>
        <w:t xml:space="preserve">, UAB Gelvora, </w:t>
      </w:r>
      <w:hyperlink r:id="rId613" w:history="1">
        <w:r>
          <w:rPr>
            <w:rStyle w:val="Hyperlink"/>
            <w:lang w:val="pt-PT"/>
          </w:rPr>
          <w:t>C-357/16</w:t>
        </w:r>
      </w:hyperlink>
      <w:r>
        <w:rPr>
          <w:lang w:val="pt-PT"/>
        </w:rPr>
        <w:t>.</w:t>
      </w:r>
    </w:p>
  </w:footnote>
  <w:footnote w:id="427">
    <w:p w:rsidR="001557B7" w:rsidRDefault="00AD3265">
      <w:pPr>
        <w:pStyle w:val="FootnoteText"/>
        <w:rPr>
          <w:lang w:val="pt-PT"/>
        </w:rPr>
      </w:pPr>
      <w:r>
        <w:rPr>
          <w:rStyle w:val="FootnoteReference"/>
        </w:rPr>
        <w:footnoteRef/>
      </w:r>
      <w:r>
        <w:rPr>
          <w:lang w:val="pt-PT"/>
        </w:rPr>
        <w:t xml:space="preserve"> </w:t>
      </w:r>
      <w:r>
        <w:rPr>
          <w:lang w:val="pt-PT"/>
        </w:rPr>
        <w:tab/>
        <w:t xml:space="preserve">Directive </w:t>
      </w:r>
      <w:hyperlink r:id="rId614" w:history="1">
        <w:r>
          <w:rPr>
            <w:rStyle w:val="Hyperlink"/>
            <w:lang w:val="pt-PT"/>
          </w:rPr>
          <w:t>2003/96/EC</w:t>
        </w:r>
      </w:hyperlink>
      <w:r>
        <w:rPr>
          <w:lang w:val="pt-PT"/>
        </w:rPr>
        <w:t>, Vakarų Baltijos laivų statyk</w:t>
      </w:r>
      <w:r>
        <w:rPr>
          <w:lang w:val="pt-PT"/>
        </w:rPr>
        <w:t xml:space="preserve">la, </w:t>
      </w:r>
      <w:hyperlink r:id="rId615" w:history="1">
        <w:r>
          <w:rPr>
            <w:rStyle w:val="Hyperlink"/>
            <w:lang w:val="pt-PT"/>
          </w:rPr>
          <w:t>C-151/16</w:t>
        </w:r>
      </w:hyperlink>
      <w:r>
        <w:rPr>
          <w:lang w:val="pt-PT"/>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B31" w:rsidRPr="005B7B31" w:rsidRDefault="005B7B31" w:rsidP="005B7B3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26496" behindDoc="0" locked="0" layoutInCell="1" allowOverlap="1" wp14:anchorId="05FC9A9E" wp14:editId="46C45B6A">
              <wp:simplePos x="0" y="0"/>
              <wp:positionH relativeFrom="column">
                <wp:posOffset>-900430</wp:posOffset>
              </wp:positionH>
              <wp:positionV relativeFrom="paragraph">
                <wp:posOffset>630555</wp:posOffset>
              </wp:positionV>
              <wp:extent cx="7559675" cy="45720"/>
              <wp:effectExtent l="0" t="19050" r="0" b="1143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70.9pt;margin-top:49.65pt;width:595.25pt;height: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JDAIAAPkDAAAOAAAAZHJzL2Uyb0RvYy54bWysU9uO2yAQfa/Uf0C8N07ceJ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hfiXCQwC&#10;AAD5AwAADgAAAAAAAAAAAAAAAAAuAgAAZHJzL2Uyb0RvYy54bWxQSwECLQAUAAYACAAAACEA03U9&#10;CuAAAAAMAQAADwAAAAAAAAAAAAAAAABmBAAAZHJzL2Rvd25yZXYueG1sUEsFBgAAAAAEAAQA8wAA&#10;AHMFA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28544" behindDoc="0" locked="0" layoutInCell="1" allowOverlap="1" wp14:anchorId="75F3DE4D" wp14:editId="27A42649">
              <wp:simplePos x="0" y="0"/>
              <wp:positionH relativeFrom="column">
                <wp:posOffset>4821555</wp:posOffset>
              </wp:positionH>
              <wp:positionV relativeFrom="paragraph">
                <wp:posOffset>300355</wp:posOffset>
              </wp:positionV>
              <wp:extent cx="1835150" cy="219075"/>
              <wp:effectExtent l="0" t="0" r="0" b="95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01ACA6" id="Rectangle 33" o:spid="_x0000_s1026" style="position:absolute;margin-left:379.65pt;margin-top:23.65pt;width:144.5pt;height:1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KVSoKZ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30592" behindDoc="0" locked="0" layoutInCell="1" allowOverlap="1" wp14:anchorId="5F5D912A" wp14:editId="2396DF83">
              <wp:simplePos x="0" y="0"/>
              <wp:positionH relativeFrom="column">
                <wp:posOffset>-899795</wp:posOffset>
              </wp:positionH>
              <wp:positionV relativeFrom="paragraph">
                <wp:posOffset>300355</wp:posOffset>
              </wp:positionV>
              <wp:extent cx="1803400" cy="219075"/>
              <wp:effectExtent l="0" t="0" r="6350" b="952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5EB045" id="Rectangle 53" o:spid="_x0000_s1026" style="position:absolute;margin-left:-70.85pt;margin-top:23.65pt;width:142pt;height:17.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632640" behindDoc="0" locked="0" layoutInCell="1" allowOverlap="1" wp14:anchorId="6E09639A" wp14:editId="793F01EE">
              <wp:simplePos x="0" y="0"/>
              <wp:positionH relativeFrom="column">
                <wp:posOffset>-899795</wp:posOffset>
              </wp:positionH>
              <wp:positionV relativeFrom="paragraph">
                <wp:posOffset>45720</wp:posOffset>
              </wp:positionV>
              <wp:extent cx="7557135" cy="68580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8580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 xml:space="preserve">Monitoring the application of </w:t>
                          </w:r>
                          <w:r>
                            <w:rPr>
                              <w:rFonts w:ascii="Arial" w:hAnsi="Arial" w:cs="Arial"/>
                              <w:color w:val="004194"/>
                              <w:sz w:val="20"/>
                            </w:rPr>
                            <w:t>European Union law</w:t>
                          </w:r>
                          <w:r>
                            <w:rPr>
                              <w:rFonts w:ascii="Arial" w:hAnsi="Arial" w:cs="Arial"/>
                              <w:color w:val="004194"/>
                              <w:sz w:val="20"/>
                            </w:rPr>
                            <w:br/>
                            <w:t>2017 Annual Report</w:t>
                          </w:r>
                        </w:p>
                        <w:p w:rsidR="001557B7" w:rsidRDefault="00AD3265">
                          <w:pPr>
                            <w:jc w:val="center"/>
                            <w:rPr>
                              <w:rFonts w:ascii="Arial" w:hAnsi="Arial" w:cs="Arial"/>
                              <w:color w:val="004194"/>
                              <w:sz w:val="20"/>
                            </w:rPr>
                          </w:pPr>
                          <w:r>
                            <w:rPr>
                              <w:rFonts w:ascii="Arial" w:hAnsi="Arial"/>
                              <w:color w:val="A6A6A6"/>
                              <w:sz w:val="22"/>
                            </w:rPr>
                            <w:t>Bulgaria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0.85pt;margin-top:3.6pt;width:595.05pt;height:5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 xml:space="preserve">Monitoring the application of </w:t>
                    </w:r>
                    <w:r>
                      <w:rPr>
                        <w:rFonts w:ascii="Arial" w:hAnsi="Arial" w:cs="Arial"/>
                        <w:color w:val="004194"/>
                        <w:sz w:val="20"/>
                      </w:rPr>
                      <w:t>European Union law</w:t>
                    </w:r>
                    <w:r>
                      <w:rPr>
                        <w:rFonts w:ascii="Arial" w:hAnsi="Arial" w:cs="Arial"/>
                        <w:color w:val="004194"/>
                        <w:sz w:val="20"/>
                      </w:rPr>
                      <w:br/>
                      <w:t>2017 Annual Report</w:t>
                    </w:r>
                  </w:p>
                  <w:p w:rsidR="001557B7" w:rsidRDefault="00AD3265">
                    <w:pPr>
                      <w:jc w:val="center"/>
                      <w:rPr>
                        <w:rFonts w:ascii="Arial" w:hAnsi="Arial" w:cs="Arial"/>
                        <w:color w:val="004194"/>
                        <w:sz w:val="20"/>
                      </w:rPr>
                    </w:pPr>
                    <w:r>
                      <w:rPr>
                        <w:rFonts w:ascii="Arial" w:hAnsi="Arial"/>
                        <w:color w:val="A6A6A6"/>
                        <w:sz w:val="22"/>
                      </w:rPr>
                      <w:t>Bulgaria</w:t>
                    </w:r>
                  </w:p>
                </w:txbxContent>
              </v:textbox>
            </v:shape>
          </w:pict>
        </mc:Fallback>
      </mc:AlternateContent>
    </w:r>
  </w:p>
  <w:p w:rsidR="001557B7" w:rsidRDefault="001557B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97152" behindDoc="0" locked="0" layoutInCell="1" allowOverlap="1" wp14:anchorId="0139F263" wp14:editId="27147B3C">
              <wp:simplePos x="0" y="0"/>
              <wp:positionH relativeFrom="column">
                <wp:posOffset>-900430</wp:posOffset>
              </wp:positionH>
              <wp:positionV relativeFrom="paragraph">
                <wp:posOffset>630555</wp:posOffset>
              </wp:positionV>
              <wp:extent cx="7559675" cy="45720"/>
              <wp:effectExtent l="0" t="19050" r="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0.9pt;margin-top:49.65pt;width:595.2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IF+zzwwC&#10;AAD6AwAADgAAAAAAAAAAAAAAAAAuAgAAZHJzL2Uyb0RvYy54bWxQSwECLQAUAAYACAAAACEA03U9&#10;CuAAAAAMAQAADwAAAAAAAAAAAAAAAABmBAAAZHJzL2Rvd25yZXYueG1sUEsFBgAAAAAEAAQA8wAA&#10;AHMFA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57C87A46" wp14:editId="4107ADBA">
              <wp:simplePos x="0" y="0"/>
              <wp:positionH relativeFrom="column">
                <wp:posOffset>4821555</wp:posOffset>
              </wp:positionH>
              <wp:positionV relativeFrom="paragraph">
                <wp:posOffset>300355</wp:posOffset>
              </wp:positionV>
              <wp:extent cx="1835150" cy="219075"/>
              <wp:effectExtent l="0" t="0" r="0"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323B48" id="Rectangle 28" o:spid="_x0000_s1026" style="position:absolute;margin-left:379.65pt;margin-top:23.65pt;width:144.5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D3/N4h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99200" behindDoc="0" locked="0" layoutInCell="1" allowOverlap="1" wp14:anchorId="5EA09614" wp14:editId="51AA717B">
              <wp:simplePos x="0" y="0"/>
              <wp:positionH relativeFrom="column">
                <wp:posOffset>-899795</wp:posOffset>
              </wp:positionH>
              <wp:positionV relativeFrom="paragraph">
                <wp:posOffset>300355</wp:posOffset>
              </wp:positionV>
              <wp:extent cx="1803400" cy="219075"/>
              <wp:effectExtent l="0" t="0" r="6350"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FDC5D8" id="Rectangle 29" o:spid="_x0000_s1026" style="position:absolute;margin-left:-70.85pt;margin-top:23.65pt;width:142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2V/TFGICAADMBAAADgAAAAAAAAAAAAAAAAAuAgAAZHJz&#10;L2Uyb0RvYy54bWxQSwECLQAUAAYACAAAACEAuSfHeeEAAAAKAQAADwAAAAAAAAAAAAAAAAC8BAAA&#10;ZHJzL2Rvd25yZXYueG1sUEsFBgAAAAAEAAQA8wAAAMoFA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700224" behindDoc="0" locked="0" layoutInCell="1" allowOverlap="1" wp14:anchorId="12D04AF6" wp14:editId="5BD87996">
              <wp:simplePos x="0" y="0"/>
              <wp:positionH relativeFrom="column">
                <wp:posOffset>-899795</wp:posOffset>
              </wp:positionH>
              <wp:positionV relativeFrom="paragraph">
                <wp:posOffset>43815</wp:posOffset>
              </wp:positionV>
              <wp:extent cx="7557135" cy="4191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1910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0.85pt;margin-top:3.45pt;width:595.05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p>
  <w:p w:rsidR="001557B7" w:rsidRDefault="001557B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15232" behindDoc="0" locked="0" layoutInCell="1" allowOverlap="1" wp14:anchorId="1ABD4E81" wp14:editId="6B796AA0">
              <wp:simplePos x="0" y="0"/>
              <wp:positionH relativeFrom="column">
                <wp:posOffset>-900430</wp:posOffset>
              </wp:positionH>
              <wp:positionV relativeFrom="paragraph">
                <wp:posOffset>630555</wp:posOffset>
              </wp:positionV>
              <wp:extent cx="7559675" cy="45720"/>
              <wp:effectExtent l="0" t="19050" r="0" b="1143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70.9pt;margin-top:49.65pt;width:595.25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ow4HWgwC&#10;AAD6AwAADgAAAAAAAAAAAAAAAAAuAgAAZHJzL2Uyb0RvYy54bWxQSwECLQAUAAYACAAAACEA03U9&#10;CuAAAAAMAQAADwAAAAAAAAAAAAAAAABmBAAAZHJzL2Rvd25yZXYueG1sUEsFBgAAAAAEAAQA8wAA&#10;AHMFA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13184" behindDoc="0" locked="0" layoutInCell="1" allowOverlap="1" wp14:anchorId="2BFC6C12" wp14:editId="0DCAB041">
              <wp:simplePos x="0" y="0"/>
              <wp:positionH relativeFrom="column">
                <wp:posOffset>4821555</wp:posOffset>
              </wp:positionH>
              <wp:positionV relativeFrom="paragraph">
                <wp:posOffset>300355</wp:posOffset>
              </wp:positionV>
              <wp:extent cx="1835150" cy="219075"/>
              <wp:effectExtent l="0" t="0" r="0" b="952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5A04C8" id="Rectangle 36" o:spid="_x0000_s1026" style="position:absolute;margin-left:379.65pt;margin-top:23.65pt;width:144.5pt;height:1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EkvcMJ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11136" behindDoc="0" locked="0" layoutInCell="1" allowOverlap="1" wp14:anchorId="33D86C8E" wp14:editId="10C94D3E">
              <wp:simplePos x="0" y="0"/>
              <wp:positionH relativeFrom="column">
                <wp:posOffset>-900430</wp:posOffset>
              </wp:positionH>
              <wp:positionV relativeFrom="paragraph">
                <wp:posOffset>300355</wp:posOffset>
              </wp:positionV>
              <wp:extent cx="1803400" cy="219075"/>
              <wp:effectExtent l="0" t="0" r="6350" b="952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B1FA34" id="Rectangle 37" o:spid="_x0000_s1026" style="position:absolute;margin-left:-70.9pt;margin-top:23.65pt;width:142pt;height:17.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rY+UXmMCAADMBAAADgAAAAAAAAAAAAAAAAAuAgAAZHJz&#10;L2Uyb0RvYy54bWxQSwECLQAUAAYACAAAACEAh1CjS+AAAAAKAQAADwAAAAAAAAAAAAAAAAC9BAAA&#10;ZHJzL2Rvd25yZXYueG1sUEsFBgAAAAAEAAQA8wAAAMoFA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609088" behindDoc="0" locked="0" layoutInCell="1" allowOverlap="1" wp14:anchorId="15A50C35" wp14:editId="77D20812">
              <wp:simplePos x="0" y="0"/>
              <wp:positionH relativeFrom="column">
                <wp:posOffset>-899795</wp:posOffset>
              </wp:positionH>
              <wp:positionV relativeFrom="paragraph">
                <wp:posOffset>43815</wp:posOffset>
              </wp:positionV>
              <wp:extent cx="7557135" cy="5715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1500"/>
                      </a:xfrm>
                      <a:prstGeom prst="rect">
                        <a:avLst/>
                      </a:prstGeom>
                      <a:noFill/>
                      <a:ln w="9525">
                        <a:noFill/>
                        <a:miter lim="800000"/>
                        <a:headEnd/>
                        <a:tailEnd/>
                      </a:ln>
                    </wps:spPr>
                    <wps:txb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Czech Republic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70.85pt;margin-top:3.45pt;width:595.05pt;height: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" filled="f" stroked="f">
              <v:textbo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Czech Republic</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07040" behindDoc="0" locked="0" layoutInCell="1" allowOverlap="1" wp14:anchorId="4F8C8AEE" wp14:editId="5DBAB7FB">
              <wp:simplePos x="0" y="0"/>
              <wp:positionH relativeFrom="column">
                <wp:posOffset>-900430</wp:posOffset>
              </wp:positionH>
              <wp:positionV relativeFrom="paragraph">
                <wp:posOffset>630555</wp:posOffset>
              </wp:positionV>
              <wp:extent cx="7559675" cy="45720"/>
              <wp:effectExtent l="0" t="19050" r="0" b="1143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70.9pt;margin-top:49.65pt;width:595.25pt;height:3.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AB0TssN&#10;AgAA+gMAAA4AAAAAAAAAAAAAAAAALgIAAGRycy9lMm9Eb2MueG1sUEsBAi0AFAAGAAgAAAAhANN1&#10;PQrgAAAADAEAAA8AAAAAAAAAAAAAAAAAZwQAAGRycy9kb3ducmV2LnhtbFBLBQYAAAAABAAEAPMA&#10;AAB0BQ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00896" behindDoc="0" locked="0" layoutInCell="1" allowOverlap="1" wp14:anchorId="5F310B1F" wp14:editId="77849686">
              <wp:simplePos x="0" y="0"/>
              <wp:positionH relativeFrom="column">
                <wp:posOffset>-900430</wp:posOffset>
              </wp:positionH>
              <wp:positionV relativeFrom="paragraph">
                <wp:posOffset>222250</wp:posOffset>
              </wp:positionV>
              <wp:extent cx="7557135" cy="40894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70.9pt;margin-top:17.5pt;width:595.05pt;height:32.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r26A&#10;dhACAAD7AwAADgAAAAAAAAAAAAAAAAAuAgAAZHJzL2Uyb0RvYy54bWxQSwECLQAUAAYACAAAACEA&#10;7JFWy98AAAALAQAADwAAAAAAAAAAAAAAAABqBAAAZHJzL2Rvd25yZXYueG1sUEsFBgAAAAAEAAQA&#10;8wAAAHYFA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r>
      <w:rPr>
        <w:noProof/>
        <w:lang w:eastAsia="en-GB"/>
      </w:rPr>
      <mc:AlternateContent>
        <mc:Choice Requires="wps">
          <w:drawing>
            <wp:anchor distT="0" distB="0" distL="114300" distR="114300" simplePos="0" relativeHeight="251604992" behindDoc="0" locked="0" layoutInCell="1" allowOverlap="1" wp14:anchorId="348F92F5" wp14:editId="030599A6">
              <wp:simplePos x="0" y="0"/>
              <wp:positionH relativeFrom="column">
                <wp:posOffset>4821555</wp:posOffset>
              </wp:positionH>
              <wp:positionV relativeFrom="paragraph">
                <wp:posOffset>300355</wp:posOffset>
              </wp:positionV>
              <wp:extent cx="1835150" cy="219075"/>
              <wp:effectExtent l="0" t="0" r="0" b="95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73B8FA" id="Rectangle 40" o:spid="_x0000_s1026" style="position:absolute;margin-left:379.65pt;margin-top:23.65pt;width:144.5pt;height:17.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dpYgIAAMw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" fillcolor="#004194" stroked="f" strokeweight="2pt">
              <v:path arrowok="t"/>
            </v:rect>
          </w:pict>
        </mc:Fallback>
      </mc:AlternateContent>
    </w:r>
    <w:r>
      <w:rPr>
        <w:noProof/>
        <w:lang w:eastAsia="en-GB"/>
      </w:rPr>
      <mc:AlternateContent>
        <mc:Choice Requires="wps">
          <w:drawing>
            <wp:anchor distT="0" distB="0" distL="114300" distR="114300" simplePos="0" relativeHeight="251602944" behindDoc="0" locked="0" layoutInCell="1" allowOverlap="1" wp14:anchorId="08E42437" wp14:editId="334DFA38">
              <wp:simplePos x="0" y="0"/>
              <wp:positionH relativeFrom="column">
                <wp:posOffset>-900430</wp:posOffset>
              </wp:positionH>
              <wp:positionV relativeFrom="paragraph">
                <wp:posOffset>300355</wp:posOffset>
              </wp:positionV>
              <wp:extent cx="1803400" cy="219075"/>
              <wp:effectExtent l="0" t="0" r="6350"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143FDC" id="Rectangle 41" o:spid="_x0000_s1026" style="position:absolute;margin-left:-70.9pt;margin-top:23.65pt;width:142pt;height:17.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" fillcolor="#004194" stroked="f" strokeweight="2pt">
              <v:path arrowok="t"/>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15584" behindDoc="0" locked="0" layoutInCell="1" allowOverlap="1" wp14:anchorId="51851591" wp14:editId="79994775">
              <wp:simplePos x="0" y="0"/>
              <wp:positionH relativeFrom="column">
                <wp:posOffset>-900430</wp:posOffset>
              </wp:positionH>
              <wp:positionV relativeFrom="paragraph">
                <wp:posOffset>630555</wp:posOffset>
              </wp:positionV>
              <wp:extent cx="7559675" cy="45720"/>
              <wp:effectExtent l="0" t="19050" r="0" b="1143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70.9pt;margin-top:49.65pt;width:595.2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S7QM/wwC&#10;AAD7AwAADgAAAAAAAAAAAAAAAAAuAgAAZHJzL2Uyb0RvYy54bWxQSwECLQAUAAYACAAAACEA03U9&#10;CuAAAAAMAQAADwAAAAAAAAAAAAAAAABmBAAAZHJzL2Rvd25yZXYueG1sUEsFBgAAAAAEAAQA8wAA&#10;AHMFA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14:anchorId="08574BB1" wp14:editId="17FF8644">
              <wp:simplePos x="0" y="0"/>
              <wp:positionH relativeFrom="column">
                <wp:posOffset>4821555</wp:posOffset>
              </wp:positionH>
              <wp:positionV relativeFrom="paragraph">
                <wp:posOffset>300355</wp:posOffset>
              </wp:positionV>
              <wp:extent cx="1835150" cy="219075"/>
              <wp:effectExtent l="0" t="0" r="0" b="952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85FD6E" id="Rectangle 114" o:spid="_x0000_s1026" style="position:absolute;margin-left:379.65pt;margin-top:23.65pt;width:144.5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9oT5v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11488" behindDoc="0" locked="0" layoutInCell="1" allowOverlap="1" wp14:anchorId="40CEA4B0" wp14:editId="5290C070">
              <wp:simplePos x="0" y="0"/>
              <wp:positionH relativeFrom="column">
                <wp:posOffset>-900430</wp:posOffset>
              </wp:positionH>
              <wp:positionV relativeFrom="paragraph">
                <wp:posOffset>300355</wp:posOffset>
              </wp:positionV>
              <wp:extent cx="1803400" cy="219075"/>
              <wp:effectExtent l="0" t="0" r="6350" b="952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4FADF5" id="Rectangle 126" o:spid="_x0000_s1026" style="position:absolute;margin-left:-70.9pt;margin-top:23.65pt;width:142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9Y80Z2MCAADOBAAADgAAAAAAAAAAAAAAAAAuAgAAZHJz&#10;L2Uyb0RvYy54bWxQSwECLQAUAAYACAAAACEAh1CjS+AAAAAKAQAADwAAAAAAAAAAAAAAAAC9BAAA&#10;ZHJzL2Rvd25yZXYueG1sUEsFBgAAAAAEAAQA8wAAAMoFA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709440" behindDoc="0" locked="0" layoutInCell="1" allowOverlap="1" wp14:anchorId="163373FD" wp14:editId="4EF56895">
              <wp:simplePos x="0" y="0"/>
              <wp:positionH relativeFrom="column">
                <wp:posOffset>-899795</wp:posOffset>
              </wp:positionH>
              <wp:positionV relativeFrom="paragraph">
                <wp:posOffset>43815</wp:posOffset>
              </wp:positionV>
              <wp:extent cx="7557135" cy="57150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1500"/>
                      </a:xfrm>
                      <a:prstGeom prst="rect">
                        <a:avLst/>
                      </a:prstGeom>
                      <a:noFill/>
                      <a:ln w="9525">
                        <a:noFill/>
                        <a:miter lim="800000"/>
                        <a:headEnd/>
                        <a:tailEnd/>
                      </a:ln>
                    </wps:spPr>
                    <wps:txb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Denmark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0.85pt;margin-top:3.45pt;width:595.05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" filled="f" stroked="f">
              <v:textbo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Denmark</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22752" behindDoc="0" locked="0" layoutInCell="1" allowOverlap="1" wp14:anchorId="37B9F465" wp14:editId="73E19F7B">
              <wp:simplePos x="0" y="0"/>
              <wp:positionH relativeFrom="column">
                <wp:posOffset>-900430</wp:posOffset>
              </wp:positionH>
              <wp:positionV relativeFrom="paragraph">
                <wp:posOffset>630555</wp:posOffset>
              </wp:positionV>
              <wp:extent cx="7559675" cy="45720"/>
              <wp:effectExtent l="0" t="19050" r="0" b="1143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70.9pt;margin-top:49.65pt;width:595.2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DmunXRCwIA&#10;APsDAAAOAAAAAAAAAAAAAAAAAC4CAABkcnMvZTJvRG9jLnhtbFBLAQItABQABgAIAAAAIQDTdT0K&#10;4AAAAAwBAAAPAAAAAAAAAAAAAAAAAGUEAABkcnMvZG93bnJldi54bWxQSwUGAAAAAAQABADzAAAA&#10;cgU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31B014E4" wp14:editId="4B1E352F">
              <wp:simplePos x="0" y="0"/>
              <wp:positionH relativeFrom="column">
                <wp:posOffset>-900430</wp:posOffset>
              </wp:positionH>
              <wp:positionV relativeFrom="paragraph">
                <wp:posOffset>222250</wp:posOffset>
              </wp:positionV>
              <wp:extent cx="7557135" cy="408940"/>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 xml:space="preserve">Monitoring the application of </w:t>
                          </w:r>
                          <w:r>
                            <w:rPr>
                              <w:rFonts w:ascii="Arial" w:hAnsi="Arial" w:cs="Arial"/>
                              <w:color w:val="004194"/>
                              <w:sz w:val="20"/>
                            </w:rPr>
                            <w:t>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70.9pt;margin-top:17.5pt;width:595.05pt;height:3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D183gC&#10;DwIAAPwDAAAOAAAAAAAAAAAAAAAAAC4CAABkcnMvZTJvRG9jLnhtbFBLAQItABQABgAIAAAAIQDs&#10;kVbL3wAAAAsBAAAPAAAAAAAAAAAAAAAAAGkEAABkcnMvZG93bnJldi54bWxQSwUGAAAAAAQABADz&#10;AAAAdQU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 xml:space="preserve">Monitoring the application of </w:t>
                    </w:r>
                    <w:r>
                      <w:rPr>
                        <w:rFonts w:ascii="Arial" w:hAnsi="Arial" w:cs="Arial"/>
                        <w:color w:val="004194"/>
                        <w:sz w:val="20"/>
                      </w:rPr>
                      <w:t>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14:anchorId="60EB3B6A" wp14:editId="3B534E90">
              <wp:simplePos x="0" y="0"/>
              <wp:positionH relativeFrom="column">
                <wp:posOffset>4821555</wp:posOffset>
              </wp:positionH>
              <wp:positionV relativeFrom="paragraph">
                <wp:posOffset>300355</wp:posOffset>
              </wp:positionV>
              <wp:extent cx="1835150" cy="219075"/>
              <wp:effectExtent l="0" t="0" r="0" b="952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CBE37C" id="Rectangle 192" o:spid="_x0000_s1026" style="position:absolute;margin-left:379.65pt;margin-top:23.65pt;width:144.5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Dl44SF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719680" behindDoc="0" locked="0" layoutInCell="1" allowOverlap="1" wp14:anchorId="05F9CA39" wp14:editId="5ACFB35D">
              <wp:simplePos x="0" y="0"/>
              <wp:positionH relativeFrom="column">
                <wp:posOffset>-900430</wp:posOffset>
              </wp:positionH>
              <wp:positionV relativeFrom="paragraph">
                <wp:posOffset>300355</wp:posOffset>
              </wp:positionV>
              <wp:extent cx="1803400" cy="219075"/>
              <wp:effectExtent l="0" t="0" r="6350" b="952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CBF313" id="Rectangle 193" o:spid="_x0000_s1026" style="position:absolute;margin-left:-70.9pt;margin-top:23.65pt;width:142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kOc+b2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B31" w:rsidRPr="005B7B31" w:rsidRDefault="005B7B31" w:rsidP="005B7B31">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2096" behindDoc="0" locked="0" layoutInCell="1" allowOverlap="1" wp14:anchorId="6D20DBA3" wp14:editId="2096E8CA">
              <wp:simplePos x="0" y="0"/>
              <wp:positionH relativeFrom="column">
                <wp:posOffset>-900430</wp:posOffset>
              </wp:positionH>
              <wp:positionV relativeFrom="paragraph">
                <wp:posOffset>630555</wp:posOffset>
              </wp:positionV>
              <wp:extent cx="7559675" cy="45720"/>
              <wp:effectExtent l="0" t="19050" r="0" b="1143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70.9pt;margin-top:49.65pt;width:595.2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50048" behindDoc="0" locked="0" layoutInCell="1" allowOverlap="1" wp14:anchorId="586D4880" wp14:editId="73833C66">
              <wp:simplePos x="0" y="0"/>
              <wp:positionH relativeFrom="column">
                <wp:posOffset>4821555</wp:posOffset>
              </wp:positionH>
              <wp:positionV relativeFrom="paragraph">
                <wp:posOffset>300355</wp:posOffset>
              </wp:positionV>
              <wp:extent cx="1835150" cy="219075"/>
              <wp:effectExtent l="0" t="0" r="0" b="952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990386" id="Rectangle 93" o:spid="_x0000_s1026" style="position:absolute;margin-left:379.65pt;margin-top:23.65pt;width:144.5pt;height:1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LioYS5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48000" behindDoc="0" locked="0" layoutInCell="1" allowOverlap="1" wp14:anchorId="0CB11676" wp14:editId="00B754A9">
              <wp:simplePos x="0" y="0"/>
              <wp:positionH relativeFrom="column">
                <wp:posOffset>-900430</wp:posOffset>
              </wp:positionH>
              <wp:positionV relativeFrom="paragraph">
                <wp:posOffset>300355</wp:posOffset>
              </wp:positionV>
              <wp:extent cx="1803400" cy="219075"/>
              <wp:effectExtent l="0" t="0" r="6350" b="952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C941D7" id="Rectangle 94" o:spid="_x0000_s1026" style="position:absolute;margin-left:-70.9pt;margin-top:23.65pt;width:142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K6M1Q2MCAADMBAAADgAAAAAAAAAAAAAAAAAuAgAAZHJz&#10;L2Uyb0RvYy54bWxQSwECLQAUAAYACAAAACEAh1CjS+AAAAAKAQAADwAAAAAAAAAAAAAAAAC9BAAA&#10;ZHJzL2Rvd25yZXYueG1sUEsFBgAAAAAEAAQA8wAAAMoFA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645952" behindDoc="0" locked="0" layoutInCell="1" allowOverlap="1" wp14:anchorId="143775D2" wp14:editId="2EAFA307">
              <wp:simplePos x="0" y="0"/>
              <wp:positionH relativeFrom="column">
                <wp:posOffset>-899795</wp:posOffset>
              </wp:positionH>
              <wp:positionV relativeFrom="paragraph">
                <wp:posOffset>43815</wp:posOffset>
              </wp:positionV>
              <wp:extent cx="7557135" cy="579120"/>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9120"/>
                      </a:xfrm>
                      <a:prstGeom prst="rect">
                        <a:avLst/>
                      </a:prstGeom>
                      <a:noFill/>
                      <a:ln w="9525">
                        <a:noFill/>
                        <a:miter lim="800000"/>
                        <a:headEnd/>
                        <a:tailEnd/>
                      </a:ln>
                    </wps:spPr>
                    <wps:txbx>
                      <w:txbxContent>
                        <w:p w:rsidR="001557B7" w:rsidRDefault="00AD3265">
                          <w:pPr>
                            <w:spacing w:after="0"/>
                            <w:jc w:val="center"/>
                            <w:rPr>
                              <w:rFonts w:ascii="Arial" w:hAnsi="Arial" w:cs="Arial"/>
                              <w:color w:val="004194"/>
                              <w:sz w:val="20"/>
                            </w:rPr>
                          </w:pPr>
                          <w:r>
                            <w:rPr>
                              <w:rFonts w:ascii="Arial" w:hAnsi="Arial" w:cs="Arial"/>
                              <w:color w:val="004194"/>
                              <w:sz w:val="20"/>
                            </w:rPr>
                            <w:t xml:space="preserve">Monitoring the </w:t>
                          </w:r>
                          <w:r>
                            <w:rPr>
                              <w:rFonts w:ascii="Arial" w:hAnsi="Arial" w:cs="Arial"/>
                              <w:color w:val="004194"/>
                              <w:sz w:val="20"/>
                            </w:rPr>
                            <w:t>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Germany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70.85pt;margin-top:3.45pt;width:595.05pt;height:4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" filled="f" stroked="f">
              <v:textbox>
                <w:txbxContent>
                  <w:p w:rsidR="001557B7" w:rsidRDefault="00AD3265">
                    <w:pPr>
                      <w:spacing w:after="0"/>
                      <w:jc w:val="center"/>
                      <w:rPr>
                        <w:rFonts w:ascii="Arial" w:hAnsi="Arial" w:cs="Arial"/>
                        <w:color w:val="004194"/>
                        <w:sz w:val="20"/>
                      </w:rPr>
                    </w:pPr>
                    <w:r>
                      <w:rPr>
                        <w:rFonts w:ascii="Arial" w:hAnsi="Arial" w:cs="Arial"/>
                        <w:color w:val="004194"/>
                        <w:sz w:val="20"/>
                      </w:rPr>
                      <w:t xml:space="preserve">Monitoring the </w:t>
                    </w:r>
                    <w:r>
                      <w:rPr>
                        <w:rFonts w:ascii="Arial" w:hAnsi="Arial" w:cs="Arial"/>
                        <w:color w:val="004194"/>
                        <w:sz w:val="20"/>
                      </w:rPr>
                      <w:t>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Germany</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7216" behindDoc="0" locked="0" layoutInCell="1" allowOverlap="1" wp14:anchorId="230E0931" wp14:editId="6C835D20">
              <wp:simplePos x="0" y="0"/>
              <wp:positionH relativeFrom="column">
                <wp:posOffset>-900430</wp:posOffset>
              </wp:positionH>
              <wp:positionV relativeFrom="paragraph">
                <wp:posOffset>630555</wp:posOffset>
              </wp:positionV>
              <wp:extent cx="7559675" cy="45720"/>
              <wp:effectExtent l="0" t="19050" r="0" b="1143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70.9pt;margin-top:49.65pt;width:595.2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CuzND3CwIA&#10;APoDAAAOAAAAAAAAAAAAAAAAAC4CAABkcnMvZTJvRG9jLnhtbFBLAQItABQABgAIAAAAIQDTdT0K&#10;4AAAAAwBAAAPAAAAAAAAAAAAAAAAAGUEAABkcnMvZG93bnJldi54bWxQSwUGAAAAAAQABADzAAAA&#10;cgU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06987F4A" wp14:editId="2357EFE8">
              <wp:simplePos x="0" y="0"/>
              <wp:positionH relativeFrom="column">
                <wp:posOffset>-900430</wp:posOffset>
              </wp:positionH>
              <wp:positionV relativeFrom="paragraph">
                <wp:posOffset>222250</wp:posOffset>
              </wp:positionV>
              <wp:extent cx="7557135" cy="40894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70.9pt;margin-top:17.5pt;width:595.05pt;height:3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AFK5g+&#10;DwIAAPwDAAAOAAAAAAAAAAAAAAAAAC4CAABkcnMvZTJvRG9jLnhtbFBLAQItABQABgAIAAAAIQDs&#10;kVbL3wAAAAsBAAAPAAAAAAAAAAAAAAAAAGkEAABkcnMvZG93bnJldi54bWxQSwUGAAAAAAQABADz&#10;AAAAdQU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7F9B6FB1" wp14:editId="0918E665">
              <wp:simplePos x="0" y="0"/>
              <wp:positionH relativeFrom="column">
                <wp:posOffset>4821555</wp:posOffset>
              </wp:positionH>
              <wp:positionV relativeFrom="paragraph">
                <wp:posOffset>300355</wp:posOffset>
              </wp:positionV>
              <wp:extent cx="1835150" cy="219075"/>
              <wp:effectExtent l="0" t="0" r="0" b="952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6B7DB7" id="Rectangle 101" o:spid="_x0000_s1026" style="position:absolute;margin-left:379.65pt;margin-top:23.65pt;width:144.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LEPc7t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55168" behindDoc="0" locked="0" layoutInCell="1" allowOverlap="1" wp14:anchorId="1B4B655E" wp14:editId="367C953A">
              <wp:simplePos x="0" y="0"/>
              <wp:positionH relativeFrom="column">
                <wp:posOffset>-900430</wp:posOffset>
              </wp:positionH>
              <wp:positionV relativeFrom="paragraph">
                <wp:posOffset>300355</wp:posOffset>
              </wp:positionV>
              <wp:extent cx="1803400" cy="219075"/>
              <wp:effectExtent l="0" t="0" r="6350" b="952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8F2700" id="Rectangle 102" o:spid="_x0000_s1026" style="position:absolute;margin-left:-70.9pt;margin-top:23.65pt;width:142pt;height:1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0XPrbG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81792" behindDoc="0" locked="0" layoutInCell="1" allowOverlap="1" wp14:anchorId="64758FE2" wp14:editId="0D1DCBB0">
              <wp:simplePos x="0" y="0"/>
              <wp:positionH relativeFrom="column">
                <wp:posOffset>-899795</wp:posOffset>
              </wp:positionH>
              <wp:positionV relativeFrom="paragraph">
                <wp:posOffset>219075</wp:posOffset>
              </wp:positionV>
              <wp:extent cx="7557135" cy="56388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63880"/>
                      </a:xfrm>
                      <a:prstGeom prst="rect">
                        <a:avLst/>
                      </a:prstGeom>
                      <a:noFill/>
                      <a:ln w="9525">
                        <a:noFill/>
                        <a:miter lim="800000"/>
                        <a:headEnd/>
                        <a:tailEnd/>
                      </a:ln>
                    </wps:spPr>
                    <wps:txb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Estonia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70.85pt;margin-top:17.25pt;width:595.05pt;height:4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" filled="f" stroked="f">
              <v:textbo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Estonia</w:t>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B1BD8B5" wp14:editId="06557352">
              <wp:simplePos x="0" y="0"/>
              <wp:positionH relativeFrom="column">
                <wp:posOffset>4821555</wp:posOffset>
              </wp:positionH>
              <wp:positionV relativeFrom="paragraph">
                <wp:posOffset>300355</wp:posOffset>
              </wp:positionV>
              <wp:extent cx="1835150" cy="219075"/>
              <wp:effectExtent l="0" t="0" r="0" b="9525"/>
              <wp:wrapNone/>
              <wp:docPr id="51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67E024" id="Rectangle 519" o:spid="_x0000_s1026" style="position:absolute;margin-left:379.65pt;margin-top:23.65pt;width:144.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JGiFp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84864" behindDoc="0" locked="0" layoutInCell="1" allowOverlap="1" wp14:anchorId="1735C2EB" wp14:editId="048378B5">
              <wp:simplePos x="0" y="0"/>
              <wp:positionH relativeFrom="column">
                <wp:posOffset>-900430</wp:posOffset>
              </wp:positionH>
              <wp:positionV relativeFrom="paragraph">
                <wp:posOffset>300355</wp:posOffset>
              </wp:positionV>
              <wp:extent cx="1803400" cy="219075"/>
              <wp:effectExtent l="0" t="0" r="6350" b="9525"/>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63926C" id="Rectangle 520" o:spid="_x0000_s1026" style="position:absolute;margin-left:-70.9pt;margin-top:23.65pt;width:142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tRYw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6yD7UWMCAADOBAAADgAAAAAAAAAAAAAAAAAuAgAAZHJz&#10;L2Uyb0RvYy54bWxQSwECLQAUAAYACAAAACEAh1CjS+AAAAAKAQAADwAAAAAAAAAAAAAAAAC9BAAA&#10;ZHJzL2Rvd25yZXYueG1sUEsFBgAAAAAEAAQA8wAAAMoFA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692032" behindDoc="0" locked="0" layoutInCell="1" allowOverlap="1" wp14:anchorId="42BA683C" wp14:editId="043D8D48">
              <wp:simplePos x="0" y="0"/>
              <wp:positionH relativeFrom="column">
                <wp:posOffset>-899795</wp:posOffset>
              </wp:positionH>
              <wp:positionV relativeFrom="paragraph">
                <wp:posOffset>568960</wp:posOffset>
              </wp:positionV>
              <wp:extent cx="7559675" cy="53975"/>
              <wp:effectExtent l="0" t="0" r="0" b="3175"/>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53975"/>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70.85pt;margin-top:44.8pt;width:595.25pt;height: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" filled="f" stroked="f">
              <v:textbox>
                <w:txbxContent>
                  <w:p w:rsidR="001557B7" w:rsidRDefault="001557B7">
                    <w:pPr>
                      <w:pStyle w:val="Priorities"/>
                      <w:ind w:right="555"/>
                      <w:jc w:val="both"/>
                      <w:rPr>
                        <w:color w:val="808080"/>
                        <w:lang w:val="de-DE"/>
                      </w:rPr>
                    </w:pP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24448" behindDoc="0" locked="0" layoutInCell="1" allowOverlap="1" wp14:anchorId="4861C192" wp14:editId="694BE3A4">
              <wp:simplePos x="0" y="0"/>
              <wp:positionH relativeFrom="column">
                <wp:posOffset>-900430</wp:posOffset>
              </wp:positionH>
              <wp:positionV relativeFrom="paragraph">
                <wp:posOffset>630555</wp:posOffset>
              </wp:positionV>
              <wp:extent cx="7559675" cy="45720"/>
              <wp:effectExtent l="0" t="19050" r="0" b="11430"/>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70.9pt;margin-top:49.65pt;width:595.25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JzZocIN&#10;AgAA+wMAAA4AAAAAAAAAAAAAAAAALgIAAGRycy9lMm9Eb2MueG1sUEsBAi0AFAAGAAgAAAAhANN1&#10;PQrgAAAADAEAAA8AAAAAAAAAAAAAAAAAZwQAAGRycy9kb3ducmV2LnhtbFBLBQYAAAAABAAEAPMA&#10;AAB0BQ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18304" behindDoc="0" locked="0" layoutInCell="1" allowOverlap="1" wp14:anchorId="1F68F01C" wp14:editId="17D01A5F">
              <wp:simplePos x="0" y="0"/>
              <wp:positionH relativeFrom="column">
                <wp:posOffset>-900430</wp:posOffset>
              </wp:positionH>
              <wp:positionV relativeFrom="paragraph">
                <wp:posOffset>222250</wp:posOffset>
              </wp:positionV>
              <wp:extent cx="7557135" cy="408940"/>
              <wp:effectExtent l="0" t="0" r="0" b="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70.9pt;margin-top:17.5pt;width:595.05pt;height:32.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Hp9C&#10;4hACAAD8AwAADgAAAAAAAAAAAAAAAAAuAgAAZHJzL2Uyb0RvYy54bWxQSwECLQAUAAYACAAAACEA&#10;7JFWy98AAAALAQAADwAAAAAAAAAAAAAAAABqBAAAZHJzL2Rvd25yZXYueG1sUEsFBgAAAAAEAAQA&#10;8wAAAHYFA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r>
      <w:rPr>
        <w:noProof/>
        <w:lang w:eastAsia="en-GB"/>
      </w:rPr>
      <mc:AlternateContent>
        <mc:Choice Requires="wps">
          <w:drawing>
            <wp:anchor distT="0" distB="0" distL="114300" distR="114300" simplePos="0" relativeHeight="251622400" behindDoc="0" locked="0" layoutInCell="1" allowOverlap="1" wp14:anchorId="25906AD5" wp14:editId="305F2953">
              <wp:simplePos x="0" y="0"/>
              <wp:positionH relativeFrom="column">
                <wp:posOffset>4821555</wp:posOffset>
              </wp:positionH>
              <wp:positionV relativeFrom="paragraph">
                <wp:posOffset>300355</wp:posOffset>
              </wp:positionV>
              <wp:extent cx="1835150" cy="219075"/>
              <wp:effectExtent l="0" t="0" r="0" b="9525"/>
              <wp:wrapNone/>
              <wp:docPr id="52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282DC1" id="Rectangle 523" o:spid="_x0000_s1026" style="position:absolute;margin-left:379.65pt;margin-top:23.65pt;width:144.5pt;height:17.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LXGOG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20352" behindDoc="0" locked="0" layoutInCell="1" allowOverlap="1" wp14:anchorId="4DC1149E" wp14:editId="0340C579">
              <wp:simplePos x="0" y="0"/>
              <wp:positionH relativeFrom="column">
                <wp:posOffset>-900430</wp:posOffset>
              </wp:positionH>
              <wp:positionV relativeFrom="paragraph">
                <wp:posOffset>300355</wp:posOffset>
              </wp:positionV>
              <wp:extent cx="1803400" cy="219075"/>
              <wp:effectExtent l="0" t="0" r="6350" b="9525"/>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DDDFE9" id="Rectangle 524" o:spid="_x0000_s1026" style="position:absolute;margin-left:-70.9pt;margin-top:23.65pt;width:142pt;height:17.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DjhBbhkAgAAzg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66432" behindDoc="0" locked="0" layoutInCell="1" allowOverlap="1" wp14:anchorId="66E45ECA" wp14:editId="62154F30">
              <wp:simplePos x="0" y="0"/>
              <wp:positionH relativeFrom="column">
                <wp:posOffset>-900430</wp:posOffset>
              </wp:positionH>
              <wp:positionV relativeFrom="paragraph">
                <wp:posOffset>630555</wp:posOffset>
              </wp:positionV>
              <wp:extent cx="7559675" cy="45720"/>
              <wp:effectExtent l="0" t="19050" r="0" b="11430"/>
              <wp:wrapNone/>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70.9pt;margin-top:49.65pt;width:595.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EdvU8sN&#10;AgAA+wMAAA4AAAAAAAAAAAAAAAAALgIAAGRycy9lMm9Eb2MueG1sUEsBAi0AFAAGAAgAAAAhANN1&#10;PQrgAAAADAEAAA8AAAAAAAAAAAAAAAAAZwQAAGRycy9kb3ducmV2LnhtbFBLBQYAAAAABAAEAPMA&#10;AAB0BQ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68BD32E" wp14:editId="1D317763">
              <wp:simplePos x="0" y="0"/>
              <wp:positionH relativeFrom="column">
                <wp:posOffset>4821555</wp:posOffset>
              </wp:positionH>
              <wp:positionV relativeFrom="paragraph">
                <wp:posOffset>300355</wp:posOffset>
              </wp:positionV>
              <wp:extent cx="1835150" cy="219075"/>
              <wp:effectExtent l="0" t="0" r="0" b="9525"/>
              <wp:wrapNone/>
              <wp:docPr id="66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B644A3" id="Rectangle 660" o:spid="_x0000_s1026" style="position:absolute;margin-left:379.65pt;margin-top:23.65pt;width:144.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qTZAIAAM4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OpVqpN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64384" behindDoc="0" locked="0" layoutInCell="1" allowOverlap="1" wp14:anchorId="0DBDC51E" wp14:editId="443FD38F">
              <wp:simplePos x="0" y="0"/>
              <wp:positionH relativeFrom="column">
                <wp:posOffset>-900430</wp:posOffset>
              </wp:positionH>
              <wp:positionV relativeFrom="paragraph">
                <wp:posOffset>300355</wp:posOffset>
              </wp:positionV>
              <wp:extent cx="1803400" cy="219075"/>
              <wp:effectExtent l="0" t="0" r="6350" b="9525"/>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5986F1" id="Rectangle 661" o:spid="_x0000_s1026" style="position:absolute;margin-left:-70.9pt;margin-top:23.65pt;width:142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XdYwIAAM4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Q8p13WMCAADOBAAADgAAAAAAAAAAAAAAAAAuAgAAZHJz&#10;L2Uyb0RvYy54bWxQSwECLQAUAAYACAAAACEAh1CjS+AAAAAKAQAADwAAAAAAAAAAAAAAAAC9BAAA&#10;ZHJzL2Rvd25yZXYueG1sUEsFBgAAAAAEAAQA8wAAAMoFA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663360" behindDoc="0" locked="0" layoutInCell="1" allowOverlap="1" wp14:anchorId="5FA3EF9C" wp14:editId="2F2C2BA2">
              <wp:simplePos x="0" y="0"/>
              <wp:positionH relativeFrom="column">
                <wp:posOffset>-899795</wp:posOffset>
              </wp:positionH>
              <wp:positionV relativeFrom="paragraph">
                <wp:posOffset>43815</wp:posOffset>
              </wp:positionV>
              <wp:extent cx="7557135" cy="601980"/>
              <wp:effectExtent l="0" t="0" r="0" b="0"/>
              <wp:wrapNone/>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1980"/>
                      </a:xfrm>
                      <a:prstGeom prst="rect">
                        <a:avLst/>
                      </a:prstGeom>
                      <a:noFill/>
                      <a:ln w="9525">
                        <a:noFill/>
                        <a:miter lim="800000"/>
                        <a:headEnd/>
                        <a:tailEnd/>
                      </a:ln>
                    </wps:spPr>
                    <wps:txb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Ireland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70.85pt;margin-top:3.45pt;width:595.05pt;height:4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" filled="f" stroked="f">
              <v:textbo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Ireland</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61312" behindDoc="0" locked="0" layoutInCell="1" allowOverlap="1" wp14:anchorId="4C92B846" wp14:editId="33B427C7">
              <wp:simplePos x="0" y="0"/>
              <wp:positionH relativeFrom="column">
                <wp:posOffset>-900430</wp:posOffset>
              </wp:positionH>
              <wp:positionV relativeFrom="paragraph">
                <wp:posOffset>630555</wp:posOffset>
              </wp:positionV>
              <wp:extent cx="7559675" cy="45720"/>
              <wp:effectExtent l="0" t="19050" r="0" b="11430"/>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70.9pt;margin-top:49.65pt;width:595.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FQr/3IN&#10;AgAA+wMAAA4AAAAAAAAAAAAAAAAALgIAAGRycy9lMm9Eb2MueG1sUEsBAi0AFAAGAAgAAAAhANN1&#10;PQrgAAAADAEAAA8AAAAAAAAAAAAAAAAAZwQAAGRycy9kb3ducmV2LnhtbFBLBQYAAAAABAAEAPMA&#10;AAB0BQ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2166C8AC" wp14:editId="7F2D3DFB">
              <wp:simplePos x="0" y="0"/>
              <wp:positionH relativeFrom="column">
                <wp:posOffset>-900430</wp:posOffset>
              </wp:positionH>
              <wp:positionV relativeFrom="paragraph">
                <wp:posOffset>222250</wp:posOffset>
              </wp:positionV>
              <wp:extent cx="7557135" cy="408940"/>
              <wp:effectExtent l="0" t="0" r="0" b="0"/>
              <wp:wrapNone/>
              <wp:docPr id="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70.9pt;margin-top:17.5pt;width:595.05pt;height:3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zbmJ&#10;yRACAAD8AwAADgAAAAAAAAAAAAAAAAAuAgAAZHJzL2Uyb0RvYy54bWxQSwECLQAUAAYACAAAACEA&#10;7JFWy98AAAALAQAADwAAAAAAAAAAAAAAAABqBAAAZHJzL2Rvd25yZXYueG1sUEsFBgAAAAAEAAQA&#10;8wAAAHYFA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5AFBBAD" wp14:editId="41BF8821">
              <wp:simplePos x="0" y="0"/>
              <wp:positionH relativeFrom="column">
                <wp:posOffset>4821555</wp:posOffset>
              </wp:positionH>
              <wp:positionV relativeFrom="paragraph">
                <wp:posOffset>300355</wp:posOffset>
              </wp:positionV>
              <wp:extent cx="1835150" cy="219075"/>
              <wp:effectExtent l="0" t="0" r="0" b="9525"/>
              <wp:wrapNone/>
              <wp:docPr id="664"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1ABAEB" id="Rectangle 664" o:spid="_x0000_s1026" style="position:absolute;margin-left:379.65pt;margin-top:23.65pt;width:144.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OZRUem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59264" behindDoc="0" locked="0" layoutInCell="1" allowOverlap="1" wp14:anchorId="6BD6413D" wp14:editId="1591A68B">
              <wp:simplePos x="0" y="0"/>
              <wp:positionH relativeFrom="column">
                <wp:posOffset>-900430</wp:posOffset>
              </wp:positionH>
              <wp:positionV relativeFrom="paragraph">
                <wp:posOffset>300355</wp:posOffset>
              </wp:positionV>
              <wp:extent cx="1803400" cy="219075"/>
              <wp:effectExtent l="0" t="0" r="6350" b="9525"/>
              <wp:wrapNone/>
              <wp:docPr id="66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76AF37" id="Rectangle 665" o:spid="_x0000_s1026" style="position:absolute;margin-left:-70.9pt;margin-top:23.65pt;width:142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" fillcolor="#004194" stroked="f" strokeweight="2pt">
              <v:path arrowok="t"/>
            </v:rect>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75648" behindDoc="0" locked="0" layoutInCell="1" allowOverlap="1" wp14:anchorId="0FAECCD5" wp14:editId="3FF4D2E8">
              <wp:simplePos x="0" y="0"/>
              <wp:positionH relativeFrom="column">
                <wp:posOffset>-900430</wp:posOffset>
              </wp:positionH>
              <wp:positionV relativeFrom="paragraph">
                <wp:posOffset>630555</wp:posOffset>
              </wp:positionV>
              <wp:extent cx="7559675" cy="45720"/>
              <wp:effectExtent l="0" t="19050" r="0" b="11430"/>
              <wp:wrapNone/>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70.9pt;margin-top:49.65pt;width:595.2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KDiyIYN&#10;AgAA+wMAAA4AAAAAAAAAAAAAAAAALgIAAGRycy9lMm9Eb2MueG1sUEsBAi0AFAAGAAgAAAAhANN1&#10;PQrgAAAADAEAAA8AAAAAAAAAAAAAAAAAZwQAAGRycy9kb3ducmV2LnhtbFBLBQYAAAAABAAEAPMA&#10;AAB0BQ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2E4BEBB8" wp14:editId="319EB8BA">
              <wp:simplePos x="0" y="0"/>
              <wp:positionH relativeFrom="column">
                <wp:posOffset>4821555</wp:posOffset>
              </wp:positionH>
              <wp:positionV relativeFrom="paragraph">
                <wp:posOffset>300355</wp:posOffset>
              </wp:positionV>
              <wp:extent cx="1835150" cy="219075"/>
              <wp:effectExtent l="0" t="0" r="0" b="9525"/>
              <wp:wrapNone/>
              <wp:docPr id="591"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DB2251" id="Rectangle 591" o:spid="_x0000_s1026" style="position:absolute;margin-left:379.65pt;margin-top:23.65pt;width:144.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DBky19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73600" behindDoc="0" locked="0" layoutInCell="1" allowOverlap="1" wp14:anchorId="31218AF7" wp14:editId="6EDD05F0">
              <wp:simplePos x="0" y="0"/>
              <wp:positionH relativeFrom="column">
                <wp:posOffset>-900430</wp:posOffset>
              </wp:positionH>
              <wp:positionV relativeFrom="paragraph">
                <wp:posOffset>300355</wp:posOffset>
              </wp:positionV>
              <wp:extent cx="1803400" cy="219075"/>
              <wp:effectExtent l="0" t="0" r="6350" b="9525"/>
              <wp:wrapNone/>
              <wp:docPr id="592"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14A230" id="Rectangle 592" o:spid="_x0000_s1026" style="position:absolute;margin-left:-70.9pt;margin-top:23.65pt;width:142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FAYU4hkAgAAzgQAAA4AAAAAAAAAAAAAAAAALgIAAGRy&#10;cy9lMm9Eb2MueG1sUEsBAi0AFAAGAAgAAAAhAIdQo0vgAAAACgEAAA8AAAAAAAAAAAAAAAAAvgQA&#10;AGRycy9kb3ducmV2LnhtbFBLBQYAAAAABAAEAPMAAADLBQ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672576" behindDoc="0" locked="0" layoutInCell="1" allowOverlap="1" wp14:anchorId="3039AAB8" wp14:editId="2F57294A">
              <wp:simplePos x="0" y="0"/>
              <wp:positionH relativeFrom="column">
                <wp:posOffset>-899795</wp:posOffset>
              </wp:positionH>
              <wp:positionV relativeFrom="paragraph">
                <wp:posOffset>43815</wp:posOffset>
              </wp:positionV>
              <wp:extent cx="7557135" cy="609600"/>
              <wp:effectExtent l="0" t="0" r="0" b="0"/>
              <wp:wrapNone/>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9600"/>
                      </a:xfrm>
                      <a:prstGeom prst="rect">
                        <a:avLst/>
                      </a:prstGeom>
                      <a:noFill/>
                      <a:ln w="9525">
                        <a:noFill/>
                        <a:miter lim="800000"/>
                        <a:headEnd/>
                        <a:tailEnd/>
                      </a:ln>
                    </wps:spPr>
                    <wps:txb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Greece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70.85pt;margin-top:3.45pt;width:595.0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" filled="f" stroked="f">
              <v:textbo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Greece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B31" w:rsidRPr="005B7B31" w:rsidRDefault="005B7B31" w:rsidP="005B7B31">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71552" behindDoc="0" locked="0" layoutInCell="1" allowOverlap="1" wp14:anchorId="3DD7CA8F" wp14:editId="1A829F27">
              <wp:simplePos x="0" y="0"/>
              <wp:positionH relativeFrom="column">
                <wp:posOffset>-900430</wp:posOffset>
              </wp:positionH>
              <wp:positionV relativeFrom="paragraph">
                <wp:posOffset>630555</wp:posOffset>
              </wp:positionV>
              <wp:extent cx="7559675" cy="45720"/>
              <wp:effectExtent l="0" t="19050" r="0" b="11430"/>
              <wp:wrapNone/>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70.9pt;margin-top:49.65pt;width:595.2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C7jZMS&#10;DgIAAPsDAAAOAAAAAAAAAAAAAAAAAC4CAABkcnMvZTJvRG9jLnhtbFBLAQItABQABgAIAAAAIQDT&#10;dT0K4AAAAAwBAAAPAAAAAAAAAAAAAAAAAGgEAABkcnMvZG93bnJldi54bWxQSwUGAAAAAAQABADz&#10;AAAAdQU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0204E6C" wp14:editId="126D4201">
              <wp:simplePos x="0" y="0"/>
              <wp:positionH relativeFrom="column">
                <wp:posOffset>-900430</wp:posOffset>
              </wp:positionH>
              <wp:positionV relativeFrom="paragraph">
                <wp:posOffset>222250</wp:posOffset>
              </wp:positionV>
              <wp:extent cx="7557135" cy="408940"/>
              <wp:effectExtent l="0" t="0" r="0" b="0"/>
              <wp:wrapNone/>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70.9pt;margin-top:17.5pt;width:595.05pt;height:3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cLAB&#10;chACAAD8AwAADgAAAAAAAAAAAAAAAAAuAgAAZHJzL2Uyb0RvYy54bWxQSwECLQAUAAYACAAAACEA&#10;7JFWy98AAAALAQAADwAAAAAAAAAAAAAAAABqBAAAZHJzL2Rvd25yZXYueG1sUEsFBgAAAAAEAAQA&#10;8wAAAHYFA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0489DFC2" wp14:editId="3859BC37">
              <wp:simplePos x="0" y="0"/>
              <wp:positionH relativeFrom="column">
                <wp:posOffset>4821555</wp:posOffset>
              </wp:positionH>
              <wp:positionV relativeFrom="paragraph">
                <wp:posOffset>300355</wp:posOffset>
              </wp:positionV>
              <wp:extent cx="1835150" cy="219075"/>
              <wp:effectExtent l="0" t="0" r="0" b="9525"/>
              <wp:wrapNone/>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CB63FC" id="Rectangle 595" o:spid="_x0000_s1026" style="position:absolute;margin-left:379.65pt;margin-top:23.65pt;width:144.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46U1tm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68480" behindDoc="0" locked="0" layoutInCell="1" allowOverlap="1" wp14:anchorId="6596604C" wp14:editId="54F9270A">
              <wp:simplePos x="0" y="0"/>
              <wp:positionH relativeFrom="column">
                <wp:posOffset>-900430</wp:posOffset>
              </wp:positionH>
              <wp:positionV relativeFrom="paragraph">
                <wp:posOffset>300355</wp:posOffset>
              </wp:positionV>
              <wp:extent cx="1803400" cy="219075"/>
              <wp:effectExtent l="0" t="0" r="6350" b="9525"/>
              <wp:wrapNone/>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8E66C1" id="Rectangle 596" o:spid="_x0000_s1026" style="position:absolute;margin-left:-70.9pt;margin-top:23.65pt;width:142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IPZrWFkAgAAzg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85888" behindDoc="0" locked="0" layoutInCell="1" allowOverlap="1" wp14:anchorId="755B85E4" wp14:editId="532C852C">
              <wp:simplePos x="0" y="0"/>
              <wp:positionH relativeFrom="column">
                <wp:posOffset>-900430</wp:posOffset>
              </wp:positionH>
              <wp:positionV relativeFrom="paragraph">
                <wp:posOffset>630555</wp:posOffset>
              </wp:positionV>
              <wp:extent cx="7559675" cy="45720"/>
              <wp:effectExtent l="0" t="19050" r="0" b="11430"/>
              <wp:wrapNone/>
              <wp:docPr id="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70.9pt;margin-top:49.65pt;width:595.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APykBN&#10;DgIAAPwDAAAOAAAAAAAAAAAAAAAAAC4CAABkcnMvZTJvRG9jLnhtbFBLAQItABQABgAIAAAAIQDT&#10;dT0K4AAAAAwBAAAPAAAAAAAAAAAAAAAAAGgEAABkcnMvZG93bnJldi54bWxQSwUGAAAAAAQABADz&#10;AAAAdQU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6DFDC0DF" wp14:editId="3ADD2DB0">
              <wp:simplePos x="0" y="0"/>
              <wp:positionH relativeFrom="column">
                <wp:posOffset>4821555</wp:posOffset>
              </wp:positionH>
              <wp:positionV relativeFrom="paragraph">
                <wp:posOffset>300355</wp:posOffset>
              </wp:positionV>
              <wp:extent cx="1835150" cy="219075"/>
              <wp:effectExtent l="0" t="0" r="0" b="9525"/>
              <wp:wrapNone/>
              <wp:docPr id="1014"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C45E7E" id="Rectangle 1014" o:spid="_x0000_s1026" style="position:absolute;margin-left:379.65pt;margin-top:23.65pt;width:144.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ounYkZQIAANA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82816" behindDoc="0" locked="0" layoutInCell="1" allowOverlap="1" wp14:anchorId="522E8A62" wp14:editId="5E7FBC73">
              <wp:simplePos x="0" y="0"/>
              <wp:positionH relativeFrom="column">
                <wp:posOffset>-900430</wp:posOffset>
              </wp:positionH>
              <wp:positionV relativeFrom="paragraph">
                <wp:posOffset>300355</wp:posOffset>
              </wp:positionV>
              <wp:extent cx="1803400" cy="219075"/>
              <wp:effectExtent l="0" t="0" r="6350" b="9525"/>
              <wp:wrapNone/>
              <wp:docPr id="1015"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9CBBD5" id="Rectangle 1015" o:spid="_x0000_s1026" style="position:absolute;margin-left:-70.9pt;margin-top:23.65pt;width:142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BMjFmJkAgAA0AQAAA4AAAAAAAAAAAAAAAAALgIAAGRy&#10;cy9lMm9Eb2MueG1sUEsBAi0AFAAGAAgAAAAhAIdQo0vgAAAACgEAAA8AAAAAAAAAAAAAAAAAvgQA&#10;AGRycy9kb3ducmV2LnhtbFBLBQYAAAAABAAEAPMAAADLBQ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680768" behindDoc="0" locked="0" layoutInCell="1" allowOverlap="1" wp14:anchorId="656D625D" wp14:editId="30637AC7">
              <wp:simplePos x="0" y="0"/>
              <wp:positionH relativeFrom="column">
                <wp:posOffset>-899795</wp:posOffset>
              </wp:positionH>
              <wp:positionV relativeFrom="paragraph">
                <wp:posOffset>43815</wp:posOffset>
              </wp:positionV>
              <wp:extent cx="7557135" cy="601980"/>
              <wp:effectExtent l="0" t="0" r="0" b="0"/>
              <wp:wrapNone/>
              <wp:docPr id="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1980"/>
                      </a:xfrm>
                      <a:prstGeom prst="rect">
                        <a:avLst/>
                      </a:prstGeom>
                      <a:noFill/>
                      <a:ln w="9525">
                        <a:noFill/>
                        <a:miter lim="800000"/>
                        <a:headEnd/>
                        <a:tailEnd/>
                      </a:ln>
                    </wps:spPr>
                    <wps:txb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70.85pt;margin-top:3.45pt;width:595.05pt;height:4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" filled="f" stroked="f">
              <v:textbo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Spain</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79744" behindDoc="0" locked="0" layoutInCell="1" allowOverlap="1" wp14:anchorId="7369FAD5" wp14:editId="43C8B5B7">
              <wp:simplePos x="0" y="0"/>
              <wp:positionH relativeFrom="column">
                <wp:posOffset>-900430</wp:posOffset>
              </wp:positionH>
              <wp:positionV relativeFrom="paragraph">
                <wp:posOffset>630555</wp:posOffset>
              </wp:positionV>
              <wp:extent cx="7559675" cy="45720"/>
              <wp:effectExtent l="0" t="19050" r="0" b="11430"/>
              <wp:wrapNone/>
              <wp:docPr id="1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70.9pt;margin-top:49.65pt;width:595.2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APar46&#10;DgIAAPwDAAAOAAAAAAAAAAAAAAAAAC4CAABkcnMvZTJvRG9jLnhtbFBLAQItABQABgAIAAAAIQDT&#10;dT0K4AAAAAwBAAAPAAAAAAAAAAAAAAAAAGgEAABkcnMvZG93bnJldi54bWxQSwUGAAAAAAQABADz&#10;AAAAdQU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05EFFC62" wp14:editId="62B1F957">
              <wp:simplePos x="0" y="0"/>
              <wp:positionH relativeFrom="column">
                <wp:posOffset>-900430</wp:posOffset>
              </wp:positionH>
              <wp:positionV relativeFrom="paragraph">
                <wp:posOffset>222250</wp:posOffset>
              </wp:positionV>
              <wp:extent cx="7557135" cy="408940"/>
              <wp:effectExtent l="0" t="0" r="0" b="0"/>
              <wp:wrapNone/>
              <wp:docPr id="1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70.9pt;margin-top:17.5pt;width:595.05pt;height:3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J4x&#10;dRwRAgAA/QMAAA4AAAAAAAAAAAAAAAAALgIAAGRycy9lMm9Eb2MueG1sUEsBAi0AFAAGAAgAAAAh&#10;AOyRVsvfAAAACwEAAA8AAAAAAAAAAAAAAAAAawQAAGRycy9kb3ducmV2LnhtbFBLBQYAAAAABAAE&#10;APMAAAB3BQ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60B77238" wp14:editId="78A5B298">
              <wp:simplePos x="0" y="0"/>
              <wp:positionH relativeFrom="column">
                <wp:posOffset>4821555</wp:posOffset>
              </wp:positionH>
              <wp:positionV relativeFrom="paragraph">
                <wp:posOffset>300355</wp:posOffset>
              </wp:positionV>
              <wp:extent cx="1835150" cy="219075"/>
              <wp:effectExtent l="0" t="0" r="0" b="9525"/>
              <wp:wrapNone/>
              <wp:docPr id="1018"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D50FC9" id="Rectangle 1018" o:spid="_x0000_s1026" style="position:absolute;margin-left:379.65pt;margin-top:23.65pt;width:144.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E1gCiZQIAANA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77696" behindDoc="0" locked="0" layoutInCell="1" allowOverlap="1" wp14:anchorId="07C172C6" wp14:editId="235CCBA8">
              <wp:simplePos x="0" y="0"/>
              <wp:positionH relativeFrom="column">
                <wp:posOffset>-900430</wp:posOffset>
              </wp:positionH>
              <wp:positionV relativeFrom="paragraph">
                <wp:posOffset>300355</wp:posOffset>
              </wp:positionV>
              <wp:extent cx="1803400" cy="219075"/>
              <wp:effectExtent l="0" t="0" r="6350" b="9525"/>
              <wp:wrapNone/>
              <wp:docPr id="1019"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0203C5" id="Rectangle 1019" o:spid="_x0000_s1026" style="position:absolute;margin-left:-70.9pt;margin-top:23.65pt;width:142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P9PYORkAgAA0A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16256" behindDoc="0" locked="0" layoutInCell="1" allowOverlap="1" wp14:anchorId="39FDA893" wp14:editId="5338E040">
              <wp:simplePos x="0" y="0"/>
              <wp:positionH relativeFrom="column">
                <wp:posOffset>-900430</wp:posOffset>
              </wp:positionH>
              <wp:positionV relativeFrom="paragraph">
                <wp:posOffset>630555</wp:posOffset>
              </wp:positionV>
              <wp:extent cx="7559675" cy="45720"/>
              <wp:effectExtent l="0" t="19050" r="0" b="11430"/>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70.9pt;margin-top:49.65pt;width:595.25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AjXHUAwC&#10;AAD7AwAADgAAAAAAAAAAAAAAAAAuAgAAZHJzL2Uyb0RvYy54bWxQSwECLQAUAAYACAAAACEA03U9&#10;CuAAAAAMAQAADwAAAAAAAAAAAAAAAABmBAAAZHJzL2Rvd25yZXYueG1sUEsFBgAAAAAEAAQA8wAA&#10;AHMFA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14208" behindDoc="0" locked="0" layoutInCell="1" allowOverlap="1" wp14:anchorId="47FFD0B7" wp14:editId="3BF6D1AD">
              <wp:simplePos x="0" y="0"/>
              <wp:positionH relativeFrom="column">
                <wp:posOffset>4821555</wp:posOffset>
              </wp:positionH>
              <wp:positionV relativeFrom="paragraph">
                <wp:posOffset>300355</wp:posOffset>
              </wp:positionV>
              <wp:extent cx="1835150" cy="219075"/>
              <wp:effectExtent l="0" t="0" r="0" b="9525"/>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7B2972" id="Rectangle 560" o:spid="_x0000_s1026" style="position:absolute;margin-left:379.65pt;margin-top:23.65pt;width:144.5pt;height:1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yhZAIAAM4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CmwDKF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12160" behindDoc="0" locked="0" layoutInCell="1" allowOverlap="1" wp14:anchorId="06D6A17C" wp14:editId="72FDB808">
              <wp:simplePos x="0" y="0"/>
              <wp:positionH relativeFrom="column">
                <wp:posOffset>-900430</wp:posOffset>
              </wp:positionH>
              <wp:positionV relativeFrom="paragraph">
                <wp:posOffset>300355</wp:posOffset>
              </wp:positionV>
              <wp:extent cx="1803400" cy="219075"/>
              <wp:effectExtent l="0" t="0" r="6350" b="9525"/>
              <wp:wrapNone/>
              <wp:docPr id="56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350CE9" id="Rectangle 561" o:spid="_x0000_s1026" style="position:absolute;margin-left:-70.9pt;margin-top:23.65pt;width:142pt;height:17.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gC/T72MCAADOBAAADgAAAAAAAAAAAAAAAAAuAgAAZHJz&#10;L2Uyb0RvYy54bWxQSwECLQAUAAYACAAAACEAh1CjS+AAAAAKAQAADwAAAAAAAAAAAAAAAAC9BAAA&#10;ZHJzL2Rvd25yZXYueG1sUEsFBgAAAAAEAAQA8wAAAMoFA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610112" behindDoc="0" locked="0" layoutInCell="1" allowOverlap="1" wp14:anchorId="0A8A0EA2" wp14:editId="6D601CC3">
              <wp:simplePos x="0" y="0"/>
              <wp:positionH relativeFrom="column">
                <wp:posOffset>-899795</wp:posOffset>
              </wp:positionH>
              <wp:positionV relativeFrom="paragraph">
                <wp:posOffset>43815</wp:posOffset>
              </wp:positionV>
              <wp:extent cx="7557135" cy="556260"/>
              <wp:effectExtent l="0" t="0" r="0" b="0"/>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56260"/>
                      </a:xfrm>
                      <a:prstGeom prst="rect">
                        <a:avLst/>
                      </a:prstGeom>
                      <a:noFill/>
                      <a:ln w="9525">
                        <a:noFill/>
                        <a:miter lim="800000"/>
                        <a:headEnd/>
                        <a:tailEnd/>
                      </a:ln>
                    </wps:spPr>
                    <wps:txb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70.85pt;margin-top:3.45pt;width:595.05pt;height:43.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" filled="f" stroked="f">
              <v:textbo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France</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08064" behindDoc="0" locked="0" layoutInCell="1" allowOverlap="1" wp14:anchorId="1B3C62B9" wp14:editId="76A40CAD">
              <wp:simplePos x="0" y="0"/>
              <wp:positionH relativeFrom="column">
                <wp:posOffset>-900430</wp:posOffset>
              </wp:positionH>
              <wp:positionV relativeFrom="paragraph">
                <wp:posOffset>630555</wp:posOffset>
              </wp:positionV>
              <wp:extent cx="7559675" cy="45720"/>
              <wp:effectExtent l="0" t="19050" r="0" b="11430"/>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70.9pt;margin-top:49.65pt;width:595.25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L2JdaAwC&#10;AAD7AwAADgAAAAAAAAAAAAAAAAAuAgAAZHJzL2Uyb0RvYy54bWxQSwECLQAUAAYACAAAACEA03U9&#10;CuAAAAAMAQAADwAAAAAAAAAAAAAAAABmBAAAZHJzL2Rvd25yZXYueG1sUEsFBgAAAAAEAAQA8wAA&#10;AHMFA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01920" behindDoc="0" locked="0" layoutInCell="1" allowOverlap="1" wp14:anchorId="0E872EE7" wp14:editId="731F1687">
              <wp:simplePos x="0" y="0"/>
              <wp:positionH relativeFrom="column">
                <wp:posOffset>-900430</wp:posOffset>
              </wp:positionH>
              <wp:positionV relativeFrom="paragraph">
                <wp:posOffset>222250</wp:posOffset>
              </wp:positionV>
              <wp:extent cx="7557135" cy="408940"/>
              <wp:effectExtent l="0" t="0" r="0" b="0"/>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Fr</w:t>
                          </w:r>
                        </w:p>
                        <w:p w:rsidR="001557B7" w:rsidRDefault="00AD3265">
                          <w:pPr>
                            <w:tabs>
                              <w:tab w:val="left" w:pos="4111"/>
                            </w:tabs>
                            <w:spacing w:after="0"/>
                            <w:jc w:val="center"/>
                            <w:rPr>
                              <w:rFonts w:ascii="Arial" w:hAnsi="Arial" w:cs="Arial"/>
                              <w:bCs/>
                              <w:color w:val="004194"/>
                              <w:sz w:val="20"/>
                            </w:rPr>
                          </w:pPr>
                          <w:r>
                            <w:rPr>
                              <w:rFonts w:ascii="Arial" w:hAnsi="Arial" w:cs="Arial"/>
                              <w:bCs/>
                              <w:color w:val="004194"/>
                              <w:sz w:val="20"/>
                            </w:rPr>
                            <w:t>France</w:t>
                          </w:r>
                        </w:p>
                        <w:p w:rsidR="001557B7" w:rsidRDefault="001557B7">
                          <w:pPr>
                            <w:tabs>
                              <w:tab w:val="left" w:pos="4111"/>
                            </w:tabs>
                            <w:spacing w:after="0"/>
                            <w:jc w:val="center"/>
                            <w:rPr>
                              <w:rFonts w:ascii="Arial" w:hAnsi="Arial" w:cs="Arial"/>
                              <w:color w:val="004194"/>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70.9pt;margin-top:17.5pt;width:595.05pt;height:32.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DA5&#10;vvURAgAA/AMAAA4AAAAAAAAAAAAAAAAALgIAAGRycy9lMm9Eb2MueG1sUEsBAi0AFAAGAAgAAAAh&#10;AOyRVsvfAAAACwEAAA8AAAAAAAAAAAAAAAAAawQAAGRycy9kb3ducmV2LnhtbFBLBQYAAAAABAAE&#10;APMAAAB3BQ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Fr</w:t>
                    </w:r>
                  </w:p>
                  <w:p w:rsidR="001557B7" w:rsidRDefault="00AD3265">
                    <w:pPr>
                      <w:tabs>
                        <w:tab w:val="left" w:pos="4111"/>
                      </w:tabs>
                      <w:spacing w:after="0"/>
                      <w:jc w:val="center"/>
                      <w:rPr>
                        <w:rFonts w:ascii="Arial" w:hAnsi="Arial" w:cs="Arial"/>
                        <w:bCs/>
                        <w:color w:val="004194"/>
                        <w:sz w:val="20"/>
                      </w:rPr>
                    </w:pPr>
                    <w:r>
                      <w:rPr>
                        <w:rFonts w:ascii="Arial" w:hAnsi="Arial" w:cs="Arial"/>
                        <w:bCs/>
                        <w:color w:val="004194"/>
                        <w:sz w:val="20"/>
                      </w:rPr>
                      <w:t>France</w:t>
                    </w:r>
                  </w:p>
                  <w:p w:rsidR="001557B7" w:rsidRDefault="001557B7">
                    <w:pPr>
                      <w:tabs>
                        <w:tab w:val="left" w:pos="4111"/>
                      </w:tabs>
                      <w:spacing w:after="0"/>
                      <w:jc w:val="center"/>
                      <w:rPr>
                        <w:rFonts w:ascii="Arial" w:hAnsi="Arial" w:cs="Arial"/>
                        <w:color w:val="004194"/>
                        <w:sz w:val="20"/>
                      </w:rPr>
                    </w:pPr>
                  </w:p>
                </w:txbxContent>
              </v:textbox>
            </v:shape>
          </w:pict>
        </mc:Fallback>
      </mc:AlternateContent>
    </w:r>
    <w:r>
      <w:rPr>
        <w:noProof/>
        <w:lang w:eastAsia="en-GB"/>
      </w:rPr>
      <mc:AlternateContent>
        <mc:Choice Requires="wps">
          <w:drawing>
            <wp:anchor distT="0" distB="0" distL="114300" distR="114300" simplePos="0" relativeHeight="251606016" behindDoc="0" locked="0" layoutInCell="1" allowOverlap="1" wp14:anchorId="0AB0253E" wp14:editId="22917A17">
              <wp:simplePos x="0" y="0"/>
              <wp:positionH relativeFrom="column">
                <wp:posOffset>4821555</wp:posOffset>
              </wp:positionH>
              <wp:positionV relativeFrom="paragraph">
                <wp:posOffset>300355</wp:posOffset>
              </wp:positionV>
              <wp:extent cx="1835150" cy="219075"/>
              <wp:effectExtent l="0" t="0" r="0" b="9525"/>
              <wp:wrapNone/>
              <wp:docPr id="564"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AAB70B" id="Rectangle 564" o:spid="_x0000_s1026" style="position:absolute;margin-left:379.65pt;margin-top:23.65pt;width:144.5pt;height:17.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nHySG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03968" behindDoc="0" locked="0" layoutInCell="1" allowOverlap="1" wp14:anchorId="42059188" wp14:editId="6AACEBB1">
              <wp:simplePos x="0" y="0"/>
              <wp:positionH relativeFrom="column">
                <wp:posOffset>-900430</wp:posOffset>
              </wp:positionH>
              <wp:positionV relativeFrom="paragraph">
                <wp:posOffset>300355</wp:posOffset>
              </wp:positionV>
              <wp:extent cx="1803400" cy="219075"/>
              <wp:effectExtent l="0" t="0" r="6350" b="9525"/>
              <wp:wrapNone/>
              <wp:docPr id="56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869D7C" id="Rectangle 565" o:spid="_x0000_s1026" style="position:absolute;margin-left:-70.9pt;margin-top:23.65pt;width:142pt;height:17.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" fillcolor="#004194" stroked="f" strokeweight="2pt">
              <v:path arrowok="t"/>
            </v:rect>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42880" behindDoc="0" locked="0" layoutInCell="1" allowOverlap="1" wp14:anchorId="06DAC49D" wp14:editId="11B57050">
              <wp:simplePos x="0" y="0"/>
              <wp:positionH relativeFrom="column">
                <wp:posOffset>4821555</wp:posOffset>
              </wp:positionH>
              <wp:positionV relativeFrom="paragraph">
                <wp:posOffset>300355</wp:posOffset>
              </wp:positionV>
              <wp:extent cx="1835150" cy="219075"/>
              <wp:effectExtent l="0" t="0" r="0" b="9525"/>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B31FBD" id="Rectangle 365" o:spid="_x0000_s1026" style="position:absolute;margin-left:379.65pt;margin-top:23.65pt;width:144.5pt;height:1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uMikjG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40832" behindDoc="0" locked="0" layoutInCell="1" allowOverlap="1" wp14:anchorId="78A26628" wp14:editId="0935F61C">
              <wp:simplePos x="0" y="0"/>
              <wp:positionH relativeFrom="column">
                <wp:posOffset>-900430</wp:posOffset>
              </wp:positionH>
              <wp:positionV relativeFrom="paragraph">
                <wp:posOffset>300355</wp:posOffset>
              </wp:positionV>
              <wp:extent cx="1803400" cy="219075"/>
              <wp:effectExtent l="0" t="0" r="6350" b="9525"/>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940011" id="Rectangle 366" o:spid="_x0000_s1026" style="position:absolute;margin-left:-70.9pt;margin-top:23.65pt;width:142pt;height:17.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Ni0PFtkAgAAzgQAAA4AAAAAAAAAAAAAAAAALgIAAGRy&#10;cy9lMm9Eb2MueG1sUEsBAi0AFAAGAAgAAAAhAIdQo0vgAAAACgEAAA8AAAAAAAAAAAAAAAAAvgQA&#10;AGRycy9kb3ducmV2LnhtbFBLBQYAAAAABAAEAPMAAADLBQ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643904" behindDoc="0" locked="0" layoutInCell="1" allowOverlap="1" wp14:anchorId="762F4119" wp14:editId="0DE14D61">
              <wp:simplePos x="0" y="0"/>
              <wp:positionH relativeFrom="column">
                <wp:posOffset>-900430</wp:posOffset>
              </wp:positionH>
              <wp:positionV relativeFrom="paragraph">
                <wp:posOffset>596265</wp:posOffset>
              </wp:positionV>
              <wp:extent cx="7559675" cy="45085"/>
              <wp:effectExtent l="0" t="19050" r="0" b="1206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085"/>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70.9pt;margin-top:46.95pt;width:595.25pt;height: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39808" behindDoc="0" locked="0" layoutInCell="1" allowOverlap="1" wp14:anchorId="176227EE" wp14:editId="2BA296F3">
              <wp:simplePos x="0" y="0"/>
              <wp:positionH relativeFrom="column">
                <wp:posOffset>-899795</wp:posOffset>
              </wp:positionH>
              <wp:positionV relativeFrom="paragraph">
                <wp:posOffset>43815</wp:posOffset>
              </wp:positionV>
              <wp:extent cx="7557135" cy="541020"/>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41020"/>
                      </a:xfrm>
                      <a:prstGeom prst="rect">
                        <a:avLst/>
                      </a:prstGeom>
                      <a:noFill/>
                      <a:ln w="9525">
                        <a:noFill/>
                        <a:miter lim="800000"/>
                        <a:headEnd/>
                        <a:tailEnd/>
                      </a:ln>
                    </wps:spPr>
                    <wps:txb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Croatia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70.85pt;margin-top:3.45pt;width:595.05pt;height:42.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" filled="f" stroked="f">
              <v:textbo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Croatia</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3120" behindDoc="0" locked="0" layoutInCell="1" allowOverlap="1" wp14:anchorId="1785B8AE" wp14:editId="000A9ADF">
              <wp:simplePos x="0" y="0"/>
              <wp:positionH relativeFrom="column">
                <wp:posOffset>-900430</wp:posOffset>
              </wp:positionH>
              <wp:positionV relativeFrom="paragraph">
                <wp:posOffset>630555</wp:posOffset>
              </wp:positionV>
              <wp:extent cx="7559675" cy="45720"/>
              <wp:effectExtent l="0" t="19050" r="0" b="1143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left:0;text-align:left;margin-left:-70.9pt;margin-top:49.65pt;width:595.25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HFckGwwC&#10;AAD6AwAADgAAAAAAAAAAAAAAAAAuAgAAZHJzL2Uyb0RvYy54bWxQSwECLQAUAAYACAAAACEA03U9&#10;CuAAAAAMAQAADwAAAAAAAAAAAAAAAABmBAAAZHJzL2Rvd25yZXYueG1sUEsFBgAAAAAEAAQA8wAA&#10;AHMFA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46976" behindDoc="0" locked="0" layoutInCell="1" allowOverlap="1" wp14:anchorId="31E3FE35" wp14:editId="129BFCA4">
              <wp:simplePos x="0" y="0"/>
              <wp:positionH relativeFrom="column">
                <wp:posOffset>-900430</wp:posOffset>
              </wp:positionH>
              <wp:positionV relativeFrom="paragraph">
                <wp:posOffset>222250</wp:posOffset>
              </wp:positionV>
              <wp:extent cx="7557135" cy="40894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 xml:space="preserve">Monitoring the </w:t>
                          </w:r>
                          <w:r>
                            <w:rPr>
                              <w:rFonts w:ascii="Arial" w:hAnsi="Arial" w:cs="Arial"/>
                              <w:color w:val="004194"/>
                              <w:sz w:val="20"/>
                            </w:rPr>
                            <w:t>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70.9pt;margin-top:17.5pt;width:595.05pt;height:3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kgZte&#10;DwIAAPsDAAAOAAAAAAAAAAAAAAAAAC4CAABkcnMvZTJvRG9jLnhtbFBLAQItABQABgAIAAAAIQDs&#10;kVbL3wAAAAsBAAAPAAAAAAAAAAAAAAAAAGkEAABkcnMvZG93bnJldi54bWxQSwUGAAAAAAQABADz&#10;AAAAdQU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 xml:space="preserve">Monitoring the </w:t>
                    </w:r>
                    <w:r>
                      <w:rPr>
                        <w:rFonts w:ascii="Arial" w:hAnsi="Arial" w:cs="Arial"/>
                        <w:color w:val="004194"/>
                        <w:sz w:val="20"/>
                      </w:rPr>
                      <w:t>application of European Union law</w:t>
                    </w:r>
                    <w:r>
                      <w:rPr>
                        <w:rFonts w:ascii="Arial" w:hAnsi="Arial" w:cs="Arial"/>
                        <w:color w:val="004194"/>
                        <w:sz w:val="20"/>
                      </w:rPr>
                      <w:br/>
                      <w:t>2017 Annual Report</w:t>
                    </w:r>
                  </w:p>
                </w:txbxContent>
              </v:textbox>
            </v:shape>
          </w:pict>
        </mc:Fallback>
      </mc:AlternateContent>
    </w:r>
    <w:r>
      <w:rPr>
        <w:noProof/>
        <w:lang w:eastAsia="en-GB"/>
      </w:rPr>
      <mc:AlternateContent>
        <mc:Choice Requires="wps">
          <w:drawing>
            <wp:anchor distT="0" distB="0" distL="114300" distR="114300" simplePos="0" relativeHeight="251651072" behindDoc="0" locked="0" layoutInCell="1" allowOverlap="1" wp14:anchorId="0537E856" wp14:editId="4CD8ED07">
              <wp:simplePos x="0" y="0"/>
              <wp:positionH relativeFrom="column">
                <wp:posOffset>4821555</wp:posOffset>
              </wp:positionH>
              <wp:positionV relativeFrom="paragraph">
                <wp:posOffset>300355</wp:posOffset>
              </wp:positionV>
              <wp:extent cx="1835150" cy="219075"/>
              <wp:effectExtent l="0" t="0" r="0" b="952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58FF0B" id="Rectangle 66" o:spid="_x0000_s1026" style="position:absolute;margin-left:379.65pt;margin-top:23.65pt;width:144.5pt;height:1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hrZAIAAMw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GdRqGt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49024" behindDoc="0" locked="0" layoutInCell="1" allowOverlap="1" wp14:anchorId="390A11D1" wp14:editId="525A4475">
              <wp:simplePos x="0" y="0"/>
              <wp:positionH relativeFrom="column">
                <wp:posOffset>-899795</wp:posOffset>
              </wp:positionH>
              <wp:positionV relativeFrom="paragraph">
                <wp:posOffset>300355</wp:posOffset>
              </wp:positionV>
              <wp:extent cx="1803400" cy="219075"/>
              <wp:effectExtent l="0" t="0" r="6350" b="952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059FE3" id="Rectangle 67" o:spid="_x0000_s1026" style="position:absolute;margin-left:-70.85pt;margin-top:23.65pt;width:142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Uz3YgIAAMw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g/FM92ICAADMBAAADgAAAAAAAAAAAAAAAAAuAgAAZHJz&#10;L2Uyb0RvYy54bWxQSwECLQAUAAYACAAAACEAuSfHeeEAAAAKAQAADwAAAAAAAAAAAAAAAAC8BAAA&#10;ZHJzL2Rvd25yZXYueG1sUEsFBgAAAAAEAAQA8wAAAMoFAAAAAA==&#10;" fillcolor="#004194" stroked="f" strokeweight="2pt">
              <v:path arrowok="t"/>
            </v:rect>
          </w:pict>
        </mc:Fallback>
      </mc:AlternateContent>
    </w:r>
  </w:p>
  <w:p w:rsidR="001557B7" w:rsidRDefault="001557B7">
    <w:pPr>
      <w:pStyle w:val="Header"/>
    </w:pPr>
  </w:p>
  <w:p w:rsidR="001557B7" w:rsidRDefault="001557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599872" behindDoc="0" locked="0" layoutInCell="1" allowOverlap="1" wp14:anchorId="6C012BEB" wp14:editId="03FEDA66">
              <wp:simplePos x="0" y="0"/>
              <wp:positionH relativeFrom="column">
                <wp:posOffset>-900430</wp:posOffset>
              </wp:positionH>
              <wp:positionV relativeFrom="paragraph">
                <wp:posOffset>630555</wp:posOffset>
              </wp:positionV>
              <wp:extent cx="7559675" cy="45720"/>
              <wp:effectExtent l="0" t="19050" r="0" b="1143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70.9pt;margin-top:49.65pt;width:595.25pt;height:3.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AeScXY&#10;DgIAAPsDAAAOAAAAAAAAAAAAAAAAAC4CAABkcnMvZTJvRG9jLnhtbFBLAQItABQABgAIAAAAIQDT&#10;dT0K4AAAAAwBAAAPAAAAAAAAAAAAAAAAAGgEAABkcnMvZG93bnJldi54bWxQSwUGAAAAAAQABADz&#10;AAAAdQU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98848" behindDoc="0" locked="0" layoutInCell="1" allowOverlap="1" wp14:anchorId="630D307A" wp14:editId="0C09A5B8">
              <wp:simplePos x="0" y="0"/>
              <wp:positionH relativeFrom="column">
                <wp:posOffset>4821555</wp:posOffset>
              </wp:positionH>
              <wp:positionV relativeFrom="paragraph">
                <wp:posOffset>300355</wp:posOffset>
              </wp:positionV>
              <wp:extent cx="1835150" cy="219075"/>
              <wp:effectExtent l="0" t="0" r="0" b="9525"/>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B70FF8" id="Rectangle 698" o:spid="_x0000_s1026" style="position:absolute;margin-left:379.65pt;margin-top:23.65pt;width:144.5pt;height:17.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QdvrE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97824" behindDoc="0" locked="0" layoutInCell="1" allowOverlap="1" wp14:anchorId="69273ECF" wp14:editId="21A18988">
              <wp:simplePos x="0" y="0"/>
              <wp:positionH relativeFrom="column">
                <wp:posOffset>-900430</wp:posOffset>
              </wp:positionH>
              <wp:positionV relativeFrom="paragraph">
                <wp:posOffset>300355</wp:posOffset>
              </wp:positionV>
              <wp:extent cx="1803400" cy="219075"/>
              <wp:effectExtent l="0" t="0" r="6350" b="9525"/>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78F382" id="Rectangle 699" o:spid="_x0000_s1026" style="position:absolute;margin-left:-70.9pt;margin-top:23.65pt;width:142pt;height:17.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HnpJYpkAgAAzgQAAA4AAAAAAAAAAAAAAAAALgIAAGRy&#10;cy9lMm9Eb2MueG1sUEsBAi0AFAAGAAgAAAAhAIdQo0vgAAAACgEAAA8AAAAAAAAAAAAAAAAAvgQA&#10;AGRycy9kb3ducmV2LnhtbFBLBQYAAAAABAAEAPMAAADLBQ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596800" behindDoc="0" locked="0" layoutInCell="1" allowOverlap="1" wp14:anchorId="4D25E353" wp14:editId="418EB47B">
              <wp:simplePos x="0" y="0"/>
              <wp:positionH relativeFrom="column">
                <wp:posOffset>-899795</wp:posOffset>
              </wp:positionH>
              <wp:positionV relativeFrom="paragraph">
                <wp:posOffset>43815</wp:posOffset>
              </wp:positionV>
              <wp:extent cx="7557135" cy="571500"/>
              <wp:effectExtent l="0" t="0" r="0" b="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1500"/>
                      </a:xfrm>
                      <a:prstGeom prst="rect">
                        <a:avLst/>
                      </a:prstGeom>
                      <a:noFill/>
                      <a:ln w="9525">
                        <a:noFill/>
                        <a:miter lim="800000"/>
                        <a:headEnd/>
                        <a:tailEnd/>
                      </a:ln>
                    </wps:spPr>
                    <wps:txb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Italy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70.85pt;margin-top:3.45pt;width:595.05pt;height: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" filled="f" stroked="f">
              <v:textbox>
                <w:txbxContent>
                  <w:p w:rsidR="001557B7" w:rsidRDefault="00AD3265">
                    <w:pPr>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b/>
                        <w:color w:val="A6A6A6"/>
                        <w:sz w:val="22"/>
                        <w:szCs w:val="22"/>
                      </w:rPr>
                    </w:pPr>
                    <w:r>
                      <w:rPr>
                        <w:rFonts w:ascii="Arial" w:hAnsi="Arial"/>
                        <w:color w:val="A6A6A6"/>
                        <w:sz w:val="22"/>
                      </w:rPr>
                      <w:t>Italy</w:t>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595776" behindDoc="0" locked="0" layoutInCell="1" allowOverlap="1" wp14:anchorId="1AAE978C" wp14:editId="36F88690">
              <wp:simplePos x="0" y="0"/>
              <wp:positionH relativeFrom="column">
                <wp:posOffset>-900430</wp:posOffset>
              </wp:positionH>
              <wp:positionV relativeFrom="paragraph">
                <wp:posOffset>630555</wp:posOffset>
              </wp:positionV>
              <wp:extent cx="7559675" cy="45720"/>
              <wp:effectExtent l="0" t="19050" r="0" b="11430"/>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left:0;text-align:left;margin-left:-70.9pt;margin-top:49.65pt;width:595.25pt;height:3.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DhlqyJCwIA&#10;APsDAAAOAAAAAAAAAAAAAAAAAC4CAABkcnMvZTJvRG9jLnhtbFBLAQItABQABgAIAAAAIQDTdT0K&#10;4AAAAAwBAAAPAAAAAAAAAAAAAAAAAGUEAABkcnMvZG93bnJldi54bWxQSwUGAAAAAAQABADzAAAA&#10;cgU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92704" behindDoc="0" locked="0" layoutInCell="1" allowOverlap="1" wp14:anchorId="774F1EB2" wp14:editId="31599172">
              <wp:simplePos x="0" y="0"/>
              <wp:positionH relativeFrom="column">
                <wp:posOffset>-900430</wp:posOffset>
              </wp:positionH>
              <wp:positionV relativeFrom="paragraph">
                <wp:posOffset>222250</wp:posOffset>
              </wp:positionV>
              <wp:extent cx="7557135" cy="408940"/>
              <wp:effectExtent l="0" t="0" r="0" b="0"/>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70.9pt;margin-top:17.5pt;width:595.05pt;height:32.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m15Y&#10;4BACAAD8AwAADgAAAAAAAAAAAAAAAAAuAgAAZHJzL2Uyb0RvYy54bWxQSwECLQAUAAYACAAAACEA&#10;7JFWy98AAAALAQAADwAAAAAAAAAAAAAAAABqBAAAZHJzL2Rvd25yZXYueG1sUEsFBgAAAAAEAAQA&#10;8wAAAHYFA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r>
      <w:rPr>
        <w:noProof/>
        <w:lang w:eastAsia="en-GB"/>
      </w:rPr>
      <mc:AlternateContent>
        <mc:Choice Requires="wps">
          <w:drawing>
            <wp:anchor distT="0" distB="0" distL="114300" distR="114300" simplePos="0" relativeHeight="251594752" behindDoc="0" locked="0" layoutInCell="1" allowOverlap="1" wp14:anchorId="542D82C7" wp14:editId="70FEE741">
              <wp:simplePos x="0" y="0"/>
              <wp:positionH relativeFrom="column">
                <wp:posOffset>4821555</wp:posOffset>
              </wp:positionH>
              <wp:positionV relativeFrom="paragraph">
                <wp:posOffset>300355</wp:posOffset>
              </wp:positionV>
              <wp:extent cx="1835150" cy="219075"/>
              <wp:effectExtent l="0" t="0" r="0" b="9525"/>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476906" id="Rectangle 702" o:spid="_x0000_s1026" style="position:absolute;margin-left:379.65pt;margin-top:23.65pt;width:144.5pt;height:17.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LmZQ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A6VWLm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93728" behindDoc="0" locked="0" layoutInCell="1" allowOverlap="1" wp14:anchorId="7DFA9614" wp14:editId="115C8C02">
              <wp:simplePos x="0" y="0"/>
              <wp:positionH relativeFrom="column">
                <wp:posOffset>-900430</wp:posOffset>
              </wp:positionH>
              <wp:positionV relativeFrom="paragraph">
                <wp:posOffset>300355</wp:posOffset>
              </wp:positionV>
              <wp:extent cx="1803400" cy="219075"/>
              <wp:effectExtent l="0" t="0" r="6350" b="9525"/>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C38E0B" id="Rectangle 703" o:spid="_x0000_s1026" style="position:absolute;margin-left:-70.9pt;margin-top:23.65pt;width:142pt;height:17.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k8q9qG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44928" behindDoc="0" locked="0" layoutInCell="1" allowOverlap="1" wp14:anchorId="2673DD41" wp14:editId="45FBC6C0">
              <wp:simplePos x="0" y="0"/>
              <wp:positionH relativeFrom="column">
                <wp:posOffset>-900430</wp:posOffset>
              </wp:positionH>
              <wp:positionV relativeFrom="paragraph">
                <wp:posOffset>630555</wp:posOffset>
              </wp:positionV>
              <wp:extent cx="7559675" cy="45720"/>
              <wp:effectExtent l="0" t="19050" r="0" b="1143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70.9pt;margin-top:49.65pt;width:595.2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AVmerVCwIA&#10;APoDAAAOAAAAAAAAAAAAAAAAAC4CAABkcnMvZTJvRG9jLnhtbFBLAQItABQABgAIAAAAIQDTdT0K&#10;4AAAAAwBAAAPAAAAAAAAAAAAAAAAAGUEAABkcnMvZG93bnJldi54bWxQSwUGAAAAAAQABADzAAAA&#10;cgU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41856" behindDoc="0" locked="0" layoutInCell="1" allowOverlap="1" wp14:anchorId="6704A02B" wp14:editId="37818B75">
              <wp:simplePos x="0" y="0"/>
              <wp:positionH relativeFrom="column">
                <wp:posOffset>4821555</wp:posOffset>
              </wp:positionH>
              <wp:positionV relativeFrom="paragraph">
                <wp:posOffset>300355</wp:posOffset>
              </wp:positionV>
              <wp:extent cx="1835150" cy="219075"/>
              <wp:effectExtent l="0" t="0" r="0" b="952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169D2E" id="Rectangle 89" o:spid="_x0000_s1026" style="position:absolute;margin-left:379.65pt;margin-top:23.65pt;width:144.5pt;height:17.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KlI1nN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38784" behindDoc="0" locked="0" layoutInCell="1" allowOverlap="1" wp14:anchorId="7FCFC850" wp14:editId="6144A9D5">
              <wp:simplePos x="0" y="0"/>
              <wp:positionH relativeFrom="column">
                <wp:posOffset>-899795</wp:posOffset>
              </wp:positionH>
              <wp:positionV relativeFrom="paragraph">
                <wp:posOffset>300355</wp:posOffset>
              </wp:positionV>
              <wp:extent cx="1803400" cy="219075"/>
              <wp:effectExtent l="0" t="0" r="6350" b="952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292779" id="Rectangle 90" o:spid="_x0000_s1026" style="position:absolute;margin-left:-70.85pt;margin-top:23.65pt;width:142pt;height:1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TpPFVGICAADMBAAADgAAAAAAAAAAAAAAAAAuAgAAZHJz&#10;L2Uyb0RvYy54bWxQSwECLQAUAAYACAAAACEAuSfHeeEAAAAKAQAADwAAAAAAAAAAAAAAAAC8BAAA&#10;ZHJzL2Rvd25yZXYueG1sUEsFBgAAAAAEAAQA8wAAAMoFA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637760" behindDoc="0" locked="0" layoutInCell="1" allowOverlap="1" wp14:anchorId="22344B7D" wp14:editId="4B40BE98">
              <wp:simplePos x="0" y="0"/>
              <wp:positionH relativeFrom="column">
                <wp:posOffset>-899795</wp:posOffset>
              </wp:positionH>
              <wp:positionV relativeFrom="paragraph">
                <wp:posOffset>43815</wp:posOffset>
              </wp:positionV>
              <wp:extent cx="7557135" cy="61722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color w:val="004194"/>
                              <w:sz w:val="20"/>
                            </w:rPr>
                          </w:pPr>
                          <w:r>
                            <w:rPr>
                              <w:rFonts w:ascii="Arial" w:hAnsi="Arial"/>
                              <w:color w:val="A6A6A6"/>
                              <w:sz w:val="22"/>
                            </w:rPr>
                            <w:t>Cyprus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70.85pt;margin-top:3.45pt;width:595.05pt;height:48.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color w:val="004194"/>
                        <w:sz w:val="20"/>
                      </w:rPr>
                    </w:pPr>
                    <w:r>
                      <w:rPr>
                        <w:rFonts w:ascii="Arial" w:hAnsi="Arial"/>
                        <w:color w:val="A6A6A6"/>
                        <w:sz w:val="22"/>
                      </w:rPr>
                      <w:t>Cyprus</w:t>
                    </w:r>
                  </w:p>
                </w:txbxContent>
              </v:textbox>
            </v:shape>
          </w:pict>
        </mc:Fallback>
      </mc:AlternateContent>
    </w:r>
  </w:p>
  <w:p w:rsidR="001557B7" w:rsidRDefault="001557B7">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36736" behindDoc="0" locked="0" layoutInCell="1" allowOverlap="1" wp14:anchorId="0DDCB24D" wp14:editId="66B0E8B8">
              <wp:simplePos x="0" y="0"/>
              <wp:positionH relativeFrom="column">
                <wp:posOffset>-900430</wp:posOffset>
              </wp:positionH>
              <wp:positionV relativeFrom="paragraph">
                <wp:posOffset>630555</wp:posOffset>
              </wp:positionV>
              <wp:extent cx="7559675" cy="45720"/>
              <wp:effectExtent l="0" t="19050" r="0" b="1143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left:0;text-align:left;margin-left:-70.9pt;margin-top:49.65pt;width:595.25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54SUaQwC&#10;AAD7AwAADgAAAAAAAAAAAAAAAAAuAgAAZHJzL2Uyb0RvYy54bWxQSwECLQAUAAYACAAAACEA03U9&#10;CuAAAAAMAQAADwAAAAAAAAAAAAAAAABmBAAAZHJzL2Rvd25yZXYueG1sUEsFBgAAAAAEAAQA8wAA&#10;AHMFA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33664" behindDoc="0" locked="0" layoutInCell="1" allowOverlap="1" wp14:anchorId="2BDCD641" wp14:editId="5214354F">
              <wp:simplePos x="0" y="0"/>
              <wp:positionH relativeFrom="column">
                <wp:posOffset>-900430</wp:posOffset>
              </wp:positionH>
              <wp:positionV relativeFrom="paragraph">
                <wp:posOffset>222250</wp:posOffset>
              </wp:positionV>
              <wp:extent cx="7557135" cy="408940"/>
              <wp:effectExtent l="0" t="0" r="0"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70.9pt;margin-top:17.5pt;width:595.05pt;height:32.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C2Nd&#10;HRACAAD8AwAADgAAAAAAAAAAAAAAAAAuAgAAZHJzL2Uyb0RvYy54bWxQSwECLQAUAAYACAAAACEA&#10;7JFWy98AAAALAQAADwAAAAAAAAAAAAAAAABqBAAAZHJzL2Rvd25yZXYueG1sUEsFBgAAAAAEAAQA&#10;8wAAAHYFA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r>
      <w:rPr>
        <w:noProof/>
        <w:lang w:eastAsia="en-GB"/>
      </w:rPr>
      <mc:AlternateContent>
        <mc:Choice Requires="wps">
          <w:drawing>
            <wp:anchor distT="0" distB="0" distL="114300" distR="114300" simplePos="0" relativeHeight="251635712" behindDoc="0" locked="0" layoutInCell="1" allowOverlap="1" wp14:anchorId="6C4DEC4A" wp14:editId="046ED5DD">
              <wp:simplePos x="0" y="0"/>
              <wp:positionH relativeFrom="column">
                <wp:posOffset>4821555</wp:posOffset>
              </wp:positionH>
              <wp:positionV relativeFrom="paragraph">
                <wp:posOffset>300355</wp:posOffset>
              </wp:positionV>
              <wp:extent cx="1835150" cy="219075"/>
              <wp:effectExtent l="0" t="0" r="0" b="9525"/>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977805" id="Rectangle 412" o:spid="_x0000_s1026" style="position:absolute;margin-left:379.65pt;margin-top:23.65pt;width:144.5pt;height:17.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AirWxI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34688" behindDoc="0" locked="0" layoutInCell="1" allowOverlap="1" wp14:anchorId="2B0F1FE1" wp14:editId="7E46D519">
              <wp:simplePos x="0" y="0"/>
              <wp:positionH relativeFrom="column">
                <wp:posOffset>-900430</wp:posOffset>
              </wp:positionH>
              <wp:positionV relativeFrom="paragraph">
                <wp:posOffset>300355</wp:posOffset>
              </wp:positionV>
              <wp:extent cx="1803400" cy="219075"/>
              <wp:effectExtent l="0" t="0" r="6350" b="9525"/>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D3C547" id="Rectangle 413" o:spid="_x0000_s1026" style="position:absolute;margin-left:-70.9pt;margin-top:23.65pt;width:142pt;height:17.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IsyswZkAgAAzg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12512" behindDoc="0" locked="0" layoutInCell="1" allowOverlap="1" wp14:anchorId="7E6A2287" wp14:editId="48BB9E63">
              <wp:simplePos x="0" y="0"/>
              <wp:positionH relativeFrom="column">
                <wp:posOffset>-900430</wp:posOffset>
              </wp:positionH>
              <wp:positionV relativeFrom="paragraph">
                <wp:posOffset>630555</wp:posOffset>
              </wp:positionV>
              <wp:extent cx="7559675" cy="45720"/>
              <wp:effectExtent l="0" t="19050" r="0" b="1143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left:0;text-align:left;margin-left:-70.9pt;margin-top:49.65pt;width:595.2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uZbyBwwC&#10;AAD6AwAADgAAAAAAAAAAAAAAAAAuAgAAZHJzL2Uyb0RvYy54bWxQSwECLQAUAAYACAAAACEA03U9&#10;CuAAAAAMAQAADwAAAAAAAAAAAAAAAABmBAAAZHJzL2Rvd25yZXYueG1sUEsFBgAAAAAEAAQA8wAA&#10;AHMFA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60B813DB" wp14:editId="10DE94E0">
              <wp:simplePos x="0" y="0"/>
              <wp:positionH relativeFrom="column">
                <wp:posOffset>4821555</wp:posOffset>
              </wp:positionH>
              <wp:positionV relativeFrom="paragraph">
                <wp:posOffset>300355</wp:posOffset>
              </wp:positionV>
              <wp:extent cx="1835150" cy="219075"/>
              <wp:effectExtent l="0" t="0" r="0" b="952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4E7CC4" id="Rectangle 98" o:spid="_x0000_s1026" style="position:absolute;margin-left:379.65pt;margin-top:23.65pt;width:144.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Oke4ZR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707392" behindDoc="0" locked="0" layoutInCell="1" allowOverlap="1" wp14:anchorId="46020075" wp14:editId="55D8735A">
              <wp:simplePos x="0" y="0"/>
              <wp:positionH relativeFrom="column">
                <wp:posOffset>-899795</wp:posOffset>
              </wp:positionH>
              <wp:positionV relativeFrom="paragraph">
                <wp:posOffset>300355</wp:posOffset>
              </wp:positionV>
              <wp:extent cx="1803400" cy="219075"/>
              <wp:effectExtent l="0" t="0" r="6350" b="952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7B211A" id="Rectangle 111" o:spid="_x0000_s1026" style="position:absolute;margin-left:-70.85pt;margin-top:23.65pt;width:142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705344" behindDoc="0" locked="0" layoutInCell="1" allowOverlap="1" wp14:anchorId="6BCE1E48" wp14:editId="5D6CA126">
              <wp:simplePos x="0" y="0"/>
              <wp:positionH relativeFrom="column">
                <wp:posOffset>-899795</wp:posOffset>
              </wp:positionH>
              <wp:positionV relativeFrom="paragraph">
                <wp:posOffset>43815</wp:posOffset>
              </wp:positionV>
              <wp:extent cx="7557135" cy="61722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color w:val="004194"/>
                              <w:sz w:val="20"/>
                            </w:rPr>
                          </w:pPr>
                          <w:r>
                            <w:rPr>
                              <w:rFonts w:ascii="Arial" w:hAnsi="Arial"/>
                              <w:color w:val="A6A6A6"/>
                              <w:sz w:val="22"/>
                            </w:rPr>
                            <w:t>Latvia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70.85pt;margin-top:3.45pt;width:595.05pt;height:48.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color w:val="004194"/>
                        <w:sz w:val="20"/>
                      </w:rPr>
                    </w:pPr>
                    <w:r>
                      <w:rPr>
                        <w:rFonts w:ascii="Arial" w:hAnsi="Arial"/>
                        <w:color w:val="A6A6A6"/>
                        <w:sz w:val="22"/>
                      </w:rPr>
                      <w:t>Latvia</w:t>
                    </w:r>
                  </w:p>
                </w:txbxContent>
              </v:textbox>
            </v:shape>
          </w:pict>
        </mc:Fallback>
      </mc:AlternateContent>
    </w:r>
  </w:p>
  <w:p w:rsidR="001557B7" w:rsidRDefault="001557B7">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20704" behindDoc="0" locked="0" layoutInCell="1" allowOverlap="1" wp14:anchorId="2B6F0559" wp14:editId="5D2CF94D">
              <wp:simplePos x="0" y="0"/>
              <wp:positionH relativeFrom="column">
                <wp:posOffset>-900430</wp:posOffset>
              </wp:positionH>
              <wp:positionV relativeFrom="paragraph">
                <wp:posOffset>630555</wp:posOffset>
              </wp:positionV>
              <wp:extent cx="7559675" cy="45720"/>
              <wp:effectExtent l="0" t="19050" r="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left:0;text-align:left;margin-left:-70.9pt;margin-top:49.65pt;width:595.2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DkdA7LCwIA&#10;APkDAAAOAAAAAAAAAAAAAAAAAC4CAABkcnMvZTJvRG9jLnhtbFBLAQItABQABgAIAAAAIQDTdT0K&#10;4AAAAAwBAAAPAAAAAAAAAAAAAAAAAGUEAABkcnMvZG93bnJldi54bWxQSwUGAAAAAAQABADzAAAA&#10;cgU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2164F43D" wp14:editId="38FA85E7">
              <wp:simplePos x="0" y="0"/>
              <wp:positionH relativeFrom="column">
                <wp:posOffset>-900430</wp:posOffset>
              </wp:positionH>
              <wp:positionV relativeFrom="paragraph">
                <wp:posOffset>222250</wp:posOffset>
              </wp:positionV>
              <wp:extent cx="7557135" cy="4089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70.9pt;margin-top:17.5pt;width:595.05pt;height:3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YSX25&#10;DwIAAPoDAAAOAAAAAAAAAAAAAAAAAC4CAABkcnMvZTJvRG9jLnhtbFBLAQItABQABgAIAAAAIQDs&#10;kVbL3wAAAAsBAAAPAAAAAAAAAAAAAAAAAGkEAABkcnMvZG93bnJldi54bWxQSwUGAAAAAAQABADz&#10;AAAAdQU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14:anchorId="7DEFBC2A" wp14:editId="7112A1DF">
              <wp:simplePos x="0" y="0"/>
              <wp:positionH relativeFrom="column">
                <wp:posOffset>4821555</wp:posOffset>
              </wp:positionH>
              <wp:positionV relativeFrom="paragraph">
                <wp:posOffset>300355</wp:posOffset>
              </wp:positionV>
              <wp:extent cx="1835150" cy="219075"/>
              <wp:effectExtent l="0" t="0" r="0"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7FF2E5" id="Rectangle 4" o:spid="_x0000_s1026" style="position:absolute;margin-left:379.65pt;margin-top:23.65pt;width:144.5pt;height: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N60Q/2MCAADK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716608" behindDoc="0" locked="0" layoutInCell="1" allowOverlap="1" wp14:anchorId="72D8E98F" wp14:editId="06851567">
              <wp:simplePos x="0" y="0"/>
              <wp:positionH relativeFrom="column">
                <wp:posOffset>-900430</wp:posOffset>
              </wp:positionH>
              <wp:positionV relativeFrom="paragraph">
                <wp:posOffset>300355</wp:posOffset>
              </wp:positionV>
              <wp:extent cx="1803400" cy="219075"/>
              <wp:effectExtent l="0" t="0" r="635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A02C6A" id="Rectangle 6" o:spid="_x0000_s1026" style="position:absolute;margin-left:-70.9pt;margin-top:23.65pt;width:142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bYQIAAMo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" fillcolor="#004194" stroked="f" strokeweight="2pt">
              <v:path arrowok="t"/>
            </v:rect>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17280" behindDoc="0" locked="0" layoutInCell="1" allowOverlap="1" wp14:anchorId="748F217C" wp14:editId="32048B0F">
              <wp:simplePos x="0" y="0"/>
              <wp:positionH relativeFrom="column">
                <wp:posOffset>-900430</wp:posOffset>
              </wp:positionH>
              <wp:positionV relativeFrom="paragraph">
                <wp:posOffset>630555</wp:posOffset>
              </wp:positionV>
              <wp:extent cx="7559675" cy="45720"/>
              <wp:effectExtent l="0" t="19050" r="0"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0.9pt;margin-top:49.65pt;width:595.25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19328" behindDoc="0" locked="0" layoutInCell="1" allowOverlap="1" wp14:anchorId="73577F69" wp14:editId="7EBFCB7D">
              <wp:simplePos x="0" y="0"/>
              <wp:positionH relativeFrom="column">
                <wp:posOffset>4821555</wp:posOffset>
              </wp:positionH>
              <wp:positionV relativeFrom="paragraph">
                <wp:posOffset>300355</wp:posOffset>
              </wp:positionV>
              <wp:extent cx="1835150" cy="219075"/>
              <wp:effectExtent l="0" t="0" r="0"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559FC6" id="Rectangle 17" o:spid="_x0000_s1026" style="position:absolute;margin-left:379.65pt;margin-top:23.65pt;width:144.5pt;height:17.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E1MPQmMCAADM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21376" behindDoc="0" locked="0" layoutInCell="1" allowOverlap="1" wp14:anchorId="1EEE6D47" wp14:editId="3BE301CD">
              <wp:simplePos x="0" y="0"/>
              <wp:positionH relativeFrom="column">
                <wp:posOffset>-899795</wp:posOffset>
              </wp:positionH>
              <wp:positionV relativeFrom="paragraph">
                <wp:posOffset>300355</wp:posOffset>
              </wp:positionV>
              <wp:extent cx="1803400" cy="219075"/>
              <wp:effectExtent l="0" t="0" r="635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EC6638" id="Rectangle 18" o:spid="_x0000_s1026" style="position:absolute;margin-left:-70.85pt;margin-top:23.65pt;width:142pt;height:17.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Sji7AGICAADMBAAADgAAAAAAAAAAAAAAAAAuAgAAZHJz&#10;L2Uyb0RvYy54bWxQSwECLQAUAAYACAAAACEAuSfHeeEAAAAKAQAADwAAAAAAAAAAAAAAAAC8BAAA&#10;ZHJzL2Rvd25yZXYueG1sUEsFBgAAAAAEAAQA8wAAAMoFA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623424" behindDoc="0" locked="0" layoutInCell="1" allowOverlap="1" wp14:anchorId="0EC8FA7B" wp14:editId="4F3DEE77">
              <wp:simplePos x="0" y="0"/>
              <wp:positionH relativeFrom="column">
                <wp:posOffset>-899795</wp:posOffset>
              </wp:positionH>
              <wp:positionV relativeFrom="paragraph">
                <wp:posOffset>43815</wp:posOffset>
              </wp:positionV>
              <wp:extent cx="7557135" cy="5410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4102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rsidR="001557B7" w:rsidRDefault="00AD3265">
                          <w:pPr>
                            <w:spacing w:after="0"/>
                            <w:jc w:val="center"/>
                            <w:rPr>
                              <w:rFonts w:ascii="Arial" w:hAnsi="Arial" w:cs="Arial"/>
                              <w:color w:val="004194"/>
                              <w:sz w:val="20"/>
                            </w:rPr>
                          </w:pPr>
                          <w:r>
                            <w:rPr>
                              <w:rFonts w:ascii="Arial" w:hAnsi="Arial"/>
                              <w:color w:val="A6A6A6"/>
                              <w:sz w:val="22"/>
                            </w:rPr>
                            <w:t>Belgium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85pt;margin-top:3.45pt;width:595.05pt;height:42.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rsidR="001557B7" w:rsidRDefault="00AD3265">
                    <w:pPr>
                      <w:spacing w:after="0"/>
                      <w:jc w:val="center"/>
                      <w:rPr>
                        <w:rFonts w:ascii="Arial" w:hAnsi="Arial" w:cs="Arial"/>
                        <w:color w:val="004194"/>
                        <w:sz w:val="20"/>
                      </w:rPr>
                    </w:pPr>
                    <w:r>
                      <w:rPr>
                        <w:rFonts w:ascii="Arial" w:hAnsi="Arial"/>
                        <w:color w:val="A6A6A6"/>
                        <w:sz w:val="22"/>
                      </w:rPr>
                      <w:t>Belgium</w:t>
                    </w:r>
                  </w:p>
                </w:txbxContent>
              </v:textbox>
            </v:shape>
          </w:pict>
        </mc:Fallback>
      </mc:AlternateContent>
    </w:r>
  </w:p>
  <w:p w:rsidR="001557B7" w:rsidRDefault="001557B7">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left:0;text-align:left;margin-left:-70.9pt;margin-top:49.65pt;width:595.2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4A62D4" id="Rectangle 7" o:spid="_x0000_s1026" style="position:absolute;margin-left:379.65pt;margin-top:23.65pt;width:144.5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xqu/MWMCAADK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7336D3" id="Rectangle 8" o:spid="_x0000_s1026" style="position:absolute;margin-left:-70.85pt;margin-top:23.65pt;width:142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-899795</wp:posOffset>
              </wp:positionH>
              <wp:positionV relativeFrom="paragraph">
                <wp:posOffset>43815</wp:posOffset>
              </wp:positionV>
              <wp:extent cx="7557135" cy="6172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color w:val="004194"/>
                              <w:sz w:val="20"/>
                            </w:rPr>
                          </w:pPr>
                          <w:r>
                            <w:rPr>
                              <w:rFonts w:ascii="Arial" w:hAnsi="Arial"/>
                              <w:color w:val="A6A6A6"/>
                              <w:sz w:val="22"/>
                            </w:rPr>
                            <w:t>Lithuania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70.85pt;margin-top:3.45pt;width:595.05pt;height:4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2017 Annual Report</w:t>
                    </w:r>
                  </w:p>
                  <w:p w:rsidR="001557B7" w:rsidRDefault="00AD3265">
                    <w:pPr>
                      <w:spacing w:after="0"/>
                      <w:jc w:val="center"/>
                      <w:rPr>
                        <w:rFonts w:ascii="Arial" w:hAnsi="Arial" w:cs="Arial"/>
                        <w:color w:val="004194"/>
                        <w:sz w:val="20"/>
                      </w:rPr>
                    </w:pPr>
                    <w:r>
                      <w:rPr>
                        <w:rFonts w:ascii="Arial" w:hAnsi="Arial"/>
                        <w:color w:val="A6A6A6"/>
                        <w:sz w:val="22"/>
                      </w:rPr>
                      <w:t>Lithuania</w:t>
                    </w:r>
                  </w:p>
                </w:txbxContent>
              </v:textbox>
            </v:shape>
          </w:pict>
        </mc:Fallback>
      </mc:AlternateContent>
    </w:r>
  </w:p>
  <w:p w:rsidR="001557B7" w:rsidRDefault="001557B7">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rPr>
        <w:rFonts w:ascii="Arial" w:hAnsi="Arial" w:cs="Arial"/>
        <w:sz w:val="22"/>
        <w:szCs w:val="22"/>
      </w:rPr>
    </w:pP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left:0;text-align:left;margin-left:-70.9pt;margin-top:49.65pt;width:595.2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5G3IGgwC&#10;AAD7AwAADgAAAAAAAAAAAAAAAAAuAgAAZHJzL2Uyb0RvYy54bWxQSwECLQAUAAYACAAAACEA03U9&#10;CuAAAAAMAQAADwAAAAAAAAAAAAAAAABmBAAAZHJzL2Rvd25yZXYueG1sUEsFBgAAAAAEAAQA8wAA&#10;AHMFA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 xml:space="preserve">Monitoring the </w:t>
                          </w:r>
                          <w:r>
                            <w:rPr>
                              <w:rFonts w:ascii="Arial" w:hAnsi="Arial" w:cs="Arial"/>
                              <w:color w:val="004194"/>
                              <w:sz w:val="20"/>
                            </w:rPr>
                            <w:t>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70.9pt;margin-top:17.5pt;width:595.05pt;height:3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zKV/&#10;jRACAAD8AwAADgAAAAAAAAAAAAAAAAAuAgAAZHJzL2Uyb0RvYy54bWxQSwECLQAUAAYACAAAACEA&#10;7JFWy98AAAALAQAADwAAAAAAAAAAAAAAAABqBAAAZHJzL2Rvd25yZXYueG1sUEsFBgAAAAAEAAQA&#10;8wAAAHYFA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 xml:space="preserve">Monitoring the </w:t>
                    </w:r>
                    <w:r>
                      <w:rPr>
                        <w:rFonts w:ascii="Arial" w:hAnsi="Arial" w:cs="Arial"/>
                        <w:color w:val="004194"/>
                        <w:sz w:val="20"/>
                      </w:rPr>
                      <w:t>application of European Union Law</w:t>
                    </w:r>
                    <w:r>
                      <w:rPr>
                        <w:rFonts w:ascii="Arial" w:hAnsi="Arial" w:cs="Arial"/>
                        <w:color w:val="004194"/>
                        <w:sz w:val="20"/>
                      </w:rPr>
                      <w:br/>
                      <w:t>2016 Annual Report</w:t>
                    </w:r>
                  </w:p>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88C019" id="Rectangle 201" o:spid="_x0000_s1026" style="position:absolute;margin-left:379.65pt;margin-top:23.65pt;width:144.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WJYw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curViWMCAADO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20C470" id="Rectangle 204" o:spid="_x0000_s1026" style="position:absolute;margin-left:-70.9pt;margin-top:23.65pt;width:142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Ai09C5kAgAAzg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25472" behindDoc="0" locked="0" layoutInCell="1" allowOverlap="1" wp14:anchorId="15F22466" wp14:editId="056B1661">
              <wp:simplePos x="0" y="0"/>
              <wp:positionH relativeFrom="column">
                <wp:posOffset>-900430</wp:posOffset>
              </wp:positionH>
              <wp:positionV relativeFrom="paragraph">
                <wp:posOffset>630555</wp:posOffset>
              </wp:positionV>
              <wp:extent cx="7559675" cy="45720"/>
              <wp:effectExtent l="0" t="19050" r="0"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0.9pt;margin-top:49.65pt;width:595.25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AzncjyCwIA&#10;APkDAAAOAAAAAAAAAAAAAAAAAC4CAABkcnMvZTJvRG9jLnhtbFBLAQItABQABgAIAAAAIQDTdT0K&#10;4AAAAAwBAAAPAAAAAAAAAAAAAAAAAGUEAABkcnMvZG93bnJldi54bWxQSwUGAAAAAAQABADzAAAA&#10;cgU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27520" behindDoc="0" locked="0" layoutInCell="1" allowOverlap="1" wp14:anchorId="784638FD" wp14:editId="39053321">
              <wp:simplePos x="0" y="0"/>
              <wp:positionH relativeFrom="column">
                <wp:posOffset>4821555</wp:posOffset>
              </wp:positionH>
              <wp:positionV relativeFrom="paragraph">
                <wp:posOffset>300355</wp:posOffset>
              </wp:positionV>
              <wp:extent cx="1835150" cy="219075"/>
              <wp:effectExtent l="0" t="0" r="0"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F8F122" id="Rectangle 25" o:spid="_x0000_s1026" style="position:absolute;margin-left:379.65pt;margin-top:23.65pt;width:144.5pt;height:1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BviB8N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29568" behindDoc="0" locked="0" layoutInCell="1" allowOverlap="1" wp14:anchorId="17873E26" wp14:editId="3A680462">
              <wp:simplePos x="0" y="0"/>
              <wp:positionH relativeFrom="column">
                <wp:posOffset>-899795</wp:posOffset>
              </wp:positionH>
              <wp:positionV relativeFrom="paragraph">
                <wp:posOffset>300355</wp:posOffset>
              </wp:positionV>
              <wp:extent cx="1803400" cy="219075"/>
              <wp:effectExtent l="0" t="0" r="6350" b="95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D893FC" id="Rectangle 26" o:spid="_x0000_s1026" style="position:absolute;margin-left:-70.85pt;margin-top:23.65pt;width:142pt;height:17.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7dmjuWICAADMBAAADgAAAAAAAAAAAAAAAAAuAgAAZHJz&#10;L2Uyb0RvYy54bWxQSwECLQAUAAYACAAAACEAuSfHeeEAAAAKAQAADwAAAAAAAAAAAAAAAAC8BAAA&#10;ZHJzL2Rvd25yZXYueG1sUEsFBgAAAAAEAAQA8wAAAMoFA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631616" behindDoc="0" locked="0" layoutInCell="1" allowOverlap="1" wp14:anchorId="437CEF81" wp14:editId="2AFD01C7">
              <wp:simplePos x="0" y="0"/>
              <wp:positionH relativeFrom="column">
                <wp:posOffset>-897255</wp:posOffset>
              </wp:positionH>
              <wp:positionV relativeFrom="paragraph">
                <wp:posOffset>33655</wp:posOffset>
              </wp:positionV>
              <wp:extent cx="7557135" cy="4191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1910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0.65pt;margin-top:2.65pt;width:595.05pt;height:3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v:textbox>
            </v:shape>
          </w:pict>
        </mc:Fallback>
      </mc:AlternateContent>
    </w:r>
  </w:p>
  <w:p w:rsidR="001557B7" w:rsidRDefault="001557B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1557B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93056" behindDoc="0" locked="0" layoutInCell="1" allowOverlap="1" wp14:anchorId="6A46E9F9" wp14:editId="3D8AF4C3">
              <wp:simplePos x="0" y="0"/>
              <wp:positionH relativeFrom="column">
                <wp:posOffset>-900430</wp:posOffset>
              </wp:positionH>
              <wp:positionV relativeFrom="paragraph">
                <wp:posOffset>630555</wp:posOffset>
              </wp:positionV>
              <wp:extent cx="7559675" cy="45720"/>
              <wp:effectExtent l="0" t="19050" r="0" b="114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70.9pt;margin-top:49.65pt;width:595.2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A/V1OYCwIA&#10;APkDAAAOAAAAAAAAAAAAAAAAAC4CAABkcnMvZTJvRG9jLnhtbFBLAQItABQABgAIAAAAIQDTdT0K&#10;4AAAAAwBAAAPAAAAAAAAAAAAAAAAAGUEAABkcnMvZG93bnJldi54bWxQSwUGAAAAAAQABADzAAAA&#10;cgU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16DCA79F" wp14:editId="2A173CE1">
              <wp:simplePos x="0" y="0"/>
              <wp:positionH relativeFrom="column">
                <wp:posOffset>4821555</wp:posOffset>
              </wp:positionH>
              <wp:positionV relativeFrom="paragraph">
                <wp:posOffset>300355</wp:posOffset>
              </wp:positionV>
              <wp:extent cx="1835150" cy="219075"/>
              <wp:effectExtent l="0" t="0" r="0"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A08A31" id="Rectangle 20" o:spid="_x0000_s1026" style="position:absolute;margin-left:379.65pt;margin-top:23.65pt;width:144.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9enYwIAAMw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95/Xp2MCAADM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95104" behindDoc="0" locked="0" layoutInCell="1" allowOverlap="1" wp14:anchorId="58874D77" wp14:editId="59B3C43E">
              <wp:simplePos x="0" y="0"/>
              <wp:positionH relativeFrom="column">
                <wp:posOffset>-899795</wp:posOffset>
              </wp:positionH>
              <wp:positionV relativeFrom="paragraph">
                <wp:posOffset>300355</wp:posOffset>
              </wp:positionV>
              <wp:extent cx="1803400" cy="219075"/>
              <wp:effectExtent l="0" t="0" r="6350"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DEEDE7" id="Rectangle 21" o:spid="_x0000_s1026" style="position:absolute;margin-left:-70.85pt;margin-top:23.65pt;width:142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Ez8zO2ICAADMBAAADgAAAAAAAAAAAAAAAAAuAgAAZHJz&#10;L2Uyb0RvYy54bWxQSwECLQAUAAYACAAAACEAuSfHeeEAAAAKAQAADwAAAAAAAAAAAAAAAAC8BAAA&#10;ZHJzL2Rvd25yZXYueG1sUEsFBgAAAAAEAAQA8wAAAMoFA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696128" behindDoc="0" locked="0" layoutInCell="1" allowOverlap="1" wp14:anchorId="607C5B95" wp14:editId="1DD253E6">
              <wp:simplePos x="0" y="0"/>
              <wp:positionH relativeFrom="column">
                <wp:posOffset>-899795</wp:posOffset>
              </wp:positionH>
              <wp:positionV relativeFrom="paragraph">
                <wp:posOffset>43815</wp:posOffset>
              </wp:positionV>
              <wp:extent cx="7557135" cy="5410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4102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1557B7" w:rsidRDefault="00AD3265">
                          <w:pPr>
                            <w:spacing w:after="0"/>
                            <w:jc w:val="center"/>
                            <w:rPr>
                              <w:rFonts w:ascii="Arial" w:hAnsi="Arial" w:cs="Arial"/>
                              <w:color w:val="004194"/>
                              <w:sz w:val="20"/>
                            </w:rPr>
                          </w:pPr>
                          <w:r>
                            <w:rPr>
                              <w:rFonts w:ascii="Arial" w:hAnsi="Arial"/>
                              <w:color w:val="A6A6A6"/>
                              <w:sz w:val="22"/>
                            </w:rPr>
                            <w:t>Belgium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0.85pt;margin-top:3.45pt;width:595.05pt;height:4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1557B7" w:rsidRDefault="00AD3265">
                    <w:pPr>
                      <w:spacing w:after="0"/>
                      <w:jc w:val="center"/>
                      <w:rPr>
                        <w:rFonts w:ascii="Arial" w:hAnsi="Arial" w:cs="Arial"/>
                        <w:color w:val="004194"/>
                        <w:sz w:val="20"/>
                      </w:rPr>
                    </w:pPr>
                    <w:r>
                      <w:rPr>
                        <w:rFonts w:ascii="Arial" w:hAnsi="Arial"/>
                        <w:color w:val="A6A6A6"/>
                        <w:sz w:val="22"/>
                      </w:rPr>
                      <w:t>Belgium</w:t>
                    </w:r>
                  </w:p>
                </w:txbxContent>
              </v:textbox>
            </v:shape>
          </w:pict>
        </mc:Fallback>
      </mc:AlternateContent>
    </w:r>
  </w:p>
  <w:p w:rsidR="001557B7" w:rsidRDefault="001557B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7" w:rsidRDefault="00AD3265">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86912" behindDoc="0" locked="0" layoutInCell="1" allowOverlap="1" wp14:anchorId="28E96032" wp14:editId="1C1C1623">
              <wp:simplePos x="0" y="0"/>
              <wp:positionH relativeFrom="column">
                <wp:posOffset>-900430</wp:posOffset>
              </wp:positionH>
              <wp:positionV relativeFrom="paragraph">
                <wp:posOffset>630555</wp:posOffset>
              </wp:positionV>
              <wp:extent cx="7559675" cy="45720"/>
              <wp:effectExtent l="0" t="19050" r="0"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1557B7" w:rsidRDefault="001557B7">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70.9pt;margin-top:49.65pt;width:595.2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" filled="f" stroked="f">
              <v:textbox>
                <w:txbxContent>
                  <w:p w:rsidR="001557B7" w:rsidRDefault="001557B7">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7C8A0A7D" wp14:editId="56C14C14">
              <wp:simplePos x="0" y="0"/>
              <wp:positionH relativeFrom="column">
                <wp:posOffset>4821555</wp:posOffset>
              </wp:positionH>
              <wp:positionV relativeFrom="paragraph">
                <wp:posOffset>300355</wp:posOffset>
              </wp:positionV>
              <wp:extent cx="1835150" cy="219075"/>
              <wp:effectExtent l="0" t="0" r="0"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64922B" id="Rectangle 11" o:spid="_x0000_s1026" style="position:absolute;margin-left:379.65pt;margin-top:23.65pt;width:144.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ZPi/s2MCAADM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89984" behindDoc="0" locked="0" layoutInCell="1" allowOverlap="1" wp14:anchorId="5090800B" wp14:editId="528D0B99">
              <wp:simplePos x="0" y="0"/>
              <wp:positionH relativeFrom="column">
                <wp:posOffset>-899795</wp:posOffset>
              </wp:positionH>
              <wp:positionV relativeFrom="paragraph">
                <wp:posOffset>300355</wp:posOffset>
              </wp:positionV>
              <wp:extent cx="1803400" cy="219075"/>
              <wp:effectExtent l="0" t="0" r="6350"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61FB00" id="Rectangle 12" o:spid="_x0000_s1026" style="position:absolute;margin-left:-70.85pt;margin-top:23.65pt;width:142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ksMbyWICAADMBAAADgAAAAAAAAAAAAAAAAAuAgAAZHJz&#10;L2Uyb0RvYy54bWxQSwECLQAUAAYACAAAACEAuSfHeeEAAAAKAQAADwAAAAAAAAAAAAAAAAC8BAAA&#10;ZHJzL2Rvd25yZXYueG1sUEsFBgAAAAAEAAQA8wAAAMoFAAAAAA==&#10;" fillcolor="#004194" stroked="f" strokeweight="2pt">
              <v:path arrowok="t"/>
            </v:rect>
          </w:pict>
        </mc:Fallback>
      </mc:AlternateContent>
    </w:r>
  </w:p>
  <w:p w:rsidR="001557B7" w:rsidRDefault="00AD3265">
    <w:pPr>
      <w:pStyle w:val="Header"/>
    </w:pPr>
    <w:r>
      <w:rPr>
        <w:noProof/>
        <w:lang w:eastAsia="en-GB"/>
      </w:rPr>
      <mc:AlternateContent>
        <mc:Choice Requires="wps">
          <w:drawing>
            <wp:anchor distT="0" distB="0" distL="114300" distR="114300" simplePos="0" relativeHeight="251691008" behindDoc="0" locked="0" layoutInCell="1" allowOverlap="1" wp14:anchorId="0802D21D" wp14:editId="6F435ABB">
              <wp:simplePos x="0" y="0"/>
              <wp:positionH relativeFrom="column">
                <wp:posOffset>-899795</wp:posOffset>
              </wp:positionH>
              <wp:positionV relativeFrom="paragraph">
                <wp:posOffset>43815</wp:posOffset>
              </wp:positionV>
              <wp:extent cx="7557135" cy="4191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19100"/>
                      </a:xfrm>
                      <a:prstGeom prst="rect">
                        <a:avLst/>
                      </a:prstGeom>
                      <a:noFill/>
                      <a:ln w="9525">
                        <a:noFill/>
                        <a:miter lim="800000"/>
                        <a:headEnd/>
                        <a:tailEnd/>
                      </a:ln>
                    </wps:spPr>
                    <wps:txb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0.85pt;margin-top:3.45pt;width:595.05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" filled="f" stroked="f">
              <v:textbox>
                <w:txbxContent>
                  <w:p w:rsidR="001557B7" w:rsidRDefault="00AD3265">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v:textbox>
            </v:shape>
          </w:pict>
        </mc:Fallback>
      </mc:AlternateContent>
    </w:r>
  </w:p>
  <w:p w:rsidR="001557B7" w:rsidRDefault="001557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8092"/>
        </w:tabs>
        <w:ind w:left="8092" w:hanging="360"/>
      </w:pPr>
    </w:lvl>
  </w:abstractNum>
  <w:abstractNum w:abstractNumId="1">
    <w:nsid w:val="006E2A34"/>
    <w:multiLevelType w:val="hybridMultilevel"/>
    <w:tmpl w:val="AEA46382"/>
    <w:lvl w:ilvl="0" w:tplc="D93E9850">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8E3086"/>
    <w:multiLevelType w:val="hybridMultilevel"/>
    <w:tmpl w:val="6F686166"/>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nsid w:val="02BA39C0"/>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AE4A63"/>
    <w:multiLevelType w:val="hybridMultilevel"/>
    <w:tmpl w:val="319C786C"/>
    <w:lvl w:ilvl="0" w:tplc="08090001">
      <w:start w:val="1"/>
      <w:numFmt w:val="bullet"/>
      <w:lvlText w:val=""/>
      <w:lvlJc w:val="left"/>
      <w:pPr>
        <w:ind w:left="1779" w:hanging="360"/>
      </w:pPr>
      <w:rPr>
        <w:rFonts w:ascii="Symbol" w:hAnsi="Symbol" w:hint="default"/>
      </w:rPr>
    </w:lvl>
    <w:lvl w:ilvl="1" w:tplc="08090003">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5">
    <w:nsid w:val="041B21C1"/>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D838E6"/>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
    <w:nsid w:val="08281322"/>
    <w:multiLevelType w:val="hybridMultilevel"/>
    <w:tmpl w:val="44A82CF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
    <w:nsid w:val="0A312BAF"/>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B532109"/>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C456AC4"/>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C6404A1"/>
    <w:multiLevelType w:val="hybridMultilevel"/>
    <w:tmpl w:val="7A7A39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nsid w:val="0D3307CF"/>
    <w:multiLevelType w:val="hybridMultilevel"/>
    <w:tmpl w:val="4156D18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nsid w:val="0DEB2BE7"/>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E841D15"/>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FBC50E3"/>
    <w:multiLevelType w:val="hybridMultilevel"/>
    <w:tmpl w:val="D248D298"/>
    <w:lvl w:ilvl="0" w:tplc="08090001">
      <w:start w:val="1"/>
      <w:numFmt w:val="bullet"/>
      <w:lvlText w:val=""/>
      <w:lvlJc w:val="left"/>
      <w:pPr>
        <w:ind w:left="2771"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3">
      <w:start w:val="1"/>
      <w:numFmt w:val="bullet"/>
      <w:lvlText w:val="o"/>
      <w:lvlJc w:val="left"/>
      <w:pPr>
        <w:ind w:left="2520" w:hanging="360"/>
      </w:pPr>
      <w:rPr>
        <w:rFonts w:ascii="Courier New" w:hAnsi="Courier New" w:cs="Courier New"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nsid w:val="10F24F4A"/>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0F95950"/>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322231D"/>
    <w:multiLevelType w:val="hybridMultilevel"/>
    <w:tmpl w:val="6F98973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nsid w:val="135F4EB8"/>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3781455"/>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37A7003"/>
    <w:multiLevelType w:val="hybridMultilevel"/>
    <w:tmpl w:val="E5406C7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2">
    <w:nsid w:val="158D7BEA"/>
    <w:multiLevelType w:val="hybridMultilevel"/>
    <w:tmpl w:val="D44E4A7E"/>
    <w:lvl w:ilvl="0" w:tplc="666CA6D0">
      <w:start w:val="1"/>
      <w:numFmt w:val="lowerLetter"/>
      <w:lvlText w:val="%1)"/>
      <w:lvlJc w:val="left"/>
      <w:pPr>
        <w:ind w:left="1845" w:hanging="705"/>
      </w:pPr>
      <w:rPr>
        <w:rFonts w:ascii="Arial" w:hAnsi="Arial" w:cs="Arial" w:hint="default"/>
      </w:rPr>
    </w:lvl>
    <w:lvl w:ilvl="1" w:tplc="08130019">
      <w:start w:val="1"/>
      <w:numFmt w:val="lowerLetter"/>
      <w:lvlText w:val="%2."/>
      <w:lvlJc w:val="left"/>
      <w:pPr>
        <w:ind w:left="2220" w:hanging="360"/>
      </w:pPr>
    </w:lvl>
    <w:lvl w:ilvl="2" w:tplc="0813001B" w:tentative="1">
      <w:start w:val="1"/>
      <w:numFmt w:val="lowerRoman"/>
      <w:lvlText w:val="%3."/>
      <w:lvlJc w:val="right"/>
      <w:pPr>
        <w:ind w:left="2940" w:hanging="180"/>
      </w:pPr>
    </w:lvl>
    <w:lvl w:ilvl="3" w:tplc="0813000F" w:tentative="1">
      <w:start w:val="1"/>
      <w:numFmt w:val="decimal"/>
      <w:lvlText w:val="%4."/>
      <w:lvlJc w:val="left"/>
      <w:pPr>
        <w:ind w:left="3660" w:hanging="360"/>
      </w:pPr>
    </w:lvl>
    <w:lvl w:ilvl="4" w:tplc="08130019" w:tentative="1">
      <w:start w:val="1"/>
      <w:numFmt w:val="lowerLetter"/>
      <w:lvlText w:val="%5."/>
      <w:lvlJc w:val="left"/>
      <w:pPr>
        <w:ind w:left="4380" w:hanging="360"/>
      </w:pPr>
    </w:lvl>
    <w:lvl w:ilvl="5" w:tplc="0813001B" w:tentative="1">
      <w:start w:val="1"/>
      <w:numFmt w:val="lowerRoman"/>
      <w:lvlText w:val="%6."/>
      <w:lvlJc w:val="right"/>
      <w:pPr>
        <w:ind w:left="5100" w:hanging="180"/>
      </w:pPr>
    </w:lvl>
    <w:lvl w:ilvl="6" w:tplc="0813000F" w:tentative="1">
      <w:start w:val="1"/>
      <w:numFmt w:val="decimal"/>
      <w:lvlText w:val="%7."/>
      <w:lvlJc w:val="left"/>
      <w:pPr>
        <w:ind w:left="5820" w:hanging="360"/>
      </w:pPr>
    </w:lvl>
    <w:lvl w:ilvl="7" w:tplc="08130019" w:tentative="1">
      <w:start w:val="1"/>
      <w:numFmt w:val="lowerLetter"/>
      <w:lvlText w:val="%8."/>
      <w:lvlJc w:val="left"/>
      <w:pPr>
        <w:ind w:left="6540" w:hanging="360"/>
      </w:pPr>
    </w:lvl>
    <w:lvl w:ilvl="8" w:tplc="0813001B" w:tentative="1">
      <w:start w:val="1"/>
      <w:numFmt w:val="lowerRoman"/>
      <w:lvlText w:val="%9."/>
      <w:lvlJc w:val="right"/>
      <w:pPr>
        <w:ind w:left="7260" w:hanging="180"/>
      </w:pPr>
    </w:lvl>
  </w:abstractNum>
  <w:abstractNum w:abstractNumId="23">
    <w:nsid w:val="17763D73"/>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85240A1"/>
    <w:multiLevelType w:val="hybridMultilevel"/>
    <w:tmpl w:val="D8A022BE"/>
    <w:lvl w:ilvl="0" w:tplc="3A52E42C">
      <w:start w:val="1"/>
      <w:numFmt w:val="bullet"/>
      <w:lvlText w:val=""/>
      <w:lvlJc w:val="left"/>
      <w:pPr>
        <w:ind w:left="1276" w:hanging="360"/>
      </w:pPr>
      <w:rPr>
        <w:rFonts w:ascii="Symbol" w:hAnsi="Symbol" w:hint="default"/>
        <w:sz w:val="20"/>
        <w:szCs w:val="20"/>
      </w:rPr>
    </w:lvl>
    <w:lvl w:ilvl="1" w:tplc="08090003">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25">
    <w:nsid w:val="19AD4072"/>
    <w:multiLevelType w:val="hybridMultilevel"/>
    <w:tmpl w:val="4C84B82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6">
    <w:nsid w:val="1A8D436A"/>
    <w:multiLevelType w:val="hybridMultilevel"/>
    <w:tmpl w:val="1514F10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nsid w:val="1A9B57EB"/>
    <w:multiLevelType w:val="hybridMultilevel"/>
    <w:tmpl w:val="480074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1AB13622"/>
    <w:multiLevelType w:val="hybridMultilevel"/>
    <w:tmpl w:val="FD58BD72"/>
    <w:lvl w:ilvl="0" w:tplc="A0C2CF64">
      <w:start w:val="1"/>
      <w:numFmt w:val="bullet"/>
      <w:lvlText w:val=""/>
      <w:lvlJc w:val="left"/>
      <w:pPr>
        <w:ind w:left="2137" w:hanging="360"/>
      </w:pPr>
      <w:rPr>
        <w:rFonts w:ascii="Symbol" w:hAnsi="Symbol" w:hint="default"/>
        <w:sz w:val="20"/>
        <w:szCs w:val="20"/>
      </w:rPr>
    </w:lvl>
    <w:lvl w:ilvl="1" w:tplc="08090003">
      <w:start w:val="1"/>
      <w:numFmt w:val="bullet"/>
      <w:lvlText w:val="o"/>
      <w:lvlJc w:val="left"/>
      <w:pPr>
        <w:ind w:left="1166" w:hanging="360"/>
      </w:pPr>
      <w:rPr>
        <w:rFonts w:ascii="Courier New" w:hAnsi="Courier New" w:cs="Courier New" w:hint="default"/>
      </w:rPr>
    </w:lvl>
    <w:lvl w:ilvl="2" w:tplc="F38E26EC">
      <w:start w:val="1"/>
      <w:numFmt w:val="bullet"/>
      <w:lvlText w:val="o"/>
      <w:lvlJc w:val="left"/>
      <w:pPr>
        <w:ind w:left="1886" w:hanging="360"/>
      </w:pPr>
      <w:rPr>
        <w:rFonts w:ascii="Courier New" w:hAnsi="Courier New" w:cs="Courier New" w:hint="default"/>
        <w:sz w:val="18"/>
        <w:szCs w:val="18"/>
      </w:rPr>
    </w:lvl>
    <w:lvl w:ilvl="3" w:tplc="08130001" w:tentative="1">
      <w:start w:val="1"/>
      <w:numFmt w:val="bullet"/>
      <w:lvlText w:val=""/>
      <w:lvlJc w:val="left"/>
      <w:pPr>
        <w:ind w:left="2606" w:hanging="360"/>
      </w:pPr>
      <w:rPr>
        <w:rFonts w:ascii="Symbol" w:hAnsi="Symbol" w:hint="default"/>
      </w:rPr>
    </w:lvl>
    <w:lvl w:ilvl="4" w:tplc="08130003">
      <w:start w:val="1"/>
      <w:numFmt w:val="bullet"/>
      <w:lvlText w:val="o"/>
      <w:lvlJc w:val="left"/>
      <w:pPr>
        <w:ind w:left="3326" w:hanging="360"/>
      </w:pPr>
      <w:rPr>
        <w:rFonts w:ascii="Courier New" w:hAnsi="Courier New" w:cs="Courier New" w:hint="default"/>
      </w:rPr>
    </w:lvl>
    <w:lvl w:ilvl="5" w:tplc="08130005" w:tentative="1">
      <w:start w:val="1"/>
      <w:numFmt w:val="bullet"/>
      <w:lvlText w:val=""/>
      <w:lvlJc w:val="left"/>
      <w:pPr>
        <w:ind w:left="4046" w:hanging="360"/>
      </w:pPr>
      <w:rPr>
        <w:rFonts w:ascii="Wingdings" w:hAnsi="Wingdings" w:hint="default"/>
      </w:rPr>
    </w:lvl>
    <w:lvl w:ilvl="6" w:tplc="08130001" w:tentative="1">
      <w:start w:val="1"/>
      <w:numFmt w:val="bullet"/>
      <w:lvlText w:val=""/>
      <w:lvlJc w:val="left"/>
      <w:pPr>
        <w:ind w:left="4766" w:hanging="360"/>
      </w:pPr>
      <w:rPr>
        <w:rFonts w:ascii="Symbol" w:hAnsi="Symbol" w:hint="default"/>
      </w:rPr>
    </w:lvl>
    <w:lvl w:ilvl="7" w:tplc="08130003" w:tentative="1">
      <w:start w:val="1"/>
      <w:numFmt w:val="bullet"/>
      <w:lvlText w:val="o"/>
      <w:lvlJc w:val="left"/>
      <w:pPr>
        <w:ind w:left="5486" w:hanging="360"/>
      </w:pPr>
      <w:rPr>
        <w:rFonts w:ascii="Courier New" w:hAnsi="Courier New" w:cs="Courier New" w:hint="default"/>
      </w:rPr>
    </w:lvl>
    <w:lvl w:ilvl="8" w:tplc="08130005" w:tentative="1">
      <w:start w:val="1"/>
      <w:numFmt w:val="bullet"/>
      <w:lvlText w:val=""/>
      <w:lvlJc w:val="left"/>
      <w:pPr>
        <w:ind w:left="6206" w:hanging="360"/>
      </w:pPr>
      <w:rPr>
        <w:rFonts w:ascii="Wingdings" w:hAnsi="Wingdings" w:hint="default"/>
      </w:rPr>
    </w:lvl>
  </w:abstractNum>
  <w:abstractNum w:abstractNumId="29">
    <w:nsid w:val="1DDF28AD"/>
    <w:multiLevelType w:val="hybridMultilevel"/>
    <w:tmpl w:val="70E2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E0B4E2E"/>
    <w:multiLevelType w:val="hybridMultilevel"/>
    <w:tmpl w:val="FEA81A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nsid w:val="1F681C9E"/>
    <w:multiLevelType w:val="hybridMultilevel"/>
    <w:tmpl w:val="D254631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2">
    <w:nsid w:val="1FEB2419"/>
    <w:multiLevelType w:val="hybridMultilevel"/>
    <w:tmpl w:val="F2E0013E"/>
    <w:lvl w:ilvl="0" w:tplc="A0C2CF64">
      <w:start w:val="1"/>
      <w:numFmt w:val="bullet"/>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33">
    <w:nsid w:val="210B48AA"/>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3A819F4"/>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409156B"/>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40E5BB8"/>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7">
    <w:nsid w:val="24CF4B32"/>
    <w:multiLevelType w:val="hybridMultilevel"/>
    <w:tmpl w:val="25AED5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6540EC6"/>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6C74F4F"/>
    <w:multiLevelType w:val="hybridMultilevel"/>
    <w:tmpl w:val="96D2610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0">
    <w:nsid w:val="272F7CA1"/>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1">
    <w:nsid w:val="28312958"/>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2">
    <w:nsid w:val="29B84273"/>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A2A3EB8"/>
    <w:multiLevelType w:val="hybridMultilevel"/>
    <w:tmpl w:val="A684AC6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4">
    <w:nsid w:val="2A386602"/>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6">
    <w:nsid w:val="2CD34EFA"/>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7">
    <w:nsid w:val="2E82650E"/>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0916BA4"/>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31BC2377"/>
    <w:multiLevelType w:val="hybridMultilevel"/>
    <w:tmpl w:val="6EF8922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0">
    <w:nsid w:val="32CA24F5"/>
    <w:multiLevelType w:val="hybridMultilevel"/>
    <w:tmpl w:val="0560A930"/>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51">
    <w:nsid w:val="36BD41B6"/>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385E3723"/>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8D15DE9"/>
    <w:multiLevelType w:val="hybridMultilevel"/>
    <w:tmpl w:val="3E2ED4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4">
    <w:nsid w:val="3957096E"/>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39A07E05"/>
    <w:multiLevelType w:val="hybridMultilevel"/>
    <w:tmpl w:val="74B0FBA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6">
    <w:nsid w:val="39DF70F8"/>
    <w:multiLevelType w:val="hybridMultilevel"/>
    <w:tmpl w:val="26F27AE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7">
    <w:nsid w:val="3BF7202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59">
    <w:nsid w:val="3E9A66AD"/>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FC70734"/>
    <w:multiLevelType w:val="hybridMultilevel"/>
    <w:tmpl w:val="22B281EE"/>
    <w:lvl w:ilvl="0" w:tplc="08090017">
      <w:start w:val="1"/>
      <w:numFmt w:val="lowerLetter"/>
      <w:lvlText w:val="%1)"/>
      <w:lvlJc w:val="left"/>
      <w:pPr>
        <w:ind w:left="2203" w:hanging="360"/>
      </w:pPr>
      <w:rPr>
        <w:rFonts w:hint="default"/>
      </w:rPr>
    </w:lvl>
    <w:lvl w:ilvl="1" w:tplc="EDDCC440">
      <w:start w:val="1"/>
      <w:numFmt w:val="bullet"/>
      <w:lvlText w:val="o"/>
      <w:lvlJc w:val="left"/>
      <w:pPr>
        <w:ind w:left="2028" w:hanging="360"/>
      </w:pPr>
      <w:rPr>
        <w:rFonts w:ascii="Courier New" w:hAnsi="Courier New" w:cs="Courier New" w:hint="default"/>
      </w:rPr>
    </w:lvl>
    <w:lvl w:ilvl="2" w:tplc="08130005">
      <w:start w:val="1"/>
      <w:numFmt w:val="bullet"/>
      <w:lvlText w:val=""/>
      <w:lvlJc w:val="left"/>
      <w:pPr>
        <w:ind w:left="2748" w:hanging="360"/>
      </w:pPr>
      <w:rPr>
        <w:rFonts w:ascii="Wingdings" w:hAnsi="Wingdings" w:hint="default"/>
      </w:rPr>
    </w:lvl>
    <w:lvl w:ilvl="3" w:tplc="08130001" w:tentative="1">
      <w:start w:val="1"/>
      <w:numFmt w:val="bullet"/>
      <w:lvlText w:val=""/>
      <w:lvlJc w:val="left"/>
      <w:pPr>
        <w:ind w:left="3468" w:hanging="360"/>
      </w:pPr>
      <w:rPr>
        <w:rFonts w:ascii="Symbol" w:hAnsi="Symbol" w:hint="default"/>
      </w:rPr>
    </w:lvl>
    <w:lvl w:ilvl="4" w:tplc="08130003" w:tentative="1">
      <w:start w:val="1"/>
      <w:numFmt w:val="bullet"/>
      <w:lvlText w:val="o"/>
      <w:lvlJc w:val="left"/>
      <w:pPr>
        <w:ind w:left="4188" w:hanging="360"/>
      </w:pPr>
      <w:rPr>
        <w:rFonts w:ascii="Courier New" w:hAnsi="Courier New" w:cs="Courier New" w:hint="default"/>
      </w:rPr>
    </w:lvl>
    <w:lvl w:ilvl="5" w:tplc="08130005" w:tentative="1">
      <w:start w:val="1"/>
      <w:numFmt w:val="bullet"/>
      <w:lvlText w:val=""/>
      <w:lvlJc w:val="left"/>
      <w:pPr>
        <w:ind w:left="4908" w:hanging="360"/>
      </w:pPr>
      <w:rPr>
        <w:rFonts w:ascii="Wingdings" w:hAnsi="Wingdings" w:hint="default"/>
      </w:rPr>
    </w:lvl>
    <w:lvl w:ilvl="6" w:tplc="08130001" w:tentative="1">
      <w:start w:val="1"/>
      <w:numFmt w:val="bullet"/>
      <w:lvlText w:val=""/>
      <w:lvlJc w:val="left"/>
      <w:pPr>
        <w:ind w:left="5628" w:hanging="360"/>
      </w:pPr>
      <w:rPr>
        <w:rFonts w:ascii="Symbol" w:hAnsi="Symbol" w:hint="default"/>
      </w:rPr>
    </w:lvl>
    <w:lvl w:ilvl="7" w:tplc="08130003" w:tentative="1">
      <w:start w:val="1"/>
      <w:numFmt w:val="bullet"/>
      <w:lvlText w:val="o"/>
      <w:lvlJc w:val="left"/>
      <w:pPr>
        <w:ind w:left="6348" w:hanging="360"/>
      </w:pPr>
      <w:rPr>
        <w:rFonts w:ascii="Courier New" w:hAnsi="Courier New" w:cs="Courier New" w:hint="default"/>
      </w:rPr>
    </w:lvl>
    <w:lvl w:ilvl="8" w:tplc="08130005" w:tentative="1">
      <w:start w:val="1"/>
      <w:numFmt w:val="bullet"/>
      <w:lvlText w:val=""/>
      <w:lvlJc w:val="left"/>
      <w:pPr>
        <w:ind w:left="7068" w:hanging="360"/>
      </w:pPr>
      <w:rPr>
        <w:rFonts w:ascii="Wingdings" w:hAnsi="Wingdings" w:hint="default"/>
      </w:rPr>
    </w:lvl>
  </w:abstractNum>
  <w:abstractNum w:abstractNumId="61">
    <w:nsid w:val="40F10D8A"/>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415D5EA6"/>
    <w:multiLevelType w:val="hybridMultilevel"/>
    <w:tmpl w:val="BAD06656"/>
    <w:lvl w:ilvl="0" w:tplc="A0C2CF64">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3">
    <w:nsid w:val="424C0CB4"/>
    <w:multiLevelType w:val="hybridMultilevel"/>
    <w:tmpl w:val="1B341940"/>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3991132"/>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477928BB"/>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8B10185"/>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7">
    <w:nsid w:val="4B2505D1"/>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50C02E39"/>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50C4262A"/>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0">
    <w:nsid w:val="516A0BB8"/>
    <w:multiLevelType w:val="hybridMultilevel"/>
    <w:tmpl w:val="DBC8430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1">
    <w:nsid w:val="51AD20AE"/>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51F01BE5"/>
    <w:multiLevelType w:val="hybridMultilevel"/>
    <w:tmpl w:val="CA6E798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3">
    <w:nsid w:val="520A0254"/>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52152660"/>
    <w:multiLevelType w:val="hybridMultilevel"/>
    <w:tmpl w:val="DB8888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5">
    <w:nsid w:val="55BB2348"/>
    <w:multiLevelType w:val="hybridMultilevel"/>
    <w:tmpl w:val="779C061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6">
    <w:nsid w:val="5767434B"/>
    <w:multiLevelType w:val="hybridMultilevel"/>
    <w:tmpl w:val="A6F0F8CC"/>
    <w:lvl w:ilvl="0" w:tplc="08090001">
      <w:start w:val="1"/>
      <w:numFmt w:val="bullet"/>
      <w:lvlText w:val=""/>
      <w:lvlJc w:val="left"/>
      <w:pPr>
        <w:ind w:left="3281" w:hanging="360"/>
      </w:pPr>
      <w:rPr>
        <w:rFonts w:ascii="Symbol" w:hAnsi="Symbol" w:hint="default"/>
      </w:rPr>
    </w:lvl>
    <w:lvl w:ilvl="1" w:tplc="08090003" w:tentative="1">
      <w:start w:val="1"/>
      <w:numFmt w:val="bullet"/>
      <w:lvlText w:val="o"/>
      <w:lvlJc w:val="left"/>
      <w:pPr>
        <w:ind w:left="4001" w:hanging="360"/>
      </w:pPr>
      <w:rPr>
        <w:rFonts w:ascii="Courier New" w:hAnsi="Courier New" w:cs="Courier New" w:hint="default"/>
      </w:rPr>
    </w:lvl>
    <w:lvl w:ilvl="2" w:tplc="08090005" w:tentative="1">
      <w:start w:val="1"/>
      <w:numFmt w:val="bullet"/>
      <w:lvlText w:val=""/>
      <w:lvlJc w:val="left"/>
      <w:pPr>
        <w:ind w:left="4721" w:hanging="360"/>
      </w:pPr>
      <w:rPr>
        <w:rFonts w:ascii="Wingdings" w:hAnsi="Wingdings" w:hint="default"/>
      </w:rPr>
    </w:lvl>
    <w:lvl w:ilvl="3" w:tplc="08090001" w:tentative="1">
      <w:start w:val="1"/>
      <w:numFmt w:val="bullet"/>
      <w:lvlText w:val=""/>
      <w:lvlJc w:val="left"/>
      <w:pPr>
        <w:ind w:left="5441" w:hanging="360"/>
      </w:pPr>
      <w:rPr>
        <w:rFonts w:ascii="Symbol" w:hAnsi="Symbol" w:hint="default"/>
      </w:rPr>
    </w:lvl>
    <w:lvl w:ilvl="4" w:tplc="08090003" w:tentative="1">
      <w:start w:val="1"/>
      <w:numFmt w:val="bullet"/>
      <w:lvlText w:val="o"/>
      <w:lvlJc w:val="left"/>
      <w:pPr>
        <w:ind w:left="6161" w:hanging="360"/>
      </w:pPr>
      <w:rPr>
        <w:rFonts w:ascii="Courier New" w:hAnsi="Courier New" w:cs="Courier New" w:hint="default"/>
      </w:rPr>
    </w:lvl>
    <w:lvl w:ilvl="5" w:tplc="08090005" w:tentative="1">
      <w:start w:val="1"/>
      <w:numFmt w:val="bullet"/>
      <w:lvlText w:val=""/>
      <w:lvlJc w:val="left"/>
      <w:pPr>
        <w:ind w:left="6881" w:hanging="360"/>
      </w:pPr>
      <w:rPr>
        <w:rFonts w:ascii="Wingdings" w:hAnsi="Wingdings" w:hint="default"/>
      </w:rPr>
    </w:lvl>
    <w:lvl w:ilvl="6" w:tplc="08090001" w:tentative="1">
      <w:start w:val="1"/>
      <w:numFmt w:val="bullet"/>
      <w:lvlText w:val=""/>
      <w:lvlJc w:val="left"/>
      <w:pPr>
        <w:ind w:left="7601" w:hanging="360"/>
      </w:pPr>
      <w:rPr>
        <w:rFonts w:ascii="Symbol" w:hAnsi="Symbol" w:hint="default"/>
      </w:rPr>
    </w:lvl>
    <w:lvl w:ilvl="7" w:tplc="08090003" w:tentative="1">
      <w:start w:val="1"/>
      <w:numFmt w:val="bullet"/>
      <w:lvlText w:val="o"/>
      <w:lvlJc w:val="left"/>
      <w:pPr>
        <w:ind w:left="8321" w:hanging="360"/>
      </w:pPr>
      <w:rPr>
        <w:rFonts w:ascii="Courier New" w:hAnsi="Courier New" w:cs="Courier New" w:hint="default"/>
      </w:rPr>
    </w:lvl>
    <w:lvl w:ilvl="8" w:tplc="08090005" w:tentative="1">
      <w:start w:val="1"/>
      <w:numFmt w:val="bullet"/>
      <w:lvlText w:val=""/>
      <w:lvlJc w:val="left"/>
      <w:pPr>
        <w:ind w:left="9041" w:hanging="360"/>
      </w:pPr>
      <w:rPr>
        <w:rFonts w:ascii="Wingdings" w:hAnsi="Wingdings" w:hint="default"/>
      </w:rPr>
    </w:lvl>
  </w:abstractNum>
  <w:abstractNum w:abstractNumId="77">
    <w:nsid w:val="57B0392A"/>
    <w:multiLevelType w:val="hybridMultilevel"/>
    <w:tmpl w:val="6FFA4B7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8">
    <w:nsid w:val="57CA2F71"/>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58CB22F3"/>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0">
    <w:nsid w:val="592939C7"/>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1">
    <w:nsid w:val="596673B9"/>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5A8E3273"/>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5B1F6E21"/>
    <w:multiLevelType w:val="hybridMultilevel"/>
    <w:tmpl w:val="82D49930"/>
    <w:lvl w:ilvl="0" w:tplc="08090001">
      <w:start w:val="1"/>
      <w:numFmt w:val="bullet"/>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84">
    <w:nsid w:val="5C2B222A"/>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5EA36AE3"/>
    <w:multiLevelType w:val="hybridMultilevel"/>
    <w:tmpl w:val="2CB6D012"/>
    <w:lvl w:ilvl="0" w:tplc="434AE5A0">
      <w:start w:val="1"/>
      <w:numFmt w:val="bullet"/>
      <w:pStyle w:val="Lijstje2"/>
      <w:lvlText w:val=""/>
      <w:lvlJc w:val="left"/>
      <w:pPr>
        <w:ind w:left="2771" w:hanging="360"/>
      </w:pPr>
      <w:rPr>
        <w:rFonts w:ascii="Symbol" w:hAnsi="Symbol" w:hint="default"/>
        <w:sz w:val="20"/>
        <w:szCs w:val="20"/>
      </w:rPr>
    </w:lvl>
    <w:lvl w:ilvl="1" w:tplc="08090003">
      <w:start w:val="1"/>
      <w:numFmt w:val="bullet"/>
      <w:lvlText w:val="o"/>
      <w:lvlJc w:val="left"/>
      <w:pPr>
        <w:ind w:left="1800" w:hanging="360"/>
      </w:pPr>
      <w:rPr>
        <w:rFonts w:ascii="Courier New" w:hAnsi="Courier New" w:cs="Courier New" w:hint="default"/>
      </w:rPr>
    </w:lvl>
    <w:lvl w:ilvl="2" w:tplc="F38E26EC">
      <w:start w:val="1"/>
      <w:numFmt w:val="bullet"/>
      <w:lvlText w:val="o"/>
      <w:lvlJc w:val="left"/>
      <w:pPr>
        <w:ind w:left="2520" w:hanging="360"/>
      </w:pPr>
      <w:rPr>
        <w:rFonts w:ascii="Courier New" w:hAnsi="Courier New" w:cs="Courier New" w:hint="default"/>
        <w:sz w:val="18"/>
        <w:szCs w:val="18"/>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6">
    <w:nsid w:val="5F3253F2"/>
    <w:multiLevelType w:val="hybridMultilevel"/>
    <w:tmpl w:val="262E3BF2"/>
    <w:lvl w:ilvl="0" w:tplc="5054180C">
      <w:start w:val="1"/>
      <w:numFmt w:val="upperRoman"/>
      <w:pStyle w:val="AnnualReport1"/>
      <w:lvlText w:val="%1."/>
      <w:lvlJc w:val="right"/>
      <w:pPr>
        <w:ind w:left="360" w:hanging="360"/>
      </w:pPr>
    </w:lvl>
    <w:lvl w:ilvl="1" w:tplc="08130019">
      <w:start w:val="1"/>
      <w:numFmt w:val="lowerLetter"/>
      <w:lvlText w:val="%2."/>
      <w:lvlJc w:val="left"/>
      <w:pPr>
        <w:ind w:left="1080" w:hanging="360"/>
      </w:pPr>
    </w:lvl>
    <w:lvl w:ilvl="2" w:tplc="15F4AD9C">
      <w:start w:val="1"/>
      <w:numFmt w:val="decimal"/>
      <w:pStyle w:val="Subtitle"/>
      <w:lvlText w:val="%3."/>
      <w:lvlJc w:val="left"/>
      <w:pPr>
        <w:ind w:left="1980" w:hanging="360"/>
      </w:pPr>
      <w:rPr>
        <w:rFonts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7">
    <w:nsid w:val="60126A48"/>
    <w:multiLevelType w:val="hybridMultilevel"/>
    <w:tmpl w:val="2B32873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8">
    <w:nsid w:val="61123460"/>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63DB09E5"/>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4567B68"/>
    <w:multiLevelType w:val="hybridMultilevel"/>
    <w:tmpl w:val="2CB6D012"/>
    <w:lvl w:ilvl="0" w:tplc="434AE5A0">
      <w:start w:val="1"/>
      <w:numFmt w:val="bullet"/>
      <w:lvlText w:val=""/>
      <w:lvlJc w:val="left"/>
      <w:pPr>
        <w:ind w:left="2771" w:hanging="360"/>
      </w:pPr>
      <w:rPr>
        <w:rFonts w:ascii="Symbol" w:hAnsi="Symbol" w:hint="default"/>
        <w:sz w:val="20"/>
        <w:szCs w:val="20"/>
      </w:rPr>
    </w:lvl>
    <w:lvl w:ilvl="1" w:tplc="08090003">
      <w:start w:val="1"/>
      <w:numFmt w:val="bullet"/>
      <w:lvlText w:val="o"/>
      <w:lvlJc w:val="left"/>
      <w:pPr>
        <w:ind w:left="1800" w:hanging="360"/>
      </w:pPr>
      <w:rPr>
        <w:rFonts w:ascii="Courier New" w:hAnsi="Courier New" w:cs="Courier New" w:hint="default"/>
      </w:rPr>
    </w:lvl>
    <w:lvl w:ilvl="2" w:tplc="F38E26EC">
      <w:start w:val="1"/>
      <w:numFmt w:val="bullet"/>
      <w:lvlText w:val="o"/>
      <w:lvlJc w:val="left"/>
      <w:pPr>
        <w:ind w:left="2520" w:hanging="360"/>
      </w:pPr>
      <w:rPr>
        <w:rFonts w:ascii="Courier New" w:hAnsi="Courier New" w:cs="Courier New" w:hint="default"/>
        <w:sz w:val="18"/>
        <w:szCs w:val="18"/>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1">
    <w:nsid w:val="658A1F67"/>
    <w:multiLevelType w:val="multilevel"/>
    <w:tmpl w:val="C548126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66A92F84"/>
    <w:multiLevelType w:val="hybridMultilevel"/>
    <w:tmpl w:val="1364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78640C3"/>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4">
    <w:nsid w:val="69C60D4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69C74045"/>
    <w:multiLevelType w:val="hybridMultilevel"/>
    <w:tmpl w:val="66E2427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6">
    <w:nsid w:val="6ACD0708"/>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6AFB60A6"/>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6DCD1832"/>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6E156DEB"/>
    <w:multiLevelType w:val="hybridMultilevel"/>
    <w:tmpl w:val="8BACE73E"/>
    <w:lvl w:ilvl="0" w:tplc="08090001">
      <w:start w:val="1"/>
      <w:numFmt w:val="bullet"/>
      <w:lvlText w:val=""/>
      <w:lvlJc w:val="left"/>
      <w:pPr>
        <w:ind w:left="1069" w:hanging="360"/>
      </w:pPr>
      <w:rPr>
        <w:rFonts w:ascii="Symbol" w:hAnsi="Symbol" w:hint="default"/>
      </w:rPr>
    </w:lvl>
    <w:lvl w:ilvl="1" w:tplc="F57E9A40">
      <w:start w:val="1"/>
      <w:numFmt w:val="bullet"/>
      <w:lvlText w:val="o"/>
      <w:lvlJc w:val="left"/>
      <w:pPr>
        <w:ind w:left="1789" w:hanging="360"/>
      </w:pPr>
      <w:rPr>
        <w:rFonts w:ascii="Courier New" w:hAnsi="Courier New" w:cs="Courier New" w:hint="default"/>
        <w:sz w:val="20"/>
        <w:szCs w:val="20"/>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0">
    <w:nsid w:val="6E9064CA"/>
    <w:multiLevelType w:val="hybridMultilevel"/>
    <w:tmpl w:val="50AE921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1">
    <w:nsid w:val="6F8767E3"/>
    <w:multiLevelType w:val="hybridMultilevel"/>
    <w:tmpl w:val="5D0A9D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2">
    <w:nsid w:val="6FBB3A0C"/>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3">
    <w:nsid w:val="6FD47019"/>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701C2849"/>
    <w:multiLevelType w:val="hybridMultilevel"/>
    <w:tmpl w:val="70D8AACE"/>
    <w:lvl w:ilvl="0" w:tplc="0809001B">
      <w:start w:val="1"/>
      <w:numFmt w:val="lowerRoman"/>
      <w:lvlText w:val="%1."/>
      <w:lvlJc w:val="right"/>
      <w:pPr>
        <w:ind w:left="2520" w:hanging="360"/>
      </w:pPr>
      <w:rPr>
        <w:rFonts w:hint="default"/>
      </w:rPr>
    </w:lvl>
    <w:lvl w:ilvl="1" w:tplc="EDDCC440">
      <w:start w:val="1"/>
      <w:numFmt w:val="bullet"/>
      <w:lvlText w:val="o"/>
      <w:lvlJc w:val="left"/>
      <w:pPr>
        <w:ind w:left="2345" w:hanging="360"/>
      </w:pPr>
      <w:rPr>
        <w:rFonts w:ascii="Courier New" w:hAnsi="Courier New" w:cs="Courier New" w:hint="default"/>
      </w:rPr>
    </w:lvl>
    <w:lvl w:ilvl="2" w:tplc="08130005">
      <w:start w:val="1"/>
      <w:numFmt w:val="bullet"/>
      <w:lvlText w:val=""/>
      <w:lvlJc w:val="left"/>
      <w:pPr>
        <w:ind w:left="3065" w:hanging="360"/>
      </w:pPr>
      <w:rPr>
        <w:rFonts w:ascii="Wingdings" w:hAnsi="Wingdings" w:hint="default"/>
      </w:rPr>
    </w:lvl>
    <w:lvl w:ilvl="3" w:tplc="08130001" w:tentative="1">
      <w:start w:val="1"/>
      <w:numFmt w:val="bullet"/>
      <w:lvlText w:val=""/>
      <w:lvlJc w:val="left"/>
      <w:pPr>
        <w:ind w:left="3785" w:hanging="360"/>
      </w:pPr>
      <w:rPr>
        <w:rFonts w:ascii="Symbol" w:hAnsi="Symbol" w:hint="default"/>
      </w:rPr>
    </w:lvl>
    <w:lvl w:ilvl="4" w:tplc="08130003" w:tentative="1">
      <w:start w:val="1"/>
      <w:numFmt w:val="bullet"/>
      <w:lvlText w:val="o"/>
      <w:lvlJc w:val="left"/>
      <w:pPr>
        <w:ind w:left="4505" w:hanging="360"/>
      </w:pPr>
      <w:rPr>
        <w:rFonts w:ascii="Courier New" w:hAnsi="Courier New" w:cs="Courier New" w:hint="default"/>
      </w:rPr>
    </w:lvl>
    <w:lvl w:ilvl="5" w:tplc="08130005" w:tentative="1">
      <w:start w:val="1"/>
      <w:numFmt w:val="bullet"/>
      <w:lvlText w:val=""/>
      <w:lvlJc w:val="left"/>
      <w:pPr>
        <w:ind w:left="5225" w:hanging="360"/>
      </w:pPr>
      <w:rPr>
        <w:rFonts w:ascii="Wingdings" w:hAnsi="Wingdings" w:hint="default"/>
      </w:rPr>
    </w:lvl>
    <w:lvl w:ilvl="6" w:tplc="08130001" w:tentative="1">
      <w:start w:val="1"/>
      <w:numFmt w:val="bullet"/>
      <w:lvlText w:val=""/>
      <w:lvlJc w:val="left"/>
      <w:pPr>
        <w:ind w:left="5945" w:hanging="360"/>
      </w:pPr>
      <w:rPr>
        <w:rFonts w:ascii="Symbol" w:hAnsi="Symbol" w:hint="default"/>
      </w:rPr>
    </w:lvl>
    <w:lvl w:ilvl="7" w:tplc="08130003" w:tentative="1">
      <w:start w:val="1"/>
      <w:numFmt w:val="bullet"/>
      <w:lvlText w:val="o"/>
      <w:lvlJc w:val="left"/>
      <w:pPr>
        <w:ind w:left="6665" w:hanging="360"/>
      </w:pPr>
      <w:rPr>
        <w:rFonts w:ascii="Courier New" w:hAnsi="Courier New" w:cs="Courier New" w:hint="default"/>
      </w:rPr>
    </w:lvl>
    <w:lvl w:ilvl="8" w:tplc="08130005" w:tentative="1">
      <w:start w:val="1"/>
      <w:numFmt w:val="bullet"/>
      <w:lvlText w:val=""/>
      <w:lvlJc w:val="left"/>
      <w:pPr>
        <w:ind w:left="7385" w:hanging="360"/>
      </w:pPr>
      <w:rPr>
        <w:rFonts w:ascii="Wingdings" w:hAnsi="Wingdings" w:hint="default"/>
      </w:rPr>
    </w:lvl>
  </w:abstractNum>
  <w:abstractNum w:abstractNumId="105">
    <w:nsid w:val="70467182"/>
    <w:multiLevelType w:val="hybridMultilevel"/>
    <w:tmpl w:val="9F7CC0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6">
    <w:nsid w:val="716A3D72"/>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7243554A"/>
    <w:multiLevelType w:val="hybridMultilevel"/>
    <w:tmpl w:val="1B341940"/>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734E499E"/>
    <w:multiLevelType w:val="hybridMultilevel"/>
    <w:tmpl w:val="014E7A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9">
    <w:nsid w:val="74314B4C"/>
    <w:multiLevelType w:val="hybridMultilevel"/>
    <w:tmpl w:val="D44E4A7E"/>
    <w:lvl w:ilvl="0" w:tplc="666CA6D0">
      <w:start w:val="1"/>
      <w:numFmt w:val="lowerLetter"/>
      <w:lvlText w:val="%1)"/>
      <w:lvlJc w:val="left"/>
      <w:pPr>
        <w:ind w:left="1845" w:hanging="705"/>
      </w:pPr>
      <w:rPr>
        <w:rFonts w:ascii="Arial" w:hAnsi="Arial" w:cs="Arial" w:hint="default"/>
      </w:rPr>
    </w:lvl>
    <w:lvl w:ilvl="1" w:tplc="08130019">
      <w:start w:val="1"/>
      <w:numFmt w:val="lowerLetter"/>
      <w:lvlText w:val="%2."/>
      <w:lvlJc w:val="left"/>
      <w:pPr>
        <w:ind w:left="2220" w:hanging="360"/>
      </w:pPr>
    </w:lvl>
    <w:lvl w:ilvl="2" w:tplc="0813001B" w:tentative="1">
      <w:start w:val="1"/>
      <w:numFmt w:val="lowerRoman"/>
      <w:lvlText w:val="%3."/>
      <w:lvlJc w:val="right"/>
      <w:pPr>
        <w:ind w:left="2940" w:hanging="180"/>
      </w:pPr>
    </w:lvl>
    <w:lvl w:ilvl="3" w:tplc="0813000F" w:tentative="1">
      <w:start w:val="1"/>
      <w:numFmt w:val="decimal"/>
      <w:lvlText w:val="%4."/>
      <w:lvlJc w:val="left"/>
      <w:pPr>
        <w:ind w:left="3660" w:hanging="360"/>
      </w:pPr>
    </w:lvl>
    <w:lvl w:ilvl="4" w:tplc="08130019" w:tentative="1">
      <w:start w:val="1"/>
      <w:numFmt w:val="lowerLetter"/>
      <w:lvlText w:val="%5."/>
      <w:lvlJc w:val="left"/>
      <w:pPr>
        <w:ind w:left="4380" w:hanging="360"/>
      </w:pPr>
    </w:lvl>
    <w:lvl w:ilvl="5" w:tplc="0813001B" w:tentative="1">
      <w:start w:val="1"/>
      <w:numFmt w:val="lowerRoman"/>
      <w:lvlText w:val="%6."/>
      <w:lvlJc w:val="right"/>
      <w:pPr>
        <w:ind w:left="5100" w:hanging="180"/>
      </w:pPr>
    </w:lvl>
    <w:lvl w:ilvl="6" w:tplc="0813000F" w:tentative="1">
      <w:start w:val="1"/>
      <w:numFmt w:val="decimal"/>
      <w:lvlText w:val="%7."/>
      <w:lvlJc w:val="left"/>
      <w:pPr>
        <w:ind w:left="5820" w:hanging="360"/>
      </w:pPr>
    </w:lvl>
    <w:lvl w:ilvl="7" w:tplc="08130019" w:tentative="1">
      <w:start w:val="1"/>
      <w:numFmt w:val="lowerLetter"/>
      <w:lvlText w:val="%8."/>
      <w:lvlJc w:val="left"/>
      <w:pPr>
        <w:ind w:left="6540" w:hanging="360"/>
      </w:pPr>
    </w:lvl>
    <w:lvl w:ilvl="8" w:tplc="0813001B" w:tentative="1">
      <w:start w:val="1"/>
      <w:numFmt w:val="lowerRoman"/>
      <w:lvlText w:val="%9."/>
      <w:lvlJc w:val="right"/>
      <w:pPr>
        <w:ind w:left="7260" w:hanging="180"/>
      </w:pPr>
    </w:lvl>
  </w:abstractNum>
  <w:abstractNum w:abstractNumId="110">
    <w:nsid w:val="75FE575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76B84426"/>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7750790E"/>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77F536FD"/>
    <w:multiLevelType w:val="hybridMultilevel"/>
    <w:tmpl w:val="81E0DA8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4">
    <w:nsid w:val="7A2D753A"/>
    <w:multiLevelType w:val="hybridMultilevel"/>
    <w:tmpl w:val="1B341940"/>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7AAE2984"/>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abstractNumId w:val="86"/>
  </w:num>
  <w:num w:numId="2">
    <w:abstractNumId w:val="85"/>
  </w:num>
  <w:num w:numId="3">
    <w:abstractNumId w:val="86"/>
    <w:lvlOverride w:ilvl="0">
      <w:startOverride w:val="1"/>
    </w:lvlOverride>
  </w:num>
  <w:num w:numId="4">
    <w:abstractNumId w:val="22"/>
    <w:lvlOverride w:ilvl="0">
      <w:startOverride w:val="1"/>
    </w:lvlOverride>
  </w:num>
  <w:num w:numId="5">
    <w:abstractNumId w:val="86"/>
    <w:lvlOverride w:ilvl="0">
      <w:startOverride w:val="1"/>
    </w:lvlOverride>
  </w:num>
  <w:num w:numId="6">
    <w:abstractNumId w:val="86"/>
    <w:lvlOverride w:ilvl="0">
      <w:startOverride w:val="1"/>
    </w:lvlOverride>
  </w:num>
  <w:num w:numId="7">
    <w:abstractNumId w:val="86"/>
    <w:lvlOverride w:ilvl="0">
      <w:startOverride w:val="1"/>
    </w:lvlOverride>
  </w:num>
  <w:num w:numId="8">
    <w:abstractNumId w:val="58"/>
  </w:num>
  <w:num w:numId="9">
    <w:abstractNumId w:val="22"/>
    <w:lvlOverride w:ilvl="0">
      <w:startOverride w:val="1"/>
    </w:lvlOverride>
  </w:num>
  <w:num w:numId="10">
    <w:abstractNumId w:val="22"/>
    <w:lvlOverride w:ilvl="0">
      <w:startOverride w:val="1"/>
    </w:lvlOverride>
  </w:num>
  <w:num w:numId="11">
    <w:abstractNumId w:val="22"/>
    <w:lvlOverride w:ilvl="0">
      <w:startOverride w:val="1"/>
    </w:lvlOverride>
  </w:num>
  <w:num w:numId="12">
    <w:abstractNumId w:val="22"/>
    <w:lvlOverride w:ilvl="0">
      <w:startOverride w:val="1"/>
    </w:lvlOverride>
  </w:num>
  <w:num w:numId="13">
    <w:abstractNumId w:val="92"/>
  </w:num>
  <w:num w:numId="14">
    <w:abstractNumId w:val="91"/>
  </w:num>
  <w:num w:numId="15">
    <w:abstractNumId w:val="29"/>
  </w:num>
  <w:num w:numId="16">
    <w:abstractNumId w:val="86"/>
    <w:lvlOverride w:ilvl="0">
      <w:startOverride w:val="1"/>
    </w:lvlOverride>
  </w:num>
  <w:num w:numId="17">
    <w:abstractNumId w:val="86"/>
    <w:lvlOverride w:ilvl="0">
      <w:startOverride w:val="1"/>
    </w:lvlOverride>
  </w:num>
  <w:num w:numId="18">
    <w:abstractNumId w:val="86"/>
    <w:lvlOverride w:ilvl="0">
      <w:startOverride w:val="1"/>
    </w:lvlOverride>
  </w:num>
  <w:num w:numId="19">
    <w:abstractNumId w:val="22"/>
    <w:lvlOverride w:ilvl="0">
      <w:startOverride w:val="1"/>
    </w:lvlOverride>
  </w:num>
  <w:num w:numId="20">
    <w:abstractNumId w:val="22"/>
    <w:lvlOverride w:ilvl="0">
      <w:startOverride w:val="1"/>
    </w:lvlOverride>
  </w:num>
  <w:num w:numId="21">
    <w:abstractNumId w:val="22"/>
    <w:lvlOverride w:ilvl="0">
      <w:startOverride w:val="1"/>
    </w:lvlOverride>
  </w:num>
  <w:num w:numId="22">
    <w:abstractNumId w:val="22"/>
    <w:lvlOverride w:ilvl="0">
      <w:startOverride w:val="1"/>
    </w:lvlOverride>
  </w:num>
  <w:num w:numId="23">
    <w:abstractNumId w:val="22"/>
    <w:lvlOverride w:ilvl="0">
      <w:startOverride w:val="1"/>
    </w:lvlOverride>
  </w:num>
  <w:num w:numId="24">
    <w:abstractNumId w:val="86"/>
    <w:lvlOverride w:ilvl="0">
      <w:startOverride w:val="1"/>
    </w:lvlOverride>
  </w:num>
  <w:num w:numId="25">
    <w:abstractNumId w:val="22"/>
    <w:lvlOverride w:ilvl="0">
      <w:startOverride w:val="1"/>
    </w:lvlOverride>
  </w:num>
  <w:num w:numId="26">
    <w:abstractNumId w:val="86"/>
    <w:lvlOverride w:ilvl="0">
      <w:startOverride w:val="1"/>
    </w:lvlOverride>
  </w:num>
  <w:num w:numId="27">
    <w:abstractNumId w:val="22"/>
    <w:lvlOverride w:ilvl="0">
      <w:startOverride w:val="1"/>
    </w:lvlOverride>
  </w:num>
  <w:num w:numId="28">
    <w:abstractNumId w:val="22"/>
    <w:lvlOverride w:ilvl="0">
      <w:startOverride w:val="1"/>
    </w:lvlOverride>
  </w:num>
  <w:num w:numId="29">
    <w:abstractNumId w:val="86"/>
    <w:lvlOverride w:ilvl="0">
      <w:startOverride w:val="1"/>
    </w:lvlOverride>
  </w:num>
  <w:num w:numId="30">
    <w:abstractNumId w:val="22"/>
    <w:lvlOverride w:ilvl="0">
      <w:startOverride w:val="1"/>
    </w:lvlOverride>
  </w:num>
  <w:num w:numId="31">
    <w:abstractNumId w:val="50"/>
  </w:num>
  <w:num w:numId="32">
    <w:abstractNumId w:val="27"/>
  </w:num>
  <w:num w:numId="33">
    <w:abstractNumId w:val="24"/>
  </w:num>
  <w:num w:numId="34">
    <w:abstractNumId w:val="37"/>
  </w:num>
  <w:num w:numId="35">
    <w:abstractNumId w:val="99"/>
  </w:num>
  <w:num w:numId="36">
    <w:abstractNumId w:val="86"/>
    <w:lvlOverride w:ilvl="0">
      <w:startOverride w:val="1"/>
    </w:lvlOverride>
  </w:num>
  <w:num w:numId="37">
    <w:abstractNumId w:val="22"/>
    <w:lvlOverride w:ilvl="0">
      <w:startOverride w:val="1"/>
    </w:lvlOverride>
  </w:num>
  <w:num w:numId="38">
    <w:abstractNumId w:val="22"/>
    <w:lvlOverride w:ilvl="0">
      <w:startOverride w:val="1"/>
    </w:lvlOverride>
  </w:num>
  <w:num w:numId="39">
    <w:abstractNumId w:val="22"/>
    <w:lvlOverride w:ilvl="0">
      <w:startOverride w:val="1"/>
    </w:lvlOverride>
  </w:num>
  <w:num w:numId="40">
    <w:abstractNumId w:val="86"/>
    <w:lvlOverride w:ilvl="0">
      <w:startOverride w:val="1"/>
    </w:lvlOverride>
  </w:num>
  <w:num w:numId="41">
    <w:abstractNumId w:val="22"/>
    <w:lvlOverride w:ilvl="0">
      <w:startOverride w:val="1"/>
    </w:lvlOverride>
  </w:num>
  <w:num w:numId="42">
    <w:abstractNumId w:val="86"/>
    <w:lvlOverride w:ilvl="0">
      <w:startOverride w:val="1"/>
    </w:lvlOverride>
  </w:num>
  <w:num w:numId="43">
    <w:abstractNumId w:val="22"/>
    <w:lvlOverride w:ilvl="0">
      <w:startOverride w:val="1"/>
    </w:lvlOverride>
  </w:num>
  <w:num w:numId="44">
    <w:abstractNumId w:val="86"/>
    <w:lvlOverride w:ilvl="0">
      <w:startOverride w:val="1"/>
    </w:lvlOverride>
  </w:num>
  <w:num w:numId="45">
    <w:abstractNumId w:val="22"/>
    <w:lvlOverride w:ilvl="0">
      <w:startOverride w:val="1"/>
    </w:lvlOverride>
  </w:num>
  <w:num w:numId="46">
    <w:abstractNumId w:val="86"/>
    <w:lvlOverride w:ilvl="0">
      <w:startOverride w:val="1"/>
    </w:lvlOverride>
  </w:num>
  <w:num w:numId="47">
    <w:abstractNumId w:val="22"/>
    <w:lvlOverride w:ilvl="0">
      <w:startOverride w:val="1"/>
    </w:lvlOverride>
  </w:num>
  <w:num w:numId="48">
    <w:abstractNumId w:val="86"/>
    <w:lvlOverride w:ilvl="0">
      <w:startOverride w:val="1"/>
    </w:lvlOverride>
  </w:num>
  <w:num w:numId="49">
    <w:abstractNumId w:val="86"/>
    <w:lvlOverride w:ilvl="0">
      <w:startOverride w:val="1"/>
    </w:lvlOverride>
  </w:num>
  <w:num w:numId="50">
    <w:abstractNumId w:val="22"/>
    <w:lvlOverride w:ilvl="0">
      <w:startOverride w:val="1"/>
    </w:lvlOverride>
  </w:num>
  <w:num w:numId="51">
    <w:abstractNumId w:val="86"/>
    <w:lvlOverride w:ilvl="0">
      <w:startOverride w:val="1"/>
    </w:lvlOverride>
  </w:num>
  <w:num w:numId="52">
    <w:abstractNumId w:val="22"/>
    <w:lvlOverride w:ilvl="0">
      <w:startOverride w:val="1"/>
    </w:lvlOverride>
  </w:num>
  <w:num w:numId="53">
    <w:abstractNumId w:val="86"/>
    <w:lvlOverride w:ilvl="0">
      <w:startOverride w:val="1"/>
    </w:lvlOverride>
  </w:num>
  <w:num w:numId="54">
    <w:abstractNumId w:val="22"/>
    <w:lvlOverride w:ilvl="0">
      <w:startOverride w:val="1"/>
    </w:lvlOverride>
  </w:num>
  <w:num w:numId="55">
    <w:abstractNumId w:val="86"/>
    <w:lvlOverride w:ilvl="0">
      <w:startOverride w:val="1"/>
    </w:lvlOverride>
  </w:num>
  <w:num w:numId="56">
    <w:abstractNumId w:val="22"/>
    <w:lvlOverride w:ilvl="0">
      <w:startOverride w:val="1"/>
    </w:lvlOverride>
  </w:num>
  <w:num w:numId="57">
    <w:abstractNumId w:val="86"/>
    <w:lvlOverride w:ilvl="0">
      <w:startOverride w:val="1"/>
    </w:lvlOverride>
  </w:num>
  <w:num w:numId="58">
    <w:abstractNumId w:val="22"/>
    <w:lvlOverride w:ilvl="0">
      <w:startOverride w:val="1"/>
    </w:lvlOverride>
  </w:num>
  <w:num w:numId="59">
    <w:abstractNumId w:val="86"/>
    <w:lvlOverride w:ilvl="0">
      <w:startOverride w:val="1"/>
    </w:lvlOverride>
  </w:num>
  <w:num w:numId="60">
    <w:abstractNumId w:val="22"/>
    <w:lvlOverride w:ilvl="0">
      <w:startOverride w:val="1"/>
    </w:lvlOverride>
  </w:num>
  <w:num w:numId="61">
    <w:abstractNumId w:val="4"/>
  </w:num>
  <w:num w:numId="62">
    <w:abstractNumId w:val="12"/>
  </w:num>
  <w:num w:numId="63">
    <w:abstractNumId w:val="47"/>
    <w:lvlOverride w:ilvl="0">
      <w:startOverride w:val="1"/>
    </w:lvlOverride>
  </w:num>
  <w:num w:numId="64">
    <w:abstractNumId w:val="47"/>
    <w:lvlOverride w:ilvl="0">
      <w:startOverride w:val="1"/>
    </w:lvlOverride>
  </w:num>
  <w:num w:numId="65">
    <w:abstractNumId w:val="47"/>
    <w:lvlOverride w:ilvl="0">
      <w:startOverride w:val="1"/>
    </w:lvlOverride>
  </w:num>
  <w:num w:numId="66">
    <w:abstractNumId w:val="47"/>
    <w:lvlOverride w:ilvl="0">
      <w:startOverride w:val="1"/>
    </w:lvlOverride>
  </w:num>
  <w:num w:numId="67">
    <w:abstractNumId w:val="47"/>
    <w:lvlOverride w:ilvl="0">
      <w:startOverride w:val="1"/>
    </w:lvlOverride>
  </w:num>
  <w:num w:numId="68">
    <w:abstractNumId w:val="47"/>
    <w:lvlOverride w:ilvl="0">
      <w:startOverride w:val="1"/>
    </w:lvlOverride>
  </w:num>
  <w:num w:numId="69">
    <w:abstractNumId w:val="47"/>
    <w:lvlOverride w:ilvl="0">
      <w:startOverride w:val="1"/>
    </w:lvlOverride>
  </w:num>
  <w:num w:numId="70">
    <w:abstractNumId w:val="47"/>
    <w:lvlOverride w:ilvl="0">
      <w:startOverride w:val="1"/>
    </w:lvlOverride>
  </w:num>
  <w:num w:numId="71">
    <w:abstractNumId w:val="47"/>
    <w:lvlOverride w:ilvl="0">
      <w:startOverride w:val="1"/>
    </w:lvlOverride>
  </w:num>
  <w:num w:numId="72">
    <w:abstractNumId w:val="47"/>
    <w:lvlOverride w:ilvl="0">
      <w:startOverride w:val="1"/>
    </w:lvlOverride>
  </w:num>
  <w:num w:numId="73">
    <w:abstractNumId w:val="47"/>
    <w:lvlOverride w:ilvl="0">
      <w:startOverride w:val="1"/>
    </w:lvlOverride>
  </w:num>
  <w:num w:numId="74">
    <w:abstractNumId w:val="47"/>
    <w:lvlOverride w:ilvl="0">
      <w:startOverride w:val="1"/>
    </w:lvlOverride>
  </w:num>
  <w:num w:numId="75">
    <w:abstractNumId w:val="47"/>
    <w:lvlOverride w:ilvl="0">
      <w:startOverride w:val="1"/>
    </w:lvlOverride>
  </w:num>
  <w:num w:numId="76">
    <w:abstractNumId w:val="47"/>
    <w:lvlOverride w:ilvl="0">
      <w:startOverride w:val="1"/>
    </w:lvlOverride>
  </w:num>
  <w:num w:numId="77">
    <w:abstractNumId w:val="47"/>
    <w:lvlOverride w:ilvl="0">
      <w:startOverride w:val="1"/>
    </w:lvlOverride>
  </w:num>
  <w:num w:numId="78">
    <w:abstractNumId w:val="47"/>
    <w:lvlOverride w:ilvl="0">
      <w:startOverride w:val="1"/>
    </w:lvlOverride>
  </w:num>
  <w:num w:numId="79">
    <w:abstractNumId w:val="47"/>
    <w:lvlOverride w:ilvl="0">
      <w:startOverride w:val="1"/>
    </w:lvlOverride>
  </w:num>
  <w:num w:numId="80">
    <w:abstractNumId w:val="47"/>
    <w:lvlOverride w:ilvl="0">
      <w:startOverride w:val="1"/>
    </w:lvlOverride>
  </w:num>
  <w:num w:numId="81">
    <w:abstractNumId w:val="47"/>
    <w:lvlOverride w:ilvl="0">
      <w:startOverride w:val="1"/>
    </w:lvlOverride>
  </w:num>
  <w:num w:numId="82">
    <w:abstractNumId w:val="47"/>
    <w:lvlOverride w:ilvl="0">
      <w:startOverride w:val="1"/>
    </w:lvlOverride>
  </w:num>
  <w:num w:numId="83">
    <w:abstractNumId w:val="47"/>
    <w:lvlOverride w:ilvl="0">
      <w:startOverride w:val="1"/>
    </w:lvlOverride>
  </w:num>
  <w:num w:numId="84">
    <w:abstractNumId w:val="47"/>
    <w:lvlOverride w:ilvl="0">
      <w:startOverride w:val="1"/>
    </w:lvlOverride>
  </w:num>
  <w:num w:numId="85">
    <w:abstractNumId w:val="47"/>
    <w:lvlOverride w:ilvl="0">
      <w:startOverride w:val="1"/>
    </w:lvlOverride>
  </w:num>
  <w:num w:numId="86">
    <w:abstractNumId w:val="47"/>
    <w:lvlOverride w:ilvl="0">
      <w:startOverride w:val="1"/>
    </w:lvlOverride>
  </w:num>
  <w:num w:numId="87">
    <w:abstractNumId w:val="47"/>
    <w:lvlOverride w:ilvl="0">
      <w:startOverride w:val="1"/>
    </w:lvlOverride>
  </w:num>
  <w:num w:numId="88">
    <w:abstractNumId w:val="47"/>
    <w:lvlOverride w:ilvl="0">
      <w:startOverride w:val="1"/>
    </w:lvlOverride>
  </w:num>
  <w:num w:numId="89">
    <w:abstractNumId w:val="47"/>
    <w:lvlOverride w:ilvl="0">
      <w:startOverride w:val="1"/>
    </w:lvlOverride>
  </w:num>
  <w:num w:numId="90">
    <w:abstractNumId w:val="47"/>
    <w:lvlOverride w:ilvl="0">
      <w:startOverride w:val="1"/>
    </w:lvlOverride>
  </w:num>
  <w:num w:numId="91">
    <w:abstractNumId w:val="47"/>
    <w:lvlOverride w:ilvl="0">
      <w:startOverride w:val="1"/>
    </w:lvlOverride>
  </w:num>
  <w:num w:numId="92">
    <w:abstractNumId w:val="47"/>
    <w:lvlOverride w:ilvl="0">
      <w:startOverride w:val="1"/>
    </w:lvlOverride>
  </w:num>
  <w:num w:numId="93">
    <w:abstractNumId w:val="47"/>
    <w:lvlOverride w:ilvl="0">
      <w:startOverride w:val="1"/>
    </w:lvlOverride>
  </w:num>
  <w:num w:numId="94">
    <w:abstractNumId w:val="47"/>
    <w:lvlOverride w:ilvl="0">
      <w:startOverride w:val="1"/>
    </w:lvlOverride>
  </w:num>
  <w:num w:numId="95">
    <w:abstractNumId w:val="47"/>
    <w:lvlOverride w:ilvl="0">
      <w:startOverride w:val="1"/>
    </w:lvlOverride>
  </w:num>
  <w:num w:numId="96">
    <w:abstractNumId w:val="47"/>
    <w:lvlOverride w:ilvl="0">
      <w:startOverride w:val="1"/>
    </w:lvlOverride>
  </w:num>
  <w:num w:numId="97">
    <w:abstractNumId w:val="47"/>
    <w:lvlOverride w:ilvl="0">
      <w:startOverride w:val="1"/>
    </w:lvlOverride>
  </w:num>
  <w:num w:numId="98">
    <w:abstractNumId w:val="47"/>
    <w:lvlOverride w:ilvl="0">
      <w:startOverride w:val="1"/>
    </w:lvlOverride>
  </w:num>
  <w:num w:numId="99">
    <w:abstractNumId w:val="47"/>
    <w:lvlOverride w:ilvl="0">
      <w:startOverride w:val="1"/>
    </w:lvlOverride>
  </w:num>
  <w:num w:numId="100">
    <w:abstractNumId w:val="47"/>
    <w:lvlOverride w:ilvl="0">
      <w:startOverride w:val="1"/>
    </w:lvlOverride>
  </w:num>
  <w:num w:numId="101">
    <w:abstractNumId w:val="47"/>
    <w:lvlOverride w:ilvl="0">
      <w:startOverride w:val="1"/>
    </w:lvlOverride>
  </w:num>
  <w:num w:numId="102">
    <w:abstractNumId w:val="47"/>
    <w:lvlOverride w:ilvl="0">
      <w:startOverride w:val="1"/>
    </w:lvlOverride>
  </w:num>
  <w:num w:numId="103">
    <w:abstractNumId w:val="47"/>
    <w:lvlOverride w:ilvl="0">
      <w:startOverride w:val="1"/>
    </w:lvlOverride>
  </w:num>
  <w:num w:numId="104">
    <w:abstractNumId w:val="47"/>
    <w:lvlOverride w:ilvl="0">
      <w:startOverride w:val="1"/>
    </w:lvlOverride>
  </w:num>
  <w:num w:numId="105">
    <w:abstractNumId w:val="47"/>
    <w:lvlOverride w:ilvl="0">
      <w:startOverride w:val="1"/>
    </w:lvlOverride>
  </w:num>
  <w:num w:numId="106">
    <w:abstractNumId w:val="47"/>
    <w:lvlOverride w:ilvl="0">
      <w:startOverride w:val="1"/>
    </w:lvlOverride>
  </w:num>
  <w:num w:numId="107">
    <w:abstractNumId w:val="47"/>
    <w:lvlOverride w:ilvl="0">
      <w:startOverride w:val="1"/>
    </w:lvlOverride>
  </w:num>
  <w:num w:numId="108">
    <w:abstractNumId w:val="47"/>
    <w:lvlOverride w:ilvl="0">
      <w:startOverride w:val="1"/>
    </w:lvlOverride>
  </w:num>
  <w:num w:numId="109">
    <w:abstractNumId w:val="47"/>
    <w:lvlOverride w:ilvl="0">
      <w:startOverride w:val="1"/>
    </w:lvlOverride>
  </w:num>
  <w:num w:numId="110">
    <w:abstractNumId w:val="47"/>
    <w:lvlOverride w:ilvl="0">
      <w:startOverride w:val="1"/>
    </w:lvlOverride>
  </w:num>
  <w:num w:numId="111">
    <w:abstractNumId w:val="47"/>
    <w:lvlOverride w:ilvl="0">
      <w:startOverride w:val="1"/>
    </w:lvlOverride>
  </w:num>
  <w:num w:numId="112">
    <w:abstractNumId w:val="47"/>
    <w:lvlOverride w:ilvl="0">
      <w:startOverride w:val="1"/>
    </w:lvlOverride>
  </w:num>
  <w:num w:numId="113">
    <w:abstractNumId w:val="47"/>
    <w:lvlOverride w:ilvl="0">
      <w:startOverride w:val="1"/>
    </w:lvlOverride>
  </w:num>
  <w:num w:numId="114">
    <w:abstractNumId w:val="47"/>
    <w:lvlOverride w:ilvl="0">
      <w:startOverride w:val="1"/>
    </w:lvlOverride>
  </w:num>
  <w:num w:numId="115">
    <w:abstractNumId w:val="47"/>
    <w:lvlOverride w:ilvl="0">
      <w:startOverride w:val="1"/>
    </w:lvlOverride>
  </w:num>
  <w:num w:numId="116">
    <w:abstractNumId w:val="47"/>
    <w:lvlOverride w:ilvl="0">
      <w:startOverride w:val="1"/>
    </w:lvlOverride>
  </w:num>
  <w:num w:numId="117">
    <w:abstractNumId w:val="47"/>
    <w:lvlOverride w:ilvl="0">
      <w:startOverride w:val="1"/>
    </w:lvlOverride>
  </w:num>
  <w:num w:numId="118">
    <w:abstractNumId w:val="47"/>
    <w:lvlOverride w:ilvl="0">
      <w:startOverride w:val="1"/>
    </w:lvlOverride>
  </w:num>
  <w:num w:numId="119">
    <w:abstractNumId w:val="47"/>
    <w:lvlOverride w:ilvl="0">
      <w:startOverride w:val="1"/>
    </w:lvlOverride>
  </w:num>
  <w:num w:numId="120">
    <w:abstractNumId w:val="47"/>
    <w:lvlOverride w:ilvl="0">
      <w:startOverride w:val="1"/>
    </w:lvlOverride>
  </w:num>
  <w:num w:numId="121">
    <w:abstractNumId w:val="47"/>
    <w:lvlOverride w:ilvl="0">
      <w:startOverride w:val="1"/>
    </w:lvlOverride>
  </w:num>
  <w:num w:numId="122">
    <w:abstractNumId w:val="11"/>
  </w:num>
  <w:num w:numId="123">
    <w:abstractNumId w:val="76"/>
  </w:num>
  <w:num w:numId="124">
    <w:abstractNumId w:val="107"/>
  </w:num>
  <w:num w:numId="125">
    <w:abstractNumId w:val="114"/>
  </w:num>
  <w:num w:numId="126">
    <w:abstractNumId w:val="113"/>
  </w:num>
  <w:num w:numId="127">
    <w:abstractNumId w:val="77"/>
  </w:num>
  <w:num w:numId="128">
    <w:abstractNumId w:val="38"/>
  </w:num>
  <w:num w:numId="129">
    <w:abstractNumId w:val="42"/>
  </w:num>
  <w:num w:numId="130">
    <w:abstractNumId w:val="63"/>
  </w:num>
  <w:num w:numId="131">
    <w:abstractNumId w:val="15"/>
  </w:num>
  <w:num w:numId="132">
    <w:abstractNumId w:val="3"/>
  </w:num>
  <w:num w:numId="133">
    <w:abstractNumId w:val="86"/>
    <w:lvlOverride w:ilvl="0">
      <w:startOverride w:val="1"/>
    </w:lvlOverride>
  </w:num>
  <w:num w:numId="134">
    <w:abstractNumId w:val="86"/>
    <w:lvlOverride w:ilvl="0">
      <w:startOverride w:val="1"/>
    </w:lvlOverride>
  </w:num>
  <w:num w:numId="135">
    <w:abstractNumId w:val="78"/>
  </w:num>
  <w:num w:numId="136">
    <w:abstractNumId w:val="86"/>
    <w:lvlOverride w:ilvl="0">
      <w:startOverride w:val="1"/>
    </w:lvlOverride>
  </w:num>
  <w:num w:numId="137">
    <w:abstractNumId w:val="68"/>
  </w:num>
  <w:num w:numId="138">
    <w:abstractNumId w:val="106"/>
  </w:num>
  <w:num w:numId="139">
    <w:abstractNumId w:val="71"/>
  </w:num>
  <w:num w:numId="140">
    <w:abstractNumId w:val="35"/>
  </w:num>
  <w:num w:numId="141">
    <w:abstractNumId w:val="103"/>
  </w:num>
  <w:num w:numId="142">
    <w:abstractNumId w:val="19"/>
  </w:num>
  <w:num w:numId="143">
    <w:abstractNumId w:val="67"/>
  </w:num>
  <w:num w:numId="144">
    <w:abstractNumId w:val="23"/>
  </w:num>
  <w:num w:numId="145">
    <w:abstractNumId w:val="64"/>
  </w:num>
  <w:num w:numId="146">
    <w:abstractNumId w:val="98"/>
  </w:num>
  <w:num w:numId="147">
    <w:abstractNumId w:val="48"/>
  </w:num>
  <w:num w:numId="148">
    <w:abstractNumId w:val="17"/>
  </w:num>
  <w:num w:numId="149">
    <w:abstractNumId w:val="8"/>
  </w:num>
  <w:num w:numId="150">
    <w:abstractNumId w:val="20"/>
  </w:num>
  <w:num w:numId="151">
    <w:abstractNumId w:val="54"/>
  </w:num>
  <w:num w:numId="152">
    <w:abstractNumId w:val="16"/>
  </w:num>
  <w:num w:numId="153">
    <w:abstractNumId w:val="81"/>
  </w:num>
  <w:num w:numId="154">
    <w:abstractNumId w:val="73"/>
  </w:num>
  <w:num w:numId="155">
    <w:abstractNumId w:val="5"/>
  </w:num>
  <w:num w:numId="156">
    <w:abstractNumId w:val="14"/>
  </w:num>
  <w:num w:numId="157">
    <w:abstractNumId w:val="65"/>
  </w:num>
  <w:num w:numId="158">
    <w:abstractNumId w:val="111"/>
  </w:num>
  <w:num w:numId="159">
    <w:abstractNumId w:val="89"/>
  </w:num>
  <w:num w:numId="160">
    <w:abstractNumId w:val="94"/>
  </w:num>
  <w:num w:numId="161">
    <w:abstractNumId w:val="59"/>
  </w:num>
  <w:num w:numId="162">
    <w:abstractNumId w:val="97"/>
  </w:num>
  <w:num w:numId="163">
    <w:abstractNumId w:val="52"/>
  </w:num>
  <w:num w:numId="164">
    <w:abstractNumId w:val="112"/>
  </w:num>
  <w:num w:numId="165">
    <w:abstractNumId w:val="51"/>
  </w:num>
  <w:num w:numId="166">
    <w:abstractNumId w:val="96"/>
  </w:num>
  <w:num w:numId="167">
    <w:abstractNumId w:val="9"/>
  </w:num>
  <w:num w:numId="168">
    <w:abstractNumId w:val="10"/>
  </w:num>
  <w:num w:numId="169">
    <w:abstractNumId w:val="88"/>
  </w:num>
  <w:num w:numId="170">
    <w:abstractNumId w:val="33"/>
  </w:num>
  <w:num w:numId="171">
    <w:abstractNumId w:val="57"/>
  </w:num>
  <w:num w:numId="172">
    <w:abstractNumId w:val="61"/>
  </w:num>
  <w:num w:numId="173">
    <w:abstractNumId w:val="34"/>
  </w:num>
  <w:num w:numId="174">
    <w:abstractNumId w:val="44"/>
  </w:num>
  <w:num w:numId="175">
    <w:abstractNumId w:val="1"/>
  </w:num>
  <w:num w:numId="176">
    <w:abstractNumId w:val="82"/>
  </w:num>
  <w:num w:numId="177">
    <w:abstractNumId w:val="110"/>
  </w:num>
  <w:num w:numId="178">
    <w:abstractNumId w:val="7"/>
  </w:num>
  <w:num w:numId="179">
    <w:abstractNumId w:val="101"/>
  </w:num>
  <w:num w:numId="180">
    <w:abstractNumId w:val="100"/>
  </w:num>
  <w:num w:numId="181">
    <w:abstractNumId w:val="53"/>
  </w:num>
  <w:num w:numId="182">
    <w:abstractNumId w:val="36"/>
  </w:num>
  <w:num w:numId="183">
    <w:abstractNumId w:val="70"/>
  </w:num>
  <w:num w:numId="184">
    <w:abstractNumId w:val="43"/>
  </w:num>
  <w:num w:numId="185">
    <w:abstractNumId w:val="87"/>
  </w:num>
  <w:num w:numId="186">
    <w:abstractNumId w:val="25"/>
  </w:num>
  <w:num w:numId="187">
    <w:abstractNumId w:val="93"/>
  </w:num>
  <w:num w:numId="188">
    <w:abstractNumId w:val="55"/>
  </w:num>
  <w:num w:numId="189">
    <w:abstractNumId w:val="6"/>
  </w:num>
  <w:num w:numId="190">
    <w:abstractNumId w:val="40"/>
  </w:num>
  <w:num w:numId="191">
    <w:abstractNumId w:val="46"/>
  </w:num>
  <w:num w:numId="192">
    <w:abstractNumId w:val="56"/>
  </w:num>
  <w:num w:numId="193">
    <w:abstractNumId w:val="95"/>
  </w:num>
  <w:num w:numId="194">
    <w:abstractNumId w:val="31"/>
  </w:num>
  <w:num w:numId="195">
    <w:abstractNumId w:val="21"/>
  </w:num>
  <w:num w:numId="196">
    <w:abstractNumId w:val="80"/>
  </w:num>
  <w:num w:numId="197">
    <w:abstractNumId w:val="13"/>
  </w:num>
  <w:num w:numId="198">
    <w:abstractNumId w:val="66"/>
  </w:num>
  <w:num w:numId="199">
    <w:abstractNumId w:val="84"/>
  </w:num>
  <w:num w:numId="200">
    <w:abstractNumId w:val="102"/>
  </w:num>
  <w:num w:numId="201">
    <w:abstractNumId w:val="79"/>
  </w:num>
  <w:num w:numId="202">
    <w:abstractNumId w:val="69"/>
  </w:num>
  <w:num w:numId="203">
    <w:abstractNumId w:val="41"/>
  </w:num>
  <w:num w:numId="204">
    <w:abstractNumId w:val="115"/>
  </w:num>
  <w:num w:numId="205">
    <w:abstractNumId w:val="75"/>
  </w:num>
  <w:num w:numId="206">
    <w:abstractNumId w:val="86"/>
    <w:lvlOverride w:ilvl="0">
      <w:startOverride w:val="1"/>
    </w:lvlOverride>
  </w:num>
  <w:num w:numId="207">
    <w:abstractNumId w:val="86"/>
    <w:lvlOverride w:ilvl="0">
      <w:startOverride w:val="1"/>
    </w:lvlOverride>
  </w:num>
  <w:num w:numId="208">
    <w:abstractNumId w:val="86"/>
    <w:lvlOverride w:ilvl="0">
      <w:startOverride w:val="1"/>
    </w:lvlOverride>
  </w:num>
  <w:num w:numId="209">
    <w:abstractNumId w:val="85"/>
  </w:num>
  <w:num w:numId="210">
    <w:abstractNumId w:val="22"/>
  </w:num>
  <w:num w:numId="211">
    <w:abstractNumId w:val="109"/>
  </w:num>
  <w:num w:numId="212">
    <w:abstractNumId w:val="0"/>
  </w:num>
  <w:num w:numId="213">
    <w:abstractNumId w:val="83"/>
  </w:num>
  <w:num w:numId="214">
    <w:abstractNumId w:val="32"/>
  </w:num>
  <w:num w:numId="215">
    <w:abstractNumId w:val="28"/>
  </w:num>
  <w:num w:numId="216">
    <w:abstractNumId w:val="26"/>
  </w:num>
  <w:num w:numId="217">
    <w:abstractNumId w:val="2"/>
  </w:num>
  <w:num w:numId="218">
    <w:abstractNumId w:val="62"/>
  </w:num>
  <w:num w:numId="219">
    <w:abstractNumId w:val="49"/>
  </w:num>
  <w:num w:numId="220">
    <w:abstractNumId w:val="105"/>
  </w:num>
  <w:num w:numId="221">
    <w:abstractNumId w:val="74"/>
  </w:num>
  <w:num w:numId="222">
    <w:abstractNumId w:val="18"/>
  </w:num>
  <w:num w:numId="223">
    <w:abstractNumId w:val="108"/>
  </w:num>
  <w:num w:numId="224">
    <w:abstractNumId w:val="30"/>
  </w:num>
  <w:num w:numId="225">
    <w:abstractNumId w:val="72"/>
  </w:num>
  <w:num w:numId="226">
    <w:abstractNumId w:val="104"/>
  </w:num>
  <w:num w:numId="227">
    <w:abstractNumId w:val="60"/>
  </w:num>
  <w:num w:numId="228">
    <w:abstractNumId w:val="85"/>
  </w:num>
  <w:num w:numId="229">
    <w:abstractNumId w:val="85"/>
  </w:num>
  <w:num w:numId="230">
    <w:abstractNumId w:val="85"/>
  </w:num>
  <w:num w:numId="231">
    <w:abstractNumId w:val="39"/>
  </w:num>
  <w:num w:numId="232">
    <w:abstractNumId w:val="45"/>
  </w:num>
  <w:num w:numId="233">
    <w:abstractNumId w:val="90"/>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nl-NL" w:vendorID="1" w:dllVersion="512" w:checkStyle="1"/>
  <w:activeWritingStyle w:appName="MSWord" w:lang="nl-BE" w:vendorID="1" w:dllVersion="512" w:checkStyle="1"/>
  <w:activeWritingStyle w:appName="MSWord" w:lang="pt-PT" w:vendorID="13" w:dllVersion="513" w:checkStyle="1"/>
  <w:activeWritingStyle w:appName="MSWord" w:lang="da-DK" w:vendorID="22" w:dllVersion="513" w:checkStyle="1"/>
  <w:activeWritingStyle w:appName="MSWord" w:lang="sv-SE" w:vendorID="22" w:dllVersion="513" w:checkStyle="1"/>
  <w:activeWritingStyle w:appName="MSWord" w:lang="it-IT" w:vendorID="3" w:dllVersion="517" w:checkStyle="1"/>
  <w:activeWritingStyle w:appName="MSWord" w:lang="pl-PL" w:vendorID="12" w:dllVersion="512" w:checkStyle="1"/>
  <w:activeWritingStyle w:appName="MSWord" w:lang="fi-FI" w:vendorID="22" w:dllVersion="513" w:checkStyle="1"/>
  <w:activeWritingStyle w:appName="MSWord" w:lang="hu-HU" w:vendorID="7" w:dllVersion="513" w:checkStyle="1"/>
  <w:activeWritingStyle w:appName="MSWord" w:lang="nb-NO" w:vendorID="22" w:dllVersion="513" w:checkStyle="1"/>
  <w:defaultTabStop w:val="720"/>
  <w:characterSpacingControl w:val="doNotCompress"/>
  <w:hdrShapeDefaults>
    <o:shapedefaults v:ext="edit" spidmax="107521"/>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7F4950FD-6175-40C5-8745-3E89BAB221D6"/>
    <w:docVar w:name="LW_COVERPAGE_TYPE" w:val="1"/>
    <w:docVar w:name="LW_CROSSREFERENCE" w:val="{COM(2018) 540 final}_x000d__x000a_{SWD(2018) 377 final}_x000d__x000a_{SWD(2018) 378 final}"/>
    <w:docVar w:name="LW_DocType" w:val="NORMAL"/>
    <w:docVar w:name="LW_EMISSION" w:val="12.7.2018"/>
    <w:docVar w:name="LW_EMISSION_ISODATE" w:val="2018-07-12"/>
    <w:docVar w:name="LW_EMISSION_LOCATION" w:val="BRX"/>
    <w:docVar w:name="LW_EMISSION_PREFIX" w:val="Brussels,"/>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Monitoring the application of European Union law_x000b_2017 Annual Report"/>
    <w:docVar w:name="LW_PART_NBR" w:val="1"/>
    <w:docVar w:name="LW_PART_NBR_TOTAL" w:val="2"/>
    <w:docVar w:name="LW_REF.INST.NEW" w:val="SWD"/>
    <w:docVar w:name="LW_REF.INST.NEW_ADOPTED" w:val="final"/>
    <w:docVar w:name="LW_REF.INST.NEW_TEXT" w:val="(2018) 37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Part III: Member States"/>
    <w:docVar w:name="LW_TYPE.DOC.CP" w:val="COMMISSION STAFF WORKING DOCUMENT"/>
    <w:docVar w:name="LW_TYPEACTEPRINCIPAL.CP" w:val="REPORT FROM THE COMMISSION"/>
    <w:docVar w:name="Stamp" w:val="\\dossiers.dgt.cec.eu.int\dossiers\SG\SG-2016-00297\SG-2016-00297-00-02-EN-REV-00.DOCX"/>
  </w:docVars>
  <w:rsids>
    <w:rsidRoot w:val="001557B7"/>
    <w:rsid w:val="001557B7"/>
    <w:rsid w:val="005B7B31"/>
    <w:rsid w:val="00AD3265"/>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40"/>
      <w:jc w:val="both"/>
    </w:pPr>
    <w:rPr>
      <w:rFonts w:ascii="Times New Roman" w:eastAsia="Times New Roman" w:hAnsi="Times New Roman"/>
      <w:sz w:val="24"/>
      <w:lang w:eastAsia="en-US" w:bidi="ar-SA"/>
    </w:rPr>
  </w:style>
  <w:style w:type="paragraph" w:styleId="Heading1">
    <w:name w:val="heading 1"/>
    <w:basedOn w:val="MemberStateHeader"/>
    <w:next w:val="Subtitle"/>
    <w:link w:val="Heading1Char"/>
    <w:uiPriority w:val="9"/>
    <w:qFormat/>
    <w:pPr>
      <w:keepNext/>
      <w:keepLines/>
      <w:outlineLvl w:val="0"/>
    </w:pPr>
    <w:rPr>
      <w:rFonts w:eastAsia="SimSun"/>
      <w:bCs/>
      <w:color w:val="A6A6A6"/>
      <w:szCs w:val="28"/>
    </w:rPr>
  </w:style>
  <w:style w:type="paragraph" w:styleId="Heading2">
    <w:name w:val="heading 2"/>
    <w:basedOn w:val="Normal"/>
    <w:next w:val="Normal"/>
    <w:link w:val="Heading2Char"/>
    <w:pPr>
      <w:keepNext/>
      <w:tabs>
        <w:tab w:val="num" w:pos="1200"/>
      </w:tabs>
      <w:ind w:left="1200" w:hanging="720"/>
      <w:outlineLvl w:val="1"/>
    </w:pPr>
    <w:rPr>
      <w:rFonts w:ascii="Arial" w:hAnsi="Arial"/>
      <w:b/>
      <w:sz w:val="22"/>
    </w:rPr>
  </w:style>
  <w:style w:type="paragraph" w:styleId="Heading3">
    <w:name w:val="heading 3"/>
    <w:basedOn w:val="Normal"/>
    <w:next w:val="Normal"/>
    <w:link w:val="Heading3Char"/>
    <w:unhideWhenUsed/>
    <w:qFormat/>
    <w:pPr>
      <w:keepNext/>
      <w:keepLines/>
      <w:spacing w:before="200" w:after="0"/>
      <w:outlineLvl w:val="2"/>
    </w:pPr>
    <w:rPr>
      <w:rFonts w:ascii="Cambria" w:eastAsia="SimSun" w:hAnsi="Cambria"/>
      <w:b/>
      <w:bCs/>
      <w:color w:val="4F81BD"/>
    </w:rPr>
  </w:style>
  <w:style w:type="paragraph" w:styleId="Heading4">
    <w:name w:val="heading 4"/>
    <w:basedOn w:val="Normal"/>
    <w:next w:val="Normal"/>
    <w:link w:val="Heading4Char"/>
    <w:pPr>
      <w:keepNext/>
      <w:tabs>
        <w:tab w:val="num" w:pos="1920"/>
      </w:tabs>
      <w:ind w:left="1920" w:hanging="720"/>
      <w:outlineLvl w:val="3"/>
    </w:pPr>
    <w:rPr>
      <w:rFonts w:ascii="Arial" w:hAnsi="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ußnote,Fotnotstext1,fn,Footnote Text Char2 Char,Footnote Text Char Char Char1,Footnote Text Char1 Char Char Char,Footnote Text Char2 Char Char Char Char,Footnote Text Char1 Char1 Char Char Char Char,footnote te,Voetnootteks,f,Ch"/>
    <w:basedOn w:val="Normal"/>
    <w:qFormat/>
    <w:pPr>
      <w:spacing w:after="0"/>
      <w:ind w:left="357" w:hanging="357"/>
    </w:pPr>
    <w:rPr>
      <w:rFonts w:ascii="Arial" w:hAnsi="Arial"/>
      <w:sz w:val="18"/>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rPr>
      <w:rFonts w:ascii="Arial" w:eastAsia="Times New Roman" w:hAnsi="Arial" w:cs="Times New Roman"/>
      <w:sz w:val="18"/>
      <w:szCs w:val="20"/>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ar,FR"/>
    <w:uiPriority w:val="99"/>
    <w:qFormat/>
    <w:rPr>
      <w:vertAlign w:val="superscript"/>
    </w:rPr>
  </w:style>
  <w:style w:type="paragraph" w:customStyle="1" w:styleId="Body">
    <w:name w:val="Body"/>
    <w:basedOn w:val="Normal"/>
    <w:link w:val="BodyChar"/>
    <w:qFormat/>
    <w:pPr>
      <w:spacing w:after="120"/>
      <w:ind w:firstLine="709"/>
    </w:pPr>
    <w:rPr>
      <w:rFonts w:ascii="Arial" w:hAnsi="Arial" w:cs="Arial"/>
      <w:sz w:val="20"/>
      <w:lang w:val="en-US"/>
    </w:rPr>
  </w:style>
  <w:style w:type="character" w:customStyle="1" w:styleId="BodyChar">
    <w:name w:val="Body Char"/>
    <w:link w:val="Body"/>
    <w:rPr>
      <w:rFonts w:ascii="Arial" w:eastAsia="Times New Roman" w:hAnsi="Arial" w:cs="Arial"/>
      <w:sz w:val="20"/>
      <w:szCs w:val="20"/>
      <w:lang w:val="en-US"/>
    </w:rPr>
  </w:style>
  <w:style w:type="paragraph" w:customStyle="1" w:styleId="kop2">
    <w:name w:val="kop 2"/>
    <w:basedOn w:val="Normal"/>
    <w:next w:val="Normal"/>
    <w:link w:val="kop2Char"/>
    <w:uiPriority w:val="1"/>
    <w:unhideWhenUsed/>
    <w:qFormat/>
    <w:pPr>
      <w:keepNext/>
      <w:keepLines/>
      <w:spacing w:after="120"/>
      <w:ind w:left="360" w:hanging="360"/>
      <w:outlineLvl w:val="1"/>
    </w:pPr>
    <w:rPr>
      <w:rFonts w:ascii="Arial" w:eastAsia="MS Gothic" w:hAnsi="Arial" w:cs="Arial"/>
      <w:caps/>
      <w:color w:val="4F81BD"/>
      <w:kern w:val="20"/>
      <w:szCs w:val="24"/>
    </w:rPr>
  </w:style>
  <w:style w:type="paragraph" w:customStyle="1" w:styleId="kop3">
    <w:name w:val="kop 3"/>
    <w:basedOn w:val="Subtitle"/>
    <w:next w:val="Normal"/>
    <w:link w:val="kop3Char"/>
    <w:autoRedefine/>
    <w:uiPriority w:val="1"/>
    <w:unhideWhenUsed/>
    <w:qFormat/>
    <w:pPr>
      <w:numPr>
        <w:ilvl w:val="0"/>
        <w:numId w:val="0"/>
      </w:numPr>
      <w:ind w:left="2869" w:hanging="180"/>
    </w:pPr>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color w:val="002060"/>
    </w:rPr>
  </w:style>
  <w:style w:type="paragraph" w:customStyle="1" w:styleId="Lijstje">
    <w:name w:val="Lijstje"/>
    <w:basedOn w:val="NoSpacing"/>
    <w:uiPriority w:val="1"/>
    <w:unhideWhenUsed/>
    <w:qFormat/>
    <w:locked/>
    <w:pPr>
      <w:spacing w:after="120"/>
      <w:ind w:left="1845" w:hanging="705"/>
    </w:pPr>
    <w:rPr>
      <w:rFonts w:ascii="Arial" w:eastAsia="Calibri" w:hAnsi="Arial" w:cs="Arial"/>
      <w:kern w:val="20"/>
      <w:sz w:val="20"/>
    </w:rPr>
  </w:style>
  <w:style w:type="paragraph" w:customStyle="1" w:styleId="Lijstje2">
    <w:name w:val="Lijstje2"/>
    <w:basedOn w:val="ListParagraph"/>
    <w:uiPriority w:val="1"/>
    <w:unhideWhenUsed/>
    <w:qFormat/>
    <w:locked/>
    <w:pPr>
      <w:numPr>
        <w:numId w:val="2"/>
      </w:numPr>
      <w:spacing w:after="120"/>
    </w:pPr>
    <w:rPr>
      <w:rFonts w:ascii="Verdana" w:eastAsia="Calibri" w:hAnsi="Verdana"/>
      <w:kern w:val="20"/>
      <w:sz w:val="20"/>
      <w:lang w:val="nl-NL"/>
    </w:rPr>
  </w:style>
  <w:style w:type="paragraph" w:customStyle="1" w:styleId="MemberStateHeader">
    <w:name w:val="Member State Header"/>
    <w:basedOn w:val="Normal"/>
    <w:link w:val="MemberStateHeaderChar"/>
    <w:qFormat/>
    <w:pPr>
      <w:jc w:val="center"/>
    </w:pPr>
    <w:rPr>
      <w:rFonts w:ascii="Arial" w:hAnsi="Arial"/>
      <w:color w:val="BFBFBF"/>
      <w:szCs w:val="24"/>
    </w:rPr>
  </w:style>
  <w:style w:type="character" w:customStyle="1" w:styleId="MemberStateHeaderChar">
    <w:name w:val="Member State Header Char"/>
    <w:link w:val="MemberStateHeader"/>
    <w:rPr>
      <w:rFonts w:ascii="Arial" w:eastAsia="Times New Roman" w:hAnsi="Arial" w:cs="Times New Roman"/>
      <w:color w:val="BFBFBF"/>
      <w:sz w:val="24"/>
      <w:szCs w:val="24"/>
    </w:rPr>
  </w:style>
  <w:style w:type="paragraph" w:styleId="NoSpacing">
    <w:name w:val="No Spacing"/>
    <w:uiPriority w:val="1"/>
    <w:qFormat/>
    <w:pPr>
      <w:jc w:val="both"/>
    </w:pPr>
    <w:rPr>
      <w:rFonts w:ascii="Times New Roman" w:eastAsia="Times New Roman" w:hAnsi="Times New Roman"/>
      <w:sz w:val="24"/>
      <w:lang w:eastAsia="en-US" w:bidi="ar-SA"/>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rPr>
  </w:style>
  <w:style w:type="paragraph" w:styleId="Header">
    <w:name w:val="header"/>
    <w:basedOn w:val="Normal"/>
    <w:link w:val="HeaderChar"/>
    <w:uiPriority w:val="99"/>
    <w:unhideWhenUsed/>
    <w:pPr>
      <w:tabs>
        <w:tab w:val="center" w:pos="4535"/>
        <w:tab w:val="right" w:pos="9071"/>
      </w:tabs>
      <w:spacing w:after="120"/>
    </w:pPr>
    <w:rPr>
      <w:rFonts w:eastAsia="Calibri"/>
      <w:szCs w:val="22"/>
    </w:rPr>
  </w:style>
  <w:style w:type="character" w:customStyle="1" w:styleId="HeaderChar">
    <w:name w:val="Header Char"/>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Calibri"/>
      <w:szCs w:val="22"/>
    </w:rPr>
  </w:style>
  <w:style w:type="character" w:customStyle="1" w:styleId="FooterChar">
    <w:name w:val="Footer Char"/>
    <w:link w:val="Footer"/>
    <w:uiPriority w:val="99"/>
    <w:rPr>
      <w:rFonts w:ascii="Times New Roman" w:hAnsi="Times New Roman" w:cs="Times New Roman"/>
      <w:sz w:val="24"/>
    </w:rPr>
  </w:style>
  <w:style w:type="paragraph" w:customStyle="1" w:styleId="Priorities">
    <w:name w:val="Priorities"/>
    <w:basedOn w:val="Normal"/>
    <w:link w:val="PrioritiesChar"/>
    <w:qFormat/>
    <w:pPr>
      <w:spacing w:after="200" w:line="276" w:lineRule="auto"/>
      <w:jc w:val="center"/>
    </w:pPr>
    <w:rPr>
      <w:rFonts w:ascii="Arial" w:eastAsia="Calibri" w:hAnsi="Arial" w:cs="Arial"/>
      <w:b/>
      <w:color w:val="163E71"/>
      <w:sz w:val="28"/>
      <w:szCs w:val="28"/>
    </w:rPr>
  </w:style>
  <w:style w:type="character" w:customStyle="1" w:styleId="PrioritiesChar">
    <w:name w:val="Priorities Char"/>
    <w:link w:val="Priorities"/>
    <w:rPr>
      <w:rFonts w:ascii="Arial" w:hAnsi="Arial" w:cs="Arial"/>
      <w:b/>
      <w:color w:val="163E71"/>
      <w:sz w:val="28"/>
      <w:szCs w:val="28"/>
    </w:rPr>
  </w:style>
  <w:style w:type="paragraph" w:styleId="Subtitle">
    <w:name w:val="Subtitle"/>
    <w:basedOn w:val="Normal"/>
    <w:link w:val="SubtitleChar"/>
    <w:autoRedefine/>
    <w:qFormat/>
    <w:pPr>
      <w:numPr>
        <w:ilvl w:val="2"/>
        <w:numId w:val="1"/>
      </w:numPr>
      <w:spacing w:before="240"/>
      <w:ind w:left="709" w:hanging="425"/>
      <w:jc w:val="left"/>
      <w:outlineLvl w:val="1"/>
    </w:pPr>
    <w:rPr>
      <w:rFonts w:ascii="Arial" w:hAnsi="Arial"/>
      <w:color w:val="002060"/>
      <w:sz w:val="22"/>
      <w:szCs w:val="22"/>
    </w:rPr>
  </w:style>
  <w:style w:type="character" w:customStyle="1" w:styleId="SubtitleChar">
    <w:name w:val="Subtitle Char"/>
    <w:link w:val="Subtitle"/>
    <w:rPr>
      <w:rFonts w:ascii="Arial" w:eastAsia="Times New Roman" w:hAnsi="Arial"/>
      <w:color w:val="002060"/>
      <w:sz w:val="22"/>
      <w:szCs w:val="22"/>
      <w:lang w:eastAsia="en-US" w:bidi="ar-SA"/>
    </w:rPr>
  </w:style>
  <w:style w:type="table" w:customStyle="1" w:styleId="Style1">
    <w:name w:val="Style1"/>
    <w:basedOn w:val="TableNormal"/>
    <w:rPr>
      <w:rFonts w:ascii="Times New Roman" w:eastAsia="Times New Roman" w:hAnsi="Times New Roman"/>
    </w:rPr>
    <w:tblPr/>
  </w:style>
  <w:style w:type="character" w:customStyle="1" w:styleId="affairetitle">
    <w:name w:val="affaire_title"/>
    <w:basedOn w:val="DefaultParagraphFont"/>
  </w:style>
  <w:style w:type="character" w:styleId="Hyperlink">
    <w:name w:val="Hyperlink"/>
    <w:uiPriority w:val="99"/>
    <w:unhideWhenUsed/>
    <w:rPr>
      <w:color w:val="0000FF"/>
      <w:u w:val="single"/>
    </w:rPr>
  </w:style>
  <w:style w:type="table" w:customStyle="1" w:styleId="Style11">
    <w:name w:val="Style11"/>
    <w:basedOn w:val="TableNormal"/>
    <w:rPr>
      <w:rFonts w:ascii="Times New Roman" w:eastAsia="Times New Roman" w:hAnsi="Times New Roman"/>
    </w:rPr>
    <w:tblPr/>
  </w:style>
  <w:style w:type="table" w:customStyle="1" w:styleId="Style12">
    <w:name w:val="Style12"/>
    <w:basedOn w:val="TableNormal"/>
    <w:rPr>
      <w:rFonts w:ascii="Times New Roman" w:eastAsia="Times New Roman" w:hAnsi="Times New Roman"/>
    </w:rPr>
    <w:tblPr/>
  </w:style>
  <w:style w:type="table" w:customStyle="1" w:styleId="Style13">
    <w:name w:val="Style13"/>
    <w:basedOn w:val="TableNormal"/>
    <w:rPr>
      <w:rFonts w:ascii="Times New Roman" w:eastAsia="Times New Roman" w:hAnsi="Times New Roman"/>
    </w:rPr>
    <w:tblPr/>
  </w:style>
  <w:style w:type="table" w:customStyle="1" w:styleId="Style14">
    <w:name w:val="Style14"/>
    <w:basedOn w:val="TableNormal"/>
    <w:rPr>
      <w:rFonts w:ascii="Times New Roman" w:eastAsia="Times New Roman" w:hAnsi="Times New Roman"/>
    </w:rPr>
    <w:tblPr/>
  </w:style>
  <w:style w:type="table" w:customStyle="1" w:styleId="Style15">
    <w:name w:val="Style15"/>
    <w:basedOn w:val="TableNormal"/>
    <w:rPr>
      <w:rFonts w:ascii="Times New Roman" w:eastAsia="Times New Roman" w:hAnsi="Times New Roman"/>
    </w:rPr>
    <w:tblPr/>
  </w:style>
  <w:style w:type="table" w:customStyle="1" w:styleId="Style16">
    <w:name w:val="Style16"/>
    <w:basedOn w:val="TableNormal"/>
    <w:rPr>
      <w:rFonts w:ascii="Times New Roman" w:eastAsia="Times New Roman" w:hAnsi="Times New Roman"/>
    </w:rPr>
    <w:tblPr/>
  </w:style>
  <w:style w:type="table" w:customStyle="1" w:styleId="Style17">
    <w:name w:val="Style17"/>
    <w:basedOn w:val="TableNormal"/>
    <w:rPr>
      <w:rFonts w:ascii="Times New Roman" w:eastAsia="Times New Roman" w:hAnsi="Times New Roman"/>
    </w:rPr>
    <w:tblPr/>
  </w:style>
  <w:style w:type="table" w:customStyle="1" w:styleId="Style18">
    <w:name w:val="Style18"/>
    <w:basedOn w:val="TableNormal"/>
    <w:rPr>
      <w:rFonts w:ascii="Times New Roman" w:eastAsia="Times New Roman" w:hAnsi="Times New Roman"/>
    </w:rPr>
    <w:tblPr/>
  </w:style>
  <w:style w:type="table" w:customStyle="1" w:styleId="Style19">
    <w:name w:val="Style19"/>
    <w:basedOn w:val="TableNormal"/>
    <w:rPr>
      <w:rFonts w:ascii="Times New Roman" w:eastAsia="Times New Roman" w:hAnsi="Times New Roman"/>
    </w:rPr>
    <w:tblPr/>
  </w:style>
  <w:style w:type="table" w:customStyle="1" w:styleId="Style110">
    <w:name w:val="Style110"/>
    <w:basedOn w:val="TableNormal"/>
    <w:rPr>
      <w:rFonts w:ascii="Times New Roman" w:eastAsia="Times New Roman" w:hAnsi="Times New Roman"/>
    </w:rPr>
    <w:tblPr/>
  </w:style>
  <w:style w:type="table" w:customStyle="1" w:styleId="Style111">
    <w:name w:val="Style111"/>
    <w:basedOn w:val="TableNormal"/>
    <w:rPr>
      <w:rFonts w:ascii="Times New Roman" w:eastAsia="Times New Roman" w:hAnsi="Times New Roman"/>
    </w:rPr>
    <w:tbl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link w:val="CommentText"/>
    <w:uiPriority w:val="99"/>
    <w:rPr>
      <w:rFonts w:ascii="Times New Roman" w:eastAsia="Times New Roman" w:hAnsi="Times New Roman" w:cs="Times New Roman"/>
      <w:sz w:val="20"/>
      <w:szCs w:val="20"/>
    </w:rPr>
  </w:style>
  <w:style w:type="table" w:customStyle="1" w:styleId="Style112">
    <w:name w:val="Style112"/>
    <w:basedOn w:val="TableNormal"/>
    <w:rPr>
      <w:rFonts w:ascii="Times New Roman" w:eastAsia="Times New Roman" w:hAnsi="Times New Roman"/>
    </w:rPr>
    <w:tblPr/>
  </w:style>
  <w:style w:type="table" w:customStyle="1" w:styleId="Style113">
    <w:name w:val="Style113"/>
    <w:basedOn w:val="TableNormal"/>
    <w:rPr>
      <w:rFonts w:ascii="Times New Roman" w:eastAsia="Times New Roman" w:hAnsi="Times New Roman"/>
    </w:rPr>
    <w:tblPr/>
  </w:style>
  <w:style w:type="table" w:customStyle="1" w:styleId="Style114">
    <w:name w:val="Style114"/>
    <w:basedOn w:val="TableNormal"/>
    <w:rPr>
      <w:rFonts w:ascii="Times New Roman" w:eastAsia="Times New Roman" w:hAnsi="Times New Roman"/>
    </w:rPr>
    <w:tblPr/>
  </w:style>
  <w:style w:type="table" w:customStyle="1" w:styleId="Style115">
    <w:name w:val="Style115"/>
    <w:basedOn w:val="TableNormal"/>
    <w:rPr>
      <w:rFonts w:ascii="Times New Roman" w:eastAsia="Times New Roman" w:hAnsi="Times New Roman"/>
    </w:rPr>
    <w:tblPr/>
  </w:style>
  <w:style w:type="table" w:customStyle="1" w:styleId="Style116">
    <w:name w:val="Style116"/>
    <w:basedOn w:val="TableNormal"/>
    <w:rPr>
      <w:rFonts w:ascii="Times New Roman" w:eastAsia="Times New Roman" w:hAnsi="Times New Roman"/>
    </w:rPr>
    <w:tblPr/>
  </w:style>
  <w:style w:type="table" w:customStyle="1" w:styleId="Style117">
    <w:name w:val="Style117"/>
    <w:basedOn w:val="TableNormal"/>
    <w:rPr>
      <w:rFonts w:ascii="Times New Roman" w:eastAsia="Times New Roman" w:hAnsi="Times New Roman"/>
    </w:rPr>
    <w:tblPr/>
  </w:style>
  <w:style w:type="table" w:customStyle="1" w:styleId="Style118">
    <w:name w:val="Style118"/>
    <w:basedOn w:val="TableNormal"/>
    <w:rPr>
      <w:rFonts w:ascii="Times New Roman" w:eastAsia="Times New Roman" w:hAnsi="Times New Roman"/>
    </w:rPr>
    <w:tblPr/>
  </w:style>
  <w:style w:type="table" w:customStyle="1" w:styleId="Style119">
    <w:name w:val="Style119"/>
    <w:basedOn w:val="TableNormal"/>
    <w:rPr>
      <w:rFonts w:ascii="Times New Roman" w:eastAsia="Times New Roman" w:hAnsi="Times New Roman"/>
    </w:rPr>
    <w:tblPr/>
  </w:style>
  <w:style w:type="table" w:customStyle="1" w:styleId="Style120">
    <w:name w:val="Style120"/>
    <w:basedOn w:val="TableNormal"/>
    <w:rPr>
      <w:rFonts w:ascii="Times New Roman" w:eastAsia="Times New Roman" w:hAnsi="Times New Roman"/>
    </w:rPr>
    <w:tblPr/>
  </w:style>
  <w:style w:type="table" w:customStyle="1" w:styleId="Style121">
    <w:name w:val="Style121"/>
    <w:basedOn w:val="TableNormal"/>
    <w:rPr>
      <w:rFonts w:ascii="Times New Roman" w:eastAsia="Times New Roman" w:hAnsi="Times New Roman"/>
    </w:rPr>
    <w:tblPr/>
  </w:style>
  <w:style w:type="table" w:customStyle="1" w:styleId="Style122">
    <w:name w:val="Style122"/>
    <w:basedOn w:val="TableNormal"/>
    <w:rPr>
      <w:rFonts w:ascii="Times New Roman" w:eastAsia="Times New Roman" w:hAnsi="Times New Roman"/>
    </w:rPr>
    <w:tblPr/>
  </w:style>
  <w:style w:type="table" w:customStyle="1" w:styleId="Style123">
    <w:name w:val="Style123"/>
    <w:basedOn w:val="TableNormal"/>
    <w:rPr>
      <w:rFonts w:ascii="Times New Roman" w:eastAsia="Times New Roman" w:hAnsi="Times New Roman"/>
    </w:rPr>
    <w:tblPr/>
  </w:style>
  <w:style w:type="table" w:customStyle="1" w:styleId="Style124">
    <w:name w:val="Style124"/>
    <w:basedOn w:val="TableNormal"/>
    <w:rPr>
      <w:rFonts w:ascii="Times New Roman" w:eastAsia="Times New Roman" w:hAnsi="Times New Roman"/>
    </w:rPr>
    <w:tblPr/>
  </w:style>
  <w:style w:type="table" w:customStyle="1" w:styleId="Style125">
    <w:name w:val="Style125"/>
    <w:basedOn w:val="TableNormal"/>
    <w:rPr>
      <w:rFonts w:ascii="Times New Roman" w:eastAsia="Times New Roman" w:hAnsi="Times New Roman"/>
    </w:rPr>
    <w:tblPr/>
  </w:style>
  <w:style w:type="table" w:customStyle="1" w:styleId="Style126">
    <w:name w:val="Style126"/>
    <w:basedOn w:val="TableNormal"/>
    <w:rPr>
      <w:rFonts w:ascii="Times New Roman" w:eastAsia="Times New Roman" w:hAnsi="Times New Roman"/>
    </w:rPr>
    <w:tblPr/>
  </w:style>
  <w:style w:type="table" w:customStyle="1" w:styleId="Style127">
    <w:name w:val="Style127"/>
    <w:basedOn w:val="TableNormal"/>
    <w:rPr>
      <w:rFonts w:ascii="Times New Roman" w:eastAsia="Times New Roman" w:hAnsi="Times New Roman"/>
    </w:rPr>
    <w:tblPr/>
  </w:style>
  <w:style w:type="character" w:customStyle="1" w:styleId="Heading1Char">
    <w:name w:val="Heading 1 Char"/>
    <w:link w:val="Heading1"/>
    <w:uiPriority w:val="9"/>
    <w:rPr>
      <w:rFonts w:ascii="Arial" w:eastAsia="SimSun" w:hAnsi="Arial" w:cs="Times New Roman"/>
      <w:bCs/>
      <w:color w:val="A6A6A6"/>
      <w:sz w:val="24"/>
      <w:szCs w:val="28"/>
    </w:rPr>
  </w:style>
  <w:style w:type="paragraph" w:styleId="TOC8">
    <w:name w:val="toc 8"/>
    <w:basedOn w:val="Normal"/>
    <w:next w:val="Normal"/>
    <w:autoRedefine/>
    <w:uiPriority w:val="39"/>
    <w:semiHidden/>
    <w:unhideWhenUsed/>
    <w:pPr>
      <w:spacing w:after="100"/>
      <w:ind w:left="1680"/>
    </w:pPr>
  </w:style>
  <w:style w:type="paragraph" w:styleId="TOC1">
    <w:name w:val="toc 1"/>
    <w:basedOn w:val="Normal"/>
    <w:next w:val="Normal"/>
    <w:link w:val="TOC1Char"/>
    <w:autoRedefine/>
    <w:uiPriority w:val="39"/>
    <w:unhideWhenUsed/>
    <w:pPr>
      <w:tabs>
        <w:tab w:val="right" w:leader="dot" w:pos="9062"/>
      </w:tabs>
      <w:spacing w:after="100"/>
    </w:pPr>
    <w:rPr>
      <w:rFonts w:ascii="Arial" w:hAnsi="Arial" w:cs="Arial"/>
      <w:noProof/>
      <w:sz w:val="20"/>
    </w:rPr>
  </w:style>
  <w:style w:type="character" w:styleId="FollowedHyperlink">
    <w:name w:val="FollowedHyperlink"/>
    <w:uiPriority w:val="99"/>
    <w:semiHidden/>
    <w:unhideWhenUsed/>
    <w:rPr>
      <w:color w:val="800080"/>
      <w:u w:val="single"/>
    </w:rPr>
  </w:style>
  <w:style w:type="paragraph" w:customStyle="1" w:styleId="c01pointnumerotealtn">
    <w:name w:val="c01pointnumerotealtn"/>
    <w:basedOn w:val="Normal"/>
    <w:pPr>
      <w:spacing w:before="100" w:beforeAutospacing="1"/>
      <w:ind w:left="567" w:hanging="539"/>
    </w:pPr>
    <w:rPr>
      <w:szCs w:val="24"/>
      <w:lang w:eastAsia="en-GB"/>
    </w:rPr>
  </w:style>
  <w:style w:type="character" w:customStyle="1" w:styleId="at25">
    <w:name w:val="a__t25"/>
    <w:basedOn w:val="DefaultParagraphFon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rPr>
  </w:style>
  <w:style w:type="paragraph" w:styleId="NormalWeb">
    <w:name w:val="Normal (Web)"/>
    <w:basedOn w:val="Normal"/>
    <w:uiPriority w:val="99"/>
    <w:unhideWhenUsed/>
    <w:rPr>
      <w:szCs w:val="24"/>
    </w:rPr>
  </w:style>
  <w:style w:type="paragraph" w:customStyle="1" w:styleId="Lijstje3">
    <w:name w:val="Lijstje 3"/>
    <w:basedOn w:val="Lijstje2"/>
    <w:uiPriority w:val="1"/>
    <w:unhideWhenUsed/>
    <w:locked/>
    <w:pPr>
      <w:numPr>
        <w:numId w:val="0"/>
      </w:numPr>
      <w:tabs>
        <w:tab w:val="num" w:pos="765"/>
      </w:tabs>
      <w:spacing w:after="200"/>
      <w:ind w:left="1069" w:hanging="283"/>
    </w:pPr>
  </w:style>
  <w:style w:type="character" w:customStyle="1" w:styleId="st">
    <w:name w:val="st"/>
    <w:basedOn w:val="DefaultParagraphFont"/>
  </w:style>
  <w:style w:type="character" w:customStyle="1" w:styleId="prdnormal">
    <w:name w:val="prdnormal"/>
    <w:basedOn w:val="DefaultParagraphFont"/>
  </w:style>
  <w:style w:type="character" w:styleId="Emphasis">
    <w:name w:val="Emphasis"/>
    <w:uiPriority w:val="20"/>
    <w:qFormat/>
    <w:rPr>
      <w:i/>
      <w:iCs/>
    </w:rPr>
  </w:style>
  <w:style w:type="paragraph" w:styleId="ListBullet">
    <w:name w:val="List Bullet"/>
    <w:basedOn w:val="Normal"/>
    <w:pPr>
      <w:numPr>
        <w:numId w:val="8"/>
      </w:numPr>
    </w:pPr>
    <w:rPr>
      <w:rFonts w:ascii="Arial" w:hAnsi="Arial"/>
      <w:sz w:val="22"/>
    </w:rPr>
  </w:style>
  <w:style w:type="paragraph" w:styleId="Signature">
    <w:name w:val="Signature"/>
    <w:basedOn w:val="Normal"/>
    <w:link w:val="SignatureChar"/>
    <w:uiPriority w:val="99"/>
    <w:semiHidden/>
    <w:unhideWhenUsed/>
    <w:pPr>
      <w:spacing w:after="0"/>
      <w:ind w:left="4252"/>
    </w:pPr>
  </w:style>
  <w:style w:type="character" w:customStyle="1" w:styleId="SignatureChar">
    <w:name w:val="Signature Char"/>
    <w:link w:val="Signature"/>
    <w:uiPriority w:val="99"/>
    <w:semiHidden/>
    <w:rPr>
      <w:rFonts w:ascii="Times New Roman" w:eastAsia="Times New Roman" w:hAnsi="Times New Roman" w:cs="Times New Roman"/>
      <w:sz w:val="24"/>
      <w:szCs w:val="20"/>
    </w:rPr>
  </w:style>
  <w:style w:type="paragraph" w:styleId="Revision">
    <w:name w:val="Revision"/>
    <w:hidden/>
    <w:uiPriority w:val="99"/>
    <w:semiHidden/>
    <w:rPr>
      <w:rFonts w:ascii="Times New Roman" w:eastAsia="Times New Roman" w:hAnsi="Times New Roman"/>
      <w:sz w:val="24"/>
      <w:lang w:eastAsia="en-US" w:bidi="ar-SA"/>
    </w:rPr>
  </w:style>
  <w:style w:type="character" w:customStyle="1" w:styleId="f1">
    <w:name w:val="f1"/>
    <w:rPr>
      <w:color w:val="666666"/>
    </w:rPr>
  </w:style>
  <w:style w:type="character" w:customStyle="1" w:styleId="st1">
    <w:name w:val="st1"/>
    <w:basedOn w:val="DefaultParagraphFont"/>
  </w:style>
  <w:style w:type="character" w:styleId="Strong">
    <w:name w:val="Strong"/>
    <w:uiPriority w:val="22"/>
    <w:qFormat/>
    <w:rPr>
      <w:b/>
      <w:bCs/>
    </w:rPr>
  </w:style>
  <w:style w:type="character" w:styleId="SubtleEmphasis">
    <w:name w:val="Subtle Emphasis"/>
    <w:uiPriority w:val="19"/>
    <w:qFormat/>
    <w:rPr>
      <w:i/>
      <w:iCs/>
      <w:color w:val="80808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OC1Char">
    <w:name w:val="TOC 1 Char"/>
    <w:link w:val="TOC1"/>
    <w:uiPriority w:val="39"/>
    <w:rPr>
      <w:rFonts w:ascii="Arial" w:eastAsia="Times New Roman" w:hAnsi="Arial" w:cs="Arial"/>
      <w:noProof/>
      <w:lang w:eastAsia="en-US" w:bidi="ar-SA"/>
    </w:rPr>
  </w:style>
  <w:style w:type="character" w:customStyle="1" w:styleId="FooterCoverPageChar">
    <w:name w:val="Footer Cover Page Char"/>
    <w:link w:val="FooterCoverPage"/>
    <w:rPr>
      <w:rFonts w:ascii="Times New Roman" w:eastAsia="Times New Roman" w:hAnsi="Times New Roman"/>
      <w:sz w:val="24"/>
      <w:lang w:eastAsia="en-US" w:bidi="ar-SA"/>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link w:val="HeaderCoverPage"/>
    <w:rPr>
      <w:rFonts w:ascii="Times New Roman" w:eastAsia="Times New Roman" w:hAnsi="Times New Roman"/>
      <w:sz w:val="24"/>
      <w:lang w:eastAsia="en-US" w:bidi="ar-SA"/>
    </w:rPr>
  </w:style>
  <w:style w:type="paragraph" w:styleId="BodyText3">
    <w:name w:val="Body Text 3"/>
    <w:basedOn w:val="Normal"/>
    <w:link w:val="BodyText3Char"/>
    <w:pPr>
      <w:spacing w:after="120"/>
    </w:pPr>
    <w:rPr>
      <w:rFonts w:ascii="Arial" w:hAnsi="Arial"/>
      <w:sz w:val="16"/>
    </w:rPr>
  </w:style>
  <w:style w:type="character" w:customStyle="1" w:styleId="BodyText3Char">
    <w:name w:val="Body Text 3 Char"/>
    <w:link w:val="BodyText3"/>
    <w:rPr>
      <w:rFonts w:ascii="Arial" w:eastAsia="Times New Roman" w:hAnsi="Arial" w:cs="Times New Roman"/>
      <w:sz w:val="16"/>
      <w:szCs w:val="20"/>
    </w:rPr>
  </w:style>
  <w:style w:type="character" w:customStyle="1" w:styleId="Heading3Char">
    <w:name w:val="Heading 3 Char"/>
    <w:link w:val="Heading3"/>
    <w:uiPriority w:val="9"/>
    <w:semiHidden/>
    <w:rPr>
      <w:rFonts w:ascii="Cambria" w:eastAsia="SimSun" w:hAnsi="Cambria" w:cs="Times New Roman"/>
      <w:b/>
      <w:bCs/>
      <w:color w:val="4F81BD"/>
      <w:sz w:val="24"/>
      <w:szCs w:val="20"/>
    </w:rPr>
  </w:style>
  <w:style w:type="paragraph" w:customStyle="1" w:styleId="Default">
    <w:name w:val="Default"/>
    <w:pPr>
      <w:autoSpaceDE w:val="0"/>
      <w:autoSpaceDN w:val="0"/>
      <w:adjustRightInd w:val="0"/>
    </w:pPr>
    <w:rPr>
      <w:rFonts w:ascii="Arial" w:hAnsi="Arial" w:cs="Arial"/>
      <w:color w:val="000000"/>
      <w:sz w:val="24"/>
      <w:szCs w:val="24"/>
      <w:lang w:eastAsia="en-US" w:bidi="ar-SA"/>
    </w:rPr>
  </w:style>
  <w:style w:type="paragraph" w:customStyle="1" w:styleId="c08dispositif">
    <w:name w:val="c08dispositif"/>
    <w:basedOn w:val="Normal"/>
    <w:pPr>
      <w:spacing w:before="100" w:beforeAutospacing="1"/>
      <w:ind w:left="1134" w:hanging="567"/>
    </w:pPr>
    <w:rPr>
      <w:rFonts w:eastAsia="Calibri"/>
      <w:b/>
      <w:bCs/>
      <w:szCs w:val="24"/>
      <w:lang w:eastAsia="en-GB"/>
    </w:rPr>
  </w:style>
  <w:style w:type="paragraph" w:customStyle="1" w:styleId="Contact">
    <w:name w:val="Contact"/>
    <w:basedOn w:val="Normal"/>
    <w:next w:val="Normal"/>
    <w:pPr>
      <w:spacing w:after="480"/>
      <w:ind w:left="567" w:hanging="567"/>
      <w:jc w:val="left"/>
    </w:pPr>
  </w:style>
  <w:style w:type="paragraph" w:customStyle="1" w:styleId="Declassification">
    <w:name w:val="Declassification"/>
    <w:basedOn w:val="Normal"/>
    <w:next w:val="Normal"/>
    <w:pPr>
      <w:spacing w:after="0"/>
    </w:pPr>
    <w:rPr>
      <w:rFonts w:eastAsia="Calibri"/>
      <w:szCs w:val="22"/>
    </w:rPr>
  </w:style>
  <w:style w:type="paragraph" w:customStyle="1" w:styleId="HeaderLandscape">
    <w:name w:val="HeaderLandscape"/>
    <w:basedOn w:val="Normal"/>
    <w:pPr>
      <w:tabs>
        <w:tab w:val="center" w:pos="7285"/>
        <w:tab w:val="right" w:pos="14003"/>
      </w:tabs>
      <w:spacing w:after="120"/>
    </w:pPr>
    <w:rPr>
      <w:rFonts w:eastAsia="Calibr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Calibr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3">
    <w:name w:val="Text 3"/>
    <w:basedOn w:val="Normal"/>
    <w:pPr>
      <w:tabs>
        <w:tab w:val="left" w:pos="2302"/>
      </w:tabs>
      <w:ind w:left="1202"/>
    </w:pPr>
    <w:rPr>
      <w:rFonts w:ascii="Arial" w:hAnsi="Arial"/>
      <w:sz w:val="22"/>
    </w:rPr>
  </w:style>
  <w:style w:type="character" w:customStyle="1" w:styleId="bluetext11">
    <w:name w:val="bluetext11"/>
    <w:basedOn w:val="DefaultParagraphFont"/>
  </w:style>
  <w:style w:type="paragraph" w:customStyle="1" w:styleId="AnnualReport1">
    <w:name w:val="Annual Report §1"/>
    <w:basedOn w:val="Normal"/>
    <w:link w:val="AnnualReport1Char"/>
    <w:qFormat/>
    <w:pPr>
      <w:keepNext/>
      <w:keepLines/>
      <w:numPr>
        <w:numId w:val="3"/>
      </w:numPr>
      <w:spacing w:before="360" w:after="120"/>
      <w:outlineLvl w:val="1"/>
    </w:pPr>
    <w:rPr>
      <w:rFonts w:ascii="Arial" w:eastAsia="MS Gothic" w:hAnsi="Arial" w:cs="Arial"/>
      <w:caps/>
      <w:color w:val="4F81BD"/>
      <w:kern w:val="20"/>
      <w:szCs w:val="24"/>
    </w:rPr>
  </w:style>
  <w:style w:type="paragraph" w:customStyle="1" w:styleId="AnnualReport2">
    <w:name w:val="Annual Report §2"/>
    <w:basedOn w:val="Normal"/>
    <w:link w:val="AnnualReport2Char"/>
    <w:qFormat/>
    <w:pPr>
      <w:spacing w:before="240"/>
      <w:ind w:left="786" w:hanging="360"/>
      <w:jc w:val="left"/>
      <w:outlineLvl w:val="1"/>
    </w:pPr>
    <w:rPr>
      <w:rFonts w:ascii="Arial" w:hAnsi="Arial"/>
      <w:color w:val="002060"/>
      <w:sz w:val="22"/>
      <w:szCs w:val="22"/>
    </w:rPr>
  </w:style>
  <w:style w:type="character" w:customStyle="1" w:styleId="AnnualReport1Char">
    <w:name w:val="Annual Report §1 Char"/>
    <w:link w:val="AnnualReport1"/>
    <w:rPr>
      <w:rFonts w:ascii="Arial" w:eastAsia="MS Gothic" w:hAnsi="Arial" w:cs="Arial"/>
      <w:caps/>
      <w:color w:val="4F81BD"/>
      <w:kern w:val="20"/>
      <w:sz w:val="24"/>
      <w:szCs w:val="24"/>
    </w:rPr>
  </w:style>
  <w:style w:type="character" w:customStyle="1" w:styleId="AnnualReport2Char">
    <w:name w:val="Annual Report §2 Char"/>
    <w:link w:val="AnnualReport2"/>
    <w:rPr>
      <w:rFonts w:ascii="Arial" w:eastAsia="Times New Roman" w:hAnsi="Arial" w:cs="Times New Roman"/>
      <w:color w:val="002060"/>
    </w:rPr>
  </w:style>
  <w:style w:type="character" w:customStyle="1" w:styleId="Heading2Char">
    <w:name w:val="Heading 2 Char"/>
    <w:link w:val="Heading2"/>
    <w:rPr>
      <w:rFonts w:ascii="Arial" w:eastAsia="Times New Roman" w:hAnsi="Arial" w:cs="Times New Roman"/>
      <w:b/>
      <w:szCs w:val="20"/>
    </w:rPr>
  </w:style>
  <w:style w:type="character" w:customStyle="1" w:styleId="Heading4Char">
    <w:name w:val="Heading 4 Char"/>
    <w:link w:val="Heading4"/>
    <w:rPr>
      <w:rFonts w:ascii="Arial" w:eastAsia="Times New Roman" w:hAnsi="Arial" w:cs="Times New Roman"/>
      <w:szCs w:val="20"/>
    </w:rPr>
  </w:style>
  <w:style w:type="paragraph" w:customStyle="1" w:styleId="Text4">
    <w:name w:val="Text 4"/>
    <w:basedOn w:val="Normal"/>
    <w:pPr>
      <w:tabs>
        <w:tab w:val="left" w:pos="2302"/>
      </w:tabs>
      <w:ind w:left="1202"/>
    </w:pPr>
    <w:rPr>
      <w:rFonts w:ascii="Arial" w:hAnsi="Arial"/>
      <w:sz w:val="22"/>
    </w:rPr>
  </w:style>
  <w:style w:type="paragraph" w:styleId="EndnoteText">
    <w:name w:val="endnote text"/>
    <w:basedOn w:val="Normal"/>
    <w:link w:val="EndnoteTextChar"/>
    <w:uiPriority w:val="99"/>
    <w:semiHidden/>
    <w:unhideWhenUsed/>
    <w:pPr>
      <w:spacing w:after="0"/>
    </w:pPr>
    <w:rPr>
      <w:sz w:val="20"/>
    </w:rPr>
  </w:style>
  <w:style w:type="character" w:customStyle="1" w:styleId="EndnoteTextChar">
    <w:name w:val="Endnote Text Char"/>
    <w:link w:val="EndnoteText"/>
    <w:uiPriority w:val="99"/>
    <w:semiHidden/>
    <w:rPr>
      <w:rFonts w:ascii="Times New Roman" w:eastAsia="Times New Roman" w:hAnsi="Times New Roman" w:cs="Times New Roman"/>
      <w:sz w:val="20"/>
      <w:szCs w:val="20"/>
    </w:rPr>
  </w:style>
  <w:style w:type="character" w:styleId="EndnoteReference">
    <w:name w:val="endnote reference"/>
    <w:uiPriority w:val="99"/>
    <w:semiHidden/>
    <w:unhideWhenUsed/>
    <w:rPr>
      <w:vertAlign w:val="superscript"/>
    </w:rPr>
  </w:style>
  <w:style w:type="paragraph" w:styleId="ListNumber5">
    <w:name w:val="List Number 5"/>
    <w:basedOn w:val="Normal"/>
    <w:pPr>
      <w:numPr>
        <w:numId w:val="212"/>
      </w:numPr>
    </w:pPr>
    <w:rPr>
      <w:szCs w:val="22"/>
      <w:lang w:eastAsia="en-GB"/>
    </w:rPr>
  </w:style>
  <w:style w:type="paragraph" w:customStyle="1" w:styleId="Basis">
    <w:name w:val="Basis"/>
    <w:basedOn w:val="Normal"/>
    <w:link w:val="BasisChar"/>
    <w:qFormat/>
    <w:pPr>
      <w:ind w:left="720"/>
    </w:pPr>
    <w:rPr>
      <w:rFonts w:ascii="Verdana" w:hAnsi="Verdana"/>
      <w:sz w:val="20"/>
      <w:szCs w:val="22"/>
      <w:lang w:val="en-US" w:eastAsia="en-GB"/>
    </w:rPr>
  </w:style>
  <w:style w:type="character" w:customStyle="1" w:styleId="BasisChar">
    <w:name w:val="Basis Char"/>
    <w:link w:val="Basis"/>
    <w:rPr>
      <w:rFonts w:ascii="Verdana" w:eastAsia="Times New Roman" w:hAnsi="Verdana"/>
      <w:szCs w:val="22"/>
      <w:lang w:val="en-US"/>
    </w:rPr>
  </w:style>
  <w:style w:type="character" w:customStyle="1" w:styleId="bold">
    <w:name w:val="bold"/>
  </w:style>
  <w:style w:type="paragraph" w:customStyle="1" w:styleId="ListBullet1">
    <w:name w:val="List Bullet 1"/>
    <w:basedOn w:val="Normal"/>
    <w:pPr>
      <w:numPr>
        <w:numId w:val="2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40"/>
      <w:jc w:val="both"/>
    </w:pPr>
    <w:rPr>
      <w:rFonts w:ascii="Times New Roman" w:eastAsia="Times New Roman" w:hAnsi="Times New Roman"/>
      <w:sz w:val="24"/>
      <w:lang w:eastAsia="en-US" w:bidi="ar-SA"/>
    </w:rPr>
  </w:style>
  <w:style w:type="paragraph" w:styleId="Heading1">
    <w:name w:val="heading 1"/>
    <w:basedOn w:val="MemberStateHeader"/>
    <w:next w:val="Subtitle"/>
    <w:link w:val="Heading1Char"/>
    <w:uiPriority w:val="9"/>
    <w:qFormat/>
    <w:pPr>
      <w:keepNext/>
      <w:keepLines/>
      <w:outlineLvl w:val="0"/>
    </w:pPr>
    <w:rPr>
      <w:rFonts w:eastAsia="SimSun"/>
      <w:bCs/>
      <w:color w:val="A6A6A6"/>
      <w:szCs w:val="28"/>
    </w:rPr>
  </w:style>
  <w:style w:type="paragraph" w:styleId="Heading2">
    <w:name w:val="heading 2"/>
    <w:basedOn w:val="Normal"/>
    <w:next w:val="Normal"/>
    <w:link w:val="Heading2Char"/>
    <w:pPr>
      <w:keepNext/>
      <w:tabs>
        <w:tab w:val="num" w:pos="1200"/>
      </w:tabs>
      <w:ind w:left="1200" w:hanging="720"/>
      <w:outlineLvl w:val="1"/>
    </w:pPr>
    <w:rPr>
      <w:rFonts w:ascii="Arial" w:hAnsi="Arial"/>
      <w:b/>
      <w:sz w:val="22"/>
    </w:rPr>
  </w:style>
  <w:style w:type="paragraph" w:styleId="Heading3">
    <w:name w:val="heading 3"/>
    <w:basedOn w:val="Normal"/>
    <w:next w:val="Normal"/>
    <w:link w:val="Heading3Char"/>
    <w:unhideWhenUsed/>
    <w:qFormat/>
    <w:pPr>
      <w:keepNext/>
      <w:keepLines/>
      <w:spacing w:before="200" w:after="0"/>
      <w:outlineLvl w:val="2"/>
    </w:pPr>
    <w:rPr>
      <w:rFonts w:ascii="Cambria" w:eastAsia="SimSun" w:hAnsi="Cambria"/>
      <w:b/>
      <w:bCs/>
      <w:color w:val="4F81BD"/>
    </w:rPr>
  </w:style>
  <w:style w:type="paragraph" w:styleId="Heading4">
    <w:name w:val="heading 4"/>
    <w:basedOn w:val="Normal"/>
    <w:next w:val="Normal"/>
    <w:link w:val="Heading4Char"/>
    <w:pPr>
      <w:keepNext/>
      <w:tabs>
        <w:tab w:val="num" w:pos="1920"/>
      </w:tabs>
      <w:ind w:left="1920" w:hanging="720"/>
      <w:outlineLvl w:val="3"/>
    </w:pPr>
    <w:rPr>
      <w:rFonts w:ascii="Arial" w:hAnsi="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ußnote,Fotnotstext1,fn,Footnote Text Char2 Char,Footnote Text Char Char Char1,Footnote Text Char1 Char Char Char,Footnote Text Char2 Char Char Char Char,Footnote Text Char1 Char1 Char Char Char Char,footnote te,Voetnootteks,f,Ch"/>
    <w:basedOn w:val="Normal"/>
    <w:qFormat/>
    <w:pPr>
      <w:spacing w:after="0"/>
      <w:ind w:left="357" w:hanging="357"/>
    </w:pPr>
    <w:rPr>
      <w:rFonts w:ascii="Arial" w:hAnsi="Arial"/>
      <w:sz w:val="18"/>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rPr>
      <w:rFonts w:ascii="Arial" w:eastAsia="Times New Roman" w:hAnsi="Arial" w:cs="Times New Roman"/>
      <w:sz w:val="18"/>
      <w:szCs w:val="20"/>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ar,FR"/>
    <w:uiPriority w:val="99"/>
    <w:qFormat/>
    <w:rPr>
      <w:vertAlign w:val="superscript"/>
    </w:rPr>
  </w:style>
  <w:style w:type="paragraph" w:customStyle="1" w:styleId="Body">
    <w:name w:val="Body"/>
    <w:basedOn w:val="Normal"/>
    <w:link w:val="BodyChar"/>
    <w:qFormat/>
    <w:pPr>
      <w:spacing w:after="120"/>
      <w:ind w:firstLine="709"/>
    </w:pPr>
    <w:rPr>
      <w:rFonts w:ascii="Arial" w:hAnsi="Arial" w:cs="Arial"/>
      <w:sz w:val="20"/>
      <w:lang w:val="en-US"/>
    </w:rPr>
  </w:style>
  <w:style w:type="character" w:customStyle="1" w:styleId="BodyChar">
    <w:name w:val="Body Char"/>
    <w:link w:val="Body"/>
    <w:rPr>
      <w:rFonts w:ascii="Arial" w:eastAsia="Times New Roman" w:hAnsi="Arial" w:cs="Arial"/>
      <w:sz w:val="20"/>
      <w:szCs w:val="20"/>
      <w:lang w:val="en-US"/>
    </w:rPr>
  </w:style>
  <w:style w:type="paragraph" w:customStyle="1" w:styleId="kop2">
    <w:name w:val="kop 2"/>
    <w:basedOn w:val="Normal"/>
    <w:next w:val="Normal"/>
    <w:link w:val="kop2Char"/>
    <w:uiPriority w:val="1"/>
    <w:unhideWhenUsed/>
    <w:qFormat/>
    <w:pPr>
      <w:keepNext/>
      <w:keepLines/>
      <w:spacing w:after="120"/>
      <w:ind w:left="360" w:hanging="360"/>
      <w:outlineLvl w:val="1"/>
    </w:pPr>
    <w:rPr>
      <w:rFonts w:ascii="Arial" w:eastAsia="MS Gothic" w:hAnsi="Arial" w:cs="Arial"/>
      <w:caps/>
      <w:color w:val="4F81BD"/>
      <w:kern w:val="20"/>
      <w:szCs w:val="24"/>
    </w:rPr>
  </w:style>
  <w:style w:type="paragraph" w:customStyle="1" w:styleId="kop3">
    <w:name w:val="kop 3"/>
    <w:basedOn w:val="Subtitle"/>
    <w:next w:val="Normal"/>
    <w:link w:val="kop3Char"/>
    <w:autoRedefine/>
    <w:uiPriority w:val="1"/>
    <w:unhideWhenUsed/>
    <w:qFormat/>
    <w:pPr>
      <w:numPr>
        <w:ilvl w:val="0"/>
        <w:numId w:val="0"/>
      </w:numPr>
      <w:ind w:left="2869" w:hanging="180"/>
    </w:pPr>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color w:val="002060"/>
    </w:rPr>
  </w:style>
  <w:style w:type="paragraph" w:customStyle="1" w:styleId="Lijstje">
    <w:name w:val="Lijstje"/>
    <w:basedOn w:val="NoSpacing"/>
    <w:uiPriority w:val="1"/>
    <w:unhideWhenUsed/>
    <w:qFormat/>
    <w:locked/>
    <w:pPr>
      <w:spacing w:after="120"/>
      <w:ind w:left="1845" w:hanging="705"/>
    </w:pPr>
    <w:rPr>
      <w:rFonts w:ascii="Arial" w:eastAsia="Calibri" w:hAnsi="Arial" w:cs="Arial"/>
      <w:kern w:val="20"/>
      <w:sz w:val="20"/>
    </w:rPr>
  </w:style>
  <w:style w:type="paragraph" w:customStyle="1" w:styleId="Lijstje2">
    <w:name w:val="Lijstje2"/>
    <w:basedOn w:val="ListParagraph"/>
    <w:uiPriority w:val="1"/>
    <w:unhideWhenUsed/>
    <w:qFormat/>
    <w:locked/>
    <w:pPr>
      <w:numPr>
        <w:numId w:val="2"/>
      </w:numPr>
      <w:spacing w:after="120"/>
    </w:pPr>
    <w:rPr>
      <w:rFonts w:ascii="Verdana" w:eastAsia="Calibri" w:hAnsi="Verdana"/>
      <w:kern w:val="20"/>
      <w:sz w:val="20"/>
      <w:lang w:val="nl-NL"/>
    </w:rPr>
  </w:style>
  <w:style w:type="paragraph" w:customStyle="1" w:styleId="MemberStateHeader">
    <w:name w:val="Member State Header"/>
    <w:basedOn w:val="Normal"/>
    <w:link w:val="MemberStateHeaderChar"/>
    <w:qFormat/>
    <w:pPr>
      <w:jc w:val="center"/>
    </w:pPr>
    <w:rPr>
      <w:rFonts w:ascii="Arial" w:hAnsi="Arial"/>
      <w:color w:val="BFBFBF"/>
      <w:szCs w:val="24"/>
    </w:rPr>
  </w:style>
  <w:style w:type="character" w:customStyle="1" w:styleId="MemberStateHeaderChar">
    <w:name w:val="Member State Header Char"/>
    <w:link w:val="MemberStateHeader"/>
    <w:rPr>
      <w:rFonts w:ascii="Arial" w:eastAsia="Times New Roman" w:hAnsi="Arial" w:cs="Times New Roman"/>
      <w:color w:val="BFBFBF"/>
      <w:sz w:val="24"/>
      <w:szCs w:val="24"/>
    </w:rPr>
  </w:style>
  <w:style w:type="paragraph" w:styleId="NoSpacing">
    <w:name w:val="No Spacing"/>
    <w:uiPriority w:val="1"/>
    <w:qFormat/>
    <w:pPr>
      <w:jc w:val="both"/>
    </w:pPr>
    <w:rPr>
      <w:rFonts w:ascii="Times New Roman" w:eastAsia="Times New Roman" w:hAnsi="Times New Roman"/>
      <w:sz w:val="24"/>
      <w:lang w:eastAsia="en-US" w:bidi="ar-SA"/>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rPr>
  </w:style>
  <w:style w:type="paragraph" w:styleId="Header">
    <w:name w:val="header"/>
    <w:basedOn w:val="Normal"/>
    <w:link w:val="HeaderChar"/>
    <w:uiPriority w:val="99"/>
    <w:unhideWhenUsed/>
    <w:pPr>
      <w:tabs>
        <w:tab w:val="center" w:pos="4535"/>
        <w:tab w:val="right" w:pos="9071"/>
      </w:tabs>
      <w:spacing w:after="120"/>
    </w:pPr>
    <w:rPr>
      <w:rFonts w:eastAsia="Calibri"/>
      <w:szCs w:val="22"/>
    </w:rPr>
  </w:style>
  <w:style w:type="character" w:customStyle="1" w:styleId="HeaderChar">
    <w:name w:val="Header Char"/>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Calibri"/>
      <w:szCs w:val="22"/>
    </w:rPr>
  </w:style>
  <w:style w:type="character" w:customStyle="1" w:styleId="FooterChar">
    <w:name w:val="Footer Char"/>
    <w:link w:val="Footer"/>
    <w:uiPriority w:val="99"/>
    <w:rPr>
      <w:rFonts w:ascii="Times New Roman" w:hAnsi="Times New Roman" w:cs="Times New Roman"/>
      <w:sz w:val="24"/>
    </w:rPr>
  </w:style>
  <w:style w:type="paragraph" w:customStyle="1" w:styleId="Priorities">
    <w:name w:val="Priorities"/>
    <w:basedOn w:val="Normal"/>
    <w:link w:val="PrioritiesChar"/>
    <w:qFormat/>
    <w:pPr>
      <w:spacing w:after="200" w:line="276" w:lineRule="auto"/>
      <w:jc w:val="center"/>
    </w:pPr>
    <w:rPr>
      <w:rFonts w:ascii="Arial" w:eastAsia="Calibri" w:hAnsi="Arial" w:cs="Arial"/>
      <w:b/>
      <w:color w:val="163E71"/>
      <w:sz w:val="28"/>
      <w:szCs w:val="28"/>
    </w:rPr>
  </w:style>
  <w:style w:type="character" w:customStyle="1" w:styleId="PrioritiesChar">
    <w:name w:val="Priorities Char"/>
    <w:link w:val="Priorities"/>
    <w:rPr>
      <w:rFonts w:ascii="Arial" w:hAnsi="Arial" w:cs="Arial"/>
      <w:b/>
      <w:color w:val="163E71"/>
      <w:sz w:val="28"/>
      <w:szCs w:val="28"/>
    </w:rPr>
  </w:style>
  <w:style w:type="paragraph" w:styleId="Subtitle">
    <w:name w:val="Subtitle"/>
    <w:basedOn w:val="Normal"/>
    <w:link w:val="SubtitleChar"/>
    <w:autoRedefine/>
    <w:qFormat/>
    <w:pPr>
      <w:numPr>
        <w:ilvl w:val="2"/>
        <w:numId w:val="1"/>
      </w:numPr>
      <w:spacing w:before="240"/>
      <w:ind w:left="709" w:hanging="425"/>
      <w:jc w:val="left"/>
      <w:outlineLvl w:val="1"/>
    </w:pPr>
    <w:rPr>
      <w:rFonts w:ascii="Arial" w:hAnsi="Arial"/>
      <w:color w:val="002060"/>
      <w:sz w:val="22"/>
      <w:szCs w:val="22"/>
    </w:rPr>
  </w:style>
  <w:style w:type="character" w:customStyle="1" w:styleId="SubtitleChar">
    <w:name w:val="Subtitle Char"/>
    <w:link w:val="Subtitle"/>
    <w:rPr>
      <w:rFonts w:ascii="Arial" w:eastAsia="Times New Roman" w:hAnsi="Arial"/>
      <w:color w:val="002060"/>
      <w:sz w:val="22"/>
      <w:szCs w:val="22"/>
      <w:lang w:eastAsia="en-US" w:bidi="ar-SA"/>
    </w:rPr>
  </w:style>
  <w:style w:type="table" w:customStyle="1" w:styleId="Style1">
    <w:name w:val="Style1"/>
    <w:basedOn w:val="TableNormal"/>
    <w:rPr>
      <w:rFonts w:ascii="Times New Roman" w:eastAsia="Times New Roman" w:hAnsi="Times New Roman"/>
    </w:rPr>
    <w:tblPr/>
  </w:style>
  <w:style w:type="character" w:customStyle="1" w:styleId="affairetitle">
    <w:name w:val="affaire_title"/>
    <w:basedOn w:val="DefaultParagraphFont"/>
  </w:style>
  <w:style w:type="character" w:styleId="Hyperlink">
    <w:name w:val="Hyperlink"/>
    <w:uiPriority w:val="99"/>
    <w:unhideWhenUsed/>
    <w:rPr>
      <w:color w:val="0000FF"/>
      <w:u w:val="single"/>
    </w:rPr>
  </w:style>
  <w:style w:type="table" w:customStyle="1" w:styleId="Style11">
    <w:name w:val="Style11"/>
    <w:basedOn w:val="TableNormal"/>
    <w:rPr>
      <w:rFonts w:ascii="Times New Roman" w:eastAsia="Times New Roman" w:hAnsi="Times New Roman"/>
    </w:rPr>
    <w:tblPr/>
  </w:style>
  <w:style w:type="table" w:customStyle="1" w:styleId="Style12">
    <w:name w:val="Style12"/>
    <w:basedOn w:val="TableNormal"/>
    <w:rPr>
      <w:rFonts w:ascii="Times New Roman" w:eastAsia="Times New Roman" w:hAnsi="Times New Roman"/>
    </w:rPr>
    <w:tblPr/>
  </w:style>
  <w:style w:type="table" w:customStyle="1" w:styleId="Style13">
    <w:name w:val="Style13"/>
    <w:basedOn w:val="TableNormal"/>
    <w:rPr>
      <w:rFonts w:ascii="Times New Roman" w:eastAsia="Times New Roman" w:hAnsi="Times New Roman"/>
    </w:rPr>
    <w:tblPr/>
  </w:style>
  <w:style w:type="table" w:customStyle="1" w:styleId="Style14">
    <w:name w:val="Style14"/>
    <w:basedOn w:val="TableNormal"/>
    <w:rPr>
      <w:rFonts w:ascii="Times New Roman" w:eastAsia="Times New Roman" w:hAnsi="Times New Roman"/>
    </w:rPr>
    <w:tblPr/>
  </w:style>
  <w:style w:type="table" w:customStyle="1" w:styleId="Style15">
    <w:name w:val="Style15"/>
    <w:basedOn w:val="TableNormal"/>
    <w:rPr>
      <w:rFonts w:ascii="Times New Roman" w:eastAsia="Times New Roman" w:hAnsi="Times New Roman"/>
    </w:rPr>
    <w:tblPr/>
  </w:style>
  <w:style w:type="table" w:customStyle="1" w:styleId="Style16">
    <w:name w:val="Style16"/>
    <w:basedOn w:val="TableNormal"/>
    <w:rPr>
      <w:rFonts w:ascii="Times New Roman" w:eastAsia="Times New Roman" w:hAnsi="Times New Roman"/>
    </w:rPr>
    <w:tblPr/>
  </w:style>
  <w:style w:type="table" w:customStyle="1" w:styleId="Style17">
    <w:name w:val="Style17"/>
    <w:basedOn w:val="TableNormal"/>
    <w:rPr>
      <w:rFonts w:ascii="Times New Roman" w:eastAsia="Times New Roman" w:hAnsi="Times New Roman"/>
    </w:rPr>
    <w:tblPr/>
  </w:style>
  <w:style w:type="table" w:customStyle="1" w:styleId="Style18">
    <w:name w:val="Style18"/>
    <w:basedOn w:val="TableNormal"/>
    <w:rPr>
      <w:rFonts w:ascii="Times New Roman" w:eastAsia="Times New Roman" w:hAnsi="Times New Roman"/>
    </w:rPr>
    <w:tblPr/>
  </w:style>
  <w:style w:type="table" w:customStyle="1" w:styleId="Style19">
    <w:name w:val="Style19"/>
    <w:basedOn w:val="TableNormal"/>
    <w:rPr>
      <w:rFonts w:ascii="Times New Roman" w:eastAsia="Times New Roman" w:hAnsi="Times New Roman"/>
    </w:rPr>
    <w:tblPr/>
  </w:style>
  <w:style w:type="table" w:customStyle="1" w:styleId="Style110">
    <w:name w:val="Style110"/>
    <w:basedOn w:val="TableNormal"/>
    <w:rPr>
      <w:rFonts w:ascii="Times New Roman" w:eastAsia="Times New Roman" w:hAnsi="Times New Roman"/>
    </w:rPr>
    <w:tblPr/>
  </w:style>
  <w:style w:type="table" w:customStyle="1" w:styleId="Style111">
    <w:name w:val="Style111"/>
    <w:basedOn w:val="TableNormal"/>
    <w:rPr>
      <w:rFonts w:ascii="Times New Roman" w:eastAsia="Times New Roman" w:hAnsi="Times New Roman"/>
    </w:rPr>
    <w:tbl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link w:val="CommentText"/>
    <w:uiPriority w:val="99"/>
    <w:rPr>
      <w:rFonts w:ascii="Times New Roman" w:eastAsia="Times New Roman" w:hAnsi="Times New Roman" w:cs="Times New Roman"/>
      <w:sz w:val="20"/>
      <w:szCs w:val="20"/>
    </w:rPr>
  </w:style>
  <w:style w:type="table" w:customStyle="1" w:styleId="Style112">
    <w:name w:val="Style112"/>
    <w:basedOn w:val="TableNormal"/>
    <w:rPr>
      <w:rFonts w:ascii="Times New Roman" w:eastAsia="Times New Roman" w:hAnsi="Times New Roman"/>
    </w:rPr>
    <w:tblPr/>
  </w:style>
  <w:style w:type="table" w:customStyle="1" w:styleId="Style113">
    <w:name w:val="Style113"/>
    <w:basedOn w:val="TableNormal"/>
    <w:rPr>
      <w:rFonts w:ascii="Times New Roman" w:eastAsia="Times New Roman" w:hAnsi="Times New Roman"/>
    </w:rPr>
    <w:tblPr/>
  </w:style>
  <w:style w:type="table" w:customStyle="1" w:styleId="Style114">
    <w:name w:val="Style114"/>
    <w:basedOn w:val="TableNormal"/>
    <w:rPr>
      <w:rFonts w:ascii="Times New Roman" w:eastAsia="Times New Roman" w:hAnsi="Times New Roman"/>
    </w:rPr>
    <w:tblPr/>
  </w:style>
  <w:style w:type="table" w:customStyle="1" w:styleId="Style115">
    <w:name w:val="Style115"/>
    <w:basedOn w:val="TableNormal"/>
    <w:rPr>
      <w:rFonts w:ascii="Times New Roman" w:eastAsia="Times New Roman" w:hAnsi="Times New Roman"/>
    </w:rPr>
    <w:tblPr/>
  </w:style>
  <w:style w:type="table" w:customStyle="1" w:styleId="Style116">
    <w:name w:val="Style116"/>
    <w:basedOn w:val="TableNormal"/>
    <w:rPr>
      <w:rFonts w:ascii="Times New Roman" w:eastAsia="Times New Roman" w:hAnsi="Times New Roman"/>
    </w:rPr>
    <w:tblPr/>
  </w:style>
  <w:style w:type="table" w:customStyle="1" w:styleId="Style117">
    <w:name w:val="Style117"/>
    <w:basedOn w:val="TableNormal"/>
    <w:rPr>
      <w:rFonts w:ascii="Times New Roman" w:eastAsia="Times New Roman" w:hAnsi="Times New Roman"/>
    </w:rPr>
    <w:tblPr/>
  </w:style>
  <w:style w:type="table" w:customStyle="1" w:styleId="Style118">
    <w:name w:val="Style118"/>
    <w:basedOn w:val="TableNormal"/>
    <w:rPr>
      <w:rFonts w:ascii="Times New Roman" w:eastAsia="Times New Roman" w:hAnsi="Times New Roman"/>
    </w:rPr>
    <w:tblPr/>
  </w:style>
  <w:style w:type="table" w:customStyle="1" w:styleId="Style119">
    <w:name w:val="Style119"/>
    <w:basedOn w:val="TableNormal"/>
    <w:rPr>
      <w:rFonts w:ascii="Times New Roman" w:eastAsia="Times New Roman" w:hAnsi="Times New Roman"/>
    </w:rPr>
    <w:tblPr/>
  </w:style>
  <w:style w:type="table" w:customStyle="1" w:styleId="Style120">
    <w:name w:val="Style120"/>
    <w:basedOn w:val="TableNormal"/>
    <w:rPr>
      <w:rFonts w:ascii="Times New Roman" w:eastAsia="Times New Roman" w:hAnsi="Times New Roman"/>
    </w:rPr>
    <w:tblPr/>
  </w:style>
  <w:style w:type="table" w:customStyle="1" w:styleId="Style121">
    <w:name w:val="Style121"/>
    <w:basedOn w:val="TableNormal"/>
    <w:rPr>
      <w:rFonts w:ascii="Times New Roman" w:eastAsia="Times New Roman" w:hAnsi="Times New Roman"/>
    </w:rPr>
    <w:tblPr/>
  </w:style>
  <w:style w:type="table" w:customStyle="1" w:styleId="Style122">
    <w:name w:val="Style122"/>
    <w:basedOn w:val="TableNormal"/>
    <w:rPr>
      <w:rFonts w:ascii="Times New Roman" w:eastAsia="Times New Roman" w:hAnsi="Times New Roman"/>
    </w:rPr>
    <w:tblPr/>
  </w:style>
  <w:style w:type="table" w:customStyle="1" w:styleId="Style123">
    <w:name w:val="Style123"/>
    <w:basedOn w:val="TableNormal"/>
    <w:rPr>
      <w:rFonts w:ascii="Times New Roman" w:eastAsia="Times New Roman" w:hAnsi="Times New Roman"/>
    </w:rPr>
    <w:tblPr/>
  </w:style>
  <w:style w:type="table" w:customStyle="1" w:styleId="Style124">
    <w:name w:val="Style124"/>
    <w:basedOn w:val="TableNormal"/>
    <w:rPr>
      <w:rFonts w:ascii="Times New Roman" w:eastAsia="Times New Roman" w:hAnsi="Times New Roman"/>
    </w:rPr>
    <w:tblPr/>
  </w:style>
  <w:style w:type="table" w:customStyle="1" w:styleId="Style125">
    <w:name w:val="Style125"/>
    <w:basedOn w:val="TableNormal"/>
    <w:rPr>
      <w:rFonts w:ascii="Times New Roman" w:eastAsia="Times New Roman" w:hAnsi="Times New Roman"/>
    </w:rPr>
    <w:tblPr/>
  </w:style>
  <w:style w:type="table" w:customStyle="1" w:styleId="Style126">
    <w:name w:val="Style126"/>
    <w:basedOn w:val="TableNormal"/>
    <w:rPr>
      <w:rFonts w:ascii="Times New Roman" w:eastAsia="Times New Roman" w:hAnsi="Times New Roman"/>
    </w:rPr>
    <w:tblPr/>
  </w:style>
  <w:style w:type="table" w:customStyle="1" w:styleId="Style127">
    <w:name w:val="Style127"/>
    <w:basedOn w:val="TableNormal"/>
    <w:rPr>
      <w:rFonts w:ascii="Times New Roman" w:eastAsia="Times New Roman" w:hAnsi="Times New Roman"/>
    </w:rPr>
    <w:tblPr/>
  </w:style>
  <w:style w:type="character" w:customStyle="1" w:styleId="Heading1Char">
    <w:name w:val="Heading 1 Char"/>
    <w:link w:val="Heading1"/>
    <w:uiPriority w:val="9"/>
    <w:rPr>
      <w:rFonts w:ascii="Arial" w:eastAsia="SimSun" w:hAnsi="Arial" w:cs="Times New Roman"/>
      <w:bCs/>
      <w:color w:val="A6A6A6"/>
      <w:sz w:val="24"/>
      <w:szCs w:val="28"/>
    </w:rPr>
  </w:style>
  <w:style w:type="paragraph" w:styleId="TOC8">
    <w:name w:val="toc 8"/>
    <w:basedOn w:val="Normal"/>
    <w:next w:val="Normal"/>
    <w:autoRedefine/>
    <w:uiPriority w:val="39"/>
    <w:semiHidden/>
    <w:unhideWhenUsed/>
    <w:pPr>
      <w:spacing w:after="100"/>
      <w:ind w:left="1680"/>
    </w:pPr>
  </w:style>
  <w:style w:type="paragraph" w:styleId="TOC1">
    <w:name w:val="toc 1"/>
    <w:basedOn w:val="Normal"/>
    <w:next w:val="Normal"/>
    <w:link w:val="TOC1Char"/>
    <w:autoRedefine/>
    <w:uiPriority w:val="39"/>
    <w:unhideWhenUsed/>
    <w:pPr>
      <w:tabs>
        <w:tab w:val="right" w:leader="dot" w:pos="9062"/>
      </w:tabs>
      <w:spacing w:after="100"/>
    </w:pPr>
    <w:rPr>
      <w:rFonts w:ascii="Arial" w:hAnsi="Arial" w:cs="Arial"/>
      <w:noProof/>
      <w:sz w:val="20"/>
    </w:rPr>
  </w:style>
  <w:style w:type="character" w:styleId="FollowedHyperlink">
    <w:name w:val="FollowedHyperlink"/>
    <w:uiPriority w:val="99"/>
    <w:semiHidden/>
    <w:unhideWhenUsed/>
    <w:rPr>
      <w:color w:val="800080"/>
      <w:u w:val="single"/>
    </w:rPr>
  </w:style>
  <w:style w:type="paragraph" w:customStyle="1" w:styleId="c01pointnumerotealtn">
    <w:name w:val="c01pointnumerotealtn"/>
    <w:basedOn w:val="Normal"/>
    <w:pPr>
      <w:spacing w:before="100" w:beforeAutospacing="1"/>
      <w:ind w:left="567" w:hanging="539"/>
    </w:pPr>
    <w:rPr>
      <w:szCs w:val="24"/>
      <w:lang w:eastAsia="en-GB"/>
    </w:rPr>
  </w:style>
  <w:style w:type="character" w:customStyle="1" w:styleId="at25">
    <w:name w:val="a__t25"/>
    <w:basedOn w:val="DefaultParagraphFon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rPr>
  </w:style>
  <w:style w:type="paragraph" w:styleId="NormalWeb">
    <w:name w:val="Normal (Web)"/>
    <w:basedOn w:val="Normal"/>
    <w:uiPriority w:val="99"/>
    <w:unhideWhenUsed/>
    <w:rPr>
      <w:szCs w:val="24"/>
    </w:rPr>
  </w:style>
  <w:style w:type="paragraph" w:customStyle="1" w:styleId="Lijstje3">
    <w:name w:val="Lijstje 3"/>
    <w:basedOn w:val="Lijstje2"/>
    <w:uiPriority w:val="1"/>
    <w:unhideWhenUsed/>
    <w:locked/>
    <w:pPr>
      <w:numPr>
        <w:numId w:val="0"/>
      </w:numPr>
      <w:tabs>
        <w:tab w:val="num" w:pos="765"/>
      </w:tabs>
      <w:spacing w:after="200"/>
      <w:ind w:left="1069" w:hanging="283"/>
    </w:pPr>
  </w:style>
  <w:style w:type="character" w:customStyle="1" w:styleId="st">
    <w:name w:val="st"/>
    <w:basedOn w:val="DefaultParagraphFont"/>
  </w:style>
  <w:style w:type="character" w:customStyle="1" w:styleId="prdnormal">
    <w:name w:val="prdnormal"/>
    <w:basedOn w:val="DefaultParagraphFont"/>
  </w:style>
  <w:style w:type="character" w:styleId="Emphasis">
    <w:name w:val="Emphasis"/>
    <w:uiPriority w:val="20"/>
    <w:qFormat/>
    <w:rPr>
      <w:i/>
      <w:iCs/>
    </w:rPr>
  </w:style>
  <w:style w:type="paragraph" w:styleId="ListBullet">
    <w:name w:val="List Bullet"/>
    <w:basedOn w:val="Normal"/>
    <w:pPr>
      <w:numPr>
        <w:numId w:val="8"/>
      </w:numPr>
    </w:pPr>
    <w:rPr>
      <w:rFonts w:ascii="Arial" w:hAnsi="Arial"/>
      <w:sz w:val="22"/>
    </w:rPr>
  </w:style>
  <w:style w:type="paragraph" w:styleId="Signature">
    <w:name w:val="Signature"/>
    <w:basedOn w:val="Normal"/>
    <w:link w:val="SignatureChar"/>
    <w:uiPriority w:val="99"/>
    <w:semiHidden/>
    <w:unhideWhenUsed/>
    <w:pPr>
      <w:spacing w:after="0"/>
      <w:ind w:left="4252"/>
    </w:pPr>
  </w:style>
  <w:style w:type="character" w:customStyle="1" w:styleId="SignatureChar">
    <w:name w:val="Signature Char"/>
    <w:link w:val="Signature"/>
    <w:uiPriority w:val="99"/>
    <w:semiHidden/>
    <w:rPr>
      <w:rFonts w:ascii="Times New Roman" w:eastAsia="Times New Roman" w:hAnsi="Times New Roman" w:cs="Times New Roman"/>
      <w:sz w:val="24"/>
      <w:szCs w:val="20"/>
    </w:rPr>
  </w:style>
  <w:style w:type="paragraph" w:styleId="Revision">
    <w:name w:val="Revision"/>
    <w:hidden/>
    <w:uiPriority w:val="99"/>
    <w:semiHidden/>
    <w:rPr>
      <w:rFonts w:ascii="Times New Roman" w:eastAsia="Times New Roman" w:hAnsi="Times New Roman"/>
      <w:sz w:val="24"/>
      <w:lang w:eastAsia="en-US" w:bidi="ar-SA"/>
    </w:rPr>
  </w:style>
  <w:style w:type="character" w:customStyle="1" w:styleId="f1">
    <w:name w:val="f1"/>
    <w:rPr>
      <w:color w:val="666666"/>
    </w:rPr>
  </w:style>
  <w:style w:type="character" w:customStyle="1" w:styleId="st1">
    <w:name w:val="st1"/>
    <w:basedOn w:val="DefaultParagraphFont"/>
  </w:style>
  <w:style w:type="character" w:styleId="Strong">
    <w:name w:val="Strong"/>
    <w:uiPriority w:val="22"/>
    <w:qFormat/>
    <w:rPr>
      <w:b/>
      <w:bCs/>
    </w:rPr>
  </w:style>
  <w:style w:type="character" w:styleId="SubtleEmphasis">
    <w:name w:val="Subtle Emphasis"/>
    <w:uiPriority w:val="19"/>
    <w:qFormat/>
    <w:rPr>
      <w:i/>
      <w:iCs/>
      <w:color w:val="80808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OC1Char">
    <w:name w:val="TOC 1 Char"/>
    <w:link w:val="TOC1"/>
    <w:uiPriority w:val="39"/>
    <w:rPr>
      <w:rFonts w:ascii="Arial" w:eastAsia="Times New Roman" w:hAnsi="Arial" w:cs="Arial"/>
      <w:noProof/>
      <w:lang w:eastAsia="en-US" w:bidi="ar-SA"/>
    </w:rPr>
  </w:style>
  <w:style w:type="character" w:customStyle="1" w:styleId="FooterCoverPageChar">
    <w:name w:val="Footer Cover Page Char"/>
    <w:link w:val="FooterCoverPage"/>
    <w:rPr>
      <w:rFonts w:ascii="Times New Roman" w:eastAsia="Times New Roman" w:hAnsi="Times New Roman"/>
      <w:sz w:val="24"/>
      <w:lang w:eastAsia="en-US" w:bidi="ar-SA"/>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link w:val="HeaderCoverPage"/>
    <w:rPr>
      <w:rFonts w:ascii="Times New Roman" w:eastAsia="Times New Roman" w:hAnsi="Times New Roman"/>
      <w:sz w:val="24"/>
      <w:lang w:eastAsia="en-US" w:bidi="ar-SA"/>
    </w:rPr>
  </w:style>
  <w:style w:type="paragraph" w:styleId="BodyText3">
    <w:name w:val="Body Text 3"/>
    <w:basedOn w:val="Normal"/>
    <w:link w:val="BodyText3Char"/>
    <w:pPr>
      <w:spacing w:after="120"/>
    </w:pPr>
    <w:rPr>
      <w:rFonts w:ascii="Arial" w:hAnsi="Arial"/>
      <w:sz w:val="16"/>
    </w:rPr>
  </w:style>
  <w:style w:type="character" w:customStyle="1" w:styleId="BodyText3Char">
    <w:name w:val="Body Text 3 Char"/>
    <w:link w:val="BodyText3"/>
    <w:rPr>
      <w:rFonts w:ascii="Arial" w:eastAsia="Times New Roman" w:hAnsi="Arial" w:cs="Times New Roman"/>
      <w:sz w:val="16"/>
      <w:szCs w:val="20"/>
    </w:rPr>
  </w:style>
  <w:style w:type="character" w:customStyle="1" w:styleId="Heading3Char">
    <w:name w:val="Heading 3 Char"/>
    <w:link w:val="Heading3"/>
    <w:uiPriority w:val="9"/>
    <w:semiHidden/>
    <w:rPr>
      <w:rFonts w:ascii="Cambria" w:eastAsia="SimSun" w:hAnsi="Cambria" w:cs="Times New Roman"/>
      <w:b/>
      <w:bCs/>
      <w:color w:val="4F81BD"/>
      <w:sz w:val="24"/>
      <w:szCs w:val="20"/>
    </w:rPr>
  </w:style>
  <w:style w:type="paragraph" w:customStyle="1" w:styleId="Default">
    <w:name w:val="Default"/>
    <w:pPr>
      <w:autoSpaceDE w:val="0"/>
      <w:autoSpaceDN w:val="0"/>
      <w:adjustRightInd w:val="0"/>
    </w:pPr>
    <w:rPr>
      <w:rFonts w:ascii="Arial" w:hAnsi="Arial" w:cs="Arial"/>
      <w:color w:val="000000"/>
      <w:sz w:val="24"/>
      <w:szCs w:val="24"/>
      <w:lang w:eastAsia="en-US" w:bidi="ar-SA"/>
    </w:rPr>
  </w:style>
  <w:style w:type="paragraph" w:customStyle="1" w:styleId="c08dispositif">
    <w:name w:val="c08dispositif"/>
    <w:basedOn w:val="Normal"/>
    <w:pPr>
      <w:spacing w:before="100" w:beforeAutospacing="1"/>
      <w:ind w:left="1134" w:hanging="567"/>
    </w:pPr>
    <w:rPr>
      <w:rFonts w:eastAsia="Calibri"/>
      <w:b/>
      <w:bCs/>
      <w:szCs w:val="24"/>
      <w:lang w:eastAsia="en-GB"/>
    </w:rPr>
  </w:style>
  <w:style w:type="paragraph" w:customStyle="1" w:styleId="Contact">
    <w:name w:val="Contact"/>
    <w:basedOn w:val="Normal"/>
    <w:next w:val="Normal"/>
    <w:pPr>
      <w:spacing w:after="480"/>
      <w:ind w:left="567" w:hanging="567"/>
      <w:jc w:val="left"/>
    </w:pPr>
  </w:style>
  <w:style w:type="paragraph" w:customStyle="1" w:styleId="Declassification">
    <w:name w:val="Declassification"/>
    <w:basedOn w:val="Normal"/>
    <w:next w:val="Normal"/>
    <w:pPr>
      <w:spacing w:after="0"/>
    </w:pPr>
    <w:rPr>
      <w:rFonts w:eastAsia="Calibri"/>
      <w:szCs w:val="22"/>
    </w:rPr>
  </w:style>
  <w:style w:type="paragraph" w:customStyle="1" w:styleId="HeaderLandscape">
    <w:name w:val="HeaderLandscape"/>
    <w:basedOn w:val="Normal"/>
    <w:pPr>
      <w:tabs>
        <w:tab w:val="center" w:pos="7285"/>
        <w:tab w:val="right" w:pos="14003"/>
      </w:tabs>
      <w:spacing w:after="120"/>
    </w:pPr>
    <w:rPr>
      <w:rFonts w:eastAsia="Calibr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Calibr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3">
    <w:name w:val="Text 3"/>
    <w:basedOn w:val="Normal"/>
    <w:pPr>
      <w:tabs>
        <w:tab w:val="left" w:pos="2302"/>
      </w:tabs>
      <w:ind w:left="1202"/>
    </w:pPr>
    <w:rPr>
      <w:rFonts w:ascii="Arial" w:hAnsi="Arial"/>
      <w:sz w:val="22"/>
    </w:rPr>
  </w:style>
  <w:style w:type="character" w:customStyle="1" w:styleId="bluetext11">
    <w:name w:val="bluetext11"/>
    <w:basedOn w:val="DefaultParagraphFont"/>
  </w:style>
  <w:style w:type="paragraph" w:customStyle="1" w:styleId="AnnualReport1">
    <w:name w:val="Annual Report §1"/>
    <w:basedOn w:val="Normal"/>
    <w:link w:val="AnnualReport1Char"/>
    <w:qFormat/>
    <w:pPr>
      <w:keepNext/>
      <w:keepLines/>
      <w:numPr>
        <w:numId w:val="3"/>
      </w:numPr>
      <w:spacing w:before="360" w:after="120"/>
      <w:outlineLvl w:val="1"/>
    </w:pPr>
    <w:rPr>
      <w:rFonts w:ascii="Arial" w:eastAsia="MS Gothic" w:hAnsi="Arial" w:cs="Arial"/>
      <w:caps/>
      <w:color w:val="4F81BD"/>
      <w:kern w:val="20"/>
      <w:szCs w:val="24"/>
    </w:rPr>
  </w:style>
  <w:style w:type="paragraph" w:customStyle="1" w:styleId="AnnualReport2">
    <w:name w:val="Annual Report §2"/>
    <w:basedOn w:val="Normal"/>
    <w:link w:val="AnnualReport2Char"/>
    <w:qFormat/>
    <w:pPr>
      <w:spacing w:before="240"/>
      <w:ind w:left="786" w:hanging="360"/>
      <w:jc w:val="left"/>
      <w:outlineLvl w:val="1"/>
    </w:pPr>
    <w:rPr>
      <w:rFonts w:ascii="Arial" w:hAnsi="Arial"/>
      <w:color w:val="002060"/>
      <w:sz w:val="22"/>
      <w:szCs w:val="22"/>
    </w:rPr>
  </w:style>
  <w:style w:type="character" w:customStyle="1" w:styleId="AnnualReport1Char">
    <w:name w:val="Annual Report §1 Char"/>
    <w:link w:val="AnnualReport1"/>
    <w:rPr>
      <w:rFonts w:ascii="Arial" w:eastAsia="MS Gothic" w:hAnsi="Arial" w:cs="Arial"/>
      <w:caps/>
      <w:color w:val="4F81BD"/>
      <w:kern w:val="20"/>
      <w:sz w:val="24"/>
      <w:szCs w:val="24"/>
    </w:rPr>
  </w:style>
  <w:style w:type="character" w:customStyle="1" w:styleId="AnnualReport2Char">
    <w:name w:val="Annual Report §2 Char"/>
    <w:link w:val="AnnualReport2"/>
    <w:rPr>
      <w:rFonts w:ascii="Arial" w:eastAsia="Times New Roman" w:hAnsi="Arial" w:cs="Times New Roman"/>
      <w:color w:val="002060"/>
    </w:rPr>
  </w:style>
  <w:style w:type="character" w:customStyle="1" w:styleId="Heading2Char">
    <w:name w:val="Heading 2 Char"/>
    <w:link w:val="Heading2"/>
    <w:rPr>
      <w:rFonts w:ascii="Arial" w:eastAsia="Times New Roman" w:hAnsi="Arial" w:cs="Times New Roman"/>
      <w:b/>
      <w:szCs w:val="20"/>
    </w:rPr>
  </w:style>
  <w:style w:type="character" w:customStyle="1" w:styleId="Heading4Char">
    <w:name w:val="Heading 4 Char"/>
    <w:link w:val="Heading4"/>
    <w:rPr>
      <w:rFonts w:ascii="Arial" w:eastAsia="Times New Roman" w:hAnsi="Arial" w:cs="Times New Roman"/>
      <w:szCs w:val="20"/>
    </w:rPr>
  </w:style>
  <w:style w:type="paragraph" w:customStyle="1" w:styleId="Text4">
    <w:name w:val="Text 4"/>
    <w:basedOn w:val="Normal"/>
    <w:pPr>
      <w:tabs>
        <w:tab w:val="left" w:pos="2302"/>
      </w:tabs>
      <w:ind w:left="1202"/>
    </w:pPr>
    <w:rPr>
      <w:rFonts w:ascii="Arial" w:hAnsi="Arial"/>
      <w:sz w:val="22"/>
    </w:rPr>
  </w:style>
  <w:style w:type="paragraph" w:styleId="EndnoteText">
    <w:name w:val="endnote text"/>
    <w:basedOn w:val="Normal"/>
    <w:link w:val="EndnoteTextChar"/>
    <w:uiPriority w:val="99"/>
    <w:semiHidden/>
    <w:unhideWhenUsed/>
    <w:pPr>
      <w:spacing w:after="0"/>
    </w:pPr>
    <w:rPr>
      <w:sz w:val="20"/>
    </w:rPr>
  </w:style>
  <w:style w:type="character" w:customStyle="1" w:styleId="EndnoteTextChar">
    <w:name w:val="Endnote Text Char"/>
    <w:link w:val="EndnoteText"/>
    <w:uiPriority w:val="99"/>
    <w:semiHidden/>
    <w:rPr>
      <w:rFonts w:ascii="Times New Roman" w:eastAsia="Times New Roman" w:hAnsi="Times New Roman" w:cs="Times New Roman"/>
      <w:sz w:val="20"/>
      <w:szCs w:val="20"/>
    </w:rPr>
  </w:style>
  <w:style w:type="character" w:styleId="EndnoteReference">
    <w:name w:val="endnote reference"/>
    <w:uiPriority w:val="99"/>
    <w:semiHidden/>
    <w:unhideWhenUsed/>
    <w:rPr>
      <w:vertAlign w:val="superscript"/>
    </w:rPr>
  </w:style>
  <w:style w:type="paragraph" w:styleId="ListNumber5">
    <w:name w:val="List Number 5"/>
    <w:basedOn w:val="Normal"/>
    <w:pPr>
      <w:numPr>
        <w:numId w:val="212"/>
      </w:numPr>
    </w:pPr>
    <w:rPr>
      <w:szCs w:val="22"/>
      <w:lang w:eastAsia="en-GB"/>
    </w:rPr>
  </w:style>
  <w:style w:type="paragraph" w:customStyle="1" w:styleId="Basis">
    <w:name w:val="Basis"/>
    <w:basedOn w:val="Normal"/>
    <w:link w:val="BasisChar"/>
    <w:qFormat/>
    <w:pPr>
      <w:ind w:left="720"/>
    </w:pPr>
    <w:rPr>
      <w:rFonts w:ascii="Verdana" w:hAnsi="Verdana"/>
      <w:sz w:val="20"/>
      <w:szCs w:val="22"/>
      <w:lang w:val="en-US" w:eastAsia="en-GB"/>
    </w:rPr>
  </w:style>
  <w:style w:type="character" w:customStyle="1" w:styleId="BasisChar">
    <w:name w:val="Basis Char"/>
    <w:link w:val="Basis"/>
    <w:rPr>
      <w:rFonts w:ascii="Verdana" w:eastAsia="Times New Roman" w:hAnsi="Verdana"/>
      <w:szCs w:val="22"/>
      <w:lang w:val="en-US"/>
    </w:rPr>
  </w:style>
  <w:style w:type="character" w:customStyle="1" w:styleId="bold">
    <w:name w:val="bold"/>
  </w:style>
  <w:style w:type="paragraph" w:customStyle="1" w:styleId="ListBullet1">
    <w:name w:val="List Bullet 1"/>
    <w:basedOn w:val="Normal"/>
    <w:pPr>
      <w:numPr>
        <w:numId w:val="2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9627">
      <w:bodyDiv w:val="1"/>
      <w:marLeft w:val="0"/>
      <w:marRight w:val="0"/>
      <w:marTop w:val="0"/>
      <w:marBottom w:val="0"/>
      <w:divBdr>
        <w:top w:val="none" w:sz="0" w:space="0" w:color="auto"/>
        <w:left w:val="none" w:sz="0" w:space="0" w:color="auto"/>
        <w:bottom w:val="none" w:sz="0" w:space="0" w:color="auto"/>
        <w:right w:val="none" w:sz="0" w:space="0" w:color="auto"/>
      </w:divBdr>
    </w:div>
    <w:div w:id="12926978">
      <w:bodyDiv w:val="1"/>
      <w:marLeft w:val="0"/>
      <w:marRight w:val="0"/>
      <w:marTop w:val="0"/>
      <w:marBottom w:val="0"/>
      <w:divBdr>
        <w:top w:val="none" w:sz="0" w:space="0" w:color="auto"/>
        <w:left w:val="none" w:sz="0" w:space="0" w:color="auto"/>
        <w:bottom w:val="none" w:sz="0" w:space="0" w:color="auto"/>
        <w:right w:val="none" w:sz="0" w:space="0" w:color="auto"/>
      </w:divBdr>
    </w:div>
    <w:div w:id="47269707">
      <w:bodyDiv w:val="1"/>
      <w:marLeft w:val="0"/>
      <w:marRight w:val="0"/>
      <w:marTop w:val="0"/>
      <w:marBottom w:val="0"/>
      <w:divBdr>
        <w:top w:val="none" w:sz="0" w:space="0" w:color="auto"/>
        <w:left w:val="none" w:sz="0" w:space="0" w:color="auto"/>
        <w:bottom w:val="none" w:sz="0" w:space="0" w:color="auto"/>
        <w:right w:val="none" w:sz="0" w:space="0" w:color="auto"/>
      </w:divBdr>
    </w:div>
    <w:div w:id="64886025">
      <w:bodyDiv w:val="1"/>
      <w:marLeft w:val="0"/>
      <w:marRight w:val="0"/>
      <w:marTop w:val="0"/>
      <w:marBottom w:val="0"/>
      <w:divBdr>
        <w:top w:val="none" w:sz="0" w:space="0" w:color="auto"/>
        <w:left w:val="none" w:sz="0" w:space="0" w:color="auto"/>
        <w:bottom w:val="none" w:sz="0" w:space="0" w:color="auto"/>
        <w:right w:val="none" w:sz="0" w:space="0" w:color="auto"/>
      </w:divBdr>
    </w:div>
    <w:div w:id="69667509">
      <w:bodyDiv w:val="1"/>
      <w:marLeft w:val="0"/>
      <w:marRight w:val="0"/>
      <w:marTop w:val="0"/>
      <w:marBottom w:val="0"/>
      <w:divBdr>
        <w:top w:val="none" w:sz="0" w:space="0" w:color="auto"/>
        <w:left w:val="none" w:sz="0" w:space="0" w:color="auto"/>
        <w:bottom w:val="none" w:sz="0" w:space="0" w:color="auto"/>
        <w:right w:val="none" w:sz="0" w:space="0" w:color="auto"/>
      </w:divBdr>
    </w:div>
    <w:div w:id="83887983">
      <w:bodyDiv w:val="1"/>
      <w:marLeft w:val="0"/>
      <w:marRight w:val="0"/>
      <w:marTop w:val="0"/>
      <w:marBottom w:val="0"/>
      <w:divBdr>
        <w:top w:val="none" w:sz="0" w:space="0" w:color="auto"/>
        <w:left w:val="none" w:sz="0" w:space="0" w:color="auto"/>
        <w:bottom w:val="none" w:sz="0" w:space="0" w:color="auto"/>
        <w:right w:val="none" w:sz="0" w:space="0" w:color="auto"/>
      </w:divBdr>
    </w:div>
    <w:div w:id="88742016">
      <w:bodyDiv w:val="1"/>
      <w:marLeft w:val="0"/>
      <w:marRight w:val="0"/>
      <w:marTop w:val="0"/>
      <w:marBottom w:val="0"/>
      <w:divBdr>
        <w:top w:val="none" w:sz="0" w:space="0" w:color="auto"/>
        <w:left w:val="none" w:sz="0" w:space="0" w:color="auto"/>
        <w:bottom w:val="none" w:sz="0" w:space="0" w:color="auto"/>
        <w:right w:val="none" w:sz="0" w:space="0" w:color="auto"/>
      </w:divBdr>
    </w:div>
    <w:div w:id="113908812">
      <w:bodyDiv w:val="1"/>
      <w:marLeft w:val="0"/>
      <w:marRight w:val="0"/>
      <w:marTop w:val="0"/>
      <w:marBottom w:val="0"/>
      <w:divBdr>
        <w:top w:val="none" w:sz="0" w:space="0" w:color="auto"/>
        <w:left w:val="none" w:sz="0" w:space="0" w:color="auto"/>
        <w:bottom w:val="none" w:sz="0" w:space="0" w:color="auto"/>
        <w:right w:val="none" w:sz="0" w:space="0" w:color="auto"/>
      </w:divBdr>
    </w:div>
    <w:div w:id="133648872">
      <w:bodyDiv w:val="1"/>
      <w:marLeft w:val="0"/>
      <w:marRight w:val="0"/>
      <w:marTop w:val="0"/>
      <w:marBottom w:val="0"/>
      <w:divBdr>
        <w:top w:val="none" w:sz="0" w:space="0" w:color="auto"/>
        <w:left w:val="none" w:sz="0" w:space="0" w:color="auto"/>
        <w:bottom w:val="none" w:sz="0" w:space="0" w:color="auto"/>
        <w:right w:val="none" w:sz="0" w:space="0" w:color="auto"/>
      </w:divBdr>
    </w:div>
    <w:div w:id="153880632">
      <w:bodyDiv w:val="1"/>
      <w:marLeft w:val="0"/>
      <w:marRight w:val="0"/>
      <w:marTop w:val="0"/>
      <w:marBottom w:val="0"/>
      <w:divBdr>
        <w:top w:val="none" w:sz="0" w:space="0" w:color="auto"/>
        <w:left w:val="none" w:sz="0" w:space="0" w:color="auto"/>
        <w:bottom w:val="none" w:sz="0" w:space="0" w:color="auto"/>
        <w:right w:val="none" w:sz="0" w:space="0" w:color="auto"/>
      </w:divBdr>
      <w:divsChild>
        <w:div w:id="521669573">
          <w:marLeft w:val="0"/>
          <w:marRight w:val="0"/>
          <w:marTop w:val="0"/>
          <w:marBottom w:val="0"/>
          <w:divBdr>
            <w:top w:val="none" w:sz="0" w:space="0" w:color="auto"/>
            <w:left w:val="none" w:sz="0" w:space="0" w:color="auto"/>
            <w:bottom w:val="none" w:sz="0" w:space="0" w:color="auto"/>
            <w:right w:val="none" w:sz="0" w:space="0" w:color="auto"/>
          </w:divBdr>
          <w:divsChild>
            <w:div w:id="950745430">
              <w:marLeft w:val="0"/>
              <w:marRight w:val="0"/>
              <w:marTop w:val="0"/>
              <w:marBottom w:val="0"/>
              <w:divBdr>
                <w:top w:val="none" w:sz="0" w:space="0" w:color="auto"/>
                <w:left w:val="none" w:sz="0" w:space="0" w:color="auto"/>
                <w:bottom w:val="none" w:sz="0" w:space="0" w:color="auto"/>
                <w:right w:val="none" w:sz="0" w:space="0" w:color="auto"/>
              </w:divBdr>
              <w:divsChild>
                <w:div w:id="92677281">
                  <w:marLeft w:val="0"/>
                  <w:marRight w:val="0"/>
                  <w:marTop w:val="0"/>
                  <w:marBottom w:val="0"/>
                  <w:divBdr>
                    <w:top w:val="none" w:sz="0" w:space="0" w:color="auto"/>
                    <w:left w:val="none" w:sz="0" w:space="0" w:color="auto"/>
                    <w:bottom w:val="none" w:sz="0" w:space="0" w:color="auto"/>
                    <w:right w:val="none" w:sz="0" w:space="0" w:color="auto"/>
                  </w:divBdr>
                  <w:divsChild>
                    <w:div w:id="1046293747">
                      <w:marLeft w:val="0"/>
                      <w:marRight w:val="0"/>
                      <w:marTop w:val="0"/>
                      <w:marBottom w:val="0"/>
                      <w:divBdr>
                        <w:top w:val="none" w:sz="0" w:space="0" w:color="auto"/>
                        <w:left w:val="none" w:sz="0" w:space="0" w:color="auto"/>
                        <w:bottom w:val="none" w:sz="0" w:space="0" w:color="auto"/>
                        <w:right w:val="none" w:sz="0" w:space="0" w:color="auto"/>
                      </w:divBdr>
                      <w:divsChild>
                        <w:div w:id="1632250834">
                          <w:marLeft w:val="0"/>
                          <w:marRight w:val="0"/>
                          <w:marTop w:val="0"/>
                          <w:marBottom w:val="0"/>
                          <w:divBdr>
                            <w:top w:val="none" w:sz="0" w:space="0" w:color="auto"/>
                            <w:left w:val="none" w:sz="0" w:space="0" w:color="auto"/>
                            <w:bottom w:val="none" w:sz="0" w:space="0" w:color="auto"/>
                            <w:right w:val="none" w:sz="0" w:space="0" w:color="auto"/>
                          </w:divBdr>
                          <w:divsChild>
                            <w:div w:id="159463627">
                              <w:marLeft w:val="0"/>
                              <w:marRight w:val="0"/>
                              <w:marTop w:val="0"/>
                              <w:marBottom w:val="0"/>
                              <w:divBdr>
                                <w:top w:val="none" w:sz="0" w:space="0" w:color="auto"/>
                                <w:left w:val="none" w:sz="0" w:space="0" w:color="auto"/>
                                <w:bottom w:val="none" w:sz="0" w:space="0" w:color="auto"/>
                                <w:right w:val="none" w:sz="0" w:space="0" w:color="auto"/>
                              </w:divBdr>
                              <w:divsChild>
                                <w:div w:id="53503200">
                                  <w:marLeft w:val="0"/>
                                  <w:marRight w:val="0"/>
                                  <w:marTop w:val="0"/>
                                  <w:marBottom w:val="0"/>
                                  <w:divBdr>
                                    <w:top w:val="none" w:sz="0" w:space="0" w:color="auto"/>
                                    <w:left w:val="none" w:sz="0" w:space="0" w:color="auto"/>
                                    <w:bottom w:val="none" w:sz="0" w:space="0" w:color="auto"/>
                                    <w:right w:val="none" w:sz="0" w:space="0" w:color="auto"/>
                                  </w:divBdr>
                                  <w:divsChild>
                                    <w:div w:id="13246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1653">
      <w:bodyDiv w:val="1"/>
      <w:marLeft w:val="0"/>
      <w:marRight w:val="0"/>
      <w:marTop w:val="0"/>
      <w:marBottom w:val="0"/>
      <w:divBdr>
        <w:top w:val="none" w:sz="0" w:space="0" w:color="auto"/>
        <w:left w:val="none" w:sz="0" w:space="0" w:color="auto"/>
        <w:bottom w:val="none" w:sz="0" w:space="0" w:color="auto"/>
        <w:right w:val="none" w:sz="0" w:space="0" w:color="auto"/>
      </w:divBdr>
    </w:div>
    <w:div w:id="163594572">
      <w:bodyDiv w:val="1"/>
      <w:marLeft w:val="0"/>
      <w:marRight w:val="0"/>
      <w:marTop w:val="0"/>
      <w:marBottom w:val="0"/>
      <w:divBdr>
        <w:top w:val="none" w:sz="0" w:space="0" w:color="auto"/>
        <w:left w:val="none" w:sz="0" w:space="0" w:color="auto"/>
        <w:bottom w:val="none" w:sz="0" w:space="0" w:color="auto"/>
        <w:right w:val="none" w:sz="0" w:space="0" w:color="auto"/>
      </w:divBdr>
    </w:div>
    <w:div w:id="164444687">
      <w:bodyDiv w:val="1"/>
      <w:marLeft w:val="0"/>
      <w:marRight w:val="0"/>
      <w:marTop w:val="0"/>
      <w:marBottom w:val="0"/>
      <w:divBdr>
        <w:top w:val="none" w:sz="0" w:space="0" w:color="auto"/>
        <w:left w:val="none" w:sz="0" w:space="0" w:color="auto"/>
        <w:bottom w:val="none" w:sz="0" w:space="0" w:color="auto"/>
        <w:right w:val="none" w:sz="0" w:space="0" w:color="auto"/>
      </w:divBdr>
    </w:div>
    <w:div w:id="184952051">
      <w:bodyDiv w:val="1"/>
      <w:marLeft w:val="0"/>
      <w:marRight w:val="0"/>
      <w:marTop w:val="0"/>
      <w:marBottom w:val="0"/>
      <w:divBdr>
        <w:top w:val="none" w:sz="0" w:space="0" w:color="auto"/>
        <w:left w:val="none" w:sz="0" w:space="0" w:color="auto"/>
        <w:bottom w:val="none" w:sz="0" w:space="0" w:color="auto"/>
        <w:right w:val="none" w:sz="0" w:space="0" w:color="auto"/>
      </w:divBdr>
    </w:div>
    <w:div w:id="200363207">
      <w:bodyDiv w:val="1"/>
      <w:marLeft w:val="0"/>
      <w:marRight w:val="0"/>
      <w:marTop w:val="0"/>
      <w:marBottom w:val="0"/>
      <w:divBdr>
        <w:top w:val="none" w:sz="0" w:space="0" w:color="auto"/>
        <w:left w:val="none" w:sz="0" w:space="0" w:color="auto"/>
        <w:bottom w:val="none" w:sz="0" w:space="0" w:color="auto"/>
        <w:right w:val="none" w:sz="0" w:space="0" w:color="auto"/>
      </w:divBdr>
    </w:div>
    <w:div w:id="206990373">
      <w:bodyDiv w:val="1"/>
      <w:marLeft w:val="0"/>
      <w:marRight w:val="0"/>
      <w:marTop w:val="0"/>
      <w:marBottom w:val="0"/>
      <w:divBdr>
        <w:top w:val="none" w:sz="0" w:space="0" w:color="auto"/>
        <w:left w:val="none" w:sz="0" w:space="0" w:color="auto"/>
        <w:bottom w:val="none" w:sz="0" w:space="0" w:color="auto"/>
        <w:right w:val="none" w:sz="0" w:space="0" w:color="auto"/>
      </w:divBdr>
    </w:div>
    <w:div w:id="228544657">
      <w:bodyDiv w:val="1"/>
      <w:marLeft w:val="0"/>
      <w:marRight w:val="0"/>
      <w:marTop w:val="0"/>
      <w:marBottom w:val="0"/>
      <w:divBdr>
        <w:top w:val="none" w:sz="0" w:space="0" w:color="auto"/>
        <w:left w:val="none" w:sz="0" w:space="0" w:color="auto"/>
        <w:bottom w:val="none" w:sz="0" w:space="0" w:color="auto"/>
        <w:right w:val="none" w:sz="0" w:space="0" w:color="auto"/>
      </w:divBdr>
    </w:div>
    <w:div w:id="234777100">
      <w:bodyDiv w:val="1"/>
      <w:marLeft w:val="0"/>
      <w:marRight w:val="0"/>
      <w:marTop w:val="0"/>
      <w:marBottom w:val="0"/>
      <w:divBdr>
        <w:top w:val="none" w:sz="0" w:space="0" w:color="auto"/>
        <w:left w:val="none" w:sz="0" w:space="0" w:color="auto"/>
        <w:bottom w:val="none" w:sz="0" w:space="0" w:color="auto"/>
        <w:right w:val="none" w:sz="0" w:space="0" w:color="auto"/>
      </w:divBdr>
    </w:div>
    <w:div w:id="237784682">
      <w:bodyDiv w:val="1"/>
      <w:marLeft w:val="0"/>
      <w:marRight w:val="0"/>
      <w:marTop w:val="0"/>
      <w:marBottom w:val="0"/>
      <w:divBdr>
        <w:top w:val="none" w:sz="0" w:space="0" w:color="auto"/>
        <w:left w:val="none" w:sz="0" w:space="0" w:color="auto"/>
        <w:bottom w:val="none" w:sz="0" w:space="0" w:color="auto"/>
        <w:right w:val="none" w:sz="0" w:space="0" w:color="auto"/>
      </w:divBdr>
    </w:div>
    <w:div w:id="262343959">
      <w:bodyDiv w:val="1"/>
      <w:marLeft w:val="0"/>
      <w:marRight w:val="0"/>
      <w:marTop w:val="0"/>
      <w:marBottom w:val="0"/>
      <w:divBdr>
        <w:top w:val="none" w:sz="0" w:space="0" w:color="auto"/>
        <w:left w:val="none" w:sz="0" w:space="0" w:color="auto"/>
        <w:bottom w:val="none" w:sz="0" w:space="0" w:color="auto"/>
        <w:right w:val="none" w:sz="0" w:space="0" w:color="auto"/>
      </w:divBdr>
    </w:div>
    <w:div w:id="264927036">
      <w:bodyDiv w:val="1"/>
      <w:marLeft w:val="0"/>
      <w:marRight w:val="0"/>
      <w:marTop w:val="0"/>
      <w:marBottom w:val="0"/>
      <w:divBdr>
        <w:top w:val="none" w:sz="0" w:space="0" w:color="auto"/>
        <w:left w:val="none" w:sz="0" w:space="0" w:color="auto"/>
        <w:bottom w:val="none" w:sz="0" w:space="0" w:color="auto"/>
        <w:right w:val="none" w:sz="0" w:space="0" w:color="auto"/>
      </w:divBdr>
    </w:div>
    <w:div w:id="273756425">
      <w:bodyDiv w:val="1"/>
      <w:marLeft w:val="0"/>
      <w:marRight w:val="0"/>
      <w:marTop w:val="0"/>
      <w:marBottom w:val="0"/>
      <w:divBdr>
        <w:top w:val="none" w:sz="0" w:space="0" w:color="auto"/>
        <w:left w:val="none" w:sz="0" w:space="0" w:color="auto"/>
        <w:bottom w:val="none" w:sz="0" w:space="0" w:color="auto"/>
        <w:right w:val="none" w:sz="0" w:space="0" w:color="auto"/>
      </w:divBdr>
    </w:div>
    <w:div w:id="310133436">
      <w:bodyDiv w:val="1"/>
      <w:marLeft w:val="0"/>
      <w:marRight w:val="0"/>
      <w:marTop w:val="0"/>
      <w:marBottom w:val="0"/>
      <w:divBdr>
        <w:top w:val="none" w:sz="0" w:space="0" w:color="auto"/>
        <w:left w:val="none" w:sz="0" w:space="0" w:color="auto"/>
        <w:bottom w:val="none" w:sz="0" w:space="0" w:color="auto"/>
        <w:right w:val="none" w:sz="0" w:space="0" w:color="auto"/>
      </w:divBdr>
    </w:div>
    <w:div w:id="328026044">
      <w:bodyDiv w:val="1"/>
      <w:marLeft w:val="0"/>
      <w:marRight w:val="0"/>
      <w:marTop w:val="0"/>
      <w:marBottom w:val="0"/>
      <w:divBdr>
        <w:top w:val="none" w:sz="0" w:space="0" w:color="auto"/>
        <w:left w:val="none" w:sz="0" w:space="0" w:color="auto"/>
        <w:bottom w:val="none" w:sz="0" w:space="0" w:color="auto"/>
        <w:right w:val="none" w:sz="0" w:space="0" w:color="auto"/>
      </w:divBdr>
    </w:div>
    <w:div w:id="328605550">
      <w:bodyDiv w:val="1"/>
      <w:marLeft w:val="0"/>
      <w:marRight w:val="0"/>
      <w:marTop w:val="0"/>
      <w:marBottom w:val="0"/>
      <w:divBdr>
        <w:top w:val="none" w:sz="0" w:space="0" w:color="auto"/>
        <w:left w:val="none" w:sz="0" w:space="0" w:color="auto"/>
        <w:bottom w:val="none" w:sz="0" w:space="0" w:color="auto"/>
        <w:right w:val="none" w:sz="0" w:space="0" w:color="auto"/>
      </w:divBdr>
    </w:div>
    <w:div w:id="341393613">
      <w:bodyDiv w:val="1"/>
      <w:marLeft w:val="0"/>
      <w:marRight w:val="0"/>
      <w:marTop w:val="0"/>
      <w:marBottom w:val="0"/>
      <w:divBdr>
        <w:top w:val="none" w:sz="0" w:space="0" w:color="auto"/>
        <w:left w:val="none" w:sz="0" w:space="0" w:color="auto"/>
        <w:bottom w:val="none" w:sz="0" w:space="0" w:color="auto"/>
        <w:right w:val="none" w:sz="0" w:space="0" w:color="auto"/>
      </w:divBdr>
    </w:div>
    <w:div w:id="355620763">
      <w:bodyDiv w:val="1"/>
      <w:marLeft w:val="0"/>
      <w:marRight w:val="0"/>
      <w:marTop w:val="0"/>
      <w:marBottom w:val="0"/>
      <w:divBdr>
        <w:top w:val="none" w:sz="0" w:space="0" w:color="auto"/>
        <w:left w:val="none" w:sz="0" w:space="0" w:color="auto"/>
        <w:bottom w:val="none" w:sz="0" w:space="0" w:color="auto"/>
        <w:right w:val="none" w:sz="0" w:space="0" w:color="auto"/>
      </w:divBdr>
    </w:div>
    <w:div w:id="365057384">
      <w:bodyDiv w:val="1"/>
      <w:marLeft w:val="0"/>
      <w:marRight w:val="0"/>
      <w:marTop w:val="0"/>
      <w:marBottom w:val="0"/>
      <w:divBdr>
        <w:top w:val="none" w:sz="0" w:space="0" w:color="auto"/>
        <w:left w:val="none" w:sz="0" w:space="0" w:color="auto"/>
        <w:bottom w:val="none" w:sz="0" w:space="0" w:color="auto"/>
        <w:right w:val="none" w:sz="0" w:space="0" w:color="auto"/>
      </w:divBdr>
    </w:div>
    <w:div w:id="419958377">
      <w:bodyDiv w:val="1"/>
      <w:marLeft w:val="0"/>
      <w:marRight w:val="0"/>
      <w:marTop w:val="0"/>
      <w:marBottom w:val="0"/>
      <w:divBdr>
        <w:top w:val="none" w:sz="0" w:space="0" w:color="auto"/>
        <w:left w:val="none" w:sz="0" w:space="0" w:color="auto"/>
        <w:bottom w:val="none" w:sz="0" w:space="0" w:color="auto"/>
        <w:right w:val="none" w:sz="0" w:space="0" w:color="auto"/>
      </w:divBdr>
    </w:div>
    <w:div w:id="463699528">
      <w:bodyDiv w:val="1"/>
      <w:marLeft w:val="0"/>
      <w:marRight w:val="0"/>
      <w:marTop w:val="0"/>
      <w:marBottom w:val="0"/>
      <w:divBdr>
        <w:top w:val="none" w:sz="0" w:space="0" w:color="auto"/>
        <w:left w:val="none" w:sz="0" w:space="0" w:color="auto"/>
        <w:bottom w:val="none" w:sz="0" w:space="0" w:color="auto"/>
        <w:right w:val="none" w:sz="0" w:space="0" w:color="auto"/>
      </w:divBdr>
    </w:div>
    <w:div w:id="494304660">
      <w:bodyDiv w:val="1"/>
      <w:marLeft w:val="0"/>
      <w:marRight w:val="0"/>
      <w:marTop w:val="0"/>
      <w:marBottom w:val="0"/>
      <w:divBdr>
        <w:top w:val="none" w:sz="0" w:space="0" w:color="auto"/>
        <w:left w:val="none" w:sz="0" w:space="0" w:color="auto"/>
        <w:bottom w:val="none" w:sz="0" w:space="0" w:color="auto"/>
        <w:right w:val="none" w:sz="0" w:space="0" w:color="auto"/>
      </w:divBdr>
    </w:div>
    <w:div w:id="499347134">
      <w:bodyDiv w:val="1"/>
      <w:marLeft w:val="0"/>
      <w:marRight w:val="0"/>
      <w:marTop w:val="0"/>
      <w:marBottom w:val="0"/>
      <w:divBdr>
        <w:top w:val="none" w:sz="0" w:space="0" w:color="auto"/>
        <w:left w:val="none" w:sz="0" w:space="0" w:color="auto"/>
        <w:bottom w:val="none" w:sz="0" w:space="0" w:color="auto"/>
        <w:right w:val="none" w:sz="0" w:space="0" w:color="auto"/>
      </w:divBdr>
    </w:div>
    <w:div w:id="510291882">
      <w:bodyDiv w:val="1"/>
      <w:marLeft w:val="0"/>
      <w:marRight w:val="0"/>
      <w:marTop w:val="0"/>
      <w:marBottom w:val="0"/>
      <w:divBdr>
        <w:top w:val="none" w:sz="0" w:space="0" w:color="auto"/>
        <w:left w:val="none" w:sz="0" w:space="0" w:color="auto"/>
        <w:bottom w:val="none" w:sz="0" w:space="0" w:color="auto"/>
        <w:right w:val="none" w:sz="0" w:space="0" w:color="auto"/>
      </w:divBdr>
    </w:div>
    <w:div w:id="510342454">
      <w:bodyDiv w:val="1"/>
      <w:marLeft w:val="0"/>
      <w:marRight w:val="0"/>
      <w:marTop w:val="0"/>
      <w:marBottom w:val="0"/>
      <w:divBdr>
        <w:top w:val="none" w:sz="0" w:space="0" w:color="auto"/>
        <w:left w:val="none" w:sz="0" w:space="0" w:color="auto"/>
        <w:bottom w:val="none" w:sz="0" w:space="0" w:color="auto"/>
        <w:right w:val="none" w:sz="0" w:space="0" w:color="auto"/>
      </w:divBdr>
      <w:divsChild>
        <w:div w:id="1498425888">
          <w:marLeft w:val="0"/>
          <w:marRight w:val="0"/>
          <w:marTop w:val="0"/>
          <w:marBottom w:val="0"/>
          <w:divBdr>
            <w:top w:val="none" w:sz="0" w:space="0" w:color="auto"/>
            <w:left w:val="none" w:sz="0" w:space="0" w:color="auto"/>
            <w:bottom w:val="none" w:sz="0" w:space="0" w:color="auto"/>
            <w:right w:val="none" w:sz="0" w:space="0" w:color="auto"/>
          </w:divBdr>
          <w:divsChild>
            <w:div w:id="623267961">
              <w:marLeft w:val="0"/>
              <w:marRight w:val="0"/>
              <w:marTop w:val="0"/>
              <w:marBottom w:val="0"/>
              <w:divBdr>
                <w:top w:val="none" w:sz="0" w:space="0" w:color="auto"/>
                <w:left w:val="none" w:sz="0" w:space="0" w:color="auto"/>
                <w:bottom w:val="none" w:sz="0" w:space="0" w:color="auto"/>
                <w:right w:val="none" w:sz="0" w:space="0" w:color="auto"/>
              </w:divBdr>
              <w:divsChild>
                <w:div w:id="597252353">
                  <w:marLeft w:val="0"/>
                  <w:marRight w:val="0"/>
                  <w:marTop w:val="0"/>
                  <w:marBottom w:val="0"/>
                  <w:divBdr>
                    <w:top w:val="none" w:sz="0" w:space="0" w:color="auto"/>
                    <w:left w:val="none" w:sz="0" w:space="0" w:color="auto"/>
                    <w:bottom w:val="none" w:sz="0" w:space="0" w:color="auto"/>
                    <w:right w:val="none" w:sz="0" w:space="0" w:color="auto"/>
                  </w:divBdr>
                  <w:divsChild>
                    <w:div w:id="18179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011079">
      <w:bodyDiv w:val="1"/>
      <w:marLeft w:val="0"/>
      <w:marRight w:val="0"/>
      <w:marTop w:val="0"/>
      <w:marBottom w:val="0"/>
      <w:divBdr>
        <w:top w:val="none" w:sz="0" w:space="0" w:color="auto"/>
        <w:left w:val="none" w:sz="0" w:space="0" w:color="auto"/>
        <w:bottom w:val="none" w:sz="0" w:space="0" w:color="auto"/>
        <w:right w:val="none" w:sz="0" w:space="0" w:color="auto"/>
      </w:divBdr>
    </w:div>
    <w:div w:id="522087249">
      <w:bodyDiv w:val="1"/>
      <w:marLeft w:val="0"/>
      <w:marRight w:val="0"/>
      <w:marTop w:val="0"/>
      <w:marBottom w:val="0"/>
      <w:divBdr>
        <w:top w:val="none" w:sz="0" w:space="0" w:color="auto"/>
        <w:left w:val="none" w:sz="0" w:space="0" w:color="auto"/>
        <w:bottom w:val="none" w:sz="0" w:space="0" w:color="auto"/>
        <w:right w:val="none" w:sz="0" w:space="0" w:color="auto"/>
      </w:divBdr>
    </w:div>
    <w:div w:id="534777936">
      <w:bodyDiv w:val="1"/>
      <w:marLeft w:val="0"/>
      <w:marRight w:val="0"/>
      <w:marTop w:val="0"/>
      <w:marBottom w:val="0"/>
      <w:divBdr>
        <w:top w:val="none" w:sz="0" w:space="0" w:color="auto"/>
        <w:left w:val="none" w:sz="0" w:space="0" w:color="auto"/>
        <w:bottom w:val="none" w:sz="0" w:space="0" w:color="auto"/>
        <w:right w:val="none" w:sz="0" w:space="0" w:color="auto"/>
      </w:divBdr>
    </w:div>
    <w:div w:id="535625997">
      <w:bodyDiv w:val="1"/>
      <w:marLeft w:val="0"/>
      <w:marRight w:val="0"/>
      <w:marTop w:val="0"/>
      <w:marBottom w:val="0"/>
      <w:divBdr>
        <w:top w:val="none" w:sz="0" w:space="0" w:color="auto"/>
        <w:left w:val="none" w:sz="0" w:space="0" w:color="auto"/>
        <w:bottom w:val="none" w:sz="0" w:space="0" w:color="auto"/>
        <w:right w:val="none" w:sz="0" w:space="0" w:color="auto"/>
      </w:divBdr>
    </w:div>
    <w:div w:id="545219765">
      <w:bodyDiv w:val="1"/>
      <w:marLeft w:val="0"/>
      <w:marRight w:val="0"/>
      <w:marTop w:val="0"/>
      <w:marBottom w:val="0"/>
      <w:divBdr>
        <w:top w:val="none" w:sz="0" w:space="0" w:color="auto"/>
        <w:left w:val="none" w:sz="0" w:space="0" w:color="auto"/>
        <w:bottom w:val="none" w:sz="0" w:space="0" w:color="auto"/>
        <w:right w:val="none" w:sz="0" w:space="0" w:color="auto"/>
      </w:divBdr>
    </w:div>
    <w:div w:id="547760171">
      <w:bodyDiv w:val="1"/>
      <w:marLeft w:val="0"/>
      <w:marRight w:val="0"/>
      <w:marTop w:val="0"/>
      <w:marBottom w:val="0"/>
      <w:divBdr>
        <w:top w:val="none" w:sz="0" w:space="0" w:color="auto"/>
        <w:left w:val="none" w:sz="0" w:space="0" w:color="auto"/>
        <w:bottom w:val="none" w:sz="0" w:space="0" w:color="auto"/>
        <w:right w:val="none" w:sz="0" w:space="0" w:color="auto"/>
      </w:divBdr>
    </w:div>
    <w:div w:id="550772175">
      <w:bodyDiv w:val="1"/>
      <w:marLeft w:val="0"/>
      <w:marRight w:val="0"/>
      <w:marTop w:val="0"/>
      <w:marBottom w:val="0"/>
      <w:divBdr>
        <w:top w:val="none" w:sz="0" w:space="0" w:color="auto"/>
        <w:left w:val="none" w:sz="0" w:space="0" w:color="auto"/>
        <w:bottom w:val="none" w:sz="0" w:space="0" w:color="auto"/>
        <w:right w:val="none" w:sz="0" w:space="0" w:color="auto"/>
      </w:divBdr>
    </w:div>
    <w:div w:id="555556302">
      <w:bodyDiv w:val="1"/>
      <w:marLeft w:val="0"/>
      <w:marRight w:val="0"/>
      <w:marTop w:val="0"/>
      <w:marBottom w:val="0"/>
      <w:divBdr>
        <w:top w:val="none" w:sz="0" w:space="0" w:color="auto"/>
        <w:left w:val="none" w:sz="0" w:space="0" w:color="auto"/>
        <w:bottom w:val="none" w:sz="0" w:space="0" w:color="auto"/>
        <w:right w:val="none" w:sz="0" w:space="0" w:color="auto"/>
      </w:divBdr>
    </w:div>
    <w:div w:id="566839814">
      <w:bodyDiv w:val="1"/>
      <w:marLeft w:val="0"/>
      <w:marRight w:val="0"/>
      <w:marTop w:val="0"/>
      <w:marBottom w:val="0"/>
      <w:divBdr>
        <w:top w:val="none" w:sz="0" w:space="0" w:color="auto"/>
        <w:left w:val="none" w:sz="0" w:space="0" w:color="auto"/>
        <w:bottom w:val="none" w:sz="0" w:space="0" w:color="auto"/>
        <w:right w:val="none" w:sz="0" w:space="0" w:color="auto"/>
      </w:divBdr>
    </w:div>
    <w:div w:id="567568476">
      <w:bodyDiv w:val="1"/>
      <w:marLeft w:val="0"/>
      <w:marRight w:val="0"/>
      <w:marTop w:val="0"/>
      <w:marBottom w:val="0"/>
      <w:divBdr>
        <w:top w:val="none" w:sz="0" w:space="0" w:color="auto"/>
        <w:left w:val="none" w:sz="0" w:space="0" w:color="auto"/>
        <w:bottom w:val="none" w:sz="0" w:space="0" w:color="auto"/>
        <w:right w:val="none" w:sz="0" w:space="0" w:color="auto"/>
      </w:divBdr>
    </w:div>
    <w:div w:id="569116562">
      <w:bodyDiv w:val="1"/>
      <w:marLeft w:val="0"/>
      <w:marRight w:val="0"/>
      <w:marTop w:val="0"/>
      <w:marBottom w:val="0"/>
      <w:divBdr>
        <w:top w:val="none" w:sz="0" w:space="0" w:color="auto"/>
        <w:left w:val="none" w:sz="0" w:space="0" w:color="auto"/>
        <w:bottom w:val="none" w:sz="0" w:space="0" w:color="auto"/>
        <w:right w:val="none" w:sz="0" w:space="0" w:color="auto"/>
      </w:divBdr>
    </w:div>
    <w:div w:id="573898883">
      <w:bodyDiv w:val="1"/>
      <w:marLeft w:val="0"/>
      <w:marRight w:val="0"/>
      <w:marTop w:val="0"/>
      <w:marBottom w:val="0"/>
      <w:divBdr>
        <w:top w:val="none" w:sz="0" w:space="0" w:color="auto"/>
        <w:left w:val="none" w:sz="0" w:space="0" w:color="auto"/>
        <w:bottom w:val="none" w:sz="0" w:space="0" w:color="auto"/>
        <w:right w:val="none" w:sz="0" w:space="0" w:color="auto"/>
      </w:divBdr>
    </w:div>
    <w:div w:id="586235576">
      <w:bodyDiv w:val="1"/>
      <w:marLeft w:val="0"/>
      <w:marRight w:val="0"/>
      <w:marTop w:val="0"/>
      <w:marBottom w:val="0"/>
      <w:divBdr>
        <w:top w:val="none" w:sz="0" w:space="0" w:color="auto"/>
        <w:left w:val="none" w:sz="0" w:space="0" w:color="auto"/>
        <w:bottom w:val="none" w:sz="0" w:space="0" w:color="auto"/>
        <w:right w:val="none" w:sz="0" w:space="0" w:color="auto"/>
      </w:divBdr>
    </w:div>
    <w:div w:id="632558217">
      <w:bodyDiv w:val="1"/>
      <w:marLeft w:val="0"/>
      <w:marRight w:val="0"/>
      <w:marTop w:val="0"/>
      <w:marBottom w:val="0"/>
      <w:divBdr>
        <w:top w:val="none" w:sz="0" w:space="0" w:color="auto"/>
        <w:left w:val="none" w:sz="0" w:space="0" w:color="auto"/>
        <w:bottom w:val="none" w:sz="0" w:space="0" w:color="auto"/>
        <w:right w:val="none" w:sz="0" w:space="0" w:color="auto"/>
      </w:divBdr>
    </w:div>
    <w:div w:id="632759366">
      <w:bodyDiv w:val="1"/>
      <w:marLeft w:val="0"/>
      <w:marRight w:val="0"/>
      <w:marTop w:val="0"/>
      <w:marBottom w:val="0"/>
      <w:divBdr>
        <w:top w:val="none" w:sz="0" w:space="0" w:color="auto"/>
        <w:left w:val="none" w:sz="0" w:space="0" w:color="auto"/>
        <w:bottom w:val="none" w:sz="0" w:space="0" w:color="auto"/>
        <w:right w:val="none" w:sz="0" w:space="0" w:color="auto"/>
      </w:divBdr>
    </w:div>
    <w:div w:id="634457737">
      <w:bodyDiv w:val="1"/>
      <w:marLeft w:val="0"/>
      <w:marRight w:val="0"/>
      <w:marTop w:val="0"/>
      <w:marBottom w:val="0"/>
      <w:divBdr>
        <w:top w:val="none" w:sz="0" w:space="0" w:color="auto"/>
        <w:left w:val="none" w:sz="0" w:space="0" w:color="auto"/>
        <w:bottom w:val="none" w:sz="0" w:space="0" w:color="auto"/>
        <w:right w:val="none" w:sz="0" w:space="0" w:color="auto"/>
      </w:divBdr>
    </w:div>
    <w:div w:id="647829593">
      <w:bodyDiv w:val="1"/>
      <w:marLeft w:val="0"/>
      <w:marRight w:val="0"/>
      <w:marTop w:val="0"/>
      <w:marBottom w:val="0"/>
      <w:divBdr>
        <w:top w:val="none" w:sz="0" w:space="0" w:color="auto"/>
        <w:left w:val="none" w:sz="0" w:space="0" w:color="auto"/>
        <w:bottom w:val="none" w:sz="0" w:space="0" w:color="auto"/>
        <w:right w:val="none" w:sz="0" w:space="0" w:color="auto"/>
      </w:divBdr>
    </w:div>
    <w:div w:id="663434729">
      <w:bodyDiv w:val="1"/>
      <w:marLeft w:val="0"/>
      <w:marRight w:val="0"/>
      <w:marTop w:val="0"/>
      <w:marBottom w:val="0"/>
      <w:divBdr>
        <w:top w:val="none" w:sz="0" w:space="0" w:color="auto"/>
        <w:left w:val="none" w:sz="0" w:space="0" w:color="auto"/>
        <w:bottom w:val="none" w:sz="0" w:space="0" w:color="auto"/>
        <w:right w:val="none" w:sz="0" w:space="0" w:color="auto"/>
      </w:divBdr>
    </w:div>
    <w:div w:id="688987737">
      <w:bodyDiv w:val="1"/>
      <w:marLeft w:val="0"/>
      <w:marRight w:val="0"/>
      <w:marTop w:val="0"/>
      <w:marBottom w:val="0"/>
      <w:divBdr>
        <w:top w:val="none" w:sz="0" w:space="0" w:color="auto"/>
        <w:left w:val="none" w:sz="0" w:space="0" w:color="auto"/>
        <w:bottom w:val="none" w:sz="0" w:space="0" w:color="auto"/>
        <w:right w:val="none" w:sz="0" w:space="0" w:color="auto"/>
      </w:divBdr>
    </w:div>
    <w:div w:id="690497544">
      <w:bodyDiv w:val="1"/>
      <w:marLeft w:val="0"/>
      <w:marRight w:val="0"/>
      <w:marTop w:val="0"/>
      <w:marBottom w:val="0"/>
      <w:divBdr>
        <w:top w:val="none" w:sz="0" w:space="0" w:color="auto"/>
        <w:left w:val="none" w:sz="0" w:space="0" w:color="auto"/>
        <w:bottom w:val="none" w:sz="0" w:space="0" w:color="auto"/>
        <w:right w:val="none" w:sz="0" w:space="0" w:color="auto"/>
      </w:divBdr>
    </w:div>
    <w:div w:id="697006296">
      <w:bodyDiv w:val="1"/>
      <w:marLeft w:val="0"/>
      <w:marRight w:val="0"/>
      <w:marTop w:val="0"/>
      <w:marBottom w:val="0"/>
      <w:divBdr>
        <w:top w:val="none" w:sz="0" w:space="0" w:color="auto"/>
        <w:left w:val="none" w:sz="0" w:space="0" w:color="auto"/>
        <w:bottom w:val="none" w:sz="0" w:space="0" w:color="auto"/>
        <w:right w:val="none" w:sz="0" w:space="0" w:color="auto"/>
      </w:divBdr>
    </w:div>
    <w:div w:id="697853805">
      <w:bodyDiv w:val="1"/>
      <w:marLeft w:val="0"/>
      <w:marRight w:val="0"/>
      <w:marTop w:val="0"/>
      <w:marBottom w:val="0"/>
      <w:divBdr>
        <w:top w:val="none" w:sz="0" w:space="0" w:color="auto"/>
        <w:left w:val="none" w:sz="0" w:space="0" w:color="auto"/>
        <w:bottom w:val="none" w:sz="0" w:space="0" w:color="auto"/>
        <w:right w:val="none" w:sz="0" w:space="0" w:color="auto"/>
      </w:divBdr>
    </w:div>
    <w:div w:id="722484950">
      <w:bodyDiv w:val="1"/>
      <w:marLeft w:val="0"/>
      <w:marRight w:val="0"/>
      <w:marTop w:val="0"/>
      <w:marBottom w:val="0"/>
      <w:divBdr>
        <w:top w:val="none" w:sz="0" w:space="0" w:color="auto"/>
        <w:left w:val="none" w:sz="0" w:space="0" w:color="auto"/>
        <w:bottom w:val="none" w:sz="0" w:space="0" w:color="auto"/>
        <w:right w:val="none" w:sz="0" w:space="0" w:color="auto"/>
      </w:divBdr>
    </w:div>
    <w:div w:id="750927889">
      <w:bodyDiv w:val="1"/>
      <w:marLeft w:val="0"/>
      <w:marRight w:val="0"/>
      <w:marTop w:val="0"/>
      <w:marBottom w:val="0"/>
      <w:divBdr>
        <w:top w:val="none" w:sz="0" w:space="0" w:color="auto"/>
        <w:left w:val="none" w:sz="0" w:space="0" w:color="auto"/>
        <w:bottom w:val="none" w:sz="0" w:space="0" w:color="auto"/>
        <w:right w:val="none" w:sz="0" w:space="0" w:color="auto"/>
      </w:divBdr>
    </w:div>
    <w:div w:id="753091913">
      <w:bodyDiv w:val="1"/>
      <w:marLeft w:val="0"/>
      <w:marRight w:val="0"/>
      <w:marTop w:val="0"/>
      <w:marBottom w:val="0"/>
      <w:divBdr>
        <w:top w:val="none" w:sz="0" w:space="0" w:color="auto"/>
        <w:left w:val="none" w:sz="0" w:space="0" w:color="auto"/>
        <w:bottom w:val="none" w:sz="0" w:space="0" w:color="auto"/>
        <w:right w:val="none" w:sz="0" w:space="0" w:color="auto"/>
      </w:divBdr>
    </w:div>
    <w:div w:id="766582491">
      <w:bodyDiv w:val="1"/>
      <w:marLeft w:val="0"/>
      <w:marRight w:val="0"/>
      <w:marTop w:val="0"/>
      <w:marBottom w:val="0"/>
      <w:divBdr>
        <w:top w:val="none" w:sz="0" w:space="0" w:color="auto"/>
        <w:left w:val="none" w:sz="0" w:space="0" w:color="auto"/>
        <w:bottom w:val="none" w:sz="0" w:space="0" w:color="auto"/>
        <w:right w:val="none" w:sz="0" w:space="0" w:color="auto"/>
      </w:divBdr>
    </w:div>
    <w:div w:id="768162369">
      <w:bodyDiv w:val="1"/>
      <w:marLeft w:val="0"/>
      <w:marRight w:val="0"/>
      <w:marTop w:val="0"/>
      <w:marBottom w:val="0"/>
      <w:divBdr>
        <w:top w:val="none" w:sz="0" w:space="0" w:color="auto"/>
        <w:left w:val="none" w:sz="0" w:space="0" w:color="auto"/>
        <w:bottom w:val="none" w:sz="0" w:space="0" w:color="auto"/>
        <w:right w:val="none" w:sz="0" w:space="0" w:color="auto"/>
      </w:divBdr>
    </w:div>
    <w:div w:id="768310119">
      <w:bodyDiv w:val="1"/>
      <w:marLeft w:val="0"/>
      <w:marRight w:val="0"/>
      <w:marTop w:val="0"/>
      <w:marBottom w:val="0"/>
      <w:divBdr>
        <w:top w:val="none" w:sz="0" w:space="0" w:color="auto"/>
        <w:left w:val="none" w:sz="0" w:space="0" w:color="auto"/>
        <w:bottom w:val="none" w:sz="0" w:space="0" w:color="auto"/>
        <w:right w:val="none" w:sz="0" w:space="0" w:color="auto"/>
      </w:divBdr>
    </w:div>
    <w:div w:id="804347013">
      <w:bodyDiv w:val="1"/>
      <w:marLeft w:val="0"/>
      <w:marRight w:val="0"/>
      <w:marTop w:val="0"/>
      <w:marBottom w:val="0"/>
      <w:divBdr>
        <w:top w:val="none" w:sz="0" w:space="0" w:color="auto"/>
        <w:left w:val="none" w:sz="0" w:space="0" w:color="auto"/>
        <w:bottom w:val="none" w:sz="0" w:space="0" w:color="auto"/>
        <w:right w:val="none" w:sz="0" w:space="0" w:color="auto"/>
      </w:divBdr>
    </w:div>
    <w:div w:id="808284974">
      <w:bodyDiv w:val="1"/>
      <w:marLeft w:val="0"/>
      <w:marRight w:val="0"/>
      <w:marTop w:val="0"/>
      <w:marBottom w:val="0"/>
      <w:divBdr>
        <w:top w:val="none" w:sz="0" w:space="0" w:color="auto"/>
        <w:left w:val="none" w:sz="0" w:space="0" w:color="auto"/>
        <w:bottom w:val="none" w:sz="0" w:space="0" w:color="auto"/>
        <w:right w:val="none" w:sz="0" w:space="0" w:color="auto"/>
      </w:divBdr>
      <w:divsChild>
        <w:div w:id="80030280">
          <w:marLeft w:val="0"/>
          <w:marRight w:val="0"/>
          <w:marTop w:val="0"/>
          <w:marBottom w:val="0"/>
          <w:divBdr>
            <w:top w:val="none" w:sz="0" w:space="0" w:color="auto"/>
            <w:left w:val="none" w:sz="0" w:space="0" w:color="auto"/>
            <w:bottom w:val="none" w:sz="0" w:space="0" w:color="auto"/>
            <w:right w:val="none" w:sz="0" w:space="0" w:color="auto"/>
          </w:divBdr>
          <w:divsChild>
            <w:div w:id="805317859">
              <w:marLeft w:val="0"/>
              <w:marRight w:val="0"/>
              <w:marTop w:val="0"/>
              <w:marBottom w:val="0"/>
              <w:divBdr>
                <w:top w:val="none" w:sz="0" w:space="0" w:color="auto"/>
                <w:left w:val="none" w:sz="0" w:space="0" w:color="auto"/>
                <w:bottom w:val="none" w:sz="0" w:space="0" w:color="auto"/>
                <w:right w:val="none" w:sz="0" w:space="0" w:color="auto"/>
              </w:divBdr>
              <w:divsChild>
                <w:div w:id="1296717114">
                  <w:marLeft w:val="0"/>
                  <w:marRight w:val="0"/>
                  <w:marTop w:val="0"/>
                  <w:marBottom w:val="0"/>
                  <w:divBdr>
                    <w:top w:val="none" w:sz="0" w:space="0" w:color="auto"/>
                    <w:left w:val="none" w:sz="0" w:space="0" w:color="auto"/>
                    <w:bottom w:val="none" w:sz="0" w:space="0" w:color="auto"/>
                    <w:right w:val="none" w:sz="0" w:space="0" w:color="auto"/>
                  </w:divBdr>
                  <w:divsChild>
                    <w:div w:id="983853786">
                      <w:marLeft w:val="0"/>
                      <w:marRight w:val="0"/>
                      <w:marTop w:val="0"/>
                      <w:marBottom w:val="0"/>
                      <w:divBdr>
                        <w:top w:val="none" w:sz="0" w:space="0" w:color="auto"/>
                        <w:left w:val="none" w:sz="0" w:space="0" w:color="auto"/>
                        <w:bottom w:val="none" w:sz="0" w:space="0" w:color="auto"/>
                        <w:right w:val="none" w:sz="0" w:space="0" w:color="auto"/>
                      </w:divBdr>
                      <w:divsChild>
                        <w:div w:id="1370184208">
                          <w:marLeft w:val="0"/>
                          <w:marRight w:val="0"/>
                          <w:marTop w:val="0"/>
                          <w:marBottom w:val="0"/>
                          <w:divBdr>
                            <w:top w:val="none" w:sz="0" w:space="0" w:color="auto"/>
                            <w:left w:val="none" w:sz="0" w:space="0" w:color="auto"/>
                            <w:bottom w:val="none" w:sz="0" w:space="0" w:color="auto"/>
                            <w:right w:val="none" w:sz="0" w:space="0" w:color="auto"/>
                          </w:divBdr>
                          <w:divsChild>
                            <w:div w:id="194805491">
                              <w:marLeft w:val="0"/>
                              <w:marRight w:val="0"/>
                              <w:marTop w:val="0"/>
                              <w:marBottom w:val="0"/>
                              <w:divBdr>
                                <w:top w:val="none" w:sz="0" w:space="0" w:color="auto"/>
                                <w:left w:val="none" w:sz="0" w:space="0" w:color="auto"/>
                                <w:bottom w:val="none" w:sz="0" w:space="0" w:color="auto"/>
                                <w:right w:val="none" w:sz="0" w:space="0" w:color="auto"/>
                              </w:divBdr>
                              <w:divsChild>
                                <w:div w:id="1526169029">
                                  <w:marLeft w:val="0"/>
                                  <w:marRight w:val="0"/>
                                  <w:marTop w:val="0"/>
                                  <w:marBottom w:val="0"/>
                                  <w:divBdr>
                                    <w:top w:val="none" w:sz="0" w:space="0" w:color="auto"/>
                                    <w:left w:val="none" w:sz="0" w:space="0" w:color="auto"/>
                                    <w:bottom w:val="none" w:sz="0" w:space="0" w:color="auto"/>
                                    <w:right w:val="none" w:sz="0" w:space="0" w:color="auto"/>
                                  </w:divBdr>
                                  <w:divsChild>
                                    <w:div w:id="25174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802271">
      <w:bodyDiv w:val="1"/>
      <w:marLeft w:val="0"/>
      <w:marRight w:val="0"/>
      <w:marTop w:val="0"/>
      <w:marBottom w:val="0"/>
      <w:divBdr>
        <w:top w:val="none" w:sz="0" w:space="0" w:color="auto"/>
        <w:left w:val="none" w:sz="0" w:space="0" w:color="auto"/>
        <w:bottom w:val="none" w:sz="0" w:space="0" w:color="auto"/>
        <w:right w:val="none" w:sz="0" w:space="0" w:color="auto"/>
      </w:divBdr>
    </w:div>
    <w:div w:id="823396326">
      <w:bodyDiv w:val="1"/>
      <w:marLeft w:val="0"/>
      <w:marRight w:val="0"/>
      <w:marTop w:val="0"/>
      <w:marBottom w:val="0"/>
      <w:divBdr>
        <w:top w:val="none" w:sz="0" w:space="0" w:color="auto"/>
        <w:left w:val="none" w:sz="0" w:space="0" w:color="auto"/>
        <w:bottom w:val="none" w:sz="0" w:space="0" w:color="auto"/>
        <w:right w:val="none" w:sz="0" w:space="0" w:color="auto"/>
      </w:divBdr>
    </w:div>
    <w:div w:id="829634639">
      <w:bodyDiv w:val="1"/>
      <w:marLeft w:val="0"/>
      <w:marRight w:val="0"/>
      <w:marTop w:val="0"/>
      <w:marBottom w:val="0"/>
      <w:divBdr>
        <w:top w:val="none" w:sz="0" w:space="0" w:color="auto"/>
        <w:left w:val="none" w:sz="0" w:space="0" w:color="auto"/>
        <w:bottom w:val="none" w:sz="0" w:space="0" w:color="auto"/>
        <w:right w:val="none" w:sz="0" w:space="0" w:color="auto"/>
      </w:divBdr>
    </w:div>
    <w:div w:id="837817263">
      <w:bodyDiv w:val="1"/>
      <w:marLeft w:val="0"/>
      <w:marRight w:val="0"/>
      <w:marTop w:val="0"/>
      <w:marBottom w:val="0"/>
      <w:divBdr>
        <w:top w:val="none" w:sz="0" w:space="0" w:color="auto"/>
        <w:left w:val="none" w:sz="0" w:space="0" w:color="auto"/>
        <w:bottom w:val="none" w:sz="0" w:space="0" w:color="auto"/>
        <w:right w:val="none" w:sz="0" w:space="0" w:color="auto"/>
      </w:divBdr>
    </w:div>
    <w:div w:id="842207614">
      <w:bodyDiv w:val="1"/>
      <w:marLeft w:val="0"/>
      <w:marRight w:val="0"/>
      <w:marTop w:val="0"/>
      <w:marBottom w:val="0"/>
      <w:divBdr>
        <w:top w:val="none" w:sz="0" w:space="0" w:color="auto"/>
        <w:left w:val="none" w:sz="0" w:space="0" w:color="auto"/>
        <w:bottom w:val="none" w:sz="0" w:space="0" w:color="auto"/>
        <w:right w:val="none" w:sz="0" w:space="0" w:color="auto"/>
      </w:divBdr>
    </w:div>
    <w:div w:id="846556232">
      <w:bodyDiv w:val="1"/>
      <w:marLeft w:val="0"/>
      <w:marRight w:val="0"/>
      <w:marTop w:val="0"/>
      <w:marBottom w:val="0"/>
      <w:divBdr>
        <w:top w:val="none" w:sz="0" w:space="0" w:color="auto"/>
        <w:left w:val="none" w:sz="0" w:space="0" w:color="auto"/>
        <w:bottom w:val="none" w:sz="0" w:space="0" w:color="auto"/>
        <w:right w:val="none" w:sz="0" w:space="0" w:color="auto"/>
      </w:divBdr>
    </w:div>
    <w:div w:id="875436434">
      <w:bodyDiv w:val="1"/>
      <w:marLeft w:val="0"/>
      <w:marRight w:val="0"/>
      <w:marTop w:val="0"/>
      <w:marBottom w:val="0"/>
      <w:divBdr>
        <w:top w:val="none" w:sz="0" w:space="0" w:color="auto"/>
        <w:left w:val="none" w:sz="0" w:space="0" w:color="auto"/>
        <w:bottom w:val="none" w:sz="0" w:space="0" w:color="auto"/>
        <w:right w:val="none" w:sz="0" w:space="0" w:color="auto"/>
      </w:divBdr>
    </w:div>
    <w:div w:id="886527721">
      <w:bodyDiv w:val="1"/>
      <w:marLeft w:val="0"/>
      <w:marRight w:val="0"/>
      <w:marTop w:val="0"/>
      <w:marBottom w:val="0"/>
      <w:divBdr>
        <w:top w:val="none" w:sz="0" w:space="0" w:color="auto"/>
        <w:left w:val="none" w:sz="0" w:space="0" w:color="auto"/>
        <w:bottom w:val="none" w:sz="0" w:space="0" w:color="auto"/>
        <w:right w:val="none" w:sz="0" w:space="0" w:color="auto"/>
      </w:divBdr>
    </w:div>
    <w:div w:id="887182147">
      <w:bodyDiv w:val="1"/>
      <w:marLeft w:val="0"/>
      <w:marRight w:val="0"/>
      <w:marTop w:val="0"/>
      <w:marBottom w:val="0"/>
      <w:divBdr>
        <w:top w:val="none" w:sz="0" w:space="0" w:color="auto"/>
        <w:left w:val="none" w:sz="0" w:space="0" w:color="auto"/>
        <w:bottom w:val="none" w:sz="0" w:space="0" w:color="auto"/>
        <w:right w:val="none" w:sz="0" w:space="0" w:color="auto"/>
      </w:divBdr>
    </w:div>
    <w:div w:id="903569429">
      <w:bodyDiv w:val="1"/>
      <w:marLeft w:val="0"/>
      <w:marRight w:val="0"/>
      <w:marTop w:val="0"/>
      <w:marBottom w:val="0"/>
      <w:divBdr>
        <w:top w:val="none" w:sz="0" w:space="0" w:color="auto"/>
        <w:left w:val="none" w:sz="0" w:space="0" w:color="auto"/>
        <w:bottom w:val="none" w:sz="0" w:space="0" w:color="auto"/>
        <w:right w:val="none" w:sz="0" w:space="0" w:color="auto"/>
      </w:divBdr>
    </w:div>
    <w:div w:id="928661816">
      <w:bodyDiv w:val="1"/>
      <w:marLeft w:val="0"/>
      <w:marRight w:val="0"/>
      <w:marTop w:val="0"/>
      <w:marBottom w:val="0"/>
      <w:divBdr>
        <w:top w:val="none" w:sz="0" w:space="0" w:color="auto"/>
        <w:left w:val="none" w:sz="0" w:space="0" w:color="auto"/>
        <w:bottom w:val="none" w:sz="0" w:space="0" w:color="auto"/>
        <w:right w:val="none" w:sz="0" w:space="0" w:color="auto"/>
      </w:divBdr>
    </w:div>
    <w:div w:id="942298816">
      <w:bodyDiv w:val="1"/>
      <w:marLeft w:val="0"/>
      <w:marRight w:val="0"/>
      <w:marTop w:val="0"/>
      <w:marBottom w:val="0"/>
      <w:divBdr>
        <w:top w:val="none" w:sz="0" w:space="0" w:color="auto"/>
        <w:left w:val="none" w:sz="0" w:space="0" w:color="auto"/>
        <w:bottom w:val="none" w:sz="0" w:space="0" w:color="auto"/>
        <w:right w:val="none" w:sz="0" w:space="0" w:color="auto"/>
      </w:divBdr>
    </w:div>
    <w:div w:id="959651925">
      <w:bodyDiv w:val="1"/>
      <w:marLeft w:val="0"/>
      <w:marRight w:val="0"/>
      <w:marTop w:val="0"/>
      <w:marBottom w:val="0"/>
      <w:divBdr>
        <w:top w:val="none" w:sz="0" w:space="0" w:color="auto"/>
        <w:left w:val="none" w:sz="0" w:space="0" w:color="auto"/>
        <w:bottom w:val="none" w:sz="0" w:space="0" w:color="auto"/>
        <w:right w:val="none" w:sz="0" w:space="0" w:color="auto"/>
      </w:divBdr>
    </w:div>
    <w:div w:id="989020368">
      <w:bodyDiv w:val="1"/>
      <w:marLeft w:val="0"/>
      <w:marRight w:val="0"/>
      <w:marTop w:val="0"/>
      <w:marBottom w:val="0"/>
      <w:divBdr>
        <w:top w:val="none" w:sz="0" w:space="0" w:color="auto"/>
        <w:left w:val="none" w:sz="0" w:space="0" w:color="auto"/>
        <w:bottom w:val="none" w:sz="0" w:space="0" w:color="auto"/>
        <w:right w:val="none" w:sz="0" w:space="0" w:color="auto"/>
      </w:divBdr>
    </w:div>
    <w:div w:id="1033774623">
      <w:bodyDiv w:val="1"/>
      <w:marLeft w:val="0"/>
      <w:marRight w:val="0"/>
      <w:marTop w:val="0"/>
      <w:marBottom w:val="0"/>
      <w:divBdr>
        <w:top w:val="none" w:sz="0" w:space="0" w:color="auto"/>
        <w:left w:val="none" w:sz="0" w:space="0" w:color="auto"/>
        <w:bottom w:val="none" w:sz="0" w:space="0" w:color="auto"/>
        <w:right w:val="none" w:sz="0" w:space="0" w:color="auto"/>
      </w:divBdr>
    </w:div>
    <w:div w:id="1052265916">
      <w:bodyDiv w:val="1"/>
      <w:marLeft w:val="0"/>
      <w:marRight w:val="0"/>
      <w:marTop w:val="0"/>
      <w:marBottom w:val="0"/>
      <w:divBdr>
        <w:top w:val="none" w:sz="0" w:space="0" w:color="auto"/>
        <w:left w:val="none" w:sz="0" w:space="0" w:color="auto"/>
        <w:bottom w:val="none" w:sz="0" w:space="0" w:color="auto"/>
        <w:right w:val="none" w:sz="0" w:space="0" w:color="auto"/>
      </w:divBdr>
    </w:div>
    <w:div w:id="1069571327">
      <w:bodyDiv w:val="1"/>
      <w:marLeft w:val="0"/>
      <w:marRight w:val="0"/>
      <w:marTop w:val="0"/>
      <w:marBottom w:val="0"/>
      <w:divBdr>
        <w:top w:val="none" w:sz="0" w:space="0" w:color="auto"/>
        <w:left w:val="none" w:sz="0" w:space="0" w:color="auto"/>
        <w:bottom w:val="none" w:sz="0" w:space="0" w:color="auto"/>
        <w:right w:val="none" w:sz="0" w:space="0" w:color="auto"/>
      </w:divBdr>
    </w:div>
    <w:div w:id="1071078662">
      <w:bodyDiv w:val="1"/>
      <w:marLeft w:val="0"/>
      <w:marRight w:val="0"/>
      <w:marTop w:val="0"/>
      <w:marBottom w:val="0"/>
      <w:divBdr>
        <w:top w:val="none" w:sz="0" w:space="0" w:color="auto"/>
        <w:left w:val="none" w:sz="0" w:space="0" w:color="auto"/>
        <w:bottom w:val="none" w:sz="0" w:space="0" w:color="auto"/>
        <w:right w:val="none" w:sz="0" w:space="0" w:color="auto"/>
      </w:divBdr>
    </w:div>
    <w:div w:id="1078861928">
      <w:bodyDiv w:val="1"/>
      <w:marLeft w:val="0"/>
      <w:marRight w:val="0"/>
      <w:marTop w:val="0"/>
      <w:marBottom w:val="0"/>
      <w:divBdr>
        <w:top w:val="none" w:sz="0" w:space="0" w:color="auto"/>
        <w:left w:val="none" w:sz="0" w:space="0" w:color="auto"/>
        <w:bottom w:val="none" w:sz="0" w:space="0" w:color="auto"/>
        <w:right w:val="none" w:sz="0" w:space="0" w:color="auto"/>
      </w:divBdr>
    </w:div>
    <w:div w:id="1078940943">
      <w:bodyDiv w:val="1"/>
      <w:marLeft w:val="0"/>
      <w:marRight w:val="0"/>
      <w:marTop w:val="0"/>
      <w:marBottom w:val="0"/>
      <w:divBdr>
        <w:top w:val="none" w:sz="0" w:space="0" w:color="auto"/>
        <w:left w:val="none" w:sz="0" w:space="0" w:color="auto"/>
        <w:bottom w:val="none" w:sz="0" w:space="0" w:color="auto"/>
        <w:right w:val="none" w:sz="0" w:space="0" w:color="auto"/>
      </w:divBdr>
    </w:div>
    <w:div w:id="1107895557">
      <w:bodyDiv w:val="1"/>
      <w:marLeft w:val="0"/>
      <w:marRight w:val="0"/>
      <w:marTop w:val="0"/>
      <w:marBottom w:val="0"/>
      <w:divBdr>
        <w:top w:val="none" w:sz="0" w:space="0" w:color="auto"/>
        <w:left w:val="none" w:sz="0" w:space="0" w:color="auto"/>
        <w:bottom w:val="none" w:sz="0" w:space="0" w:color="auto"/>
        <w:right w:val="none" w:sz="0" w:space="0" w:color="auto"/>
      </w:divBdr>
    </w:div>
    <w:div w:id="1111434722">
      <w:bodyDiv w:val="1"/>
      <w:marLeft w:val="0"/>
      <w:marRight w:val="0"/>
      <w:marTop w:val="0"/>
      <w:marBottom w:val="0"/>
      <w:divBdr>
        <w:top w:val="none" w:sz="0" w:space="0" w:color="auto"/>
        <w:left w:val="none" w:sz="0" w:space="0" w:color="auto"/>
        <w:bottom w:val="none" w:sz="0" w:space="0" w:color="auto"/>
        <w:right w:val="none" w:sz="0" w:space="0" w:color="auto"/>
      </w:divBdr>
    </w:div>
    <w:div w:id="1119034145">
      <w:bodyDiv w:val="1"/>
      <w:marLeft w:val="0"/>
      <w:marRight w:val="0"/>
      <w:marTop w:val="0"/>
      <w:marBottom w:val="0"/>
      <w:divBdr>
        <w:top w:val="none" w:sz="0" w:space="0" w:color="auto"/>
        <w:left w:val="none" w:sz="0" w:space="0" w:color="auto"/>
        <w:bottom w:val="none" w:sz="0" w:space="0" w:color="auto"/>
        <w:right w:val="none" w:sz="0" w:space="0" w:color="auto"/>
      </w:divBdr>
    </w:div>
    <w:div w:id="1120300153">
      <w:bodyDiv w:val="1"/>
      <w:marLeft w:val="0"/>
      <w:marRight w:val="0"/>
      <w:marTop w:val="0"/>
      <w:marBottom w:val="0"/>
      <w:divBdr>
        <w:top w:val="none" w:sz="0" w:space="0" w:color="auto"/>
        <w:left w:val="none" w:sz="0" w:space="0" w:color="auto"/>
        <w:bottom w:val="none" w:sz="0" w:space="0" w:color="auto"/>
        <w:right w:val="none" w:sz="0" w:space="0" w:color="auto"/>
      </w:divBdr>
    </w:div>
    <w:div w:id="1120346374">
      <w:bodyDiv w:val="1"/>
      <w:marLeft w:val="0"/>
      <w:marRight w:val="0"/>
      <w:marTop w:val="0"/>
      <w:marBottom w:val="0"/>
      <w:divBdr>
        <w:top w:val="none" w:sz="0" w:space="0" w:color="auto"/>
        <w:left w:val="none" w:sz="0" w:space="0" w:color="auto"/>
        <w:bottom w:val="none" w:sz="0" w:space="0" w:color="auto"/>
        <w:right w:val="none" w:sz="0" w:space="0" w:color="auto"/>
      </w:divBdr>
    </w:div>
    <w:div w:id="1184318647">
      <w:bodyDiv w:val="1"/>
      <w:marLeft w:val="0"/>
      <w:marRight w:val="0"/>
      <w:marTop w:val="0"/>
      <w:marBottom w:val="0"/>
      <w:divBdr>
        <w:top w:val="none" w:sz="0" w:space="0" w:color="auto"/>
        <w:left w:val="none" w:sz="0" w:space="0" w:color="auto"/>
        <w:bottom w:val="none" w:sz="0" w:space="0" w:color="auto"/>
        <w:right w:val="none" w:sz="0" w:space="0" w:color="auto"/>
      </w:divBdr>
    </w:div>
    <w:div w:id="1187214057">
      <w:bodyDiv w:val="1"/>
      <w:marLeft w:val="0"/>
      <w:marRight w:val="0"/>
      <w:marTop w:val="0"/>
      <w:marBottom w:val="0"/>
      <w:divBdr>
        <w:top w:val="none" w:sz="0" w:space="0" w:color="auto"/>
        <w:left w:val="none" w:sz="0" w:space="0" w:color="auto"/>
        <w:bottom w:val="none" w:sz="0" w:space="0" w:color="auto"/>
        <w:right w:val="none" w:sz="0" w:space="0" w:color="auto"/>
      </w:divBdr>
    </w:div>
    <w:div w:id="1200775996">
      <w:bodyDiv w:val="1"/>
      <w:marLeft w:val="0"/>
      <w:marRight w:val="0"/>
      <w:marTop w:val="0"/>
      <w:marBottom w:val="0"/>
      <w:divBdr>
        <w:top w:val="none" w:sz="0" w:space="0" w:color="auto"/>
        <w:left w:val="none" w:sz="0" w:space="0" w:color="auto"/>
        <w:bottom w:val="none" w:sz="0" w:space="0" w:color="auto"/>
        <w:right w:val="none" w:sz="0" w:space="0" w:color="auto"/>
      </w:divBdr>
    </w:div>
    <w:div w:id="1204051377">
      <w:bodyDiv w:val="1"/>
      <w:marLeft w:val="0"/>
      <w:marRight w:val="0"/>
      <w:marTop w:val="0"/>
      <w:marBottom w:val="0"/>
      <w:divBdr>
        <w:top w:val="none" w:sz="0" w:space="0" w:color="auto"/>
        <w:left w:val="none" w:sz="0" w:space="0" w:color="auto"/>
        <w:bottom w:val="none" w:sz="0" w:space="0" w:color="auto"/>
        <w:right w:val="none" w:sz="0" w:space="0" w:color="auto"/>
      </w:divBdr>
    </w:div>
    <w:div w:id="1223563238">
      <w:bodyDiv w:val="1"/>
      <w:marLeft w:val="0"/>
      <w:marRight w:val="0"/>
      <w:marTop w:val="0"/>
      <w:marBottom w:val="0"/>
      <w:divBdr>
        <w:top w:val="none" w:sz="0" w:space="0" w:color="auto"/>
        <w:left w:val="none" w:sz="0" w:space="0" w:color="auto"/>
        <w:bottom w:val="none" w:sz="0" w:space="0" w:color="auto"/>
        <w:right w:val="none" w:sz="0" w:space="0" w:color="auto"/>
      </w:divBdr>
    </w:div>
    <w:div w:id="1224440684">
      <w:bodyDiv w:val="1"/>
      <w:marLeft w:val="0"/>
      <w:marRight w:val="0"/>
      <w:marTop w:val="0"/>
      <w:marBottom w:val="0"/>
      <w:divBdr>
        <w:top w:val="none" w:sz="0" w:space="0" w:color="auto"/>
        <w:left w:val="none" w:sz="0" w:space="0" w:color="auto"/>
        <w:bottom w:val="none" w:sz="0" w:space="0" w:color="auto"/>
        <w:right w:val="none" w:sz="0" w:space="0" w:color="auto"/>
      </w:divBdr>
    </w:div>
    <w:div w:id="1251816221">
      <w:bodyDiv w:val="1"/>
      <w:marLeft w:val="0"/>
      <w:marRight w:val="0"/>
      <w:marTop w:val="0"/>
      <w:marBottom w:val="0"/>
      <w:divBdr>
        <w:top w:val="none" w:sz="0" w:space="0" w:color="auto"/>
        <w:left w:val="none" w:sz="0" w:space="0" w:color="auto"/>
        <w:bottom w:val="none" w:sz="0" w:space="0" w:color="auto"/>
        <w:right w:val="none" w:sz="0" w:space="0" w:color="auto"/>
      </w:divBdr>
    </w:div>
    <w:div w:id="1261599143">
      <w:bodyDiv w:val="1"/>
      <w:marLeft w:val="0"/>
      <w:marRight w:val="0"/>
      <w:marTop w:val="0"/>
      <w:marBottom w:val="0"/>
      <w:divBdr>
        <w:top w:val="none" w:sz="0" w:space="0" w:color="auto"/>
        <w:left w:val="none" w:sz="0" w:space="0" w:color="auto"/>
        <w:bottom w:val="none" w:sz="0" w:space="0" w:color="auto"/>
        <w:right w:val="none" w:sz="0" w:space="0" w:color="auto"/>
      </w:divBdr>
    </w:div>
    <w:div w:id="1275014859">
      <w:bodyDiv w:val="1"/>
      <w:marLeft w:val="0"/>
      <w:marRight w:val="0"/>
      <w:marTop w:val="0"/>
      <w:marBottom w:val="0"/>
      <w:divBdr>
        <w:top w:val="none" w:sz="0" w:space="0" w:color="auto"/>
        <w:left w:val="none" w:sz="0" w:space="0" w:color="auto"/>
        <w:bottom w:val="none" w:sz="0" w:space="0" w:color="auto"/>
        <w:right w:val="none" w:sz="0" w:space="0" w:color="auto"/>
      </w:divBdr>
    </w:div>
    <w:div w:id="1283076272">
      <w:bodyDiv w:val="1"/>
      <w:marLeft w:val="0"/>
      <w:marRight w:val="0"/>
      <w:marTop w:val="0"/>
      <w:marBottom w:val="0"/>
      <w:divBdr>
        <w:top w:val="none" w:sz="0" w:space="0" w:color="auto"/>
        <w:left w:val="none" w:sz="0" w:space="0" w:color="auto"/>
        <w:bottom w:val="none" w:sz="0" w:space="0" w:color="auto"/>
        <w:right w:val="none" w:sz="0" w:space="0" w:color="auto"/>
      </w:divBdr>
    </w:div>
    <w:div w:id="1286623561">
      <w:bodyDiv w:val="1"/>
      <w:marLeft w:val="0"/>
      <w:marRight w:val="0"/>
      <w:marTop w:val="0"/>
      <w:marBottom w:val="0"/>
      <w:divBdr>
        <w:top w:val="none" w:sz="0" w:space="0" w:color="auto"/>
        <w:left w:val="none" w:sz="0" w:space="0" w:color="auto"/>
        <w:bottom w:val="none" w:sz="0" w:space="0" w:color="auto"/>
        <w:right w:val="none" w:sz="0" w:space="0" w:color="auto"/>
      </w:divBdr>
    </w:div>
    <w:div w:id="1294408141">
      <w:bodyDiv w:val="1"/>
      <w:marLeft w:val="0"/>
      <w:marRight w:val="0"/>
      <w:marTop w:val="0"/>
      <w:marBottom w:val="0"/>
      <w:divBdr>
        <w:top w:val="none" w:sz="0" w:space="0" w:color="auto"/>
        <w:left w:val="none" w:sz="0" w:space="0" w:color="auto"/>
        <w:bottom w:val="none" w:sz="0" w:space="0" w:color="auto"/>
        <w:right w:val="none" w:sz="0" w:space="0" w:color="auto"/>
      </w:divBdr>
    </w:div>
    <w:div w:id="1299187652">
      <w:bodyDiv w:val="1"/>
      <w:marLeft w:val="0"/>
      <w:marRight w:val="0"/>
      <w:marTop w:val="0"/>
      <w:marBottom w:val="0"/>
      <w:divBdr>
        <w:top w:val="none" w:sz="0" w:space="0" w:color="auto"/>
        <w:left w:val="none" w:sz="0" w:space="0" w:color="auto"/>
        <w:bottom w:val="none" w:sz="0" w:space="0" w:color="auto"/>
        <w:right w:val="none" w:sz="0" w:space="0" w:color="auto"/>
      </w:divBdr>
    </w:div>
    <w:div w:id="1301224800">
      <w:bodyDiv w:val="1"/>
      <w:marLeft w:val="0"/>
      <w:marRight w:val="0"/>
      <w:marTop w:val="0"/>
      <w:marBottom w:val="0"/>
      <w:divBdr>
        <w:top w:val="none" w:sz="0" w:space="0" w:color="auto"/>
        <w:left w:val="none" w:sz="0" w:space="0" w:color="auto"/>
        <w:bottom w:val="none" w:sz="0" w:space="0" w:color="auto"/>
        <w:right w:val="none" w:sz="0" w:space="0" w:color="auto"/>
      </w:divBdr>
    </w:div>
    <w:div w:id="1325089129">
      <w:bodyDiv w:val="1"/>
      <w:marLeft w:val="0"/>
      <w:marRight w:val="0"/>
      <w:marTop w:val="0"/>
      <w:marBottom w:val="0"/>
      <w:divBdr>
        <w:top w:val="none" w:sz="0" w:space="0" w:color="auto"/>
        <w:left w:val="none" w:sz="0" w:space="0" w:color="auto"/>
        <w:bottom w:val="none" w:sz="0" w:space="0" w:color="auto"/>
        <w:right w:val="none" w:sz="0" w:space="0" w:color="auto"/>
      </w:divBdr>
    </w:div>
    <w:div w:id="1330673147">
      <w:bodyDiv w:val="1"/>
      <w:marLeft w:val="0"/>
      <w:marRight w:val="0"/>
      <w:marTop w:val="0"/>
      <w:marBottom w:val="0"/>
      <w:divBdr>
        <w:top w:val="none" w:sz="0" w:space="0" w:color="auto"/>
        <w:left w:val="none" w:sz="0" w:space="0" w:color="auto"/>
        <w:bottom w:val="none" w:sz="0" w:space="0" w:color="auto"/>
        <w:right w:val="none" w:sz="0" w:space="0" w:color="auto"/>
      </w:divBdr>
    </w:div>
    <w:div w:id="1352223583">
      <w:bodyDiv w:val="1"/>
      <w:marLeft w:val="0"/>
      <w:marRight w:val="0"/>
      <w:marTop w:val="0"/>
      <w:marBottom w:val="0"/>
      <w:divBdr>
        <w:top w:val="none" w:sz="0" w:space="0" w:color="auto"/>
        <w:left w:val="none" w:sz="0" w:space="0" w:color="auto"/>
        <w:bottom w:val="none" w:sz="0" w:space="0" w:color="auto"/>
        <w:right w:val="none" w:sz="0" w:space="0" w:color="auto"/>
      </w:divBdr>
    </w:div>
    <w:div w:id="1354578312">
      <w:bodyDiv w:val="1"/>
      <w:marLeft w:val="0"/>
      <w:marRight w:val="0"/>
      <w:marTop w:val="0"/>
      <w:marBottom w:val="0"/>
      <w:divBdr>
        <w:top w:val="none" w:sz="0" w:space="0" w:color="auto"/>
        <w:left w:val="none" w:sz="0" w:space="0" w:color="auto"/>
        <w:bottom w:val="none" w:sz="0" w:space="0" w:color="auto"/>
        <w:right w:val="none" w:sz="0" w:space="0" w:color="auto"/>
      </w:divBdr>
    </w:div>
    <w:div w:id="1363701221">
      <w:bodyDiv w:val="1"/>
      <w:marLeft w:val="0"/>
      <w:marRight w:val="0"/>
      <w:marTop w:val="0"/>
      <w:marBottom w:val="0"/>
      <w:divBdr>
        <w:top w:val="none" w:sz="0" w:space="0" w:color="auto"/>
        <w:left w:val="none" w:sz="0" w:space="0" w:color="auto"/>
        <w:bottom w:val="none" w:sz="0" w:space="0" w:color="auto"/>
        <w:right w:val="none" w:sz="0" w:space="0" w:color="auto"/>
      </w:divBdr>
    </w:div>
    <w:div w:id="1366711179">
      <w:bodyDiv w:val="1"/>
      <w:marLeft w:val="0"/>
      <w:marRight w:val="0"/>
      <w:marTop w:val="0"/>
      <w:marBottom w:val="0"/>
      <w:divBdr>
        <w:top w:val="none" w:sz="0" w:space="0" w:color="auto"/>
        <w:left w:val="none" w:sz="0" w:space="0" w:color="auto"/>
        <w:bottom w:val="none" w:sz="0" w:space="0" w:color="auto"/>
        <w:right w:val="none" w:sz="0" w:space="0" w:color="auto"/>
      </w:divBdr>
    </w:div>
    <w:div w:id="1371346933">
      <w:bodyDiv w:val="1"/>
      <w:marLeft w:val="0"/>
      <w:marRight w:val="0"/>
      <w:marTop w:val="0"/>
      <w:marBottom w:val="0"/>
      <w:divBdr>
        <w:top w:val="none" w:sz="0" w:space="0" w:color="auto"/>
        <w:left w:val="none" w:sz="0" w:space="0" w:color="auto"/>
        <w:bottom w:val="none" w:sz="0" w:space="0" w:color="auto"/>
        <w:right w:val="none" w:sz="0" w:space="0" w:color="auto"/>
      </w:divBdr>
    </w:div>
    <w:div w:id="1371959515">
      <w:bodyDiv w:val="1"/>
      <w:marLeft w:val="0"/>
      <w:marRight w:val="0"/>
      <w:marTop w:val="0"/>
      <w:marBottom w:val="0"/>
      <w:divBdr>
        <w:top w:val="none" w:sz="0" w:space="0" w:color="auto"/>
        <w:left w:val="none" w:sz="0" w:space="0" w:color="auto"/>
        <w:bottom w:val="none" w:sz="0" w:space="0" w:color="auto"/>
        <w:right w:val="none" w:sz="0" w:space="0" w:color="auto"/>
      </w:divBdr>
    </w:div>
    <w:div w:id="1398556831">
      <w:bodyDiv w:val="1"/>
      <w:marLeft w:val="0"/>
      <w:marRight w:val="0"/>
      <w:marTop w:val="0"/>
      <w:marBottom w:val="0"/>
      <w:divBdr>
        <w:top w:val="none" w:sz="0" w:space="0" w:color="auto"/>
        <w:left w:val="none" w:sz="0" w:space="0" w:color="auto"/>
        <w:bottom w:val="none" w:sz="0" w:space="0" w:color="auto"/>
        <w:right w:val="none" w:sz="0" w:space="0" w:color="auto"/>
      </w:divBdr>
    </w:div>
    <w:div w:id="1399552800">
      <w:bodyDiv w:val="1"/>
      <w:marLeft w:val="0"/>
      <w:marRight w:val="0"/>
      <w:marTop w:val="0"/>
      <w:marBottom w:val="0"/>
      <w:divBdr>
        <w:top w:val="none" w:sz="0" w:space="0" w:color="auto"/>
        <w:left w:val="none" w:sz="0" w:space="0" w:color="auto"/>
        <w:bottom w:val="none" w:sz="0" w:space="0" w:color="auto"/>
        <w:right w:val="none" w:sz="0" w:space="0" w:color="auto"/>
      </w:divBdr>
    </w:div>
    <w:div w:id="1408727725">
      <w:bodyDiv w:val="1"/>
      <w:marLeft w:val="0"/>
      <w:marRight w:val="0"/>
      <w:marTop w:val="0"/>
      <w:marBottom w:val="0"/>
      <w:divBdr>
        <w:top w:val="none" w:sz="0" w:space="0" w:color="auto"/>
        <w:left w:val="none" w:sz="0" w:space="0" w:color="auto"/>
        <w:bottom w:val="none" w:sz="0" w:space="0" w:color="auto"/>
        <w:right w:val="none" w:sz="0" w:space="0" w:color="auto"/>
      </w:divBdr>
    </w:div>
    <w:div w:id="1409308616">
      <w:bodyDiv w:val="1"/>
      <w:marLeft w:val="0"/>
      <w:marRight w:val="0"/>
      <w:marTop w:val="0"/>
      <w:marBottom w:val="0"/>
      <w:divBdr>
        <w:top w:val="none" w:sz="0" w:space="0" w:color="auto"/>
        <w:left w:val="none" w:sz="0" w:space="0" w:color="auto"/>
        <w:bottom w:val="none" w:sz="0" w:space="0" w:color="auto"/>
        <w:right w:val="none" w:sz="0" w:space="0" w:color="auto"/>
      </w:divBdr>
    </w:div>
    <w:div w:id="1434206895">
      <w:bodyDiv w:val="1"/>
      <w:marLeft w:val="0"/>
      <w:marRight w:val="0"/>
      <w:marTop w:val="0"/>
      <w:marBottom w:val="0"/>
      <w:divBdr>
        <w:top w:val="none" w:sz="0" w:space="0" w:color="auto"/>
        <w:left w:val="none" w:sz="0" w:space="0" w:color="auto"/>
        <w:bottom w:val="none" w:sz="0" w:space="0" w:color="auto"/>
        <w:right w:val="none" w:sz="0" w:space="0" w:color="auto"/>
      </w:divBdr>
    </w:div>
    <w:div w:id="1532719781">
      <w:bodyDiv w:val="1"/>
      <w:marLeft w:val="0"/>
      <w:marRight w:val="0"/>
      <w:marTop w:val="0"/>
      <w:marBottom w:val="0"/>
      <w:divBdr>
        <w:top w:val="none" w:sz="0" w:space="0" w:color="auto"/>
        <w:left w:val="none" w:sz="0" w:space="0" w:color="auto"/>
        <w:bottom w:val="none" w:sz="0" w:space="0" w:color="auto"/>
        <w:right w:val="none" w:sz="0" w:space="0" w:color="auto"/>
      </w:divBdr>
    </w:div>
    <w:div w:id="1550531351">
      <w:bodyDiv w:val="1"/>
      <w:marLeft w:val="0"/>
      <w:marRight w:val="0"/>
      <w:marTop w:val="0"/>
      <w:marBottom w:val="0"/>
      <w:divBdr>
        <w:top w:val="none" w:sz="0" w:space="0" w:color="auto"/>
        <w:left w:val="none" w:sz="0" w:space="0" w:color="auto"/>
        <w:bottom w:val="none" w:sz="0" w:space="0" w:color="auto"/>
        <w:right w:val="none" w:sz="0" w:space="0" w:color="auto"/>
      </w:divBdr>
    </w:div>
    <w:div w:id="1586500440">
      <w:bodyDiv w:val="1"/>
      <w:marLeft w:val="0"/>
      <w:marRight w:val="0"/>
      <w:marTop w:val="0"/>
      <w:marBottom w:val="0"/>
      <w:divBdr>
        <w:top w:val="none" w:sz="0" w:space="0" w:color="auto"/>
        <w:left w:val="none" w:sz="0" w:space="0" w:color="auto"/>
        <w:bottom w:val="none" w:sz="0" w:space="0" w:color="auto"/>
        <w:right w:val="none" w:sz="0" w:space="0" w:color="auto"/>
      </w:divBdr>
    </w:div>
    <w:div w:id="1588465380">
      <w:bodyDiv w:val="1"/>
      <w:marLeft w:val="0"/>
      <w:marRight w:val="0"/>
      <w:marTop w:val="0"/>
      <w:marBottom w:val="0"/>
      <w:divBdr>
        <w:top w:val="none" w:sz="0" w:space="0" w:color="auto"/>
        <w:left w:val="none" w:sz="0" w:space="0" w:color="auto"/>
        <w:bottom w:val="none" w:sz="0" w:space="0" w:color="auto"/>
        <w:right w:val="none" w:sz="0" w:space="0" w:color="auto"/>
      </w:divBdr>
    </w:div>
    <w:div w:id="1602254836">
      <w:bodyDiv w:val="1"/>
      <w:marLeft w:val="0"/>
      <w:marRight w:val="0"/>
      <w:marTop w:val="0"/>
      <w:marBottom w:val="0"/>
      <w:divBdr>
        <w:top w:val="none" w:sz="0" w:space="0" w:color="auto"/>
        <w:left w:val="none" w:sz="0" w:space="0" w:color="auto"/>
        <w:bottom w:val="none" w:sz="0" w:space="0" w:color="auto"/>
        <w:right w:val="none" w:sz="0" w:space="0" w:color="auto"/>
      </w:divBdr>
    </w:div>
    <w:div w:id="1605069259">
      <w:bodyDiv w:val="1"/>
      <w:marLeft w:val="0"/>
      <w:marRight w:val="0"/>
      <w:marTop w:val="0"/>
      <w:marBottom w:val="0"/>
      <w:divBdr>
        <w:top w:val="none" w:sz="0" w:space="0" w:color="auto"/>
        <w:left w:val="none" w:sz="0" w:space="0" w:color="auto"/>
        <w:bottom w:val="none" w:sz="0" w:space="0" w:color="auto"/>
        <w:right w:val="none" w:sz="0" w:space="0" w:color="auto"/>
      </w:divBdr>
    </w:div>
    <w:div w:id="1628511960">
      <w:bodyDiv w:val="1"/>
      <w:marLeft w:val="0"/>
      <w:marRight w:val="0"/>
      <w:marTop w:val="0"/>
      <w:marBottom w:val="0"/>
      <w:divBdr>
        <w:top w:val="none" w:sz="0" w:space="0" w:color="auto"/>
        <w:left w:val="none" w:sz="0" w:space="0" w:color="auto"/>
        <w:bottom w:val="none" w:sz="0" w:space="0" w:color="auto"/>
        <w:right w:val="none" w:sz="0" w:space="0" w:color="auto"/>
      </w:divBdr>
    </w:div>
    <w:div w:id="1641232405">
      <w:bodyDiv w:val="1"/>
      <w:marLeft w:val="0"/>
      <w:marRight w:val="0"/>
      <w:marTop w:val="0"/>
      <w:marBottom w:val="0"/>
      <w:divBdr>
        <w:top w:val="none" w:sz="0" w:space="0" w:color="auto"/>
        <w:left w:val="none" w:sz="0" w:space="0" w:color="auto"/>
        <w:bottom w:val="none" w:sz="0" w:space="0" w:color="auto"/>
        <w:right w:val="none" w:sz="0" w:space="0" w:color="auto"/>
      </w:divBdr>
    </w:div>
    <w:div w:id="1666666153">
      <w:bodyDiv w:val="1"/>
      <w:marLeft w:val="0"/>
      <w:marRight w:val="0"/>
      <w:marTop w:val="0"/>
      <w:marBottom w:val="0"/>
      <w:divBdr>
        <w:top w:val="none" w:sz="0" w:space="0" w:color="auto"/>
        <w:left w:val="none" w:sz="0" w:space="0" w:color="auto"/>
        <w:bottom w:val="none" w:sz="0" w:space="0" w:color="auto"/>
        <w:right w:val="none" w:sz="0" w:space="0" w:color="auto"/>
      </w:divBdr>
    </w:div>
    <w:div w:id="1666979126">
      <w:bodyDiv w:val="1"/>
      <w:marLeft w:val="0"/>
      <w:marRight w:val="0"/>
      <w:marTop w:val="0"/>
      <w:marBottom w:val="0"/>
      <w:divBdr>
        <w:top w:val="none" w:sz="0" w:space="0" w:color="auto"/>
        <w:left w:val="none" w:sz="0" w:space="0" w:color="auto"/>
        <w:bottom w:val="none" w:sz="0" w:space="0" w:color="auto"/>
        <w:right w:val="none" w:sz="0" w:space="0" w:color="auto"/>
      </w:divBdr>
    </w:div>
    <w:div w:id="1676417470">
      <w:bodyDiv w:val="1"/>
      <w:marLeft w:val="0"/>
      <w:marRight w:val="0"/>
      <w:marTop w:val="0"/>
      <w:marBottom w:val="0"/>
      <w:divBdr>
        <w:top w:val="none" w:sz="0" w:space="0" w:color="auto"/>
        <w:left w:val="none" w:sz="0" w:space="0" w:color="auto"/>
        <w:bottom w:val="none" w:sz="0" w:space="0" w:color="auto"/>
        <w:right w:val="none" w:sz="0" w:space="0" w:color="auto"/>
      </w:divBdr>
    </w:div>
    <w:div w:id="1689286572">
      <w:bodyDiv w:val="1"/>
      <w:marLeft w:val="0"/>
      <w:marRight w:val="0"/>
      <w:marTop w:val="0"/>
      <w:marBottom w:val="0"/>
      <w:divBdr>
        <w:top w:val="none" w:sz="0" w:space="0" w:color="auto"/>
        <w:left w:val="none" w:sz="0" w:space="0" w:color="auto"/>
        <w:bottom w:val="none" w:sz="0" w:space="0" w:color="auto"/>
        <w:right w:val="none" w:sz="0" w:space="0" w:color="auto"/>
      </w:divBdr>
    </w:div>
    <w:div w:id="1693872957">
      <w:bodyDiv w:val="1"/>
      <w:marLeft w:val="0"/>
      <w:marRight w:val="0"/>
      <w:marTop w:val="0"/>
      <w:marBottom w:val="0"/>
      <w:divBdr>
        <w:top w:val="none" w:sz="0" w:space="0" w:color="auto"/>
        <w:left w:val="none" w:sz="0" w:space="0" w:color="auto"/>
        <w:bottom w:val="none" w:sz="0" w:space="0" w:color="auto"/>
        <w:right w:val="none" w:sz="0" w:space="0" w:color="auto"/>
      </w:divBdr>
    </w:div>
    <w:div w:id="1705712613">
      <w:bodyDiv w:val="1"/>
      <w:marLeft w:val="0"/>
      <w:marRight w:val="0"/>
      <w:marTop w:val="0"/>
      <w:marBottom w:val="0"/>
      <w:divBdr>
        <w:top w:val="none" w:sz="0" w:space="0" w:color="auto"/>
        <w:left w:val="none" w:sz="0" w:space="0" w:color="auto"/>
        <w:bottom w:val="none" w:sz="0" w:space="0" w:color="auto"/>
        <w:right w:val="none" w:sz="0" w:space="0" w:color="auto"/>
      </w:divBdr>
      <w:divsChild>
        <w:div w:id="561214638">
          <w:marLeft w:val="0"/>
          <w:marRight w:val="0"/>
          <w:marTop w:val="0"/>
          <w:marBottom w:val="0"/>
          <w:divBdr>
            <w:top w:val="none" w:sz="0" w:space="0" w:color="auto"/>
            <w:left w:val="none" w:sz="0" w:space="0" w:color="auto"/>
            <w:bottom w:val="none" w:sz="0" w:space="0" w:color="auto"/>
            <w:right w:val="none" w:sz="0" w:space="0" w:color="auto"/>
          </w:divBdr>
          <w:divsChild>
            <w:div w:id="197283386">
              <w:marLeft w:val="0"/>
              <w:marRight w:val="0"/>
              <w:marTop w:val="0"/>
              <w:marBottom w:val="0"/>
              <w:divBdr>
                <w:top w:val="none" w:sz="0" w:space="0" w:color="auto"/>
                <w:left w:val="none" w:sz="0" w:space="0" w:color="auto"/>
                <w:bottom w:val="none" w:sz="0" w:space="0" w:color="auto"/>
                <w:right w:val="none" w:sz="0" w:space="0" w:color="auto"/>
              </w:divBdr>
              <w:divsChild>
                <w:div w:id="1915628984">
                  <w:marLeft w:val="0"/>
                  <w:marRight w:val="0"/>
                  <w:marTop w:val="0"/>
                  <w:marBottom w:val="0"/>
                  <w:divBdr>
                    <w:top w:val="none" w:sz="0" w:space="0" w:color="auto"/>
                    <w:left w:val="none" w:sz="0" w:space="0" w:color="auto"/>
                    <w:bottom w:val="none" w:sz="0" w:space="0" w:color="auto"/>
                    <w:right w:val="none" w:sz="0" w:space="0" w:color="auto"/>
                  </w:divBdr>
                  <w:divsChild>
                    <w:div w:id="949313022">
                      <w:marLeft w:val="0"/>
                      <w:marRight w:val="0"/>
                      <w:marTop w:val="0"/>
                      <w:marBottom w:val="0"/>
                      <w:divBdr>
                        <w:top w:val="none" w:sz="0" w:space="0" w:color="auto"/>
                        <w:left w:val="none" w:sz="0" w:space="0" w:color="auto"/>
                        <w:bottom w:val="none" w:sz="0" w:space="0" w:color="auto"/>
                        <w:right w:val="none" w:sz="0" w:space="0" w:color="auto"/>
                      </w:divBdr>
                      <w:divsChild>
                        <w:div w:id="271323262">
                          <w:marLeft w:val="0"/>
                          <w:marRight w:val="0"/>
                          <w:marTop w:val="0"/>
                          <w:marBottom w:val="0"/>
                          <w:divBdr>
                            <w:top w:val="none" w:sz="0" w:space="0" w:color="auto"/>
                            <w:left w:val="none" w:sz="0" w:space="0" w:color="auto"/>
                            <w:bottom w:val="none" w:sz="0" w:space="0" w:color="auto"/>
                            <w:right w:val="none" w:sz="0" w:space="0" w:color="auto"/>
                          </w:divBdr>
                          <w:divsChild>
                            <w:div w:id="2129733211">
                              <w:marLeft w:val="0"/>
                              <w:marRight w:val="0"/>
                              <w:marTop w:val="0"/>
                              <w:marBottom w:val="0"/>
                              <w:divBdr>
                                <w:top w:val="none" w:sz="0" w:space="0" w:color="auto"/>
                                <w:left w:val="none" w:sz="0" w:space="0" w:color="auto"/>
                                <w:bottom w:val="none" w:sz="0" w:space="0" w:color="auto"/>
                                <w:right w:val="none" w:sz="0" w:space="0" w:color="auto"/>
                              </w:divBdr>
                              <w:divsChild>
                                <w:div w:id="1970546450">
                                  <w:marLeft w:val="0"/>
                                  <w:marRight w:val="0"/>
                                  <w:marTop w:val="0"/>
                                  <w:marBottom w:val="0"/>
                                  <w:divBdr>
                                    <w:top w:val="none" w:sz="0" w:space="0" w:color="auto"/>
                                    <w:left w:val="none" w:sz="0" w:space="0" w:color="auto"/>
                                    <w:bottom w:val="none" w:sz="0" w:space="0" w:color="auto"/>
                                    <w:right w:val="none" w:sz="0" w:space="0" w:color="auto"/>
                                  </w:divBdr>
                                  <w:divsChild>
                                    <w:div w:id="660040414">
                                      <w:marLeft w:val="0"/>
                                      <w:marRight w:val="0"/>
                                      <w:marTop w:val="0"/>
                                      <w:marBottom w:val="0"/>
                                      <w:divBdr>
                                        <w:top w:val="none" w:sz="0" w:space="0" w:color="auto"/>
                                        <w:left w:val="none" w:sz="0" w:space="0" w:color="auto"/>
                                        <w:bottom w:val="none" w:sz="0" w:space="0" w:color="auto"/>
                                        <w:right w:val="none" w:sz="0" w:space="0" w:color="auto"/>
                                      </w:divBdr>
                                      <w:divsChild>
                                        <w:div w:id="1457522362">
                                          <w:marLeft w:val="0"/>
                                          <w:marRight w:val="0"/>
                                          <w:marTop w:val="0"/>
                                          <w:marBottom w:val="0"/>
                                          <w:divBdr>
                                            <w:top w:val="none" w:sz="0" w:space="0" w:color="auto"/>
                                            <w:left w:val="none" w:sz="0" w:space="0" w:color="auto"/>
                                            <w:bottom w:val="none" w:sz="0" w:space="0" w:color="auto"/>
                                            <w:right w:val="none" w:sz="0" w:space="0" w:color="auto"/>
                                          </w:divBdr>
                                          <w:divsChild>
                                            <w:div w:id="2117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683068">
      <w:bodyDiv w:val="1"/>
      <w:marLeft w:val="0"/>
      <w:marRight w:val="0"/>
      <w:marTop w:val="0"/>
      <w:marBottom w:val="0"/>
      <w:divBdr>
        <w:top w:val="none" w:sz="0" w:space="0" w:color="auto"/>
        <w:left w:val="none" w:sz="0" w:space="0" w:color="auto"/>
        <w:bottom w:val="none" w:sz="0" w:space="0" w:color="auto"/>
        <w:right w:val="none" w:sz="0" w:space="0" w:color="auto"/>
      </w:divBdr>
    </w:div>
    <w:div w:id="1715424259">
      <w:bodyDiv w:val="1"/>
      <w:marLeft w:val="0"/>
      <w:marRight w:val="0"/>
      <w:marTop w:val="0"/>
      <w:marBottom w:val="0"/>
      <w:divBdr>
        <w:top w:val="none" w:sz="0" w:space="0" w:color="auto"/>
        <w:left w:val="none" w:sz="0" w:space="0" w:color="auto"/>
        <w:bottom w:val="none" w:sz="0" w:space="0" w:color="auto"/>
        <w:right w:val="none" w:sz="0" w:space="0" w:color="auto"/>
      </w:divBdr>
    </w:div>
    <w:div w:id="1722561300">
      <w:bodyDiv w:val="1"/>
      <w:marLeft w:val="0"/>
      <w:marRight w:val="0"/>
      <w:marTop w:val="0"/>
      <w:marBottom w:val="0"/>
      <w:divBdr>
        <w:top w:val="none" w:sz="0" w:space="0" w:color="auto"/>
        <w:left w:val="none" w:sz="0" w:space="0" w:color="auto"/>
        <w:bottom w:val="none" w:sz="0" w:space="0" w:color="auto"/>
        <w:right w:val="none" w:sz="0" w:space="0" w:color="auto"/>
      </w:divBdr>
    </w:div>
    <w:div w:id="1731616389">
      <w:bodyDiv w:val="1"/>
      <w:marLeft w:val="0"/>
      <w:marRight w:val="0"/>
      <w:marTop w:val="0"/>
      <w:marBottom w:val="0"/>
      <w:divBdr>
        <w:top w:val="none" w:sz="0" w:space="0" w:color="auto"/>
        <w:left w:val="none" w:sz="0" w:space="0" w:color="auto"/>
        <w:bottom w:val="none" w:sz="0" w:space="0" w:color="auto"/>
        <w:right w:val="none" w:sz="0" w:space="0" w:color="auto"/>
      </w:divBdr>
    </w:div>
    <w:div w:id="1731688828">
      <w:bodyDiv w:val="1"/>
      <w:marLeft w:val="0"/>
      <w:marRight w:val="0"/>
      <w:marTop w:val="0"/>
      <w:marBottom w:val="0"/>
      <w:divBdr>
        <w:top w:val="none" w:sz="0" w:space="0" w:color="auto"/>
        <w:left w:val="none" w:sz="0" w:space="0" w:color="auto"/>
        <w:bottom w:val="none" w:sz="0" w:space="0" w:color="auto"/>
        <w:right w:val="none" w:sz="0" w:space="0" w:color="auto"/>
      </w:divBdr>
    </w:div>
    <w:div w:id="1735395427">
      <w:bodyDiv w:val="1"/>
      <w:marLeft w:val="0"/>
      <w:marRight w:val="0"/>
      <w:marTop w:val="0"/>
      <w:marBottom w:val="0"/>
      <w:divBdr>
        <w:top w:val="none" w:sz="0" w:space="0" w:color="auto"/>
        <w:left w:val="none" w:sz="0" w:space="0" w:color="auto"/>
        <w:bottom w:val="none" w:sz="0" w:space="0" w:color="auto"/>
        <w:right w:val="none" w:sz="0" w:space="0" w:color="auto"/>
      </w:divBdr>
    </w:div>
    <w:div w:id="1741712457">
      <w:bodyDiv w:val="1"/>
      <w:marLeft w:val="0"/>
      <w:marRight w:val="0"/>
      <w:marTop w:val="0"/>
      <w:marBottom w:val="0"/>
      <w:divBdr>
        <w:top w:val="none" w:sz="0" w:space="0" w:color="auto"/>
        <w:left w:val="none" w:sz="0" w:space="0" w:color="auto"/>
        <w:bottom w:val="none" w:sz="0" w:space="0" w:color="auto"/>
        <w:right w:val="none" w:sz="0" w:space="0" w:color="auto"/>
      </w:divBdr>
    </w:div>
    <w:div w:id="1753812118">
      <w:bodyDiv w:val="1"/>
      <w:marLeft w:val="0"/>
      <w:marRight w:val="0"/>
      <w:marTop w:val="0"/>
      <w:marBottom w:val="0"/>
      <w:divBdr>
        <w:top w:val="none" w:sz="0" w:space="0" w:color="auto"/>
        <w:left w:val="none" w:sz="0" w:space="0" w:color="auto"/>
        <w:bottom w:val="none" w:sz="0" w:space="0" w:color="auto"/>
        <w:right w:val="none" w:sz="0" w:space="0" w:color="auto"/>
      </w:divBdr>
    </w:div>
    <w:div w:id="1754352012">
      <w:bodyDiv w:val="1"/>
      <w:marLeft w:val="0"/>
      <w:marRight w:val="0"/>
      <w:marTop w:val="0"/>
      <w:marBottom w:val="0"/>
      <w:divBdr>
        <w:top w:val="none" w:sz="0" w:space="0" w:color="auto"/>
        <w:left w:val="none" w:sz="0" w:space="0" w:color="auto"/>
        <w:bottom w:val="none" w:sz="0" w:space="0" w:color="auto"/>
        <w:right w:val="none" w:sz="0" w:space="0" w:color="auto"/>
      </w:divBdr>
    </w:div>
    <w:div w:id="1780836937">
      <w:bodyDiv w:val="1"/>
      <w:marLeft w:val="0"/>
      <w:marRight w:val="0"/>
      <w:marTop w:val="0"/>
      <w:marBottom w:val="0"/>
      <w:divBdr>
        <w:top w:val="none" w:sz="0" w:space="0" w:color="auto"/>
        <w:left w:val="none" w:sz="0" w:space="0" w:color="auto"/>
        <w:bottom w:val="none" w:sz="0" w:space="0" w:color="auto"/>
        <w:right w:val="none" w:sz="0" w:space="0" w:color="auto"/>
      </w:divBdr>
    </w:div>
    <w:div w:id="1789275532">
      <w:bodyDiv w:val="1"/>
      <w:marLeft w:val="0"/>
      <w:marRight w:val="0"/>
      <w:marTop w:val="0"/>
      <w:marBottom w:val="0"/>
      <w:divBdr>
        <w:top w:val="none" w:sz="0" w:space="0" w:color="auto"/>
        <w:left w:val="none" w:sz="0" w:space="0" w:color="auto"/>
        <w:bottom w:val="none" w:sz="0" w:space="0" w:color="auto"/>
        <w:right w:val="none" w:sz="0" w:space="0" w:color="auto"/>
      </w:divBdr>
    </w:div>
    <w:div w:id="1801724725">
      <w:bodyDiv w:val="1"/>
      <w:marLeft w:val="0"/>
      <w:marRight w:val="0"/>
      <w:marTop w:val="0"/>
      <w:marBottom w:val="0"/>
      <w:divBdr>
        <w:top w:val="none" w:sz="0" w:space="0" w:color="auto"/>
        <w:left w:val="none" w:sz="0" w:space="0" w:color="auto"/>
        <w:bottom w:val="none" w:sz="0" w:space="0" w:color="auto"/>
        <w:right w:val="none" w:sz="0" w:space="0" w:color="auto"/>
      </w:divBdr>
    </w:div>
    <w:div w:id="1804619018">
      <w:bodyDiv w:val="1"/>
      <w:marLeft w:val="0"/>
      <w:marRight w:val="0"/>
      <w:marTop w:val="0"/>
      <w:marBottom w:val="0"/>
      <w:divBdr>
        <w:top w:val="none" w:sz="0" w:space="0" w:color="auto"/>
        <w:left w:val="none" w:sz="0" w:space="0" w:color="auto"/>
        <w:bottom w:val="none" w:sz="0" w:space="0" w:color="auto"/>
        <w:right w:val="none" w:sz="0" w:space="0" w:color="auto"/>
      </w:divBdr>
    </w:div>
    <w:div w:id="1831553523">
      <w:bodyDiv w:val="1"/>
      <w:marLeft w:val="0"/>
      <w:marRight w:val="0"/>
      <w:marTop w:val="0"/>
      <w:marBottom w:val="0"/>
      <w:divBdr>
        <w:top w:val="none" w:sz="0" w:space="0" w:color="auto"/>
        <w:left w:val="none" w:sz="0" w:space="0" w:color="auto"/>
        <w:bottom w:val="none" w:sz="0" w:space="0" w:color="auto"/>
        <w:right w:val="none" w:sz="0" w:space="0" w:color="auto"/>
      </w:divBdr>
    </w:div>
    <w:div w:id="1854420313">
      <w:bodyDiv w:val="1"/>
      <w:marLeft w:val="0"/>
      <w:marRight w:val="0"/>
      <w:marTop w:val="0"/>
      <w:marBottom w:val="0"/>
      <w:divBdr>
        <w:top w:val="none" w:sz="0" w:space="0" w:color="auto"/>
        <w:left w:val="none" w:sz="0" w:space="0" w:color="auto"/>
        <w:bottom w:val="none" w:sz="0" w:space="0" w:color="auto"/>
        <w:right w:val="none" w:sz="0" w:space="0" w:color="auto"/>
      </w:divBdr>
    </w:div>
    <w:div w:id="1860193392">
      <w:bodyDiv w:val="1"/>
      <w:marLeft w:val="0"/>
      <w:marRight w:val="0"/>
      <w:marTop w:val="0"/>
      <w:marBottom w:val="0"/>
      <w:divBdr>
        <w:top w:val="none" w:sz="0" w:space="0" w:color="auto"/>
        <w:left w:val="none" w:sz="0" w:space="0" w:color="auto"/>
        <w:bottom w:val="none" w:sz="0" w:space="0" w:color="auto"/>
        <w:right w:val="none" w:sz="0" w:space="0" w:color="auto"/>
      </w:divBdr>
    </w:div>
    <w:div w:id="1861580891">
      <w:bodyDiv w:val="1"/>
      <w:marLeft w:val="0"/>
      <w:marRight w:val="0"/>
      <w:marTop w:val="0"/>
      <w:marBottom w:val="0"/>
      <w:divBdr>
        <w:top w:val="none" w:sz="0" w:space="0" w:color="auto"/>
        <w:left w:val="none" w:sz="0" w:space="0" w:color="auto"/>
        <w:bottom w:val="none" w:sz="0" w:space="0" w:color="auto"/>
        <w:right w:val="none" w:sz="0" w:space="0" w:color="auto"/>
      </w:divBdr>
    </w:div>
    <w:div w:id="1882814407">
      <w:bodyDiv w:val="1"/>
      <w:marLeft w:val="0"/>
      <w:marRight w:val="0"/>
      <w:marTop w:val="0"/>
      <w:marBottom w:val="0"/>
      <w:divBdr>
        <w:top w:val="none" w:sz="0" w:space="0" w:color="auto"/>
        <w:left w:val="none" w:sz="0" w:space="0" w:color="auto"/>
        <w:bottom w:val="none" w:sz="0" w:space="0" w:color="auto"/>
        <w:right w:val="none" w:sz="0" w:space="0" w:color="auto"/>
      </w:divBdr>
    </w:div>
    <w:div w:id="1888182311">
      <w:bodyDiv w:val="1"/>
      <w:marLeft w:val="0"/>
      <w:marRight w:val="0"/>
      <w:marTop w:val="0"/>
      <w:marBottom w:val="0"/>
      <w:divBdr>
        <w:top w:val="none" w:sz="0" w:space="0" w:color="auto"/>
        <w:left w:val="none" w:sz="0" w:space="0" w:color="auto"/>
        <w:bottom w:val="none" w:sz="0" w:space="0" w:color="auto"/>
        <w:right w:val="none" w:sz="0" w:space="0" w:color="auto"/>
      </w:divBdr>
    </w:div>
    <w:div w:id="1903372424">
      <w:bodyDiv w:val="1"/>
      <w:marLeft w:val="0"/>
      <w:marRight w:val="0"/>
      <w:marTop w:val="0"/>
      <w:marBottom w:val="0"/>
      <w:divBdr>
        <w:top w:val="none" w:sz="0" w:space="0" w:color="auto"/>
        <w:left w:val="none" w:sz="0" w:space="0" w:color="auto"/>
        <w:bottom w:val="none" w:sz="0" w:space="0" w:color="auto"/>
        <w:right w:val="none" w:sz="0" w:space="0" w:color="auto"/>
      </w:divBdr>
    </w:div>
    <w:div w:id="1915361110">
      <w:bodyDiv w:val="1"/>
      <w:marLeft w:val="0"/>
      <w:marRight w:val="0"/>
      <w:marTop w:val="0"/>
      <w:marBottom w:val="0"/>
      <w:divBdr>
        <w:top w:val="none" w:sz="0" w:space="0" w:color="auto"/>
        <w:left w:val="none" w:sz="0" w:space="0" w:color="auto"/>
        <w:bottom w:val="none" w:sz="0" w:space="0" w:color="auto"/>
        <w:right w:val="none" w:sz="0" w:space="0" w:color="auto"/>
      </w:divBdr>
    </w:div>
    <w:div w:id="1915969585">
      <w:bodyDiv w:val="1"/>
      <w:marLeft w:val="0"/>
      <w:marRight w:val="0"/>
      <w:marTop w:val="0"/>
      <w:marBottom w:val="0"/>
      <w:divBdr>
        <w:top w:val="none" w:sz="0" w:space="0" w:color="auto"/>
        <w:left w:val="none" w:sz="0" w:space="0" w:color="auto"/>
        <w:bottom w:val="none" w:sz="0" w:space="0" w:color="auto"/>
        <w:right w:val="none" w:sz="0" w:space="0" w:color="auto"/>
      </w:divBdr>
    </w:div>
    <w:div w:id="1923831100">
      <w:bodyDiv w:val="1"/>
      <w:marLeft w:val="0"/>
      <w:marRight w:val="0"/>
      <w:marTop w:val="0"/>
      <w:marBottom w:val="0"/>
      <w:divBdr>
        <w:top w:val="none" w:sz="0" w:space="0" w:color="auto"/>
        <w:left w:val="none" w:sz="0" w:space="0" w:color="auto"/>
        <w:bottom w:val="none" w:sz="0" w:space="0" w:color="auto"/>
        <w:right w:val="none" w:sz="0" w:space="0" w:color="auto"/>
      </w:divBdr>
    </w:div>
    <w:div w:id="1955483461">
      <w:bodyDiv w:val="1"/>
      <w:marLeft w:val="0"/>
      <w:marRight w:val="0"/>
      <w:marTop w:val="0"/>
      <w:marBottom w:val="0"/>
      <w:divBdr>
        <w:top w:val="none" w:sz="0" w:space="0" w:color="auto"/>
        <w:left w:val="none" w:sz="0" w:space="0" w:color="auto"/>
        <w:bottom w:val="none" w:sz="0" w:space="0" w:color="auto"/>
        <w:right w:val="none" w:sz="0" w:space="0" w:color="auto"/>
      </w:divBdr>
    </w:div>
    <w:div w:id="1983583243">
      <w:bodyDiv w:val="1"/>
      <w:marLeft w:val="0"/>
      <w:marRight w:val="0"/>
      <w:marTop w:val="0"/>
      <w:marBottom w:val="0"/>
      <w:divBdr>
        <w:top w:val="none" w:sz="0" w:space="0" w:color="auto"/>
        <w:left w:val="none" w:sz="0" w:space="0" w:color="auto"/>
        <w:bottom w:val="none" w:sz="0" w:space="0" w:color="auto"/>
        <w:right w:val="none" w:sz="0" w:space="0" w:color="auto"/>
      </w:divBdr>
    </w:div>
    <w:div w:id="1986348540">
      <w:bodyDiv w:val="1"/>
      <w:marLeft w:val="0"/>
      <w:marRight w:val="0"/>
      <w:marTop w:val="0"/>
      <w:marBottom w:val="0"/>
      <w:divBdr>
        <w:top w:val="none" w:sz="0" w:space="0" w:color="auto"/>
        <w:left w:val="none" w:sz="0" w:space="0" w:color="auto"/>
        <w:bottom w:val="none" w:sz="0" w:space="0" w:color="auto"/>
        <w:right w:val="none" w:sz="0" w:space="0" w:color="auto"/>
      </w:divBdr>
    </w:div>
    <w:div w:id="1990673315">
      <w:bodyDiv w:val="1"/>
      <w:marLeft w:val="0"/>
      <w:marRight w:val="0"/>
      <w:marTop w:val="0"/>
      <w:marBottom w:val="0"/>
      <w:divBdr>
        <w:top w:val="none" w:sz="0" w:space="0" w:color="auto"/>
        <w:left w:val="none" w:sz="0" w:space="0" w:color="auto"/>
        <w:bottom w:val="none" w:sz="0" w:space="0" w:color="auto"/>
        <w:right w:val="none" w:sz="0" w:space="0" w:color="auto"/>
      </w:divBdr>
    </w:div>
    <w:div w:id="2003661456">
      <w:bodyDiv w:val="1"/>
      <w:marLeft w:val="0"/>
      <w:marRight w:val="0"/>
      <w:marTop w:val="0"/>
      <w:marBottom w:val="0"/>
      <w:divBdr>
        <w:top w:val="none" w:sz="0" w:space="0" w:color="auto"/>
        <w:left w:val="none" w:sz="0" w:space="0" w:color="auto"/>
        <w:bottom w:val="none" w:sz="0" w:space="0" w:color="auto"/>
        <w:right w:val="none" w:sz="0" w:space="0" w:color="auto"/>
      </w:divBdr>
    </w:div>
    <w:div w:id="2013876703">
      <w:bodyDiv w:val="1"/>
      <w:marLeft w:val="0"/>
      <w:marRight w:val="0"/>
      <w:marTop w:val="0"/>
      <w:marBottom w:val="0"/>
      <w:divBdr>
        <w:top w:val="none" w:sz="0" w:space="0" w:color="auto"/>
        <w:left w:val="none" w:sz="0" w:space="0" w:color="auto"/>
        <w:bottom w:val="none" w:sz="0" w:space="0" w:color="auto"/>
        <w:right w:val="none" w:sz="0" w:space="0" w:color="auto"/>
      </w:divBdr>
    </w:div>
    <w:div w:id="2018118495">
      <w:bodyDiv w:val="1"/>
      <w:marLeft w:val="0"/>
      <w:marRight w:val="0"/>
      <w:marTop w:val="0"/>
      <w:marBottom w:val="0"/>
      <w:divBdr>
        <w:top w:val="none" w:sz="0" w:space="0" w:color="auto"/>
        <w:left w:val="none" w:sz="0" w:space="0" w:color="auto"/>
        <w:bottom w:val="none" w:sz="0" w:space="0" w:color="auto"/>
        <w:right w:val="none" w:sz="0" w:space="0" w:color="auto"/>
      </w:divBdr>
    </w:div>
    <w:div w:id="2023429564">
      <w:bodyDiv w:val="1"/>
      <w:marLeft w:val="0"/>
      <w:marRight w:val="0"/>
      <w:marTop w:val="0"/>
      <w:marBottom w:val="0"/>
      <w:divBdr>
        <w:top w:val="none" w:sz="0" w:space="0" w:color="auto"/>
        <w:left w:val="none" w:sz="0" w:space="0" w:color="auto"/>
        <w:bottom w:val="none" w:sz="0" w:space="0" w:color="auto"/>
        <w:right w:val="none" w:sz="0" w:space="0" w:color="auto"/>
      </w:divBdr>
    </w:div>
    <w:div w:id="2027053037">
      <w:bodyDiv w:val="1"/>
      <w:marLeft w:val="0"/>
      <w:marRight w:val="0"/>
      <w:marTop w:val="0"/>
      <w:marBottom w:val="0"/>
      <w:divBdr>
        <w:top w:val="none" w:sz="0" w:space="0" w:color="auto"/>
        <w:left w:val="none" w:sz="0" w:space="0" w:color="auto"/>
        <w:bottom w:val="none" w:sz="0" w:space="0" w:color="auto"/>
        <w:right w:val="none" w:sz="0" w:space="0" w:color="auto"/>
      </w:divBdr>
    </w:div>
    <w:div w:id="2031057791">
      <w:bodyDiv w:val="1"/>
      <w:marLeft w:val="0"/>
      <w:marRight w:val="0"/>
      <w:marTop w:val="0"/>
      <w:marBottom w:val="0"/>
      <w:divBdr>
        <w:top w:val="none" w:sz="0" w:space="0" w:color="auto"/>
        <w:left w:val="none" w:sz="0" w:space="0" w:color="auto"/>
        <w:bottom w:val="none" w:sz="0" w:space="0" w:color="auto"/>
        <w:right w:val="none" w:sz="0" w:space="0" w:color="auto"/>
      </w:divBdr>
    </w:div>
    <w:div w:id="2032023006">
      <w:bodyDiv w:val="1"/>
      <w:marLeft w:val="0"/>
      <w:marRight w:val="0"/>
      <w:marTop w:val="0"/>
      <w:marBottom w:val="0"/>
      <w:divBdr>
        <w:top w:val="none" w:sz="0" w:space="0" w:color="auto"/>
        <w:left w:val="none" w:sz="0" w:space="0" w:color="auto"/>
        <w:bottom w:val="none" w:sz="0" w:space="0" w:color="auto"/>
        <w:right w:val="none" w:sz="0" w:space="0" w:color="auto"/>
      </w:divBdr>
    </w:div>
    <w:div w:id="2041516351">
      <w:bodyDiv w:val="1"/>
      <w:marLeft w:val="0"/>
      <w:marRight w:val="0"/>
      <w:marTop w:val="0"/>
      <w:marBottom w:val="0"/>
      <w:divBdr>
        <w:top w:val="none" w:sz="0" w:space="0" w:color="auto"/>
        <w:left w:val="none" w:sz="0" w:space="0" w:color="auto"/>
        <w:bottom w:val="none" w:sz="0" w:space="0" w:color="auto"/>
        <w:right w:val="none" w:sz="0" w:space="0" w:color="auto"/>
      </w:divBdr>
    </w:div>
    <w:div w:id="2125070544">
      <w:bodyDiv w:val="1"/>
      <w:marLeft w:val="0"/>
      <w:marRight w:val="0"/>
      <w:marTop w:val="0"/>
      <w:marBottom w:val="0"/>
      <w:divBdr>
        <w:top w:val="none" w:sz="0" w:space="0" w:color="auto"/>
        <w:left w:val="none" w:sz="0" w:space="0" w:color="auto"/>
        <w:bottom w:val="none" w:sz="0" w:space="0" w:color="auto"/>
        <w:right w:val="none" w:sz="0" w:space="0" w:color="auto"/>
      </w:divBdr>
    </w:div>
    <w:div w:id="2125154810">
      <w:bodyDiv w:val="1"/>
      <w:marLeft w:val="0"/>
      <w:marRight w:val="0"/>
      <w:marTop w:val="0"/>
      <w:marBottom w:val="0"/>
      <w:divBdr>
        <w:top w:val="none" w:sz="0" w:space="0" w:color="auto"/>
        <w:left w:val="none" w:sz="0" w:space="0" w:color="auto"/>
        <w:bottom w:val="none" w:sz="0" w:space="0" w:color="auto"/>
        <w:right w:val="none" w:sz="0" w:space="0" w:color="auto"/>
      </w:divBdr>
    </w:div>
    <w:div w:id="2136095637">
      <w:bodyDiv w:val="1"/>
      <w:marLeft w:val="0"/>
      <w:marRight w:val="0"/>
      <w:marTop w:val="0"/>
      <w:marBottom w:val="0"/>
      <w:divBdr>
        <w:top w:val="none" w:sz="0" w:space="0" w:color="auto"/>
        <w:left w:val="none" w:sz="0" w:space="0" w:color="auto"/>
        <w:bottom w:val="none" w:sz="0" w:space="0" w:color="auto"/>
        <w:right w:val="none" w:sz="0" w:space="0" w:color="auto"/>
      </w:divBdr>
    </w:div>
    <w:div w:id="2139912559">
      <w:bodyDiv w:val="1"/>
      <w:marLeft w:val="0"/>
      <w:marRight w:val="0"/>
      <w:marTop w:val="0"/>
      <w:marBottom w:val="0"/>
      <w:divBdr>
        <w:top w:val="none" w:sz="0" w:space="0" w:color="auto"/>
        <w:left w:val="none" w:sz="0" w:space="0" w:color="auto"/>
        <w:bottom w:val="none" w:sz="0" w:space="0" w:color="auto"/>
        <w:right w:val="none" w:sz="0" w:space="0" w:color="auto"/>
      </w:divBdr>
    </w:div>
    <w:div w:id="214515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63.xml"/><Relationship Id="rId21" Type="http://schemas.openxmlformats.org/officeDocument/2006/relationships/footer" Target="footer4.xml"/><Relationship Id="rId42" Type="http://schemas.openxmlformats.org/officeDocument/2006/relationships/chart" Target="charts/chart12.xml"/><Relationship Id="rId63" Type="http://schemas.openxmlformats.org/officeDocument/2006/relationships/chart" Target="charts/chart27.xml"/><Relationship Id="rId84" Type="http://schemas.openxmlformats.org/officeDocument/2006/relationships/chart" Target="charts/chart42.xml"/><Relationship Id="rId138" Type="http://schemas.openxmlformats.org/officeDocument/2006/relationships/header" Target="header26.xml"/><Relationship Id="rId159" Type="http://schemas.openxmlformats.org/officeDocument/2006/relationships/footer" Target="footer30.xml"/><Relationship Id="rId170" Type="http://schemas.openxmlformats.org/officeDocument/2006/relationships/chart" Target="charts/chart98.xml"/><Relationship Id="rId191" Type="http://schemas.openxmlformats.org/officeDocument/2006/relationships/footer" Target="footer34.xml"/><Relationship Id="rId205" Type="http://schemas.openxmlformats.org/officeDocument/2006/relationships/chart" Target="charts/chart120.xml"/><Relationship Id="rId226" Type="http://schemas.openxmlformats.org/officeDocument/2006/relationships/footer" Target="footer40.xml"/><Relationship Id="rId247" Type="http://schemas.openxmlformats.org/officeDocument/2006/relationships/header" Target="header45.xml"/><Relationship Id="rId107" Type="http://schemas.openxmlformats.org/officeDocument/2006/relationships/header" Target="header21.xml"/><Relationship Id="rId268" Type="http://schemas.openxmlformats.org/officeDocument/2006/relationships/chart" Target="charts/chart156.xml"/><Relationship Id="rId11" Type="http://schemas.openxmlformats.org/officeDocument/2006/relationships/endnotes" Target="endnotes.xml"/><Relationship Id="rId32" Type="http://schemas.openxmlformats.org/officeDocument/2006/relationships/chart" Target="charts/chart8.xml"/><Relationship Id="rId53" Type="http://schemas.openxmlformats.org/officeDocument/2006/relationships/header" Target="header10.xml"/><Relationship Id="rId74" Type="http://schemas.openxmlformats.org/officeDocument/2006/relationships/header" Target="header15.xml"/><Relationship Id="rId128" Type="http://schemas.openxmlformats.org/officeDocument/2006/relationships/chart" Target="charts/chart68.xml"/><Relationship Id="rId149" Type="http://schemas.openxmlformats.org/officeDocument/2006/relationships/chart" Target="charts/chart83.xml"/><Relationship Id="rId5" Type="http://schemas.openxmlformats.org/officeDocument/2006/relationships/numbering" Target="numbering.xml"/><Relationship Id="rId95" Type="http://schemas.openxmlformats.org/officeDocument/2006/relationships/chart" Target="charts/chart47.xml"/><Relationship Id="rId160" Type="http://schemas.openxmlformats.org/officeDocument/2006/relationships/chart" Target="charts/chart88.xml"/><Relationship Id="rId181" Type="http://schemas.openxmlformats.org/officeDocument/2006/relationships/chart" Target="charts/chart102.xml"/><Relationship Id="rId216" Type="http://schemas.openxmlformats.org/officeDocument/2006/relationships/chart" Target="charts/chart125.xml"/><Relationship Id="rId237" Type="http://schemas.openxmlformats.org/officeDocument/2006/relationships/chart" Target="charts/chart139.xml"/><Relationship Id="rId258" Type="http://schemas.openxmlformats.org/officeDocument/2006/relationships/chart" Target="charts/chart152.xml"/><Relationship Id="rId279" Type="http://schemas.openxmlformats.org/officeDocument/2006/relationships/footer" Target="footer49.xml"/><Relationship Id="rId22" Type="http://schemas.openxmlformats.org/officeDocument/2006/relationships/footer" Target="footer5.xml"/><Relationship Id="rId43" Type="http://schemas.openxmlformats.org/officeDocument/2006/relationships/chart" Target="charts/chart13.xml"/><Relationship Id="rId64" Type="http://schemas.openxmlformats.org/officeDocument/2006/relationships/chart" Target="charts/chart28.xml"/><Relationship Id="rId118" Type="http://schemas.openxmlformats.org/officeDocument/2006/relationships/chart" Target="charts/chart64.xml"/><Relationship Id="rId139" Type="http://schemas.openxmlformats.org/officeDocument/2006/relationships/footer" Target="footer25.xml"/><Relationship Id="rId85" Type="http://schemas.openxmlformats.org/officeDocument/2006/relationships/chart" Target="charts/chart43.xml"/><Relationship Id="rId150" Type="http://schemas.openxmlformats.org/officeDocument/2006/relationships/chart" Target="charts/chart84.xml"/><Relationship Id="rId171" Type="http://schemas.openxmlformats.org/officeDocument/2006/relationships/hyperlink" Target="https://ec.europa.eu/info/law/settlement-finality-directive-98-26-ec_en" TargetMode="External"/><Relationship Id="rId192" Type="http://schemas.openxmlformats.org/officeDocument/2006/relationships/footer" Target="footer35.xml"/><Relationship Id="rId206" Type="http://schemas.openxmlformats.org/officeDocument/2006/relationships/header" Target="header37.xml"/><Relationship Id="rId227" Type="http://schemas.openxmlformats.org/officeDocument/2006/relationships/footer" Target="footer41.xml"/><Relationship Id="rId248" Type="http://schemas.openxmlformats.org/officeDocument/2006/relationships/footer" Target="footer45.xml"/><Relationship Id="rId269" Type="http://schemas.openxmlformats.org/officeDocument/2006/relationships/chart" Target="charts/chart157.xml"/><Relationship Id="rId12" Type="http://schemas.openxmlformats.org/officeDocument/2006/relationships/image" Target="media/image1.emf"/><Relationship Id="rId33" Type="http://schemas.openxmlformats.org/officeDocument/2006/relationships/chart" Target="charts/chart9.xml"/><Relationship Id="rId108" Type="http://schemas.openxmlformats.org/officeDocument/2006/relationships/footer" Target="footer21.xml"/><Relationship Id="rId129" Type="http://schemas.openxmlformats.org/officeDocument/2006/relationships/chart" Target="charts/chart69.xml"/><Relationship Id="rId280" Type="http://schemas.openxmlformats.org/officeDocument/2006/relationships/footer" Target="footer50.xml"/><Relationship Id="rId54" Type="http://schemas.openxmlformats.org/officeDocument/2006/relationships/header" Target="header11.xml"/><Relationship Id="rId75" Type="http://schemas.openxmlformats.org/officeDocument/2006/relationships/footer" Target="footer15.xml"/><Relationship Id="rId96" Type="http://schemas.openxmlformats.org/officeDocument/2006/relationships/chart" Target="charts/chart48.xml"/><Relationship Id="rId140" Type="http://schemas.openxmlformats.org/officeDocument/2006/relationships/footer" Target="footer26.xml"/><Relationship Id="rId161" Type="http://schemas.openxmlformats.org/officeDocument/2006/relationships/chart" Target="charts/chart89.xml"/><Relationship Id="rId182" Type="http://schemas.openxmlformats.org/officeDocument/2006/relationships/chart" Target="charts/chart103.xml"/><Relationship Id="rId217" Type="http://schemas.openxmlformats.org/officeDocument/2006/relationships/chart" Target="charts/chart126.xml"/><Relationship Id="rId6" Type="http://schemas.openxmlformats.org/officeDocument/2006/relationships/styles" Target="styles.xml"/><Relationship Id="rId238" Type="http://schemas.openxmlformats.org/officeDocument/2006/relationships/chart" Target="charts/chart140.xml"/><Relationship Id="rId259" Type="http://schemas.openxmlformats.org/officeDocument/2006/relationships/chart" Target="charts/chart153.xml"/><Relationship Id="rId23" Type="http://schemas.openxmlformats.org/officeDocument/2006/relationships/header" Target="header6.xml"/><Relationship Id="rId119" Type="http://schemas.openxmlformats.org/officeDocument/2006/relationships/chart" Target="charts/chart65.xml"/><Relationship Id="rId270" Type="http://schemas.openxmlformats.org/officeDocument/2006/relationships/chart" Target="charts/chart158.xml"/><Relationship Id="rId44" Type="http://schemas.openxmlformats.org/officeDocument/2006/relationships/chart" Target="charts/chart14.xml"/><Relationship Id="rId65" Type="http://schemas.openxmlformats.org/officeDocument/2006/relationships/chart" Target="charts/chart29.xml"/><Relationship Id="rId86" Type="http://schemas.openxmlformats.org/officeDocument/2006/relationships/header" Target="header16.xml"/><Relationship Id="rId130" Type="http://schemas.openxmlformats.org/officeDocument/2006/relationships/chart" Target="charts/chart70.xml"/><Relationship Id="rId151" Type="http://schemas.openxmlformats.org/officeDocument/2006/relationships/chart" Target="charts/chart85.xml"/><Relationship Id="rId172" Type="http://schemas.openxmlformats.org/officeDocument/2006/relationships/header" Target="header31.xml"/><Relationship Id="rId193" Type="http://schemas.openxmlformats.org/officeDocument/2006/relationships/header" Target="header36.xml"/><Relationship Id="rId207" Type="http://schemas.openxmlformats.org/officeDocument/2006/relationships/header" Target="header38.xml"/><Relationship Id="rId228" Type="http://schemas.openxmlformats.org/officeDocument/2006/relationships/header" Target="header42.xml"/><Relationship Id="rId249" Type="http://schemas.openxmlformats.org/officeDocument/2006/relationships/chart" Target="charts/chart143.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8.xml"/><Relationship Id="rId109" Type="http://schemas.openxmlformats.org/officeDocument/2006/relationships/chart" Target="charts/chart55.xml"/><Relationship Id="rId260" Type="http://schemas.openxmlformats.org/officeDocument/2006/relationships/header" Target="header46.xml"/><Relationship Id="rId265" Type="http://schemas.openxmlformats.org/officeDocument/2006/relationships/footer" Target="footer48.xml"/><Relationship Id="rId281" Type="http://schemas.openxmlformats.org/officeDocument/2006/relationships/header" Target="header51.xml"/><Relationship Id="rId34" Type="http://schemas.openxmlformats.org/officeDocument/2006/relationships/chart" Target="charts/chart10.xml"/><Relationship Id="rId50" Type="http://schemas.openxmlformats.org/officeDocument/2006/relationships/chart" Target="charts/chart20.xml"/><Relationship Id="rId55" Type="http://schemas.openxmlformats.org/officeDocument/2006/relationships/footer" Target="footer10.xml"/><Relationship Id="rId76" Type="http://schemas.openxmlformats.org/officeDocument/2006/relationships/chart" Target="charts/chart34.xml"/><Relationship Id="rId97" Type="http://schemas.openxmlformats.org/officeDocument/2006/relationships/chart" Target="charts/chart49.xml"/><Relationship Id="rId104" Type="http://schemas.openxmlformats.org/officeDocument/2006/relationships/header" Target="header20.xml"/><Relationship Id="rId120" Type="http://schemas.openxmlformats.org/officeDocument/2006/relationships/header" Target="header22.xml"/><Relationship Id="rId125" Type="http://schemas.openxmlformats.org/officeDocument/2006/relationships/footer" Target="footer24.xml"/><Relationship Id="rId141" Type="http://schemas.openxmlformats.org/officeDocument/2006/relationships/header" Target="header27.xml"/><Relationship Id="rId146" Type="http://schemas.openxmlformats.org/officeDocument/2006/relationships/chart" Target="charts/chart80.xml"/><Relationship Id="rId167" Type="http://schemas.openxmlformats.org/officeDocument/2006/relationships/chart" Target="charts/chart95.xml"/><Relationship Id="rId188" Type="http://schemas.openxmlformats.org/officeDocument/2006/relationships/chart" Target="charts/chart109.xml"/><Relationship Id="rId7" Type="http://schemas.microsoft.com/office/2007/relationships/stylesWithEffects" Target="stylesWithEffects.xml"/><Relationship Id="rId71" Type="http://schemas.openxmlformats.org/officeDocument/2006/relationships/header" Target="header14.xml"/><Relationship Id="rId92" Type="http://schemas.openxmlformats.org/officeDocument/2006/relationships/chart" Target="charts/chart44.xml"/><Relationship Id="rId162" Type="http://schemas.openxmlformats.org/officeDocument/2006/relationships/chart" Target="charts/chart90.xml"/><Relationship Id="rId183" Type="http://schemas.openxmlformats.org/officeDocument/2006/relationships/chart" Target="charts/chart104.xml"/><Relationship Id="rId213" Type="http://schemas.openxmlformats.org/officeDocument/2006/relationships/chart" Target="charts/chart122.xml"/><Relationship Id="rId218" Type="http://schemas.openxmlformats.org/officeDocument/2006/relationships/chart" Target="charts/chart127.xml"/><Relationship Id="rId234" Type="http://schemas.openxmlformats.org/officeDocument/2006/relationships/chart" Target="charts/chart136.xml"/><Relationship Id="rId239" Type="http://schemas.openxmlformats.org/officeDocument/2006/relationships/chart" Target="charts/chart141.xml"/><Relationship Id="rId2" Type="http://schemas.openxmlformats.org/officeDocument/2006/relationships/customXml" Target="../customXml/item2.xml"/><Relationship Id="rId29" Type="http://schemas.openxmlformats.org/officeDocument/2006/relationships/chart" Target="charts/chart5.xml"/><Relationship Id="rId250" Type="http://schemas.openxmlformats.org/officeDocument/2006/relationships/chart" Target="charts/chart144.xml"/><Relationship Id="rId255" Type="http://schemas.openxmlformats.org/officeDocument/2006/relationships/chart" Target="charts/chart149.xml"/><Relationship Id="rId271" Type="http://schemas.openxmlformats.org/officeDocument/2006/relationships/chart" Target="charts/chart159.xml"/><Relationship Id="rId276" Type="http://schemas.openxmlformats.org/officeDocument/2006/relationships/chart" Target="charts/chart164.xml"/><Relationship Id="rId24" Type="http://schemas.openxmlformats.org/officeDocument/2006/relationships/footer" Target="footer6.xml"/><Relationship Id="rId40" Type="http://schemas.openxmlformats.org/officeDocument/2006/relationships/header" Target="header9.xml"/><Relationship Id="rId45" Type="http://schemas.openxmlformats.org/officeDocument/2006/relationships/chart" Target="charts/chart15.xml"/><Relationship Id="rId66" Type="http://schemas.openxmlformats.org/officeDocument/2006/relationships/chart" Target="charts/chart30.xml"/><Relationship Id="rId87" Type="http://schemas.openxmlformats.org/officeDocument/2006/relationships/header" Target="header17.xml"/><Relationship Id="rId110" Type="http://schemas.openxmlformats.org/officeDocument/2006/relationships/chart" Target="charts/chart56.xml"/><Relationship Id="rId115" Type="http://schemas.openxmlformats.org/officeDocument/2006/relationships/chart" Target="charts/chart61.xml"/><Relationship Id="rId131" Type="http://schemas.openxmlformats.org/officeDocument/2006/relationships/chart" Target="charts/chart71.xml"/><Relationship Id="rId136" Type="http://schemas.openxmlformats.org/officeDocument/2006/relationships/chart" Target="charts/chart76.xml"/><Relationship Id="rId157" Type="http://schemas.openxmlformats.org/officeDocument/2006/relationships/footer" Target="footer29.xml"/><Relationship Id="rId178" Type="http://schemas.openxmlformats.org/officeDocument/2006/relationships/chart" Target="charts/chart99.xml"/><Relationship Id="rId61" Type="http://schemas.openxmlformats.org/officeDocument/2006/relationships/chart" Target="charts/chart25.xml"/><Relationship Id="rId82" Type="http://schemas.openxmlformats.org/officeDocument/2006/relationships/chart" Target="charts/chart40.xml"/><Relationship Id="rId152" Type="http://schemas.openxmlformats.org/officeDocument/2006/relationships/chart" Target="charts/chart86.xml"/><Relationship Id="rId173" Type="http://schemas.openxmlformats.org/officeDocument/2006/relationships/header" Target="header32.xml"/><Relationship Id="rId194" Type="http://schemas.openxmlformats.org/officeDocument/2006/relationships/footer" Target="footer36.xml"/><Relationship Id="rId199" Type="http://schemas.openxmlformats.org/officeDocument/2006/relationships/chart" Target="charts/chart114.xml"/><Relationship Id="rId203" Type="http://schemas.openxmlformats.org/officeDocument/2006/relationships/chart" Target="charts/chart118.xml"/><Relationship Id="rId208" Type="http://schemas.openxmlformats.org/officeDocument/2006/relationships/footer" Target="footer37.xml"/><Relationship Id="rId229" Type="http://schemas.openxmlformats.org/officeDocument/2006/relationships/footer" Target="footer42.xml"/><Relationship Id="rId19" Type="http://schemas.openxmlformats.org/officeDocument/2006/relationships/header" Target="header4.xml"/><Relationship Id="rId224" Type="http://schemas.openxmlformats.org/officeDocument/2006/relationships/header" Target="header40.xml"/><Relationship Id="rId240" Type="http://schemas.openxmlformats.org/officeDocument/2006/relationships/chart" Target="charts/chart142.xml"/><Relationship Id="rId245" Type="http://schemas.openxmlformats.org/officeDocument/2006/relationships/footer" Target="footer43.xml"/><Relationship Id="rId261" Type="http://schemas.openxmlformats.org/officeDocument/2006/relationships/header" Target="header47.xml"/><Relationship Id="rId266" Type="http://schemas.openxmlformats.org/officeDocument/2006/relationships/chart" Target="charts/chart154.xml"/><Relationship Id="rId14" Type="http://schemas.openxmlformats.org/officeDocument/2006/relationships/header" Target="header2.xml"/><Relationship Id="rId30" Type="http://schemas.openxmlformats.org/officeDocument/2006/relationships/chart" Target="charts/chart6.xml"/><Relationship Id="rId35" Type="http://schemas.openxmlformats.org/officeDocument/2006/relationships/chart" Target="charts/chart11.xml"/><Relationship Id="rId56" Type="http://schemas.openxmlformats.org/officeDocument/2006/relationships/footer" Target="footer11.xml"/><Relationship Id="rId77" Type="http://schemas.openxmlformats.org/officeDocument/2006/relationships/chart" Target="charts/chart35.xml"/><Relationship Id="rId100" Type="http://schemas.openxmlformats.org/officeDocument/2006/relationships/chart" Target="charts/chart52.xml"/><Relationship Id="rId105" Type="http://schemas.openxmlformats.org/officeDocument/2006/relationships/footer" Target="footer19.xml"/><Relationship Id="rId126" Type="http://schemas.openxmlformats.org/officeDocument/2006/relationships/chart" Target="charts/chart66.xml"/><Relationship Id="rId147" Type="http://schemas.openxmlformats.org/officeDocument/2006/relationships/chart" Target="charts/chart81.xml"/><Relationship Id="rId168" Type="http://schemas.openxmlformats.org/officeDocument/2006/relationships/chart" Target="charts/chart96.xml"/><Relationship Id="rId282" Type="http://schemas.openxmlformats.org/officeDocument/2006/relationships/footer" Target="footer51.xml"/><Relationship Id="rId8" Type="http://schemas.openxmlformats.org/officeDocument/2006/relationships/settings" Target="settings.xml"/><Relationship Id="rId51" Type="http://schemas.openxmlformats.org/officeDocument/2006/relationships/chart" Target="charts/chart21.xml"/><Relationship Id="rId72" Type="http://schemas.openxmlformats.org/officeDocument/2006/relationships/footer" Target="footer13.xml"/><Relationship Id="rId93" Type="http://schemas.openxmlformats.org/officeDocument/2006/relationships/chart" Target="charts/chart45.xml"/><Relationship Id="rId98" Type="http://schemas.openxmlformats.org/officeDocument/2006/relationships/chart" Target="charts/chart50.xml"/><Relationship Id="rId121" Type="http://schemas.openxmlformats.org/officeDocument/2006/relationships/header" Target="header23.xml"/><Relationship Id="rId142" Type="http://schemas.openxmlformats.org/officeDocument/2006/relationships/footer" Target="footer27.xml"/><Relationship Id="rId163" Type="http://schemas.openxmlformats.org/officeDocument/2006/relationships/chart" Target="charts/chart91.xml"/><Relationship Id="rId184" Type="http://schemas.openxmlformats.org/officeDocument/2006/relationships/chart" Target="charts/chart105.xml"/><Relationship Id="rId189" Type="http://schemas.openxmlformats.org/officeDocument/2006/relationships/header" Target="header34.xml"/><Relationship Id="rId219" Type="http://schemas.openxmlformats.org/officeDocument/2006/relationships/chart" Target="charts/chart128.xml"/><Relationship Id="rId3" Type="http://schemas.openxmlformats.org/officeDocument/2006/relationships/customXml" Target="../customXml/item3.xml"/><Relationship Id="rId214" Type="http://schemas.openxmlformats.org/officeDocument/2006/relationships/chart" Target="charts/chart123.xml"/><Relationship Id="rId230" Type="http://schemas.openxmlformats.org/officeDocument/2006/relationships/chart" Target="charts/chart132.xml"/><Relationship Id="rId235" Type="http://schemas.openxmlformats.org/officeDocument/2006/relationships/chart" Target="charts/chart137.xml"/><Relationship Id="rId251" Type="http://schemas.openxmlformats.org/officeDocument/2006/relationships/chart" Target="charts/chart145.xml"/><Relationship Id="rId256" Type="http://schemas.openxmlformats.org/officeDocument/2006/relationships/chart" Target="charts/chart150.xml"/><Relationship Id="rId277" Type="http://schemas.openxmlformats.org/officeDocument/2006/relationships/header" Target="header49.xml"/><Relationship Id="rId25" Type="http://schemas.openxmlformats.org/officeDocument/2006/relationships/chart" Target="charts/chart1.xml"/><Relationship Id="rId46" Type="http://schemas.openxmlformats.org/officeDocument/2006/relationships/chart" Target="charts/chart16.xml"/><Relationship Id="rId67" Type="http://schemas.openxmlformats.org/officeDocument/2006/relationships/chart" Target="charts/chart31.xml"/><Relationship Id="rId116" Type="http://schemas.openxmlformats.org/officeDocument/2006/relationships/chart" Target="charts/chart62.xml"/><Relationship Id="rId137" Type="http://schemas.openxmlformats.org/officeDocument/2006/relationships/header" Target="header25.xml"/><Relationship Id="rId158" Type="http://schemas.openxmlformats.org/officeDocument/2006/relationships/header" Target="header30.xml"/><Relationship Id="rId272" Type="http://schemas.openxmlformats.org/officeDocument/2006/relationships/chart" Target="charts/chart160.xml"/><Relationship Id="rId20" Type="http://schemas.openxmlformats.org/officeDocument/2006/relationships/header" Target="header5.xml"/><Relationship Id="rId41" Type="http://schemas.openxmlformats.org/officeDocument/2006/relationships/footer" Target="footer9.xml"/><Relationship Id="rId62" Type="http://schemas.openxmlformats.org/officeDocument/2006/relationships/chart" Target="charts/chart26.xml"/><Relationship Id="rId83" Type="http://schemas.openxmlformats.org/officeDocument/2006/relationships/chart" Target="charts/chart41.xml"/><Relationship Id="rId88" Type="http://schemas.openxmlformats.org/officeDocument/2006/relationships/footer" Target="footer16.xml"/><Relationship Id="rId111" Type="http://schemas.openxmlformats.org/officeDocument/2006/relationships/chart" Target="charts/chart57.xml"/><Relationship Id="rId132" Type="http://schemas.openxmlformats.org/officeDocument/2006/relationships/chart" Target="charts/chart72.xml"/><Relationship Id="rId153" Type="http://schemas.openxmlformats.org/officeDocument/2006/relationships/chart" Target="charts/chart87.xml"/><Relationship Id="rId174" Type="http://schemas.openxmlformats.org/officeDocument/2006/relationships/footer" Target="footer31.xml"/><Relationship Id="rId179" Type="http://schemas.openxmlformats.org/officeDocument/2006/relationships/chart" Target="charts/chart100.xml"/><Relationship Id="rId195" Type="http://schemas.openxmlformats.org/officeDocument/2006/relationships/chart" Target="charts/chart110.xml"/><Relationship Id="rId209" Type="http://schemas.openxmlformats.org/officeDocument/2006/relationships/footer" Target="footer38.xml"/><Relationship Id="rId190" Type="http://schemas.openxmlformats.org/officeDocument/2006/relationships/header" Target="header35.xml"/><Relationship Id="rId204" Type="http://schemas.openxmlformats.org/officeDocument/2006/relationships/chart" Target="charts/chart119.xml"/><Relationship Id="rId220" Type="http://schemas.openxmlformats.org/officeDocument/2006/relationships/chart" Target="charts/chart129.xml"/><Relationship Id="rId225" Type="http://schemas.openxmlformats.org/officeDocument/2006/relationships/header" Target="header41.xml"/><Relationship Id="rId241" Type="http://schemas.openxmlformats.org/officeDocument/2006/relationships/hyperlink" Target="http://ec.europa.eu/finance/general-policy/banking-union/european-deposit-insurance-scheme/index_en.htm" TargetMode="External"/><Relationship Id="rId246" Type="http://schemas.openxmlformats.org/officeDocument/2006/relationships/footer" Target="footer44.xml"/><Relationship Id="rId267" Type="http://schemas.openxmlformats.org/officeDocument/2006/relationships/chart" Target="charts/chart155.xml"/><Relationship Id="rId15" Type="http://schemas.openxmlformats.org/officeDocument/2006/relationships/footer" Target="footer1.xml"/><Relationship Id="rId36" Type="http://schemas.openxmlformats.org/officeDocument/2006/relationships/header" Target="header7.xml"/><Relationship Id="rId57" Type="http://schemas.openxmlformats.org/officeDocument/2006/relationships/header" Target="header12.xml"/><Relationship Id="rId106" Type="http://schemas.openxmlformats.org/officeDocument/2006/relationships/footer" Target="footer20.xml"/><Relationship Id="rId127" Type="http://schemas.openxmlformats.org/officeDocument/2006/relationships/chart" Target="charts/chart67.xml"/><Relationship Id="rId262" Type="http://schemas.openxmlformats.org/officeDocument/2006/relationships/footer" Target="footer46.xml"/><Relationship Id="rId283"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chart" Target="charts/chart7.xml"/><Relationship Id="rId52" Type="http://schemas.openxmlformats.org/officeDocument/2006/relationships/chart" Target="charts/chart22.xml"/><Relationship Id="rId73" Type="http://schemas.openxmlformats.org/officeDocument/2006/relationships/footer" Target="footer14.xml"/><Relationship Id="rId78" Type="http://schemas.openxmlformats.org/officeDocument/2006/relationships/chart" Target="charts/chart36.xml"/><Relationship Id="rId94" Type="http://schemas.openxmlformats.org/officeDocument/2006/relationships/chart" Target="charts/chart46.xml"/><Relationship Id="rId99" Type="http://schemas.openxmlformats.org/officeDocument/2006/relationships/chart" Target="charts/chart51.xml"/><Relationship Id="rId101" Type="http://schemas.openxmlformats.org/officeDocument/2006/relationships/chart" Target="charts/chart53.xml"/><Relationship Id="rId122" Type="http://schemas.openxmlformats.org/officeDocument/2006/relationships/footer" Target="footer22.xml"/><Relationship Id="rId143" Type="http://schemas.openxmlformats.org/officeDocument/2006/relationships/chart" Target="charts/chart77.xml"/><Relationship Id="rId148" Type="http://schemas.openxmlformats.org/officeDocument/2006/relationships/chart" Target="charts/chart82.xml"/><Relationship Id="rId164" Type="http://schemas.openxmlformats.org/officeDocument/2006/relationships/chart" Target="charts/chart92.xml"/><Relationship Id="rId169" Type="http://schemas.openxmlformats.org/officeDocument/2006/relationships/chart" Target="charts/chart97.xml"/><Relationship Id="rId185" Type="http://schemas.openxmlformats.org/officeDocument/2006/relationships/chart" Target="charts/chart106.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chart" Target="charts/chart101.xml"/><Relationship Id="rId210" Type="http://schemas.openxmlformats.org/officeDocument/2006/relationships/header" Target="header39.xml"/><Relationship Id="rId215" Type="http://schemas.openxmlformats.org/officeDocument/2006/relationships/chart" Target="charts/chart124.xml"/><Relationship Id="rId236" Type="http://schemas.openxmlformats.org/officeDocument/2006/relationships/chart" Target="charts/chart138.xml"/><Relationship Id="rId257" Type="http://schemas.openxmlformats.org/officeDocument/2006/relationships/chart" Target="charts/chart151.xml"/><Relationship Id="rId278" Type="http://schemas.openxmlformats.org/officeDocument/2006/relationships/header" Target="header50.xml"/><Relationship Id="rId26" Type="http://schemas.openxmlformats.org/officeDocument/2006/relationships/chart" Target="charts/chart2.xml"/><Relationship Id="rId231" Type="http://schemas.openxmlformats.org/officeDocument/2006/relationships/chart" Target="charts/chart133.xml"/><Relationship Id="rId252" Type="http://schemas.openxmlformats.org/officeDocument/2006/relationships/chart" Target="charts/chart146.xml"/><Relationship Id="rId273" Type="http://schemas.openxmlformats.org/officeDocument/2006/relationships/chart" Target="charts/chart161.xml"/><Relationship Id="rId47" Type="http://schemas.openxmlformats.org/officeDocument/2006/relationships/chart" Target="charts/chart17.xml"/><Relationship Id="rId68" Type="http://schemas.openxmlformats.org/officeDocument/2006/relationships/chart" Target="charts/chart32.xml"/><Relationship Id="rId89" Type="http://schemas.openxmlformats.org/officeDocument/2006/relationships/footer" Target="footer17.xml"/><Relationship Id="rId112" Type="http://schemas.openxmlformats.org/officeDocument/2006/relationships/chart" Target="charts/chart58.xml"/><Relationship Id="rId133" Type="http://schemas.openxmlformats.org/officeDocument/2006/relationships/chart" Target="charts/chart73.xml"/><Relationship Id="rId154" Type="http://schemas.openxmlformats.org/officeDocument/2006/relationships/header" Target="header28.xml"/><Relationship Id="rId175" Type="http://schemas.openxmlformats.org/officeDocument/2006/relationships/footer" Target="footer32.xml"/><Relationship Id="rId196" Type="http://schemas.openxmlformats.org/officeDocument/2006/relationships/chart" Target="charts/chart111.xml"/><Relationship Id="rId200" Type="http://schemas.openxmlformats.org/officeDocument/2006/relationships/chart" Target="charts/chart115.xml"/><Relationship Id="rId16" Type="http://schemas.openxmlformats.org/officeDocument/2006/relationships/footer" Target="footer2.xml"/><Relationship Id="rId221" Type="http://schemas.openxmlformats.org/officeDocument/2006/relationships/chart" Target="charts/chart130.xml"/><Relationship Id="rId242" Type="http://schemas.openxmlformats.org/officeDocument/2006/relationships/hyperlink" Target="https://ec.europa.eu/info/law/settlement-finality-directive-98-26-ec_en" TargetMode="External"/><Relationship Id="rId263" Type="http://schemas.openxmlformats.org/officeDocument/2006/relationships/footer" Target="footer47.xml"/><Relationship Id="rId284" Type="http://schemas.openxmlformats.org/officeDocument/2006/relationships/theme" Target="theme/theme1.xml"/><Relationship Id="rId37" Type="http://schemas.openxmlformats.org/officeDocument/2006/relationships/header" Target="header8.xml"/><Relationship Id="rId58" Type="http://schemas.openxmlformats.org/officeDocument/2006/relationships/footer" Target="footer12.xml"/><Relationship Id="rId79" Type="http://schemas.openxmlformats.org/officeDocument/2006/relationships/chart" Target="charts/chart37.xml"/><Relationship Id="rId102" Type="http://schemas.openxmlformats.org/officeDocument/2006/relationships/chart" Target="charts/chart54.xml"/><Relationship Id="rId123" Type="http://schemas.openxmlformats.org/officeDocument/2006/relationships/footer" Target="footer23.xml"/><Relationship Id="rId144" Type="http://schemas.openxmlformats.org/officeDocument/2006/relationships/chart" Target="charts/chart78.xml"/><Relationship Id="rId90" Type="http://schemas.openxmlformats.org/officeDocument/2006/relationships/header" Target="header18.xml"/><Relationship Id="rId165" Type="http://schemas.openxmlformats.org/officeDocument/2006/relationships/chart" Target="charts/chart93.xml"/><Relationship Id="rId186" Type="http://schemas.openxmlformats.org/officeDocument/2006/relationships/chart" Target="charts/chart107.xml"/><Relationship Id="rId211" Type="http://schemas.openxmlformats.org/officeDocument/2006/relationships/footer" Target="footer39.xml"/><Relationship Id="rId232" Type="http://schemas.openxmlformats.org/officeDocument/2006/relationships/chart" Target="charts/chart134.xml"/><Relationship Id="rId253" Type="http://schemas.openxmlformats.org/officeDocument/2006/relationships/chart" Target="charts/chart147.xml"/><Relationship Id="rId274" Type="http://schemas.openxmlformats.org/officeDocument/2006/relationships/chart" Target="charts/chart162.xml"/><Relationship Id="rId27" Type="http://schemas.openxmlformats.org/officeDocument/2006/relationships/chart" Target="charts/chart3.xml"/><Relationship Id="rId48" Type="http://schemas.openxmlformats.org/officeDocument/2006/relationships/chart" Target="charts/chart18.xml"/><Relationship Id="rId69" Type="http://schemas.openxmlformats.org/officeDocument/2006/relationships/chart" Target="charts/chart33.xml"/><Relationship Id="rId113" Type="http://schemas.openxmlformats.org/officeDocument/2006/relationships/chart" Target="charts/chart59.xml"/><Relationship Id="rId134" Type="http://schemas.openxmlformats.org/officeDocument/2006/relationships/chart" Target="charts/chart74.xml"/><Relationship Id="rId80" Type="http://schemas.openxmlformats.org/officeDocument/2006/relationships/chart" Target="charts/chart38.xml"/><Relationship Id="rId155" Type="http://schemas.openxmlformats.org/officeDocument/2006/relationships/header" Target="header29.xml"/><Relationship Id="rId176" Type="http://schemas.openxmlformats.org/officeDocument/2006/relationships/header" Target="header33.xml"/><Relationship Id="rId197" Type="http://schemas.openxmlformats.org/officeDocument/2006/relationships/chart" Target="charts/chart112.xml"/><Relationship Id="rId201" Type="http://schemas.openxmlformats.org/officeDocument/2006/relationships/chart" Target="charts/chart116.xml"/><Relationship Id="rId222" Type="http://schemas.openxmlformats.org/officeDocument/2006/relationships/chart" Target="charts/chart131.xml"/><Relationship Id="rId243" Type="http://schemas.openxmlformats.org/officeDocument/2006/relationships/header" Target="header43.xml"/><Relationship Id="rId264" Type="http://schemas.openxmlformats.org/officeDocument/2006/relationships/header" Target="header48.xml"/><Relationship Id="rId17" Type="http://schemas.openxmlformats.org/officeDocument/2006/relationships/header" Target="header3.xml"/><Relationship Id="rId38" Type="http://schemas.openxmlformats.org/officeDocument/2006/relationships/footer" Target="footer7.xml"/><Relationship Id="rId59" Type="http://schemas.openxmlformats.org/officeDocument/2006/relationships/chart" Target="charts/chart23.xml"/><Relationship Id="rId103" Type="http://schemas.openxmlformats.org/officeDocument/2006/relationships/header" Target="header19.xml"/><Relationship Id="rId124" Type="http://schemas.openxmlformats.org/officeDocument/2006/relationships/header" Target="header24.xml"/><Relationship Id="rId70" Type="http://schemas.openxmlformats.org/officeDocument/2006/relationships/header" Target="header13.xml"/><Relationship Id="rId91" Type="http://schemas.openxmlformats.org/officeDocument/2006/relationships/footer" Target="footer18.xml"/><Relationship Id="rId145" Type="http://schemas.openxmlformats.org/officeDocument/2006/relationships/chart" Target="charts/chart79.xml"/><Relationship Id="rId166" Type="http://schemas.openxmlformats.org/officeDocument/2006/relationships/chart" Target="charts/chart94.xml"/><Relationship Id="rId187" Type="http://schemas.openxmlformats.org/officeDocument/2006/relationships/chart" Target="charts/chart108.xml"/><Relationship Id="rId1" Type="http://schemas.openxmlformats.org/officeDocument/2006/relationships/customXml" Target="../customXml/item1.xml"/><Relationship Id="rId212" Type="http://schemas.openxmlformats.org/officeDocument/2006/relationships/chart" Target="charts/chart121.xml"/><Relationship Id="rId233" Type="http://schemas.openxmlformats.org/officeDocument/2006/relationships/chart" Target="charts/chart135.xml"/><Relationship Id="rId254" Type="http://schemas.openxmlformats.org/officeDocument/2006/relationships/chart" Target="charts/chart148.xml"/><Relationship Id="rId28" Type="http://schemas.openxmlformats.org/officeDocument/2006/relationships/chart" Target="charts/chart4.xml"/><Relationship Id="rId49" Type="http://schemas.openxmlformats.org/officeDocument/2006/relationships/chart" Target="charts/chart19.xml"/><Relationship Id="rId114" Type="http://schemas.openxmlformats.org/officeDocument/2006/relationships/chart" Target="charts/chart60.xml"/><Relationship Id="rId275" Type="http://schemas.openxmlformats.org/officeDocument/2006/relationships/chart" Target="charts/chart163.xml"/><Relationship Id="rId60" Type="http://schemas.openxmlformats.org/officeDocument/2006/relationships/chart" Target="charts/chart24.xml"/><Relationship Id="rId81" Type="http://schemas.openxmlformats.org/officeDocument/2006/relationships/chart" Target="charts/chart39.xml"/><Relationship Id="rId135" Type="http://schemas.openxmlformats.org/officeDocument/2006/relationships/chart" Target="charts/chart75.xml"/><Relationship Id="rId156" Type="http://schemas.openxmlformats.org/officeDocument/2006/relationships/footer" Target="footer28.xml"/><Relationship Id="rId177" Type="http://schemas.openxmlformats.org/officeDocument/2006/relationships/footer" Target="footer33.xml"/><Relationship Id="rId198" Type="http://schemas.openxmlformats.org/officeDocument/2006/relationships/chart" Target="charts/chart113.xml"/><Relationship Id="rId202" Type="http://schemas.openxmlformats.org/officeDocument/2006/relationships/chart" Target="charts/chart117.xml"/><Relationship Id="rId223" Type="http://schemas.openxmlformats.org/officeDocument/2006/relationships/hyperlink" Target="http://ec.europa.eu/finance/general-policy/banking-union/european-deposit-insurance-scheme/index_en.htm" TargetMode="External"/><Relationship Id="rId244" Type="http://schemas.openxmlformats.org/officeDocument/2006/relationships/header" Target="header44.xml"/></Relationships>
</file>

<file path=word/_rels/footnotes.xml.rels><?xml version="1.0" encoding="UTF-8" standalone="yes"?>
<Relationships xmlns="http://schemas.openxmlformats.org/package/2006/relationships"><Relationship Id="rId117" Type="http://schemas.openxmlformats.org/officeDocument/2006/relationships/hyperlink" Target="http://eur-lex.europa.eu/legal-content/EN/TXT/?qid=1521726500980&amp;uri=CELEX:32013L0050" TargetMode="External"/><Relationship Id="rId299" Type="http://schemas.openxmlformats.org/officeDocument/2006/relationships/hyperlink" Target="http://eur-lex.europa.eu/legal-content/EN/TXT/?qid=1522075568338&amp;uri=CELEX:32013L0050" TargetMode="External"/><Relationship Id="rId21" Type="http://schemas.openxmlformats.org/officeDocument/2006/relationships/hyperlink" Target="http://europa.eu/rapid/press-release_MEMO-17-3494_en.htm" TargetMode="External"/><Relationship Id="rId63" Type="http://schemas.openxmlformats.org/officeDocument/2006/relationships/hyperlink" Target="http://eur-lex.europa.eu/legal-content/EN/TXT/?qid=1521638736725&amp;uri=CELEX:32014L0112" TargetMode="External"/><Relationship Id="rId159" Type="http://schemas.openxmlformats.org/officeDocument/2006/relationships/hyperlink" Target="https://eur-lex.europa.eu/legal-content/EN/TXT/?qid=1521820465818&amp;uri=CELEX:32006L0123" TargetMode="External"/><Relationship Id="rId324" Type="http://schemas.openxmlformats.org/officeDocument/2006/relationships/hyperlink" Target="https://eur-lex.europa.eu/legal-content/EN/TXT/?qid=1521813846684&amp;uri=CELEX:31998L0070" TargetMode="External"/><Relationship Id="rId366" Type="http://schemas.openxmlformats.org/officeDocument/2006/relationships/hyperlink" Target="http://eur-lex.europa.eu/legal-content/EN/TXT/?qid=1521726408366&amp;uri=CELEX:32013L0034" TargetMode="External"/><Relationship Id="rId531" Type="http://schemas.openxmlformats.org/officeDocument/2006/relationships/hyperlink" Target="http://europa.eu/rapid/press-release_MEMO-17-234_EN.htm" TargetMode="External"/><Relationship Id="rId573" Type="http://schemas.openxmlformats.org/officeDocument/2006/relationships/hyperlink" Target="http://europa.eu/rapid/press-release_MEMO-17-4767_en.htm" TargetMode="External"/><Relationship Id="rId170" Type="http://schemas.openxmlformats.org/officeDocument/2006/relationships/hyperlink" Target="https://eur-lex.europa.eu/legal-content/EN/TXT/?qid=1521821015942&amp;uri=CELEX:32011R1178" TargetMode="External"/><Relationship Id="rId226" Type="http://schemas.openxmlformats.org/officeDocument/2006/relationships/hyperlink" Target="http://eur-lex.europa.eu/legal-content/EN/TXT/?qid=1522077395769&amp;uri=CELEX:32015L0652" TargetMode="External"/><Relationship Id="rId433" Type="http://schemas.openxmlformats.org/officeDocument/2006/relationships/hyperlink" Target="http://europa.eu/rapid/press-release_MEMO-17-1577_en.htm" TargetMode="External"/><Relationship Id="rId268" Type="http://schemas.openxmlformats.org/officeDocument/2006/relationships/hyperlink" Target="https://eur-lex.europa.eu/legal-content/EN/TXT/?qid=1521804065893&amp;uri=CELEX:32015L0849" TargetMode="External"/><Relationship Id="rId475" Type="http://schemas.openxmlformats.org/officeDocument/2006/relationships/hyperlink" Target="http://eur-lex.europa.eu/LexUriServ/LexUriServ.do?uri=OJ:L:2008:210:0001:0011:EN:PDF" TargetMode="External"/><Relationship Id="rId32" Type="http://schemas.openxmlformats.org/officeDocument/2006/relationships/hyperlink" Target="http://eur-lex.europa.eu/legal-content/EN/TXT/?qid=1521726500980&amp;uri=CELEX:32013L0050" TargetMode="External"/><Relationship Id="rId74" Type="http://schemas.openxmlformats.org/officeDocument/2006/relationships/hyperlink" Target="https://eur-lex.europa.eu/legal-content/EN/TXT/?qid=1521822057713&amp;uri=CELEX:32009D0750" TargetMode="External"/><Relationship Id="rId128" Type="http://schemas.openxmlformats.org/officeDocument/2006/relationships/hyperlink" Target="https://eur-lex.europa.eu/legal-content/EN/TXT/?qid=1521824128683&amp;uri=CELEX:31992L0106" TargetMode="External"/><Relationship Id="rId335" Type="http://schemas.openxmlformats.org/officeDocument/2006/relationships/hyperlink" Target="http://eur-lex.europa.eu/legal-content/EN/TXT/?qid=1521535748978&amp;uri=CELEX:32002L0021" TargetMode="External"/><Relationship Id="rId377" Type="http://schemas.openxmlformats.org/officeDocument/2006/relationships/hyperlink" Target="http://curia.europa.eu/juris/liste.jsf?language=en&amp;jur=C,T,F&amp;num=C-563/15&amp;td=ALL" TargetMode="External"/><Relationship Id="rId500" Type="http://schemas.openxmlformats.org/officeDocument/2006/relationships/hyperlink" Target="http://europa.eu/rapid/press-release_MEMO-17-4767_en.htm" TargetMode="External"/><Relationship Id="rId542" Type="http://schemas.openxmlformats.org/officeDocument/2006/relationships/hyperlink" Target="http://europa.eu/rapid/press-release_MEMO-17-1936_en.htm" TargetMode="External"/><Relationship Id="rId584" Type="http://schemas.openxmlformats.org/officeDocument/2006/relationships/hyperlink" Target="http://eur-lex.europa.eu/legal-content/AUTO/?uri=CELEX:32016L0970&amp;qid=1522057371854&amp;rid=1" TargetMode="External"/><Relationship Id="rId5" Type="http://schemas.openxmlformats.org/officeDocument/2006/relationships/hyperlink" Target="https://eur-lex.europa.eu/legal-content/EN/TXT/?qid=1521801935581&amp;uri=CELEX:32009L0018" TargetMode="External"/><Relationship Id="rId181" Type="http://schemas.openxmlformats.org/officeDocument/2006/relationships/hyperlink" Target="http://curia.europa.eu/juris/liste.jsf?language=en&amp;jur=C,T,F&amp;num=C-616/15&amp;td=ALL" TargetMode="External"/><Relationship Id="rId237" Type="http://schemas.openxmlformats.org/officeDocument/2006/relationships/hyperlink" Target="http://eur-lex.europa.eu/legal-content/EN/TXT/?uri=celex%3A32008D0615" TargetMode="External"/><Relationship Id="rId402" Type="http://schemas.openxmlformats.org/officeDocument/2006/relationships/hyperlink" Target="http://curia.europa.eu/juris/liste.jsf?language=en&amp;jur=C,T,F&amp;num=C-420/17&amp;td=ALL" TargetMode="External"/><Relationship Id="rId279" Type="http://schemas.openxmlformats.org/officeDocument/2006/relationships/hyperlink" Target="http://eur-lex.europa.eu/LexUriServ/LexUriServ.do?uri=OJ:L:2008:210:0001:0011:EN:PDF" TargetMode="External"/><Relationship Id="rId444" Type="http://schemas.openxmlformats.org/officeDocument/2006/relationships/hyperlink" Target="https://eur-lex.europa.eu/legal-content/EN/TXT/?qid=1521645914219&amp;uri=CELEX:32011L0070" TargetMode="External"/><Relationship Id="rId486" Type="http://schemas.openxmlformats.org/officeDocument/2006/relationships/hyperlink" Target="http://europa.eu/rapid/press-release_MEMO-17-4767_en.htm" TargetMode="External"/><Relationship Id="rId43" Type="http://schemas.openxmlformats.org/officeDocument/2006/relationships/hyperlink" Target="https://curia.europa.eu/jcms/upload/docs/application/pdf/2017-03/cp170024en.pdf" TargetMode="External"/><Relationship Id="rId139" Type="http://schemas.openxmlformats.org/officeDocument/2006/relationships/hyperlink" Target="https://eur-lex.europa.eu/legal-content/EN/TXT/?qid=1521717781508&amp;uri=CELEX:32008L0056" TargetMode="External"/><Relationship Id="rId290" Type="http://schemas.openxmlformats.org/officeDocument/2006/relationships/hyperlink" Target="http://europa.eu/rapid/press-release_MEMO-17-4767_en.htm" TargetMode="External"/><Relationship Id="rId304" Type="http://schemas.openxmlformats.org/officeDocument/2006/relationships/hyperlink" Target="http://europa.eu/rapid/press-release_IP-17-5109_en.htm" TargetMode="External"/><Relationship Id="rId346" Type="http://schemas.openxmlformats.org/officeDocument/2006/relationships/hyperlink" Target="http://europa.eu/rapid/press-release_MEMO-17-3494_en.htm" TargetMode="External"/><Relationship Id="rId388" Type="http://schemas.openxmlformats.org/officeDocument/2006/relationships/hyperlink" Target="http://curia.europa.eu/juris/liste.jsf?language=en&amp;jur=C,T,F&amp;num=C-636/16&amp;td=ALL" TargetMode="External"/><Relationship Id="rId511" Type="http://schemas.openxmlformats.org/officeDocument/2006/relationships/hyperlink" Target="http://curia.europa.eu/juris/liste.jsf?language=en&amp;jur=C,T,F&amp;num=C-348/16&amp;td=ALL" TargetMode="External"/><Relationship Id="rId553" Type="http://schemas.openxmlformats.org/officeDocument/2006/relationships/hyperlink" Target="http://eur-lex.europa.eu/legal-content/AUTO/?uri=CELEX:32014L0060&amp;qid=1522055908659&amp;rid=1" TargetMode="External"/><Relationship Id="rId609" Type="http://schemas.openxmlformats.org/officeDocument/2006/relationships/hyperlink" Target="https://eur-lex.europa.eu/legal-content/EN/TXT/?qid=1521710113476&amp;uri=CELEX:32014L0094" TargetMode="External"/><Relationship Id="rId85" Type="http://schemas.openxmlformats.org/officeDocument/2006/relationships/hyperlink" Target="https://eur-lex.europa.eu/legal-content/EN/TXT/?qid=1521712009861&amp;uri=CELEX:32006L0126" TargetMode="External"/><Relationship Id="rId150" Type="http://schemas.openxmlformats.org/officeDocument/2006/relationships/hyperlink" Target="https://eur-lex.europa.eu/legal-content/EN/TXT/?qid=1521815878910&amp;uri=CELEX:32015L0652" TargetMode="External"/><Relationship Id="rId192" Type="http://schemas.openxmlformats.org/officeDocument/2006/relationships/hyperlink" Target="http://curia.europa.eu/juris/liste.jsf?pro=&amp;nat=or&amp;oqp=&amp;dates=&amp;lg=&amp;language=en&amp;jur=C%2CT%2CF&amp;cit=none%252CC%252CCJ%252CR%252C2008E%252C%252C%252C%252C%252C%252C%252C%252C%252C%252Ctrue%252Cfalse%252Cfalse&amp;num=C-422%252F16&amp;td=%3BALL&amp;pcs=Oor&amp;avg=&amp;page=1&amp;mat=or&amp;jge=&amp;for=&amp;cid=316764" TargetMode="External"/><Relationship Id="rId206" Type="http://schemas.openxmlformats.org/officeDocument/2006/relationships/hyperlink" Target="http://curia.europa.eu/juris/liste.jsf?pro=&amp;nat=or&amp;oqp=&amp;dates=&amp;lg=&amp;language=en&amp;jur=C%2CT%2CF&amp;cit=none%252CC%252CCJ%252CR%252C2008E%252C%252C%252C%252C%252C%252C%252C%252C%252C%252Ctrue%252Cfalse%252Cfalse&amp;num=C-544%252F15&amp;td=%3BALL&amp;pcs=Oor&amp;avg=&amp;page=1&amp;mat=or&amp;jge=&amp;for=&amp;cid=313238" TargetMode="External"/><Relationship Id="rId413" Type="http://schemas.openxmlformats.org/officeDocument/2006/relationships/hyperlink" Target="http://eur-lex.europa.eu/legal-content/EN/TXT/?qid=1521726500980&amp;uri=CELEX:32013L0050" TargetMode="External"/><Relationship Id="rId595" Type="http://schemas.openxmlformats.org/officeDocument/2006/relationships/hyperlink" Target="https://eur-lex.europa.eu/legal-content/EN/TXT/?qid=1521646324831&amp;uri=CELEX:32009L0072" TargetMode="External"/><Relationship Id="rId248" Type="http://schemas.openxmlformats.org/officeDocument/2006/relationships/hyperlink" Target="https://eur-lex.europa.eu/legal-content/EN/TXT/?qid=1521804065893&amp;uri=CELEX:32015L0849" TargetMode="External"/><Relationship Id="rId455" Type="http://schemas.openxmlformats.org/officeDocument/2006/relationships/hyperlink" Target="http://europa.eu/rapid/press-release_IP-17-1579_en.htm" TargetMode="External"/><Relationship Id="rId497" Type="http://schemas.openxmlformats.org/officeDocument/2006/relationships/hyperlink" Target="http://curia.europa.eu/juris/liste.jsf?language=en&amp;jur=C,T,F&amp;num=C-251/17&amp;td=ALL" TargetMode="External"/><Relationship Id="rId12" Type="http://schemas.openxmlformats.org/officeDocument/2006/relationships/hyperlink" Target="https://eur-lex.europa.eu/legal-content/EN/TXT/?qid=1521802121861&amp;uri=CELEX:32014L0066" TargetMode="External"/><Relationship Id="rId108" Type="http://schemas.openxmlformats.org/officeDocument/2006/relationships/hyperlink" Target="https://eur-lex.europa.eu/legal-content/EN/TXT/?uri=celex%3A32015D1601" TargetMode="External"/><Relationship Id="rId315" Type="http://schemas.openxmlformats.org/officeDocument/2006/relationships/hyperlink" Target="http://curia.europa.eu/juris/liste.jsf?language=en&amp;jur=C,T,F&amp;num=C-409/16&amp;td=ALL" TargetMode="External"/><Relationship Id="rId357" Type="http://schemas.openxmlformats.org/officeDocument/2006/relationships/hyperlink" Target="http://curia.europa.eu/juris/liste.jsf?language=en&amp;jur=C,T,F&amp;num=C-205/17&amp;td=ALL" TargetMode="External"/><Relationship Id="rId522" Type="http://schemas.openxmlformats.org/officeDocument/2006/relationships/hyperlink" Target="https://eur-lex.europa.eu/legal-content/EN/TXT/?qid=1521804065893&amp;uri=CELEX:32015L0849" TargetMode="External"/><Relationship Id="rId54" Type="http://schemas.openxmlformats.org/officeDocument/2006/relationships/hyperlink" Target="https://eur-lex.europa.eu/legal-content/EN/TXT/?qid=1522168443068&amp;uri=CELEX:32005R1889" TargetMode="External"/><Relationship Id="rId96" Type="http://schemas.openxmlformats.org/officeDocument/2006/relationships/hyperlink" Target="https://eur-lex.europa.eu/legal-content/EN/TXT/?qid=1521823424133&amp;uri=CELEX:32008L0057" TargetMode="External"/><Relationship Id="rId161" Type="http://schemas.openxmlformats.org/officeDocument/2006/relationships/hyperlink" Target="http://europa.eu/rapid/press-release_IP-16-3646_en.htm" TargetMode="External"/><Relationship Id="rId217" Type="http://schemas.openxmlformats.org/officeDocument/2006/relationships/hyperlink" Target="https://curia.europa.eu/jcms/upload/docs/application/pdf/2017-07/cp170075en.pdf" TargetMode="External"/><Relationship Id="rId399" Type="http://schemas.openxmlformats.org/officeDocument/2006/relationships/hyperlink" Target="https://eur-lex.europa.eu/legal-content/EN/TXT/?qid=1521726742344&amp;uri=CELEX:32002L0049" TargetMode="External"/><Relationship Id="rId564" Type="http://schemas.openxmlformats.org/officeDocument/2006/relationships/hyperlink" Target="http://europa.eu/rapid/press-release_IP-17-5109_en.htm" TargetMode="External"/><Relationship Id="rId259" Type="http://schemas.openxmlformats.org/officeDocument/2006/relationships/hyperlink" Target="https://eur-lex.europa.eu/legal-content/EN/TXT/?qid=1521710113476&amp;uri=CELEX:32014L0094" TargetMode="External"/><Relationship Id="rId424" Type="http://schemas.openxmlformats.org/officeDocument/2006/relationships/hyperlink" Target="https://eur-lex.europa.eu/legal-content/EN/TXT/?qid=1521545327221&amp;uri=CELEX:32014L0036" TargetMode="External"/><Relationship Id="rId466" Type="http://schemas.openxmlformats.org/officeDocument/2006/relationships/hyperlink" Target="http://eur-lex.europa.eu/legal-content/EN/TXT/?qid=1522073589425&amp;uri=CELEX:32004R0805" TargetMode="External"/><Relationship Id="rId23" Type="http://schemas.openxmlformats.org/officeDocument/2006/relationships/hyperlink" Target="https://eur-lex.europa.eu/legal-content/EN/TXT/?qid=1521545149508&amp;uri=CELEX:32011L0098" TargetMode="External"/><Relationship Id="rId119" Type="http://schemas.openxmlformats.org/officeDocument/2006/relationships/hyperlink" Target="https://eur-lex.europa.eu/legal-content/EN/TXT/?qid=1521712009861&amp;uri=CELEX:32006L0126" TargetMode="External"/><Relationship Id="rId270" Type="http://schemas.openxmlformats.org/officeDocument/2006/relationships/hyperlink" Target="http://eur-lex.europa.eu/legal-content/EN/TXT/?qid=1521649763709&amp;uri=CELEX:32014L0065" TargetMode="External"/><Relationship Id="rId326" Type="http://schemas.openxmlformats.org/officeDocument/2006/relationships/hyperlink" Target="http://eur-lex.europa.eu/legal-content/EN/TXT/?qid=1521648350685&amp;uri=CELEX:32014L0092" TargetMode="External"/><Relationship Id="rId533" Type="http://schemas.openxmlformats.org/officeDocument/2006/relationships/hyperlink" Target="http://eur-lex.europa.eu/legal-content/AUTO/?uri=CELEX:32015L0652&amp;qid=1522054302865&amp;rid=7" TargetMode="External"/><Relationship Id="rId65" Type="http://schemas.openxmlformats.org/officeDocument/2006/relationships/hyperlink" Target="https://eur-lex.europa.eu/legal-content/EN/TXT/?qid=1521813846684&amp;uri=CELEX:31998L0070" TargetMode="External"/><Relationship Id="rId130" Type="http://schemas.openxmlformats.org/officeDocument/2006/relationships/hyperlink" Target="https://eur-lex.europa.eu/legal-content/EN/TXT/?qid=1521724337121&amp;uri=CELEX:32003R2286" TargetMode="External"/><Relationship Id="rId368" Type="http://schemas.openxmlformats.org/officeDocument/2006/relationships/hyperlink" Target="http://eur-lex.europa.eu/legal-content/EN/TXT/?qid=1522070769224&amp;uri=CELEX:32014L0089" TargetMode="External"/><Relationship Id="rId575" Type="http://schemas.openxmlformats.org/officeDocument/2006/relationships/hyperlink" Target="http://europa.eu/rapid/press-release_MEMO-17-3494_en.htm" TargetMode="External"/><Relationship Id="rId172" Type="http://schemas.openxmlformats.org/officeDocument/2006/relationships/hyperlink" Target="https://eur-lex.europa.eu/legal-content/EN/TXT/?qid=1521804913849&amp;uri=CELEX:32013L0029" TargetMode="External"/><Relationship Id="rId228" Type="http://schemas.openxmlformats.org/officeDocument/2006/relationships/hyperlink" Target="http://eur-lex.europa.eu/legal-content/EN/TXT/?qid=1521638736725&amp;uri=CELEX:32014L0112" TargetMode="External"/><Relationship Id="rId435" Type="http://schemas.openxmlformats.org/officeDocument/2006/relationships/hyperlink" Target="http://eur-lex.europa.eu/LexUriServ/LexUriServ.do?uri=OJ:L:2008:210:0012:0072:EN:PDF" TargetMode="External"/><Relationship Id="rId477" Type="http://schemas.openxmlformats.org/officeDocument/2006/relationships/hyperlink" Target="https://eur-lex.europa.eu/legal-content/EN/TXT/?qid=1522066105954&amp;uri=CELEX:32012L0034" TargetMode="External"/><Relationship Id="rId600" Type="http://schemas.openxmlformats.org/officeDocument/2006/relationships/hyperlink" Target="https://ec.europa.eu/home-affairs/sites/homeaffairs/files/e-library/documents/policies/borders-and-visas/document-security/docs/comm_decision_c_2013_6178_en.pdf" TargetMode="External"/><Relationship Id="rId281" Type="http://schemas.openxmlformats.org/officeDocument/2006/relationships/hyperlink" Target="http://europa.eu/rapid/press-release_MEMO-17-3494_en.htm" TargetMode="External"/><Relationship Id="rId337" Type="http://schemas.openxmlformats.org/officeDocument/2006/relationships/hyperlink" Target="http://eur-lex.europa.eu/legal-content/EN/TXT/?qid=1522070234046&amp;uri=CELEX:32012L0027" TargetMode="External"/><Relationship Id="rId502" Type="http://schemas.openxmlformats.org/officeDocument/2006/relationships/hyperlink" Target="https://eur-lex.europa.eu/legal-content/EN/TXT/?qid=1522065870641&amp;uri=CELEX:32005L0085" TargetMode="External"/><Relationship Id="rId34" Type="http://schemas.openxmlformats.org/officeDocument/2006/relationships/hyperlink" Target="http://eur-lex.europa.eu/legal-content/EN/TXT/?qid=1521726342201&amp;uri=CELEX:32014L0051" TargetMode="External"/><Relationship Id="rId76" Type="http://schemas.openxmlformats.org/officeDocument/2006/relationships/hyperlink" Target="http://eur-lex.europa.eu/legal-content/EN/TXT/?qid=1521534649872&amp;uri=CELEX:32015L2203" TargetMode="External"/><Relationship Id="rId141" Type="http://schemas.openxmlformats.org/officeDocument/2006/relationships/hyperlink" Target="https://eur-lex.europa.eu/legal-content/EN/TXT/?qid=1521712009861&amp;uri=CELEX:32006L0126" TargetMode="External"/><Relationship Id="rId379" Type="http://schemas.openxmlformats.org/officeDocument/2006/relationships/hyperlink" Target="http://curia.europa.eu/juris/liste.jsf?language=en&amp;jur=C,T,F&amp;num=C-193/16&amp;td=ALL" TargetMode="External"/><Relationship Id="rId544" Type="http://schemas.openxmlformats.org/officeDocument/2006/relationships/hyperlink" Target="http://europa.eu/rapid/press-release_MEMO-17-3494_en.htm" TargetMode="External"/><Relationship Id="rId586" Type="http://schemas.openxmlformats.org/officeDocument/2006/relationships/hyperlink" Target="https://eur-lex.europa.eu/legal-content/EN/TXT/?qid=1521645914219&amp;uri=CELEX:32011L0070" TargetMode="External"/><Relationship Id="rId7" Type="http://schemas.openxmlformats.org/officeDocument/2006/relationships/hyperlink" Target="http://europa.eu/rapid/press-release_MEMO-17-1045_en.htm" TargetMode="External"/><Relationship Id="rId183" Type="http://schemas.openxmlformats.org/officeDocument/2006/relationships/hyperlink" Target="https://eur-lex.europa.eu/legal-content/EN/TXT/?qid=1521713800294&amp;uri=CELEX:31991L0440" TargetMode="External"/><Relationship Id="rId239" Type="http://schemas.openxmlformats.org/officeDocument/2006/relationships/hyperlink" Target="http://europa.eu/rapid/press-release_MEMO-17-1281_en.htm" TargetMode="External"/><Relationship Id="rId390" Type="http://schemas.openxmlformats.org/officeDocument/2006/relationships/hyperlink" Target="http://europa.eu/rapid/press-release_MEMO-17-234_en.htm" TargetMode="External"/><Relationship Id="rId404" Type="http://schemas.openxmlformats.org/officeDocument/2006/relationships/hyperlink" Target="http://europa.eu/rapid/press-release_MEX-17-4652_en.htm" TargetMode="External"/><Relationship Id="rId446" Type="http://schemas.openxmlformats.org/officeDocument/2006/relationships/hyperlink" Target="https://eur-lex.europa.eu/legal-content/EN/TXT/?qid=1521717781508&amp;uri=CELEX:32008L0056" TargetMode="External"/><Relationship Id="rId611" Type="http://schemas.openxmlformats.org/officeDocument/2006/relationships/hyperlink" Target="http://europa.eu/rapid/press-release_IP-17-5109_en.htm" TargetMode="External"/><Relationship Id="rId250" Type="http://schemas.openxmlformats.org/officeDocument/2006/relationships/hyperlink" Target="http://eur-lex.europa.eu/legal-content/EN/TXT/?qid=1521638778501&amp;uri=CELEX:32015L1794" TargetMode="External"/><Relationship Id="rId292" Type="http://schemas.openxmlformats.org/officeDocument/2006/relationships/hyperlink" Target="http://eur-lex.europa.eu/legal-content/EN/TXT/?qid=1522076187169&amp;uri=CELEX:32011L0007" TargetMode="External"/><Relationship Id="rId306" Type="http://schemas.openxmlformats.org/officeDocument/2006/relationships/hyperlink" Target="http://eur-lex.europa.eu/legal-content/EN/TXT/?qid=1522075306455&amp;uri=CELEX:32006R1967" TargetMode="External"/><Relationship Id="rId488" Type="http://schemas.openxmlformats.org/officeDocument/2006/relationships/hyperlink" Target="http://europa.eu/rapid/press-release_MEMO-17-1935_en.htm" TargetMode="External"/><Relationship Id="rId45" Type="http://schemas.openxmlformats.org/officeDocument/2006/relationships/hyperlink" Target="http://curia.europa.eu/juris/liste.jsf?pro=&amp;nat=or&amp;oqp=&amp;dates=&amp;lg=&amp;language=en&amp;jur=C%2CT%2CF&amp;cit=none%252CC%252CCJ%252CR%252C2008E%252C%252C%252C%252C%252C%252C%252C%252C%252C%252Ctrue%252Cfalse%252Cfalse&amp;num=C-169%252F16&amp;td=%3BALL&amp;pcs=Oor&amp;avg=&amp;page=1&amp;mat=or&amp;jge=&amp;for=&amp;cid=213667" TargetMode="External"/><Relationship Id="rId87" Type="http://schemas.openxmlformats.org/officeDocument/2006/relationships/hyperlink" Target="http://curia.europa.eu/juris/liste.jsf?language=en&amp;jur=C,T,F&amp;num=C-488/15&amp;td=ALL" TargetMode="External"/><Relationship Id="rId110" Type="http://schemas.openxmlformats.org/officeDocument/2006/relationships/hyperlink" Target="http://europa.eu/rapid/press-release_IP-17-5002_en.htm" TargetMode="External"/><Relationship Id="rId348" Type="http://schemas.openxmlformats.org/officeDocument/2006/relationships/hyperlink" Target="http://europa.eu/rapid/press-release_IP-17-238_en.htm" TargetMode="External"/><Relationship Id="rId513" Type="http://schemas.openxmlformats.org/officeDocument/2006/relationships/hyperlink" Target="http://curia.europa.eu/juris/liste.jsf?pro=&amp;nat=or&amp;oqp=&amp;dates=&amp;lg=&amp;language=en&amp;jur=C%2CT%2CF&amp;cit=none%252CC%252CCJ%252CR%252C2008E%252C%252C%252C%252C%252C%252C%252C%252C%252C%252Ctrue%252Cfalse%252Cfalse&amp;num=C-112%252F16&amp;td=%3BALL&amp;pcs=Oor&amp;avg=&amp;page=1&amp;mat=or&amp;jge=&amp;for=&amp;cid=213667" TargetMode="External"/><Relationship Id="rId555" Type="http://schemas.openxmlformats.org/officeDocument/2006/relationships/hyperlink" Target="http://eur-lex.europa.eu/legal-content/AUTO/?uri=CELEX:32015L2087&amp;qid=1522056040163&amp;rid=1" TargetMode="External"/><Relationship Id="rId597" Type="http://schemas.openxmlformats.org/officeDocument/2006/relationships/hyperlink" Target="http://eur-lex.europa.eu/legal-content/EN/TXT/?qid=1521638028644&amp;uri=CELEX:32007L0065" TargetMode="External"/><Relationship Id="rId152" Type="http://schemas.openxmlformats.org/officeDocument/2006/relationships/hyperlink" Target="http://eur-lex.europa.eu/legal-content/EN/TXT/?qid=1521638856688&amp;uri=CELEX:32014L0112" TargetMode="External"/><Relationship Id="rId194" Type="http://schemas.openxmlformats.org/officeDocument/2006/relationships/hyperlink" Target="http://curia.europa.eu/juris/liste.jsf?pro=&amp;nat=or&amp;oqp=&amp;dates=&amp;lg=&amp;language=en&amp;jur=C%2CT%2CF&amp;cit=none%252CC%252CCJ%252CR%252C2008E%252C%252C%252C%252C%252C%252C%252C%252C%252C%252Ctrue%252Cfalse%252Cfalse&amp;num=C-393%252F16&amp;td=%3BALL&amp;pcs=Oor&amp;avg=&amp;page=1&amp;mat=or&amp;jge=&amp;for=&amp;cid=316764" TargetMode="External"/><Relationship Id="rId208" Type="http://schemas.openxmlformats.org/officeDocument/2006/relationships/hyperlink" Target="http://curia.europa.eu/juris/liste.jsf?language=en&amp;jur=C,T,F&amp;num=C-566/15&amp;td=ALL" TargetMode="External"/><Relationship Id="rId415" Type="http://schemas.openxmlformats.org/officeDocument/2006/relationships/hyperlink" Target="http://eur-lex.europa.eu/legal-content/EN/TXT/?qid=1522073025078&amp;uri=CELEX:32014L0091" TargetMode="External"/><Relationship Id="rId457" Type="http://schemas.openxmlformats.org/officeDocument/2006/relationships/hyperlink" Target="http://eur-lex.europa.eu/legal-content/EN/TXT/?qid=1522074360140&amp;uri=CELEX:32014L0025" TargetMode="External"/><Relationship Id="rId261" Type="http://schemas.openxmlformats.org/officeDocument/2006/relationships/hyperlink" Target="https://eur-lex.europa.eu/legal-content/EN/TXT/?qid=1521557526511&amp;uri=CELEX:32013L0040" TargetMode="External"/><Relationship Id="rId499" Type="http://schemas.openxmlformats.org/officeDocument/2006/relationships/hyperlink" Target="https://eur-lex.europa.eu/legal-content/EN/TXT/?qid=1522065782793&amp;uri=CELEX:31990L0314" TargetMode="External"/><Relationship Id="rId14" Type="http://schemas.openxmlformats.org/officeDocument/2006/relationships/hyperlink" Target="https://eur-lex.europa.eu/legal-content/EN/TXT/?qid=1521802250328&amp;uri=CELEX:32015L0652" TargetMode="External"/><Relationship Id="rId56" Type="http://schemas.openxmlformats.org/officeDocument/2006/relationships/hyperlink" Target="http://europa.eu/rapid/press-release_MEMO-17-1936_en.htm" TargetMode="External"/><Relationship Id="rId317" Type="http://schemas.openxmlformats.org/officeDocument/2006/relationships/hyperlink" Target="http://curia.europa.eu/juris/liste.jsf?language=en&amp;jur=C,T,F&amp;num=C-184/16&amp;td=ALL" TargetMode="External"/><Relationship Id="rId359" Type="http://schemas.openxmlformats.org/officeDocument/2006/relationships/hyperlink" Target="http://europa.eu/rapid/press-release_IP-16-3645_en.htm" TargetMode="External"/><Relationship Id="rId524" Type="http://schemas.openxmlformats.org/officeDocument/2006/relationships/hyperlink" Target="http://eur-lex.europa.eu/legal-content/AUTO/?uri=CELEX:32014L0089&amp;qid=1522053516448&amp;rid=1" TargetMode="External"/><Relationship Id="rId566" Type="http://schemas.openxmlformats.org/officeDocument/2006/relationships/hyperlink" Target="http://eur-lex.europa.eu/legal-content/AUTO/?uri=CELEX:32006L0126&amp;qid=1522056283572&amp;rid=1" TargetMode="External"/><Relationship Id="rId98" Type="http://schemas.openxmlformats.org/officeDocument/2006/relationships/hyperlink" Target="http://eur-lex.europa.eu/legal-content/EN/TXT/?qid=1521728859951&amp;uri=CELEX:32014L0097" TargetMode="External"/><Relationship Id="rId121" Type="http://schemas.openxmlformats.org/officeDocument/2006/relationships/hyperlink" Target="http://curia.europa.eu/juris/liste.jsf?language=en&amp;jur=C,T,F&amp;num=C-315/15&amp;td=ALL" TargetMode="External"/><Relationship Id="rId163" Type="http://schemas.openxmlformats.org/officeDocument/2006/relationships/hyperlink" Target="https://eur-lex.europa.eu/legal-content/EN/TXT/?qid=1521820643923&amp;uri=CELEX:32005L0029" TargetMode="External"/><Relationship Id="rId219" Type="http://schemas.openxmlformats.org/officeDocument/2006/relationships/hyperlink" Target="https://curia.europa.eu/jcms/upload/docs/application/pdf/2017-09/cp170092en.pdf" TargetMode="External"/><Relationship Id="rId370" Type="http://schemas.openxmlformats.org/officeDocument/2006/relationships/hyperlink" Target="http://eur-lex.europa.eu/legal-content/EN/TXT/?qid=1522070835724&amp;uri=CELEX:32014L0028" TargetMode="External"/><Relationship Id="rId426" Type="http://schemas.openxmlformats.org/officeDocument/2006/relationships/hyperlink" Target="http://eur-lex.europa.eu/legal-content/AUTO/?uri=CELEX:32014L0089&amp;qid=1522058494692&amp;rid=1" TargetMode="External"/><Relationship Id="rId230" Type="http://schemas.openxmlformats.org/officeDocument/2006/relationships/hyperlink" Target="https://ec.europa.eu/home-affairs/sites/homeaffairs/files/e-library/documents/policies/borders-and-visas/document-security/docs/comm_decision_c_2013_6178_en.pdf" TargetMode="External"/><Relationship Id="rId468" Type="http://schemas.openxmlformats.org/officeDocument/2006/relationships/hyperlink" Target="http://curia.europa.eu/juris/liste.jsf?language=en&amp;jur=C,T,F&amp;num=C-551/15&amp;td=ALL" TargetMode="External"/><Relationship Id="rId25" Type="http://schemas.openxmlformats.org/officeDocument/2006/relationships/hyperlink" Target="http://europa.eu/rapid/press-release_IP-17-1953_en.htm" TargetMode="External"/><Relationship Id="rId67" Type="http://schemas.openxmlformats.org/officeDocument/2006/relationships/hyperlink" Target="http://curia.europa.eu/juris/liste.jsf?language=en&amp;jur=C,T,F&amp;num=C-97/17&amp;td=ALL" TargetMode="External"/><Relationship Id="rId272" Type="http://schemas.openxmlformats.org/officeDocument/2006/relationships/hyperlink" Target="http://eur-lex.europa.eu/legal-content/EN/TXT/?qid=1522076346536&amp;uri=CELEX:32015L0652" TargetMode="External"/><Relationship Id="rId328" Type="http://schemas.openxmlformats.org/officeDocument/2006/relationships/hyperlink" Target="http://eur-lex.europa.eu/legal-content/EN/TXT/?qid=1522070128787&amp;uri=CELEX:32014L0095" TargetMode="External"/><Relationship Id="rId535" Type="http://schemas.openxmlformats.org/officeDocument/2006/relationships/hyperlink" Target="https://eur-lex.europa.eu/legal-content/EN/TXT/?qid=1521646324831&amp;uri=CELEX:32009L0072" TargetMode="External"/><Relationship Id="rId577" Type="http://schemas.openxmlformats.org/officeDocument/2006/relationships/hyperlink" Target="http://eur-lex.europa.eu/legal-content/AUTO/?uri=CELEX:32011L0051&amp;qid=1522056791616&amp;rid=1" TargetMode="External"/><Relationship Id="rId132" Type="http://schemas.openxmlformats.org/officeDocument/2006/relationships/hyperlink" Target="https://eur-lex.europa.eu/legal-content/EN/TXT/?qid=1521730167006&amp;uri=CELEX:32006L0118" TargetMode="External"/><Relationship Id="rId174" Type="http://schemas.openxmlformats.org/officeDocument/2006/relationships/hyperlink" Target="https://eur-lex.europa.eu/legal-content/EN/TXT/?qid=1521712626680&amp;uri=CELEX:32015L2087" TargetMode="External"/><Relationship Id="rId381" Type="http://schemas.openxmlformats.org/officeDocument/2006/relationships/hyperlink" Target="http://eur-lex.europa.eu/legal-content/EN/TXT/?qid=1521638982959&amp;uri=CELEX:31999L0070" TargetMode="External"/><Relationship Id="rId602" Type="http://schemas.openxmlformats.org/officeDocument/2006/relationships/hyperlink" Target="https://eur-lex.europa.eu/legal-content/EN/TXT/?qid=1521545327221&amp;uri=CELEX:32014L0036" TargetMode="External"/><Relationship Id="rId241" Type="http://schemas.openxmlformats.org/officeDocument/2006/relationships/hyperlink" Target="https://eur-lex.europa.eu/legal-content/EN/TXT/?qid=1521717711169&amp;uri=CELEX:32000L0060" TargetMode="External"/><Relationship Id="rId437" Type="http://schemas.openxmlformats.org/officeDocument/2006/relationships/hyperlink" Target="https://eur-lex.europa.eu/legal-content/EN/TXT/?qid=1521646324831&amp;uri=CELEX:32009L0072" TargetMode="External"/><Relationship Id="rId479" Type="http://schemas.openxmlformats.org/officeDocument/2006/relationships/hyperlink" Target="http://europa.eu/rapid/press-release_MEMO-17-234_en.htm" TargetMode="External"/><Relationship Id="rId36" Type="http://schemas.openxmlformats.org/officeDocument/2006/relationships/hyperlink" Target="http://eur-lex.europa.eu/legal-content/EN/TXT/?qid=1521726500980&amp;uri=CELEX:32013L0050" TargetMode="External"/><Relationship Id="rId283" Type="http://schemas.openxmlformats.org/officeDocument/2006/relationships/hyperlink" Target="http://eur-lex.europa.eu/legal-content/EN/TXT/?qid=1522076088221&amp;uri=CELEX:31991L0676" TargetMode="External"/><Relationship Id="rId339" Type="http://schemas.openxmlformats.org/officeDocument/2006/relationships/hyperlink" Target="http://eur-lex.europa.eu/legal-content/EN/TXT/?qid=1522070268843&amp;uri=CELEX:32008L0098" TargetMode="External"/><Relationship Id="rId490" Type="http://schemas.openxmlformats.org/officeDocument/2006/relationships/hyperlink" Target="https://eur-lex.europa.eu/legal-content/EN/TXT/?qid=1521717466496&amp;uri=CELEX:31999L0031" TargetMode="External"/><Relationship Id="rId504" Type="http://schemas.openxmlformats.org/officeDocument/2006/relationships/hyperlink" Target="https://eur-lex.europa.eu/legal-content/EN/TXT/?qid=1522065910447&amp;uri=CELEX:32011L0095" TargetMode="External"/><Relationship Id="rId546" Type="http://schemas.openxmlformats.org/officeDocument/2006/relationships/hyperlink" Target="http://europa.eu/rapid/press-release_MEMO-17-3494_en.htm" TargetMode="External"/><Relationship Id="rId78" Type="http://schemas.openxmlformats.org/officeDocument/2006/relationships/hyperlink" Target="https://eur-lex.europa.eu/legal-content/EN/TXT/?qid=1521730167006&amp;uri=CELEX:32006L0118" TargetMode="External"/><Relationship Id="rId101" Type="http://schemas.openxmlformats.org/officeDocument/2006/relationships/hyperlink" Target="https://eur-lex.europa.eu/legal-content/EN/TXT/?qid=1521813846684&amp;uri=CELEX:31998L0070" TargetMode="External"/><Relationship Id="rId143" Type="http://schemas.openxmlformats.org/officeDocument/2006/relationships/hyperlink" Target="https://eur-lex.europa.eu/legal-content/EN/TXT/?qid=1521717808641&amp;uri=CELEX:32008L0050" TargetMode="External"/><Relationship Id="rId185" Type="http://schemas.openxmlformats.org/officeDocument/2006/relationships/hyperlink" Target="http://curia.europa.eu/juris/liste.jsf?language=en&amp;jur=C,T,F&amp;num=C-482/14&amp;td=ALL" TargetMode="External"/><Relationship Id="rId350" Type="http://schemas.openxmlformats.org/officeDocument/2006/relationships/hyperlink" Target="http://curia.europa.eu/juris/liste.jsf?language=en&amp;jur=C,T,F&amp;num=C-181/17&amp;td=ALL" TargetMode="External"/><Relationship Id="rId406" Type="http://schemas.openxmlformats.org/officeDocument/2006/relationships/hyperlink" Target="http://curia.europa.eu/juris/liste.jsf?language=en&amp;jur=C,T,F&amp;num=C-416/17&amp;td=ALL" TargetMode="External"/><Relationship Id="rId588" Type="http://schemas.openxmlformats.org/officeDocument/2006/relationships/hyperlink" Target="https://eur-lex.europa.eu/legal-content/EN/TXT/?qid=1521646095966&amp;uri=CELEX:32010L0031" TargetMode="External"/><Relationship Id="rId9" Type="http://schemas.openxmlformats.org/officeDocument/2006/relationships/hyperlink" Target="https://eur-lex.europa.eu/legal-content/EN/TXT/?qid=1521710861264&amp;uri=CELEX:32005R2150" TargetMode="External"/><Relationship Id="rId210" Type="http://schemas.openxmlformats.org/officeDocument/2006/relationships/hyperlink" Target="http://curia.europa.eu/juris/liste.jsf?language=en&amp;jur=C,T,F&amp;num=C-613/16&amp;td=ALL" TargetMode="External"/><Relationship Id="rId392" Type="http://schemas.openxmlformats.org/officeDocument/2006/relationships/hyperlink" Target="http://europa.eu/rapid/press-release_MEMO-17-1281_en.htm" TargetMode="External"/><Relationship Id="rId448" Type="http://schemas.openxmlformats.org/officeDocument/2006/relationships/hyperlink" Target="http://europa.eu/rapid/press-release_MEMO-17-3494_en.htm" TargetMode="External"/><Relationship Id="rId613" Type="http://schemas.openxmlformats.org/officeDocument/2006/relationships/hyperlink" Target="http://curia.europa.eu/juris/liste.jsf?language=en&amp;jur=C,T,F&amp;num=C-357/16&amp;td=ALL" TargetMode="External"/><Relationship Id="rId252" Type="http://schemas.openxmlformats.org/officeDocument/2006/relationships/hyperlink" Target="http://curia.europa.eu/juris/liste.jsf?language=en&amp;jur=C,T,F&amp;num=C-427/17&amp;td=ALL" TargetMode="External"/><Relationship Id="rId294" Type="http://schemas.openxmlformats.org/officeDocument/2006/relationships/hyperlink" Target="http://curia.europa.eu/juris/liste.jsf?language=en&amp;jur=C,T,F&amp;num=C-93/17&amp;td=ALL" TargetMode="External"/><Relationship Id="rId308" Type="http://schemas.openxmlformats.org/officeDocument/2006/relationships/hyperlink" Target="http://eur-lex.europa.eu/legal-content/EN/TXT/?qid=1522075471034&amp;uri=CELEX:32008L0098" TargetMode="External"/><Relationship Id="rId515" Type="http://schemas.openxmlformats.org/officeDocument/2006/relationships/hyperlink" Target="http://curia.europa.eu/juris/liste.jsf?language=en&amp;jur=C,T,F&amp;num=C-265/16&amp;td=ALL" TargetMode="External"/><Relationship Id="rId47" Type="http://schemas.openxmlformats.org/officeDocument/2006/relationships/hyperlink" Target="http://curia.europa.eu/juris/liste.jsf?language=en&amp;jur=C,T,F&amp;num=C-580/15&amp;td=ALL" TargetMode="External"/><Relationship Id="rId89" Type="http://schemas.openxmlformats.org/officeDocument/2006/relationships/hyperlink" Target="https://eur-lex.europa.eu/legal-content/EN/TXT/?uri=OJ%3AJOL_2015_239_R_0011" TargetMode="External"/><Relationship Id="rId112" Type="http://schemas.openxmlformats.org/officeDocument/2006/relationships/hyperlink" Target="http://curia.europa.eu/juris/liste.jsf?language=en&amp;jur=C,T,F&amp;num=C-399/17&amp;td=ALL" TargetMode="External"/><Relationship Id="rId154" Type="http://schemas.openxmlformats.org/officeDocument/2006/relationships/hyperlink" Target="https://eur-lex.europa.eu/legal-content/EN/TXT/?qid=1521820248835&amp;uri=CELEX:32014L0097" TargetMode="External"/><Relationship Id="rId361" Type="http://schemas.openxmlformats.org/officeDocument/2006/relationships/hyperlink" Target="http://curia.europa.eu/juris/liste.jsf?language=en&amp;jur=C,T,F&amp;num=C-569/17&amp;td=ALL" TargetMode="External"/><Relationship Id="rId557" Type="http://schemas.openxmlformats.org/officeDocument/2006/relationships/hyperlink" Target="http://eur-lex.europa.eu/legal-content/AUTO/?uri=CELEX:32015L2087&amp;qid=1522056040163&amp;rid=1" TargetMode="External"/><Relationship Id="rId599" Type="http://schemas.openxmlformats.org/officeDocument/2006/relationships/hyperlink" Target="https://ec.europa.eu/home-affairs/sites/homeaffairs/files/e-library/documents/policies/borders-and-visas/document-security/docs/comm_decision_c_2013_6181_en_.pdf" TargetMode="External"/><Relationship Id="rId196" Type="http://schemas.openxmlformats.org/officeDocument/2006/relationships/hyperlink" Target="https://eur-lex.europa.eu/legal-content/EN/TXT/?qid=1521731667240&amp;uri=CELEX:32006R1907" TargetMode="External"/><Relationship Id="rId417" Type="http://schemas.openxmlformats.org/officeDocument/2006/relationships/hyperlink" Target="http://curia.europa.eu/juris/liste.jsf?pro=&amp;nat=or&amp;oqp=&amp;dates=&amp;lg=&amp;language=en&amp;jur=C%2CT%2CF&amp;cit=none%252CC%252CCJ%252CR%252C2008E%252C%252C%252C%252C%252C%252C%252C%252C%252C%252Ctrue%252Cfalse%252Cfalse&amp;num=C-671%252F15&amp;td=%3BALL&amp;pcs=Oor&amp;avg=&amp;page=1&amp;mat=or&amp;jge=&amp;for=&amp;cid=316764" TargetMode="External"/><Relationship Id="rId459" Type="http://schemas.openxmlformats.org/officeDocument/2006/relationships/hyperlink" Target="http://eur-lex.europa.eu/legal-content/EN/TXT/?qid=1522074397868&amp;uri=CELEX:32014L0028" TargetMode="External"/><Relationship Id="rId16" Type="http://schemas.openxmlformats.org/officeDocument/2006/relationships/hyperlink" Target="https://eur-lex.europa.eu/legal-content/EN/TXT/?qid=1521804065893&amp;uri=CELEX:32015L0849" TargetMode="External"/><Relationship Id="rId221" Type="http://schemas.openxmlformats.org/officeDocument/2006/relationships/hyperlink" Target="https://eur-lex.europa.eu/legal-content/EN/TXT/?qid=1521646366481&amp;uri=CELEX:32009L0073" TargetMode="External"/><Relationship Id="rId263" Type="http://schemas.openxmlformats.org/officeDocument/2006/relationships/hyperlink" Target="http://curia.europa.eu/juris/liste.jsf?language=en&amp;jur=C,T,F&amp;num=C-552/15&amp;td=ALL" TargetMode="External"/><Relationship Id="rId319" Type="http://schemas.openxmlformats.org/officeDocument/2006/relationships/hyperlink" Target="http://europa.eu/rapid/press-release_MEMO-17-4767_en.htm" TargetMode="External"/><Relationship Id="rId470" Type="http://schemas.openxmlformats.org/officeDocument/2006/relationships/hyperlink" Target="http://eur-lex.europa.eu/legal-content/EN/TXT/?qid=1522073526665&amp;uri=CELEX:32008L0098" TargetMode="External"/><Relationship Id="rId526" Type="http://schemas.openxmlformats.org/officeDocument/2006/relationships/hyperlink" Target="http://eur-lex.europa.eu/legal-content/EN/TXT/?qid=1521648350685&amp;uri=CELEX:32014L0092" TargetMode="External"/><Relationship Id="rId58" Type="http://schemas.openxmlformats.org/officeDocument/2006/relationships/hyperlink" Target="http://europa.eu/rapid/press-release_MEMO-17-4767_en.htm" TargetMode="External"/><Relationship Id="rId123" Type="http://schemas.openxmlformats.org/officeDocument/2006/relationships/hyperlink" Target="https://eur-lex.europa.eu/legal-content/EN/TXT/?qid=1521646324831&amp;uri=CELEX:32009L0072" TargetMode="External"/><Relationship Id="rId330" Type="http://schemas.openxmlformats.org/officeDocument/2006/relationships/hyperlink" Target="http://europa.eu/rapid/press-release_MEMO-17-234_en.htm" TargetMode="External"/><Relationship Id="rId568" Type="http://schemas.openxmlformats.org/officeDocument/2006/relationships/hyperlink" Target="http://eur-lex.europa.eu/legal-content/EN/TXT/?qid=1521649763709&amp;uri=CELEX:32014L0065" TargetMode="External"/><Relationship Id="rId165" Type="http://schemas.openxmlformats.org/officeDocument/2006/relationships/hyperlink" Target="https://eur-lex.europa.eu/legal-content/EN/TXT/?qid=1521820733717&amp;uri=CELEX:32014R1321" TargetMode="External"/><Relationship Id="rId372" Type="http://schemas.openxmlformats.org/officeDocument/2006/relationships/hyperlink" Target="https://eur-lex.europa.eu/legal-content/EN/TXT/?qid=1521645883308&amp;uri=CELEX:32013L0051" TargetMode="External"/><Relationship Id="rId428" Type="http://schemas.openxmlformats.org/officeDocument/2006/relationships/hyperlink" Target="http://eur-lex.europa.eu/legal-content/EN/TXT/?qid=1521649763709&amp;uri=CELEX:32014L0065" TargetMode="External"/><Relationship Id="rId232" Type="http://schemas.openxmlformats.org/officeDocument/2006/relationships/hyperlink" Target="http://eur-lex.europa.eu/legal-content/EN/TXT/?qid=1521726408366&amp;uri=CELEX:32013L0034" TargetMode="External"/><Relationship Id="rId274" Type="http://schemas.openxmlformats.org/officeDocument/2006/relationships/hyperlink" Target="http://eur-lex.europa.eu/legal-content/EN/TXT/?qid=1522076004691&amp;uri=CELEX:32013L0055" TargetMode="External"/><Relationship Id="rId481" Type="http://schemas.openxmlformats.org/officeDocument/2006/relationships/hyperlink" Target="http://europa.eu/rapid/press-release_MEMO-17-1280_en.htm" TargetMode="External"/><Relationship Id="rId27" Type="http://schemas.openxmlformats.org/officeDocument/2006/relationships/hyperlink" Target="http://curia.europa.eu/juris/liste.jsf?pro=&amp;nat=or&amp;oqp=&amp;dates=&amp;lg=&amp;language=en&amp;jur=C%2CT%2CF&amp;cit=none%252CC%252CCJ%252CR%252C2008E%252C%252C%252C%252C%252C%252C%252C%252C%252C%252Ctrue%252Cfalse%252Cfalse&amp;num=C-543%252F17&amp;td=%3BALL&amp;pcs=Oor&amp;avg=&amp;page=1&amp;mat=or&amp;jge=&amp;for=&amp;cid=320339" TargetMode="External"/><Relationship Id="rId48" Type="http://schemas.openxmlformats.org/officeDocument/2006/relationships/hyperlink" Target="https://eur-lex.europa.eu/legal-content/EN/TXT/?qid=1521718542957&amp;uri=CELEX:32011L0096" TargetMode="External"/><Relationship Id="rId69" Type="http://schemas.openxmlformats.org/officeDocument/2006/relationships/hyperlink" Target="https://eur-lex.europa.eu/legal-content/EN/TXT/?qid=1521646095966&amp;uri=CELEX:32010L0031" TargetMode="External"/><Relationship Id="rId113" Type="http://schemas.openxmlformats.org/officeDocument/2006/relationships/hyperlink" Target="http://europa.eu/rapid/press-release_IP-16-2492_en.htm" TargetMode="External"/><Relationship Id="rId134" Type="http://schemas.openxmlformats.org/officeDocument/2006/relationships/hyperlink" Target="https://eur-lex.europa.eu/legal-content/EN/TXT/?qid=1522048485944&amp;uri=CELEX:32014L0059" TargetMode="External"/><Relationship Id="rId320" Type="http://schemas.openxmlformats.org/officeDocument/2006/relationships/hyperlink" Target="http://eur-lex.europa.eu/legal-content/EN/TXT/?qid=1522069832380&amp;uri=CELEX:32012L0034" TargetMode="External"/><Relationship Id="rId537" Type="http://schemas.openxmlformats.org/officeDocument/2006/relationships/hyperlink" Target="http://europa.eu/rapid/press-release_MEMO-17-4767_en.htm" TargetMode="External"/><Relationship Id="rId558" Type="http://schemas.openxmlformats.org/officeDocument/2006/relationships/hyperlink" Target="http://eur-lex.europa.eu/legal-content/AUTO/?uri=CELEX:32000L0059&amp;qid=1522056070615&amp;rid=1" TargetMode="External"/><Relationship Id="rId579" Type="http://schemas.openxmlformats.org/officeDocument/2006/relationships/hyperlink" Target="http://eur-lex.europa.eu/legal-content/EN/TXT/?qid=1521726500980&amp;uri=CELEX:32013L0050" TargetMode="External"/><Relationship Id="rId80" Type="http://schemas.openxmlformats.org/officeDocument/2006/relationships/hyperlink" Target="http://eur-lex.europa.eu/legal-content/EN/TXT/?qid=1521726342201&amp;uri=CELEX:32014L0051" TargetMode="External"/><Relationship Id="rId155" Type="http://schemas.openxmlformats.org/officeDocument/2006/relationships/hyperlink" Target="https://eur-lex.europa.eu/legal-content/EN/TXT/?qid=1521820277744&amp;uri=CELEX:32014L0098" TargetMode="External"/><Relationship Id="rId176" Type="http://schemas.openxmlformats.org/officeDocument/2006/relationships/hyperlink" Target="http://eur-lex.europa.eu/legal-content/EN/TXT/?qid=1521648963663&amp;uri=CELEX:32014L0095" TargetMode="External"/><Relationship Id="rId197" Type="http://schemas.openxmlformats.org/officeDocument/2006/relationships/hyperlink" Target="http://curia.europa.eu/juris/liste.jsf?language=en&amp;jur=C,T,F&amp;num=C-535/15&amp;td=ALL" TargetMode="External"/><Relationship Id="rId341" Type="http://schemas.openxmlformats.org/officeDocument/2006/relationships/hyperlink" Target="http://europa.eu/rapid/press-release_MEMO-17-1281_en.htm" TargetMode="External"/><Relationship Id="rId362" Type="http://schemas.openxmlformats.org/officeDocument/2006/relationships/hyperlink" Target="http://europa.eu/rapid/press-release_IP-17-1049_en.htm" TargetMode="External"/><Relationship Id="rId383" Type="http://schemas.openxmlformats.org/officeDocument/2006/relationships/hyperlink" Target="http://curia.europa.eu/juris/liste.jsf?language=en&amp;jur=C,T,F&amp;num=C-215/16&amp;td=ALL" TargetMode="External"/><Relationship Id="rId418" Type="http://schemas.openxmlformats.org/officeDocument/2006/relationships/hyperlink" Target="https://curia.europa.eu/jcms/upload/docs/application/pdf/2017-11/cp170120en.pdf" TargetMode="External"/><Relationship Id="rId439" Type="http://schemas.openxmlformats.org/officeDocument/2006/relationships/hyperlink" Target="http://europa.eu/rapid/press-release_MEMO-17-1936_en.htm" TargetMode="External"/><Relationship Id="rId590" Type="http://schemas.openxmlformats.org/officeDocument/2006/relationships/hyperlink" Target="https://eur-lex.europa.eu/legal-content/EN/TXT/?qid=1521646366481&amp;uri=CELEX:32009L0073" TargetMode="External"/><Relationship Id="rId604" Type="http://schemas.openxmlformats.org/officeDocument/2006/relationships/hyperlink" Target="http://eur-lex.europa.eu/legal-content/EN/TXT/?qid=1521726500980&amp;uri=CELEX:32013L0050" TargetMode="External"/><Relationship Id="rId201" Type="http://schemas.openxmlformats.org/officeDocument/2006/relationships/hyperlink" Target="https://curia.europa.eu/jcms/upload/docs/application/pdf/2017-12/cp170137en.pdf" TargetMode="External"/><Relationship Id="rId222" Type="http://schemas.openxmlformats.org/officeDocument/2006/relationships/hyperlink" Target="http://europa.eu/rapid/press-release_MEMO-17-1281_en.htm" TargetMode="External"/><Relationship Id="rId243" Type="http://schemas.openxmlformats.org/officeDocument/2006/relationships/hyperlink" Target="http://europa.eu/rapid/press-release_MEMO-17-4767_en.htm" TargetMode="External"/><Relationship Id="rId264" Type="http://schemas.openxmlformats.org/officeDocument/2006/relationships/hyperlink" Target="http://europa.eu/rapid/press-release_IP-15-5355_en.htm" TargetMode="External"/><Relationship Id="rId285" Type="http://schemas.openxmlformats.org/officeDocument/2006/relationships/hyperlink" Target="http://europa.eu/rapid/press-release_MEMO-17-1281_en.htm" TargetMode="External"/><Relationship Id="rId450" Type="http://schemas.openxmlformats.org/officeDocument/2006/relationships/hyperlink" Target="http://eur-lex.europa.eu/legal-content/EN/TXT/?qid=1522074251913&amp;uri=CELEX:32014L0017" TargetMode="External"/><Relationship Id="rId471" Type="http://schemas.openxmlformats.org/officeDocument/2006/relationships/hyperlink" Target="http://curia.europa.eu/juris/liste.jsf?language=en&amp;jur=C,T,F&amp;num=C-335/16&amp;td=ALL" TargetMode="External"/><Relationship Id="rId506" Type="http://schemas.openxmlformats.org/officeDocument/2006/relationships/hyperlink" Target="http://eur-lex.europa.eu/legal-content/EN/TXT/?qid=1521726221502&amp;uri=CELEX:32009L0138" TargetMode="External"/><Relationship Id="rId17" Type="http://schemas.openxmlformats.org/officeDocument/2006/relationships/hyperlink" Target="http://europa.eu/rapid/press-release_MEMO-17-4767_en.htm" TargetMode="External"/><Relationship Id="rId38" Type="http://schemas.openxmlformats.org/officeDocument/2006/relationships/hyperlink" Target="https://eur-lex.europa.eu/legal-content/EN/TXT/?qid=1521712669727&amp;uri=CELEX:32000L0059" TargetMode="External"/><Relationship Id="rId59" Type="http://schemas.openxmlformats.org/officeDocument/2006/relationships/hyperlink" Target="https://eur-lex.europa.eu/legal-content/EN/TXT/?qid=1521538767577&amp;uri=CELEX:32014L0089" TargetMode="External"/><Relationship Id="rId103" Type="http://schemas.openxmlformats.org/officeDocument/2006/relationships/hyperlink" Target="https://eur-lex.europa.eu/legal-content/EN/TXT/?qid=1521645914219&amp;uri=CELEX:32011L0070" TargetMode="External"/><Relationship Id="rId124" Type="http://schemas.openxmlformats.org/officeDocument/2006/relationships/hyperlink" Target="http://europa.eu/rapid/press-release_MEMO-17-4767_en.htm" TargetMode="External"/><Relationship Id="rId310" Type="http://schemas.openxmlformats.org/officeDocument/2006/relationships/hyperlink" Target="http://curia.europa.eu/juris/liste.jsf?language=en&amp;jur=C,T,F&amp;num=C-202/16&amp;td=ALL" TargetMode="External"/><Relationship Id="rId492" Type="http://schemas.openxmlformats.org/officeDocument/2006/relationships/hyperlink" Target="http://europa.eu/rapid/press-release_IP-17-1283_en.htm" TargetMode="External"/><Relationship Id="rId527" Type="http://schemas.openxmlformats.org/officeDocument/2006/relationships/hyperlink" Target="http://europa.eu/rapid/press-release_MEMO-17-1045_en.htm" TargetMode="External"/><Relationship Id="rId548" Type="http://schemas.openxmlformats.org/officeDocument/2006/relationships/hyperlink" Target="http://eur-lex.europa.eu/legal-content/AUTO/?uri=CELEX:32014L0025&amp;qid=1522055808569&amp;rid=1" TargetMode="External"/><Relationship Id="rId569" Type="http://schemas.openxmlformats.org/officeDocument/2006/relationships/hyperlink" Target="https://eur-lex.europa.eu/legal-content/EN/TXT/?qid=1521804065893&amp;uri=CELEX:32015L0849" TargetMode="External"/><Relationship Id="rId70" Type="http://schemas.openxmlformats.org/officeDocument/2006/relationships/hyperlink" Target="http://eur-lex.europa.eu/legal-content/EN/TXT/?qid=1521638028644&amp;uri=CELEX:32007L0065" TargetMode="External"/><Relationship Id="rId91" Type="http://schemas.openxmlformats.org/officeDocument/2006/relationships/hyperlink" Target="http://europa.eu/rapid/press-release_IP-17-5002_en.htm" TargetMode="External"/><Relationship Id="rId145" Type="http://schemas.openxmlformats.org/officeDocument/2006/relationships/hyperlink" Target="https://eur-lex.europa.eu/legal-content/EN/TXT/?qid=1521726742344&amp;uri=CELEX:32002L0049" TargetMode="External"/><Relationship Id="rId166" Type="http://schemas.openxmlformats.org/officeDocument/2006/relationships/hyperlink" Target="https://eur-lex.europa.eu/legal-content/EN/TXT/?qid=1528193493180&amp;uri=CELEX:32016R0399" TargetMode="External"/><Relationship Id="rId187" Type="http://schemas.openxmlformats.org/officeDocument/2006/relationships/hyperlink" Target="http://curia.europa.eu/juris/liste.jsf?pro=&amp;nat=or&amp;oqp=&amp;dates=&amp;lg=&amp;language=en&amp;jur=C%2CT%2CF&amp;cit=none%252CC%252CCJ%252CR%252C2008E%252C%252C%252C%252C%252C%252C%252C%252C%252C%252Ctrue%252Cfalse%252Cfalse&amp;num=T-97%252F09&amp;td=%3BALL&amp;pcs=Oor&amp;avg=&amp;page=1&amp;mat=or&amp;jge=&amp;for=&amp;cid=170705" TargetMode="External"/><Relationship Id="rId331" Type="http://schemas.openxmlformats.org/officeDocument/2006/relationships/hyperlink" Target="http://europa.eu/rapid/press-release_MEMO-17-1935_en.htm" TargetMode="External"/><Relationship Id="rId352" Type="http://schemas.openxmlformats.org/officeDocument/2006/relationships/hyperlink" Target="http://europa.eu/rapid/press-release_MEMO-16-3644_en.htm" TargetMode="External"/><Relationship Id="rId373" Type="http://schemas.openxmlformats.org/officeDocument/2006/relationships/hyperlink" Target="http://eur-lex.europa.eu/legal-content/EN/TXT/?qid=1521638895462&amp;uri=CELEX:32003L0088" TargetMode="External"/><Relationship Id="rId394" Type="http://schemas.openxmlformats.org/officeDocument/2006/relationships/hyperlink" Target="https://eur-lex.europa.eu/legal-content/EN/TXT/?qid=1521815878910&amp;uri=CELEX:32015L0652" TargetMode="External"/><Relationship Id="rId408" Type="http://schemas.openxmlformats.org/officeDocument/2006/relationships/hyperlink" Target="http://eur-lex.europa.eu/legal-content/EN/TXT/?qid=1522072822172&amp;uri=CELEX:32014L0066" TargetMode="External"/><Relationship Id="rId429" Type="http://schemas.openxmlformats.org/officeDocument/2006/relationships/hyperlink" Target="http://eur-lex.europa.eu/legal-content/EN/TXT/?qid=1521648350685&amp;uri=CELEX:32014L0092" TargetMode="External"/><Relationship Id="rId580" Type="http://schemas.openxmlformats.org/officeDocument/2006/relationships/hyperlink" Target="http://eur-lex.europa.eu/legal-content/AUTO/?uri=CELEX:32011L0051&amp;qid=1522056791616&amp;rid=1" TargetMode="External"/><Relationship Id="rId615" Type="http://schemas.openxmlformats.org/officeDocument/2006/relationships/hyperlink" Target="http://curia.europa.eu/juris/liste.jsf?language=en&amp;jur=C,T,F&amp;num=C-151/16&amp;td=ALL" TargetMode="External"/><Relationship Id="rId1" Type="http://schemas.openxmlformats.org/officeDocument/2006/relationships/hyperlink" Target="https://eur-lex.europa.eu/legal-content/EN/TXT/?qid=1521725890635&amp;uri=CELEX:32008L0098" TargetMode="External"/><Relationship Id="rId212" Type="http://schemas.openxmlformats.org/officeDocument/2006/relationships/hyperlink" Target="http://curia.europa.eu/juris/liste.jsf?pro=&amp;nat=or&amp;oqp=&amp;dates=&amp;lg=&amp;language=en&amp;jur=C%2CT%2CF&amp;cit=none%252CC%252CCJ%252CR%252C2008E%252C%252C%252C%252C%252C%252C%252C%252C%252C%252Ctrue%252Cfalse%252Cfalse&amp;num=C-541%252F15&amp;td=%3BALL&amp;pcs=Oor&amp;avg=&amp;page=1&amp;mat=or&amp;jge=&amp;for=&amp;cid=170705" TargetMode="External"/><Relationship Id="rId233" Type="http://schemas.openxmlformats.org/officeDocument/2006/relationships/hyperlink" Target="https://eur-lex.europa.eu/legal-content/EN/TXT/?qid=1522065036738&amp;uri=CELEX:32014D0091" TargetMode="External"/><Relationship Id="rId254" Type="http://schemas.openxmlformats.org/officeDocument/2006/relationships/hyperlink" Target="https://eur-lex.europa.eu/legal-content/EN/TXT/?qid=1521718810158&amp;uri=CELEX:32003L0096" TargetMode="External"/><Relationship Id="rId440" Type="http://schemas.openxmlformats.org/officeDocument/2006/relationships/hyperlink" Target="https://eur-lex.europa.eu/legal-content/EN/TXT/?qid=1521717641850&amp;uri=CELEX:32009L0147" TargetMode="External"/><Relationship Id="rId28" Type="http://schemas.openxmlformats.org/officeDocument/2006/relationships/hyperlink" Target="http://europa.eu/rapid/press-release_IP-17-1937_en.htm" TargetMode="External"/><Relationship Id="rId49" Type="http://schemas.openxmlformats.org/officeDocument/2006/relationships/hyperlink" Target="http://curia.europa.eu/juris/liste.jsf?language=en&amp;jur=C,T,F&amp;num=C-68/15&amp;td=ALL" TargetMode="External"/><Relationship Id="rId114" Type="http://schemas.openxmlformats.org/officeDocument/2006/relationships/hyperlink" Target="http://eur-lex.europa.eu/legal-content/EN/TXT/?qid=1521729250734&amp;uri=CELEX:32009R1107" TargetMode="External"/><Relationship Id="rId275" Type="http://schemas.openxmlformats.org/officeDocument/2006/relationships/hyperlink" Target="http://eur-lex.europa.eu/legal-content/AUTO/?uri=CELEX:32014L0089&amp;qid=1522058494692&amp;rid=1" TargetMode="External"/><Relationship Id="rId296" Type="http://schemas.openxmlformats.org/officeDocument/2006/relationships/hyperlink" Target="http://eur-lex.europa.eu/legal-content/EN/TXT/?qid=1521730329760&amp;uri=CELEX:32005L0036" TargetMode="External"/><Relationship Id="rId300" Type="http://schemas.openxmlformats.org/officeDocument/2006/relationships/hyperlink" Target="http://eur-lex.europa.eu/legal-content/EN/TXT/?qid=1521726408366&amp;uri=CELEX:32013L0034" TargetMode="External"/><Relationship Id="rId461" Type="http://schemas.openxmlformats.org/officeDocument/2006/relationships/hyperlink" Target="http://eur-lex.europa.eu/legal-content/EN/TXT/?qid=1522074495064&amp;uri=CELEX:32000L0059" TargetMode="External"/><Relationship Id="rId482" Type="http://schemas.openxmlformats.org/officeDocument/2006/relationships/hyperlink" Target="https://eur-lex.europa.eu/legal-content/EN/TXT/?qid=1521717808641&amp;uri=CELEX:32008L0050" TargetMode="External"/><Relationship Id="rId517" Type="http://schemas.openxmlformats.org/officeDocument/2006/relationships/hyperlink" Target="http://curia.europa.eu/juris/liste.jsf?language=en&amp;jur=C,T,F&amp;num=C-449/16&amp;td=ALL" TargetMode="External"/><Relationship Id="rId538" Type="http://schemas.openxmlformats.org/officeDocument/2006/relationships/hyperlink" Target="http://europa.eu/rapid/press-release_MEMO-17-234_en.htm" TargetMode="External"/><Relationship Id="rId559" Type="http://schemas.openxmlformats.org/officeDocument/2006/relationships/hyperlink" Target="http://eur-lex.europa.eu/legal-content/AUTO/?uri=CELEX:32014L0049&amp;qid=1522056159136&amp;rid=1" TargetMode="External"/><Relationship Id="rId60" Type="http://schemas.openxmlformats.org/officeDocument/2006/relationships/hyperlink" Target="http://europa.eu/rapid/press-release_MEMO-17-1935_en.htm" TargetMode="External"/><Relationship Id="rId81" Type="http://schemas.openxmlformats.org/officeDocument/2006/relationships/hyperlink" Target="https://eur-lex.europa.eu/legal-content/EN/TXT/?qid=1521712626680&amp;uri=CELEX:32015L2087" TargetMode="External"/><Relationship Id="rId135" Type="http://schemas.openxmlformats.org/officeDocument/2006/relationships/hyperlink" Target="http://eur-lex.europa.eu/legal-content/EN/TXT/?qid=1521726500980&amp;uri=CELEX:32013L0050" TargetMode="External"/><Relationship Id="rId156" Type="http://schemas.openxmlformats.org/officeDocument/2006/relationships/hyperlink" Target="https://eur-lex.europa.eu/legal-content/EN/TXT/?qid=1521820310762&amp;uri=CELEX:32006L0040" TargetMode="External"/><Relationship Id="rId177" Type="http://schemas.openxmlformats.org/officeDocument/2006/relationships/hyperlink" Target="https://eur-lex.europa.eu/legal-content/EN/TXT/?qid=1521717571342&amp;uri=CELEX:31992L0043" TargetMode="External"/><Relationship Id="rId198" Type="http://schemas.openxmlformats.org/officeDocument/2006/relationships/hyperlink" Target="http://curia.europa.eu/juris/liste.jsf?language=en&amp;jur=C,T,F&amp;num=C-670/15&amp;td=ALL" TargetMode="External"/><Relationship Id="rId321" Type="http://schemas.openxmlformats.org/officeDocument/2006/relationships/hyperlink" Target="http://europa.eu/rapid/press-release_MEMO-17-1577_en.htm" TargetMode="External"/><Relationship Id="rId342" Type="http://schemas.openxmlformats.org/officeDocument/2006/relationships/hyperlink" Target="http://eur-lex.europa.eu/legal-content/EN/TXT/?qid=1522070309775&amp;uri=CELEX:32008L0098" TargetMode="External"/><Relationship Id="rId363" Type="http://schemas.openxmlformats.org/officeDocument/2006/relationships/hyperlink" Target="http://eur-lex.europa.eu/legal-content/EN/TXT/?qid=1521730329760&amp;uri=CELEX:32005L0036" TargetMode="External"/><Relationship Id="rId384" Type="http://schemas.openxmlformats.org/officeDocument/2006/relationships/hyperlink" Target="http://eur-lex.europa.eu/legal-content/EN/TXT/?qid=1522071021302&amp;uri=CELEX:31993L0013" TargetMode="External"/><Relationship Id="rId419" Type="http://schemas.openxmlformats.org/officeDocument/2006/relationships/hyperlink" Target="http://curia.europa.eu/juris/liste.jsf?language=en&amp;jur=C,T,F&amp;num=C-226/16&amp;td=ALL" TargetMode="External"/><Relationship Id="rId570" Type="http://schemas.openxmlformats.org/officeDocument/2006/relationships/hyperlink" Target="http://eur-lex.europa.eu/legal-content/AUTO/?uri=CELEX:32015L0652&amp;qid=1522056346261&amp;rid=1" TargetMode="External"/><Relationship Id="rId591" Type="http://schemas.openxmlformats.org/officeDocument/2006/relationships/hyperlink" Target="http://eur-lex.europa.eu/legal-content/EN/TXT/?qid=1521649763709&amp;uri=CELEX:32014L0065" TargetMode="External"/><Relationship Id="rId605" Type="http://schemas.openxmlformats.org/officeDocument/2006/relationships/hyperlink" Target="http://eur-lex.europa.eu/legal-content/AUTO/?uri=CELEX:32014L0049&amp;qid=1522066971678&amp;rid=1" TargetMode="External"/><Relationship Id="rId202" Type="http://schemas.openxmlformats.org/officeDocument/2006/relationships/hyperlink" Target="https://eur-lex.europa.eu/legal-content/EN/TXT/?qid=1522051455215&amp;uri=CELEX:32011L0083" TargetMode="External"/><Relationship Id="rId223" Type="http://schemas.openxmlformats.org/officeDocument/2006/relationships/hyperlink" Target="http://eur-lex.europa.eu/legal-content/EN/TXT/?qid=1522077332996&amp;uri=CELEX:32016L1034" TargetMode="External"/><Relationship Id="rId244" Type="http://schemas.openxmlformats.org/officeDocument/2006/relationships/hyperlink" Target="http://eur-lex.europa.eu/legal-content/EN/TXT/?qid=1521535748978&amp;uri=CELEX:32002L0021" TargetMode="External"/><Relationship Id="rId430" Type="http://schemas.openxmlformats.org/officeDocument/2006/relationships/hyperlink" Target="http://europa.eu/rapid/press-release_MEMO-17-1045_en.htm" TargetMode="External"/><Relationship Id="rId18" Type="http://schemas.openxmlformats.org/officeDocument/2006/relationships/hyperlink" Target="http://eur-lex.europa.eu/legal-content/EN/TXT/?qid=1521648350685&amp;uri=CELEX:32014L0092" TargetMode="External"/><Relationship Id="rId39" Type="http://schemas.openxmlformats.org/officeDocument/2006/relationships/hyperlink" Target="https://eur-lex.europa.eu/legal-content/EN/TXT/?qid=1521817494090&amp;uri=CELEX:32014L0049" TargetMode="External"/><Relationship Id="rId265" Type="http://schemas.openxmlformats.org/officeDocument/2006/relationships/hyperlink" Target="http://europa.eu/rapid/press-release_MEMO-15-5356_en.htm" TargetMode="External"/><Relationship Id="rId286" Type="http://schemas.openxmlformats.org/officeDocument/2006/relationships/hyperlink" Target="https://eur-lex.europa.eu/legal-content/EN/TXT/?qid=1521717677904&amp;uri=CELEX:32007L0060" TargetMode="External"/><Relationship Id="rId451" Type="http://schemas.openxmlformats.org/officeDocument/2006/relationships/hyperlink" Target="http://curia.europa.eu/juris/liste.jsf?language=en&amp;jur=C,T,F&amp;num=C-381/17&amp;td=ALL" TargetMode="External"/><Relationship Id="rId472" Type="http://schemas.openxmlformats.org/officeDocument/2006/relationships/hyperlink" Target="https://eur-lex.europa.eu/legal-content/EN/TXT/?qid=1522066047923&amp;uri=CELEX:32011L0070" TargetMode="External"/><Relationship Id="rId493" Type="http://schemas.openxmlformats.org/officeDocument/2006/relationships/hyperlink" Target="https://eur-lex.europa.eu/legal-content/EN/TXT/?qid=1522066325468&amp;uri=CELEX:32004L0018" TargetMode="External"/><Relationship Id="rId507" Type="http://schemas.openxmlformats.org/officeDocument/2006/relationships/hyperlink" Target="http://eur-lex.europa.eu/legal-content/EN/TXT/?qid=1521726342201&amp;uri=CELEX:32014L0051" TargetMode="External"/><Relationship Id="rId528" Type="http://schemas.openxmlformats.org/officeDocument/2006/relationships/hyperlink" Target="http://eur-lex.europa.eu/legal-content/AUTO/?uri=CELEX:32014D0095&amp;qid=1522054044126&amp;rid=1" TargetMode="External"/><Relationship Id="rId549" Type="http://schemas.openxmlformats.org/officeDocument/2006/relationships/hyperlink" Target="http://eur-lex.europa.eu/legal-content/AUTO/?uri=CELEX:32014L0033&amp;qid=1522055827981&amp;rid=1" TargetMode="External"/><Relationship Id="rId50" Type="http://schemas.openxmlformats.org/officeDocument/2006/relationships/hyperlink" Target="https://ec.europa.eu/home-affairs/sites/homeaffairs/files/e-library/documents/policies/borders-and-visas/document-security/docs/comm_decision_c_2013_6181_en_.pdf" TargetMode="External"/><Relationship Id="rId104" Type="http://schemas.openxmlformats.org/officeDocument/2006/relationships/hyperlink" Target="http://europa.eu/rapid/press-release_MEMO-17-1935_en.htm" TargetMode="External"/><Relationship Id="rId125" Type="http://schemas.openxmlformats.org/officeDocument/2006/relationships/hyperlink" Target="https://eur-lex.europa.eu/legal-content/EN/TXT/?qid=1521646366481&amp;uri=CELEX:32009L0073" TargetMode="External"/><Relationship Id="rId146" Type="http://schemas.openxmlformats.org/officeDocument/2006/relationships/hyperlink" Target="http://europa.eu/rapid/press-release_MEMO-17-3494_en.htm" TargetMode="External"/><Relationship Id="rId167" Type="http://schemas.openxmlformats.org/officeDocument/2006/relationships/hyperlink" Target="https://eur-lex.europa.eu/legal-content/EN/TXT/?qid=1521820802774&amp;uri=CELEX:32008L0098" TargetMode="External"/><Relationship Id="rId188" Type="http://schemas.openxmlformats.org/officeDocument/2006/relationships/hyperlink" Target="http://curia.europa.eu/juris/liste.jsf?pro=&amp;lgrec=en&amp;nat=or&amp;oqp=&amp;dates=&amp;lg=&amp;language=en&amp;jur=C%2CT%2CF&amp;cit=none%252CC%252CCJ%252CR%252C2008E%252C%252C%252C%252C%252C%252C%252C%252C%252C%252Ctrue%252Cfalse%252Cfalse&amp;num=T-21-10&amp;td=%3BALL&amp;pcs=Oor&amp;avg=&amp;page=1&amp;mat=or&amp;jge=&amp;for=&amp;cid=170705" TargetMode="External"/><Relationship Id="rId311" Type="http://schemas.openxmlformats.org/officeDocument/2006/relationships/hyperlink" Target="https://eur-lex.europa.eu/legal-content/EN/TXT/?qid=1521729140296&amp;uri=CELEX:31991L0271" TargetMode="External"/><Relationship Id="rId332" Type="http://schemas.openxmlformats.org/officeDocument/2006/relationships/hyperlink" Target="http://europa.eu/rapid/press-release_MEMO-17-4767_en.htm" TargetMode="External"/><Relationship Id="rId353" Type="http://schemas.openxmlformats.org/officeDocument/2006/relationships/hyperlink" Target="http://eur-lex.europa.eu/legal-content/EN/TXT/?qid=1522070472140&amp;uri=CELEX:32015L2392" TargetMode="External"/><Relationship Id="rId374" Type="http://schemas.openxmlformats.org/officeDocument/2006/relationships/hyperlink" Target="http://curia.europa.eu/juris/liste.jsf?language=en&amp;jur=C,T,F&amp;num=C-576/13&amp;td=ALL" TargetMode="External"/><Relationship Id="rId395" Type="http://schemas.openxmlformats.org/officeDocument/2006/relationships/hyperlink" Target="https://eur-lex.europa.eu/legal-content/EN/TXT/?qid=1521813846684&amp;uri=CELEX:31998L0070" TargetMode="External"/><Relationship Id="rId409" Type="http://schemas.openxmlformats.org/officeDocument/2006/relationships/hyperlink" Target="http://europa.eu/rapid/press-release_MEMO-17-3494_en.htm" TargetMode="External"/><Relationship Id="rId560" Type="http://schemas.openxmlformats.org/officeDocument/2006/relationships/hyperlink" Target="http://eur-lex.europa.eu/legal-content/AUTO/?uri=CELEX:31998L0026&amp;qid=1522056174366&amp;rid=1" TargetMode="External"/><Relationship Id="rId581" Type="http://schemas.openxmlformats.org/officeDocument/2006/relationships/hyperlink" Target="http://eur-lex.europa.eu/legal-content/AUTO/?uri=CELEX:32011L0051&amp;qid=1522056791616&amp;rid=1" TargetMode="External"/><Relationship Id="rId71" Type="http://schemas.openxmlformats.org/officeDocument/2006/relationships/hyperlink" Target="http://eur-lex.europa.eu/legal-content/EN/TXT/?qid=1521638085056&amp;uri=CELEX:51989PC0552" TargetMode="External"/><Relationship Id="rId92" Type="http://schemas.openxmlformats.org/officeDocument/2006/relationships/hyperlink" Target="https://eur-lex.europa.eu/legal-content/EN/TXT/?qid=1521646095966&amp;uri=CELEX:32010L0031" TargetMode="External"/><Relationship Id="rId213" Type="http://schemas.openxmlformats.org/officeDocument/2006/relationships/hyperlink" Target="http://curia.europa.eu/juris/liste.jsf?pro=&amp;nat=or&amp;oqp=&amp;dates=&amp;lg=&amp;language=en&amp;jur=C%2CT%2CF&amp;cit=none%252CC%252CCJ%252CR%252C2008E%252C%252C%252C%252C%252C%252C%252C%252C%252C%252Ctrue%252Cfalse%252Cfalse&amp;num=C-529%252F16&amp;td=%3BALL&amp;pcs=Oor&amp;avg=&amp;page=1&amp;mat=or&amp;jge=&amp;for=&amp;cid=170705" TargetMode="External"/><Relationship Id="rId234" Type="http://schemas.openxmlformats.org/officeDocument/2006/relationships/hyperlink" Target="https://eur-lex.europa.eu/legal-content/EN/TXT/?qid=1521710565101&amp;uri=CELEX:32012L0034" TargetMode="External"/><Relationship Id="rId420" Type="http://schemas.openxmlformats.org/officeDocument/2006/relationships/hyperlink" Target="http://curia.europa.eu/juris/liste.jsf?language=en&amp;jur=C,T,F&amp;num=C-99/16&amp;td=ALL" TargetMode="External"/><Relationship Id="rId2" Type="http://schemas.openxmlformats.org/officeDocument/2006/relationships/hyperlink" Target="http://europa.eu/rapid/press-release_MEMO-17-234_en.htm" TargetMode="External"/><Relationship Id="rId29" Type="http://schemas.openxmlformats.org/officeDocument/2006/relationships/hyperlink" Target="http://eur-lex.europa.eu/legal-content/EN/TXT/?qid=1521729180400&amp;uri=CELEX:32008L0120" TargetMode="External"/><Relationship Id="rId255" Type="http://schemas.openxmlformats.org/officeDocument/2006/relationships/hyperlink" Target="https://eur-lex.europa.eu/legal-content/EN/TXT/?qid=1521718888318&amp;uri=CELEX:31996L0060" TargetMode="External"/><Relationship Id="rId276" Type="http://schemas.openxmlformats.org/officeDocument/2006/relationships/hyperlink" Target="http://europa.eu/rapid/press-release_MEMO-17-1935_en.htm" TargetMode="External"/><Relationship Id="rId297" Type="http://schemas.openxmlformats.org/officeDocument/2006/relationships/hyperlink" Target="http://eur-lex.europa.eu/legal-content/EN/TXT/?qid=1522075532488&amp;uri=CELEX:32014L0028" TargetMode="External"/><Relationship Id="rId441" Type="http://schemas.openxmlformats.org/officeDocument/2006/relationships/hyperlink" Target="https://eur-lex.europa.eu/legal-content/EN/TXT/?qid=1521717571342&amp;uri=CELEX:31992L0043" TargetMode="External"/><Relationship Id="rId462" Type="http://schemas.openxmlformats.org/officeDocument/2006/relationships/hyperlink" Target="http://eur-lex.europa.eu/legal-content/AUTO/?uri=CELEX:32014L0089&amp;qid=1522058494692&amp;rid=1" TargetMode="External"/><Relationship Id="rId483" Type="http://schemas.openxmlformats.org/officeDocument/2006/relationships/hyperlink" Target="https://eur-lex.europa.eu/legal-content/EN/TXT/?qid=1521717808641&amp;uri=CELEX:32008L0050" TargetMode="External"/><Relationship Id="rId518" Type="http://schemas.openxmlformats.org/officeDocument/2006/relationships/hyperlink" Target="http://curia.europa.eu/juris/liste.jsf?language=en&amp;jur=C,T,F&amp;num=C-196/16&amp;td=ALL" TargetMode="External"/><Relationship Id="rId539" Type="http://schemas.openxmlformats.org/officeDocument/2006/relationships/hyperlink" Target="http://eur-lex.europa.eu/legal-content/AUTO/?uri=CELEX:32005L0036&amp;qid=1522054528442&amp;rid=1" TargetMode="External"/><Relationship Id="rId40" Type="http://schemas.openxmlformats.org/officeDocument/2006/relationships/hyperlink" Target="http://curia.europa.eu/juris/liste.jsf?language=en&amp;jur=C,T,F&amp;num=C-573/14&amp;td=ALL" TargetMode="External"/><Relationship Id="rId115" Type="http://schemas.openxmlformats.org/officeDocument/2006/relationships/hyperlink" Target="https://eur-lex.europa.eu/legal-content/EN/TXT/?qid=1521730122416&amp;uri=CELEX:32014L0080" TargetMode="External"/><Relationship Id="rId136" Type="http://schemas.openxmlformats.org/officeDocument/2006/relationships/hyperlink" Target="https://eur-lex.europa.eu/legal-content/EN/TXT/?qid=1522048518808&amp;uri=CELEX:32014L0028" TargetMode="External"/><Relationship Id="rId157" Type="http://schemas.openxmlformats.org/officeDocument/2006/relationships/hyperlink" Target="http://curia.europa.eu/juris/liste.jsf?language=en&amp;jur=C,T,F&amp;num=C-668/16&amp;td=ALL" TargetMode="External"/><Relationship Id="rId178" Type="http://schemas.openxmlformats.org/officeDocument/2006/relationships/hyperlink" Target="http://curia.europa.eu/juris/liste.jsf?language=en&amp;jur=C,T,F&amp;num=C-142/16&amp;td=ALL" TargetMode="External"/><Relationship Id="rId301" Type="http://schemas.openxmlformats.org/officeDocument/2006/relationships/hyperlink" Target="http://eur-lex.europa.eu/legal-content/EN/TXT/?qid=1521726342201&amp;uri=CELEX:32014L0051" TargetMode="External"/><Relationship Id="rId322" Type="http://schemas.openxmlformats.org/officeDocument/2006/relationships/hyperlink" Target="http://eur-lex.europa.eu/legal-content/EN/TXT/?qid=1522069984754&amp;uri=CELEX:32013L0055" TargetMode="External"/><Relationship Id="rId343" Type="http://schemas.openxmlformats.org/officeDocument/2006/relationships/hyperlink" Target="http://europa.eu/rapid/press-release_MEMO-17-3494_en.htm" TargetMode="External"/><Relationship Id="rId364" Type="http://schemas.openxmlformats.org/officeDocument/2006/relationships/hyperlink" Target="http://eur-lex.europa.eu/legal-content/EN/TXT/?qid=1521726221502&amp;uri=CELEX:32009L0138" TargetMode="External"/><Relationship Id="rId550" Type="http://schemas.openxmlformats.org/officeDocument/2006/relationships/hyperlink" Target="http://eur-lex.europa.eu/legal-content/AUTO/?uri=CELEX:32014L0033&amp;qid=1522055827981&amp;rid=1" TargetMode="External"/><Relationship Id="rId61" Type="http://schemas.openxmlformats.org/officeDocument/2006/relationships/hyperlink" Target="http://eur-lex.europa.eu/legal-content/EN/TXT/?qid=1521534649872&amp;uri=CELEX:32015L2203" TargetMode="External"/><Relationship Id="rId82" Type="http://schemas.openxmlformats.org/officeDocument/2006/relationships/hyperlink" Target="https://eur-lex.europa.eu/legal-content/EN/TXT/?qid=1521712669727&amp;uri=CELEX:32000L0059" TargetMode="External"/><Relationship Id="rId199" Type="http://schemas.openxmlformats.org/officeDocument/2006/relationships/hyperlink" Target="https://eur-lex.europa.eu/legal-content/EN/TXT/?qid=1521802833117&amp;uri=CELEX:32010R1259" TargetMode="External"/><Relationship Id="rId203" Type="http://schemas.openxmlformats.org/officeDocument/2006/relationships/hyperlink" Target="http://curia.europa.eu/juris/liste.jsf?language=en&amp;jur=C,T,F&amp;num=C-568/15&amp;td=ALL" TargetMode="External"/><Relationship Id="rId385" Type="http://schemas.openxmlformats.org/officeDocument/2006/relationships/hyperlink" Target="http://curia.europa.eu/juris/liste.jsf?language=en&amp;jur=C,T,F&amp;num=C-421/14&amp;td=ALL" TargetMode="External"/><Relationship Id="rId571" Type="http://schemas.openxmlformats.org/officeDocument/2006/relationships/hyperlink" Target="https://eur-lex.europa.eu/legal-content/EN/TXT/?qid=1521813846684&amp;uri=CELEX:31998L0070" TargetMode="External"/><Relationship Id="rId592" Type="http://schemas.openxmlformats.org/officeDocument/2006/relationships/hyperlink" Target="https://eur-lex.europa.eu/legal-content/EN/TXT/?qid=1521804065893&amp;uri=CELEX:32015L0849" TargetMode="External"/><Relationship Id="rId606" Type="http://schemas.openxmlformats.org/officeDocument/2006/relationships/hyperlink" Target="http://eur-lex.europa.eu/legal-content/AUTO/?uri=CELEX:32014L0049&amp;qid=1522066971678&amp;rid=1" TargetMode="External"/><Relationship Id="rId19" Type="http://schemas.openxmlformats.org/officeDocument/2006/relationships/hyperlink" Target="https://eur-lex.europa.eu/legal-content/EN/TXT/?qid=1528209985008&amp;uri=CELEX:32014L0087" TargetMode="External"/><Relationship Id="rId224" Type="http://schemas.openxmlformats.org/officeDocument/2006/relationships/hyperlink" Target="http://eur-lex.europa.eu/legal-content/EN/TXT/?qid=1522077369891&amp;uri=CELEX:32014L0056" TargetMode="External"/><Relationship Id="rId245" Type="http://schemas.openxmlformats.org/officeDocument/2006/relationships/hyperlink" Target="http://europa.eu/rapid/press-release_MEMO-17-3494_en.htm" TargetMode="External"/><Relationship Id="rId266" Type="http://schemas.openxmlformats.org/officeDocument/2006/relationships/hyperlink" Target="http://curia.europa.eu/juris/liste.jsf?language=en&amp;jur=C,T,F&amp;num=C-442/16&amp;td=ALL" TargetMode="External"/><Relationship Id="rId287" Type="http://schemas.openxmlformats.org/officeDocument/2006/relationships/hyperlink" Target="https://eur-lex.europa.eu/legal-content/EN/TXT/?qid=1521717711169&amp;uri=CELEX:32000L0060" TargetMode="External"/><Relationship Id="rId410" Type="http://schemas.openxmlformats.org/officeDocument/2006/relationships/hyperlink" Target="http://eur-lex.europa.eu/legal-content/EN/TXT/?qid=1522072867045&amp;uri=CELEX:32011L0051" TargetMode="External"/><Relationship Id="rId431" Type="http://schemas.openxmlformats.org/officeDocument/2006/relationships/hyperlink" Target="http://eur-lex.europa.eu/legal-content/EN/TXT/?qid=1521638778501&amp;uri=CELEX:32015L1794" TargetMode="External"/><Relationship Id="rId452" Type="http://schemas.openxmlformats.org/officeDocument/2006/relationships/hyperlink" Target="http://europa.eu/rapid/press-release_IP-17-1049_en.htm" TargetMode="External"/><Relationship Id="rId473" Type="http://schemas.openxmlformats.org/officeDocument/2006/relationships/hyperlink" Target="http://europa.eu/rapid/press-release_MEMO-17-1935_en.htm" TargetMode="External"/><Relationship Id="rId494" Type="http://schemas.openxmlformats.org/officeDocument/2006/relationships/hyperlink" Target="http://curia.europa.eu/juris/liste.jsf?language=en&amp;jur=C,T,F&amp;num=C-526/17&amp;td=ALL" TargetMode="External"/><Relationship Id="rId508" Type="http://schemas.openxmlformats.org/officeDocument/2006/relationships/hyperlink" Target="https://eur-lex.europa.eu/legal-content/EN/TXT/?qid=1522065976146&amp;uri=CELEX:32014L0059" TargetMode="External"/><Relationship Id="rId529" Type="http://schemas.openxmlformats.org/officeDocument/2006/relationships/hyperlink" Target="http://europa.eu/rapid/press-release_MEMO-17-1577_en.htm" TargetMode="External"/><Relationship Id="rId30" Type="http://schemas.openxmlformats.org/officeDocument/2006/relationships/hyperlink" Target="http://eur-lex.europa.eu/legal-content/EN/TXT/?qid=1521638895462&amp;uri=CELEX:32003L0088" TargetMode="External"/><Relationship Id="rId105" Type="http://schemas.openxmlformats.org/officeDocument/2006/relationships/hyperlink" Target="https://eur-lex.europa.eu/legal-content/EN/TXT/?qid=1521726742344&amp;uri=CELEX:32002L0049" TargetMode="External"/><Relationship Id="rId126" Type="http://schemas.openxmlformats.org/officeDocument/2006/relationships/hyperlink" Target="http://europa.eu/rapid/press-release_MEMO-17-4767_en.htm" TargetMode="External"/><Relationship Id="rId147" Type="http://schemas.openxmlformats.org/officeDocument/2006/relationships/hyperlink" Target="https://eur-lex.europa.eu/legal-content/EN/TXT/?qid=1521820132195&amp;uri=CELEX:32008L0057" TargetMode="External"/><Relationship Id="rId168" Type="http://schemas.openxmlformats.org/officeDocument/2006/relationships/hyperlink" Target="https://eur-lex.europa.eu/legal-content/EN/TXT/?qid=1521820947331&amp;uri=CELEX:32012R0748" TargetMode="External"/><Relationship Id="rId312" Type="http://schemas.openxmlformats.org/officeDocument/2006/relationships/hyperlink" Target="http://curia.europa.eu/juris/liste.jsf?language=en&amp;jur=C,T,F&amp;num=C-320/15&amp;td=ALL" TargetMode="External"/><Relationship Id="rId333" Type="http://schemas.openxmlformats.org/officeDocument/2006/relationships/hyperlink" Target="http://eur-lex.europa.eu/legal-content/EN/TXT/?qid=1522070162226&amp;uri=CELEX:32011L0007" TargetMode="External"/><Relationship Id="rId354" Type="http://schemas.openxmlformats.org/officeDocument/2006/relationships/hyperlink" Target="http://curia.europa.eu/juris/liste.jsf?language=en&amp;jur=C,T,F&amp;num=C-599/17&amp;td=ALL" TargetMode="External"/><Relationship Id="rId540" Type="http://schemas.openxmlformats.org/officeDocument/2006/relationships/hyperlink" Target="http://europa.eu/rapid/press-release_IP-17-4773_en.htm" TargetMode="External"/><Relationship Id="rId51" Type="http://schemas.openxmlformats.org/officeDocument/2006/relationships/hyperlink" Target="https://ec.europa.eu/home-affairs/sites/homeaffairs/files/e-library/documents/policies/borders-and-visas/document-security/docs/comm_decision_c_2013_6178_en.pdf" TargetMode="External"/><Relationship Id="rId72" Type="http://schemas.openxmlformats.org/officeDocument/2006/relationships/hyperlink" Target="https://eur-lex.europa.eu/legal-content/EN/TXT/?qid=1521710113476&amp;uri=CELEX:32014L0094" TargetMode="External"/><Relationship Id="rId93" Type="http://schemas.openxmlformats.org/officeDocument/2006/relationships/hyperlink" Target="https://eur-lex.europa.eu/legal-content/EN/TXT/?qid=1521646324831&amp;uri=CELEX:32009L0072" TargetMode="External"/><Relationship Id="rId189" Type="http://schemas.openxmlformats.org/officeDocument/2006/relationships/hyperlink" Target="http://curia.europa.eu/juris/liste.jsf?pro=&amp;nat=or&amp;oqp=&amp;dates=&amp;lg=&amp;language=en&amp;jur=C%2CT%2CF&amp;cit=none%252CC%252CCJ%252CR%252C2008E%252C%252C%252C%252C%252C%252C%252C%252C%252C%252Ctrue%252Cfalse%252Cfalse&amp;num=T-104%252F10&amp;td=%3BALL&amp;pcs=Oor&amp;avg=&amp;page=1&amp;mat=or&amp;jge=&amp;for=&amp;cid=170705" TargetMode="External"/><Relationship Id="rId375" Type="http://schemas.openxmlformats.org/officeDocument/2006/relationships/hyperlink" Target="http://curia.europa.eu/juris/liste.jsf?language=en&amp;jur=C,T,F&amp;num=C-388/16&amp;td=ALL" TargetMode="External"/><Relationship Id="rId396" Type="http://schemas.openxmlformats.org/officeDocument/2006/relationships/hyperlink" Target="http://eur-lex.europa.eu/legal-content/EN/TXT/?qid=1521649763709&amp;uri=CELEX:32014L0065" TargetMode="External"/><Relationship Id="rId561" Type="http://schemas.openxmlformats.org/officeDocument/2006/relationships/hyperlink" Target="http://eur-lex.europa.eu/legal-content/EN/TXT/?qid=1521726408366&amp;uri=CELEX:32013L0034" TargetMode="External"/><Relationship Id="rId582" Type="http://schemas.openxmlformats.org/officeDocument/2006/relationships/hyperlink" Target="http://eur-lex.europa.eu/legal-content/AUTO/?uri=CELEX:32012L0034&amp;qid=1522057296926&amp;rid=1" TargetMode="External"/><Relationship Id="rId3" Type="http://schemas.openxmlformats.org/officeDocument/2006/relationships/hyperlink" Target="https://eur-lex.europa.eu/legal-content/EN/TXT/?qid=1521726742344&amp;uri=CELEX:32002L0049" TargetMode="External"/><Relationship Id="rId214" Type="http://schemas.openxmlformats.org/officeDocument/2006/relationships/hyperlink" Target="http://curia.europa.eu/juris/liste.jsf?pro=&amp;nat=or&amp;oqp=&amp;dates=&amp;lg=&amp;language=en&amp;jur=C%2CT%2CF&amp;cit=none%252CC%252CCJ%252CR%252C2008E%252C%252C%252C%252C%252C%252C%252C%252C%252C%252Ctrue%252Cfalse%252Cfalse&amp;num=C-190%252F16&amp;td=%3BALL&amp;pcs=Oor&amp;avg=&amp;page=1&amp;mat=or&amp;jge=&amp;for=&amp;cid=181273" TargetMode="External"/><Relationship Id="rId235" Type="http://schemas.openxmlformats.org/officeDocument/2006/relationships/hyperlink" Target="https://eur-lex.europa.eu/legal-content/EN/TXT/?qid=1521710113476&amp;uri=CELEX:32014L0094" TargetMode="External"/><Relationship Id="rId256" Type="http://schemas.openxmlformats.org/officeDocument/2006/relationships/hyperlink" Target="http://curia.europa.eu/juris/liste.jsf?language=en&amp;jur=C,T,F&amp;num=C-504/17&amp;td=ALL" TargetMode="External"/><Relationship Id="rId277" Type="http://schemas.openxmlformats.org/officeDocument/2006/relationships/hyperlink" Target="http://eur-lex.europa.eu/legal-content/EN/TXT/?qid=1522076039898&amp;uri=CELEX:32010L0031" TargetMode="External"/><Relationship Id="rId298" Type="http://schemas.openxmlformats.org/officeDocument/2006/relationships/hyperlink" Target="http://eur-lex.europa.eu/legal-content/EN/TXT/?qid=1521726221502&amp;uri=CELEX:32009L0138" TargetMode="External"/><Relationship Id="rId400" Type="http://schemas.openxmlformats.org/officeDocument/2006/relationships/hyperlink" Target="http://europa.eu/rapid/press-release_MEMO-17-4767_en.htm" TargetMode="External"/><Relationship Id="rId421" Type="http://schemas.openxmlformats.org/officeDocument/2006/relationships/hyperlink" Target="http://eur-lex.europa.eu/legal-content/EN/TXT/?qid=1522073137761&amp;uri=CELEX:32011L0096" TargetMode="External"/><Relationship Id="rId442" Type="http://schemas.openxmlformats.org/officeDocument/2006/relationships/hyperlink" Target="http://europa.eu/rapid/press-release_MEMO-17-1045_en.htm" TargetMode="External"/><Relationship Id="rId463" Type="http://schemas.openxmlformats.org/officeDocument/2006/relationships/hyperlink" Target="http://eur-lex.europa.eu/legal-content/EN/TXT/?qid=1522076480648&amp;uri=CELEX:32015L0652" TargetMode="External"/><Relationship Id="rId484" Type="http://schemas.openxmlformats.org/officeDocument/2006/relationships/hyperlink" Target="http://europa.eu/rapid/press-release_IP-17-238_en.htm" TargetMode="External"/><Relationship Id="rId519" Type="http://schemas.openxmlformats.org/officeDocument/2006/relationships/hyperlink" Target="http://curia.europa.eu/juris/liste.jsf?language=en&amp;jur=C,T,F&amp;num=C-197/16&amp;td=ALL" TargetMode="External"/><Relationship Id="rId116" Type="http://schemas.openxmlformats.org/officeDocument/2006/relationships/hyperlink" Target="https://eur-lex.europa.eu/legal-content/EN/TXT/?qid=1521730167006&amp;uri=CELEX:32006L0118" TargetMode="External"/><Relationship Id="rId137" Type="http://schemas.openxmlformats.org/officeDocument/2006/relationships/hyperlink" Target="https://eur-lex.europa.eu/legal-content/EN/TXT/?qid=1522048674313&amp;uri=CELEX:32015L2087" TargetMode="External"/><Relationship Id="rId158" Type="http://schemas.openxmlformats.org/officeDocument/2006/relationships/hyperlink" Target="http://europa.eu/rapid/press-release_IP-15-6290_en.htm" TargetMode="External"/><Relationship Id="rId302" Type="http://schemas.openxmlformats.org/officeDocument/2006/relationships/hyperlink" Target="https://ec.europa.eu/home-affairs/sites/homeaffairs/files/e-library/documents/policies/borders-and-visas/document-security/docs/comm_decision_c_2013_6181_en_.pdf" TargetMode="External"/><Relationship Id="rId323" Type="http://schemas.openxmlformats.org/officeDocument/2006/relationships/hyperlink" Target="http://eur-lex.europa.eu/legal-content/EN/TXT/?qid=1522070020323&amp;uri=CELEX:32015L0652" TargetMode="External"/><Relationship Id="rId344" Type="http://schemas.openxmlformats.org/officeDocument/2006/relationships/hyperlink" Target="http://europa.eu/rapid/press-release_MEMO-17-3494_en.htm" TargetMode="External"/><Relationship Id="rId530" Type="http://schemas.openxmlformats.org/officeDocument/2006/relationships/hyperlink" Target="http://eur-lex.europa.eu/legal-content/EN/TXT/?uri=celex%3A32014L0056" TargetMode="External"/><Relationship Id="rId20" Type="http://schemas.openxmlformats.org/officeDocument/2006/relationships/hyperlink" Target="http://eur-lex.europa.eu/legal-content/EN/TXT/?qid=1521535748978&amp;uri=CELEX:32002L0021" TargetMode="External"/><Relationship Id="rId41" Type="http://schemas.openxmlformats.org/officeDocument/2006/relationships/hyperlink" Target="http://curia.europa.eu/juris/liste.jsf?language=en&amp;jur=C,T,F&amp;num=C-339/15&amp;td=ALL" TargetMode="External"/><Relationship Id="rId62" Type="http://schemas.openxmlformats.org/officeDocument/2006/relationships/hyperlink" Target="http://eur-lex.europa.eu/legal-content/EN/TXT/?qid=1521648005405&amp;uri=CELEX:32016L1034" TargetMode="External"/><Relationship Id="rId83" Type="http://schemas.openxmlformats.org/officeDocument/2006/relationships/hyperlink" Target="http://eur-lex.europa.eu/legal-content/EN/TXT/?qid=1521726500980&amp;uri=CELEX:32013L0050" TargetMode="External"/><Relationship Id="rId179" Type="http://schemas.openxmlformats.org/officeDocument/2006/relationships/hyperlink" Target="https://eur-lex.europa.eu/legal-content/EN/TXT/?qid=1522069200379&amp;uri=CELEX:32005L0065" TargetMode="External"/><Relationship Id="rId365" Type="http://schemas.openxmlformats.org/officeDocument/2006/relationships/hyperlink" Target="http://eur-lex.europa.eu/legal-content/EN/TXT/?qid=1521726342201&amp;uri=CELEX:32014L0051" TargetMode="External"/><Relationship Id="rId386" Type="http://schemas.openxmlformats.org/officeDocument/2006/relationships/hyperlink" Target="http://eur-lex.europa.eu/legal-content/EN/TXT/?qid=1522071239411&amp;uri=CELEX:32011L0007" TargetMode="External"/><Relationship Id="rId551" Type="http://schemas.openxmlformats.org/officeDocument/2006/relationships/hyperlink" Target="http://eur-lex.europa.eu/legal-content/AUTO/?uri=CELEX:32014L0030&amp;qid=1522055889171&amp;rid=1" TargetMode="External"/><Relationship Id="rId572" Type="http://schemas.openxmlformats.org/officeDocument/2006/relationships/hyperlink" Target="http://eur-lex.europa.eu/legal-content/AUTO/?uri=CELEX:32008L0007&amp;qid=1522056356002&amp;rid=1" TargetMode="External"/><Relationship Id="rId593" Type="http://schemas.openxmlformats.org/officeDocument/2006/relationships/hyperlink" Target="http://eur-lex.europa.eu/legal-content/EN/TXT/?qid=1522076666969&amp;uri=CELEX:31990L0314" TargetMode="External"/><Relationship Id="rId607" Type="http://schemas.openxmlformats.org/officeDocument/2006/relationships/hyperlink" Target="http://eur-lex.europa.eu/legal-content/AUTO/?uri=CELEX:32012L0034&amp;qid=1522066987744&amp;rid=1" TargetMode="External"/><Relationship Id="rId190" Type="http://schemas.openxmlformats.org/officeDocument/2006/relationships/hyperlink" Target="http://curia.europa.eu/juris/liste.jsf?pro=&amp;nat=or&amp;oqp=&amp;dates=&amp;lg=&amp;language=en&amp;jur=C%2CT%2CF&amp;cit=none%252CC%252CCJ%252CR%252C2008E%252C%252C%252C%252C%252C%252C%252C%252C%252C%252Ctrue%252Cfalse%252Cfalse&amp;num=T-114%252F10&amp;td=%3BALL&amp;pcs=Oor&amp;avg=&amp;page=1&amp;mat=or&amp;jge=&amp;for=&amp;cid=170705" TargetMode="External"/><Relationship Id="rId204" Type="http://schemas.openxmlformats.org/officeDocument/2006/relationships/hyperlink" Target="https://curia.europa.eu/jcms/upload/docs/application/pdf/2017-03/cp170021en.pdf" TargetMode="External"/><Relationship Id="rId225" Type="http://schemas.openxmlformats.org/officeDocument/2006/relationships/hyperlink" Target="https://eur-lex.europa.eu/legal-content/EN/TXT/?qid=1521804065893&amp;uri=CELEX:32015L0849" TargetMode="External"/><Relationship Id="rId246" Type="http://schemas.openxmlformats.org/officeDocument/2006/relationships/hyperlink" Target="https://eur-lex.europa.eu/legal-content/EN/TXT/?qid=1522066449532&amp;uri=CELEX:32009L0018" TargetMode="External"/><Relationship Id="rId267" Type="http://schemas.openxmlformats.org/officeDocument/2006/relationships/hyperlink" Target="https://curia.europa.eu/jcms/upload/docs/application/pdf/2017-12/cp170144en.pdf" TargetMode="External"/><Relationship Id="rId288" Type="http://schemas.openxmlformats.org/officeDocument/2006/relationships/hyperlink" Target="https://eur-lex.europa.eu/legal-content/EN/TXT/?qid=1521717781508&amp;uri=CELEX:32008L0056" TargetMode="External"/><Relationship Id="rId411" Type="http://schemas.openxmlformats.org/officeDocument/2006/relationships/hyperlink" Target="http://eur-lex.europa.eu/legal-content/EN/TXT/?qid=1522072961777&amp;uri=CELEX:32014L0089" TargetMode="External"/><Relationship Id="rId432" Type="http://schemas.openxmlformats.org/officeDocument/2006/relationships/hyperlink" Target="https://eur-lex.europa.eu/legal-content/EN/TXT/?qid=1521804065893&amp;uri=CELEX:32015L0849" TargetMode="External"/><Relationship Id="rId453" Type="http://schemas.openxmlformats.org/officeDocument/2006/relationships/hyperlink" Target="http://eur-lex.europa.eu/legal-content/EN/TXT/?qid=1522074285098&amp;uri=CELEX:32014L0056" TargetMode="External"/><Relationship Id="rId474" Type="http://schemas.openxmlformats.org/officeDocument/2006/relationships/hyperlink" Target="http://europa.eu/rapid/press-release_MEMO-17-1935_en.htm" TargetMode="External"/><Relationship Id="rId509" Type="http://schemas.openxmlformats.org/officeDocument/2006/relationships/hyperlink" Target="https://eur-lex.europa.eu/legal-content/EN/TXT/?qid=1522065710531&amp;uri=CELEX:32014L0049" TargetMode="External"/><Relationship Id="rId106" Type="http://schemas.openxmlformats.org/officeDocument/2006/relationships/hyperlink" Target="http://europa.eu/rapid/press-release_MEMO-17-1577_en.htm" TargetMode="External"/><Relationship Id="rId127" Type="http://schemas.openxmlformats.org/officeDocument/2006/relationships/hyperlink" Target="https://eur-lex.europa.eu/legal-content/EN/TXT/?qid=1521717781508&amp;uri=CELEX:32008L0056" TargetMode="External"/><Relationship Id="rId313" Type="http://schemas.openxmlformats.org/officeDocument/2006/relationships/hyperlink" Target="http://curia.europa.eu/juris/liste.jsf?language=en&amp;jur=C,T,F&amp;num=C-160/16&amp;td=ALL" TargetMode="External"/><Relationship Id="rId495" Type="http://schemas.openxmlformats.org/officeDocument/2006/relationships/hyperlink" Target="http://europa.eu/rapid/press-release_IP-17-1284_en.htm" TargetMode="External"/><Relationship Id="rId10" Type="http://schemas.openxmlformats.org/officeDocument/2006/relationships/hyperlink" Target="https://eur-lex.europa.eu/legal-content/EN/TXT/?qid=1528209985008&amp;uri=CELEX:32014L0087" TargetMode="External"/><Relationship Id="rId31" Type="http://schemas.openxmlformats.org/officeDocument/2006/relationships/hyperlink" Target="https://eur-lex.europa.eu/legal-content/EN/TXT/?qid=1521730083001&amp;uri=CELEX:32004L0035" TargetMode="External"/><Relationship Id="rId52" Type="http://schemas.openxmlformats.org/officeDocument/2006/relationships/hyperlink" Target="https://eur-lex.europa.eu/legal-content/EN/TXT/?qid=1521815609137&amp;uri=CELEX:32004L0049" TargetMode="External"/><Relationship Id="rId73" Type="http://schemas.openxmlformats.org/officeDocument/2006/relationships/hyperlink" Target="https://eur-lex.europa.eu/legal-content/EN/TXT/?qid=1521821875056&amp;uri=CELEX:52017XC0329(01)" TargetMode="External"/><Relationship Id="rId94" Type="http://schemas.openxmlformats.org/officeDocument/2006/relationships/hyperlink" Target="https://eur-lex.europa.eu/legal-content/EN/TXT/?qid=1521646366481&amp;uri=CELEX:32009L0073" TargetMode="External"/><Relationship Id="rId148" Type="http://schemas.openxmlformats.org/officeDocument/2006/relationships/hyperlink" Target="http://europa.eu/rapid/press-release_MEMO-17-1045_en.htm" TargetMode="External"/><Relationship Id="rId169" Type="http://schemas.openxmlformats.org/officeDocument/2006/relationships/hyperlink" Target="https://eur-lex.europa.eu/legal-content/EN/TXT/?qid=1521820989192&amp;uri=CELEX:32014R1321" TargetMode="External"/><Relationship Id="rId334" Type="http://schemas.openxmlformats.org/officeDocument/2006/relationships/hyperlink" Target="http://europa.eu/rapid/press-release_IP-17-239_en.htm" TargetMode="External"/><Relationship Id="rId355" Type="http://schemas.openxmlformats.org/officeDocument/2006/relationships/hyperlink" Target="http://europa.eu/rapid/press-release_IP-17-1950_en.htm" TargetMode="External"/><Relationship Id="rId376" Type="http://schemas.openxmlformats.org/officeDocument/2006/relationships/hyperlink" Target="http://eur-lex.europa.eu/legal-content/EN/TXT/?qid=1522070948153&amp;uri=CELEX:32008L0098" TargetMode="External"/><Relationship Id="rId397" Type="http://schemas.openxmlformats.org/officeDocument/2006/relationships/hyperlink" Target="https://eur-lex.europa.eu/legal-content/EN/TXT/?qid=1521717808641&amp;uri=CELEX:32008L0050" TargetMode="External"/><Relationship Id="rId520" Type="http://schemas.openxmlformats.org/officeDocument/2006/relationships/hyperlink" Target="http://curia.europa.eu/juris/liste.jsf?language=en&amp;jur=C,T,F&amp;num=C-701/15&amp;td=ALL" TargetMode="External"/><Relationship Id="rId541" Type="http://schemas.openxmlformats.org/officeDocument/2006/relationships/hyperlink" Target="http://europa.eu/rapid/press-release_MEMO-17-1281_en.htm" TargetMode="External"/><Relationship Id="rId562" Type="http://schemas.openxmlformats.org/officeDocument/2006/relationships/hyperlink" Target="http://eur-lex.europa.eu/legal-content/AUTO/?uri=CELEX:32006L0123&amp;qid=1522056183004&amp;rid=1" TargetMode="External"/><Relationship Id="rId583" Type="http://schemas.openxmlformats.org/officeDocument/2006/relationships/hyperlink" Target="http://eur-lex.europa.eu/legal-content/AUTO/?uri=CELEX:32012L0034&amp;qid=1522057296926&amp;rid=1" TargetMode="External"/><Relationship Id="rId4" Type="http://schemas.openxmlformats.org/officeDocument/2006/relationships/hyperlink" Target="https://eur-lex.europa.eu/legal-content/EN/TXT/?qid=1521710451861&amp;uri=CELEX:32009L0018" TargetMode="External"/><Relationship Id="rId180" Type="http://schemas.openxmlformats.org/officeDocument/2006/relationships/hyperlink" Target="http://curia.europa.eu/juris/liste.jsf?language=en&amp;jur=C,T,F&amp;num=C-58/16&amp;td=ALL" TargetMode="External"/><Relationship Id="rId215" Type="http://schemas.openxmlformats.org/officeDocument/2006/relationships/hyperlink" Target="https://curia.europa.eu/jcms/upload/docs/application/pdf/2017-07/cp170073en.pdf" TargetMode="External"/><Relationship Id="rId236" Type="http://schemas.openxmlformats.org/officeDocument/2006/relationships/hyperlink" Target="http://eur-lex.europa.eu/legal-content/EN/ALL/?uri=CELEX:32002D0192" TargetMode="External"/><Relationship Id="rId257" Type="http://schemas.openxmlformats.org/officeDocument/2006/relationships/hyperlink" Target="http://europa.eu/rapid/press-release_IP-14-2138_en.htm" TargetMode="External"/><Relationship Id="rId278" Type="http://schemas.openxmlformats.org/officeDocument/2006/relationships/hyperlink" Target="http://europa.eu/rapid/press-release_MEMO-17-4767_en.htm" TargetMode="External"/><Relationship Id="rId401" Type="http://schemas.openxmlformats.org/officeDocument/2006/relationships/hyperlink" Target="https://eur-lex.europa.eu/legal-content/EN/TXT/?qid=1521728058475&amp;uri=CELEX:32009L0147" TargetMode="External"/><Relationship Id="rId422" Type="http://schemas.openxmlformats.org/officeDocument/2006/relationships/hyperlink" Target="http://curia.europa.eu/juris/liste.jsf?language=en&amp;jur=C,T,F&amp;num=C-365/16&amp;td=ALL" TargetMode="External"/><Relationship Id="rId443" Type="http://schemas.openxmlformats.org/officeDocument/2006/relationships/hyperlink" Target="https://eur-lex.europa.eu/legal-content/EN/TXT/?qid=1521726742344&amp;uri=CELEX:32002L0049" TargetMode="External"/><Relationship Id="rId464" Type="http://schemas.openxmlformats.org/officeDocument/2006/relationships/hyperlink" Target="https://eur-lex.europa.eu/legal-content/EN/TXT/?qid=1521813846684&amp;uri=CELEX:31998L0070" TargetMode="External"/><Relationship Id="rId303" Type="http://schemas.openxmlformats.org/officeDocument/2006/relationships/hyperlink" Target="https://ec.europa.eu/home-affairs/sites/homeaffairs/files/e-library/documents/policies/borders-and-visas/document-security/docs/comm_decision_c_2013_6178_en.pdf" TargetMode="External"/><Relationship Id="rId485" Type="http://schemas.openxmlformats.org/officeDocument/2006/relationships/hyperlink" Target="https://eur-lex.europa.eu/legal-content/EN/TXT/?qid=1522066227671&amp;uri=CELEX:32005L0045" TargetMode="External"/><Relationship Id="rId42" Type="http://schemas.openxmlformats.org/officeDocument/2006/relationships/hyperlink" Target="http://curia.europa.eu/juris/liste.jsf?language=en&amp;jur=C,T,F&amp;num=C-638/16&amp;td=ALL" TargetMode="External"/><Relationship Id="rId84" Type="http://schemas.openxmlformats.org/officeDocument/2006/relationships/hyperlink" Target="http://eur-lex.europa.eu/legal-content/EN/TXT/?qid=1521726408366&amp;uri=CELEX:32013L0034" TargetMode="External"/><Relationship Id="rId138" Type="http://schemas.openxmlformats.org/officeDocument/2006/relationships/hyperlink" Target="https://eur-lex.europa.eu/legal-content/EN/TXT/?qid=1522048709768&amp;uri=CELEX:32000L0059" TargetMode="External"/><Relationship Id="rId345" Type="http://schemas.openxmlformats.org/officeDocument/2006/relationships/hyperlink" Target="https://eur-lex.europa.eu/legal-content/EN/TXT/?qid=1521717711169&amp;uri=CELEX:32000L0060" TargetMode="External"/><Relationship Id="rId387" Type="http://schemas.openxmlformats.org/officeDocument/2006/relationships/hyperlink" Target="http://curia.europa.eu/juris/liste.jsf?language=en&amp;jur=C,T,F&amp;num=C-555/14&amp;td=ALL" TargetMode="External"/><Relationship Id="rId510" Type="http://schemas.openxmlformats.org/officeDocument/2006/relationships/hyperlink" Target="http://eur-lex.europa.eu/legal-content/EN/TXT/?qid=1521726500980&amp;uri=CELEX:32013L0050" TargetMode="External"/><Relationship Id="rId552" Type="http://schemas.openxmlformats.org/officeDocument/2006/relationships/hyperlink" Target="http://eur-lex.europa.eu/legal-content/AUTO/?uri=CELEX:32014L0030&amp;qid=1522055889171&amp;rid=1" TargetMode="External"/><Relationship Id="rId594" Type="http://schemas.openxmlformats.org/officeDocument/2006/relationships/hyperlink" Target="http://europa.eu/rapid/press-release_MEMO-17-4767_en.htm" TargetMode="External"/><Relationship Id="rId608" Type="http://schemas.openxmlformats.org/officeDocument/2006/relationships/hyperlink" Target="http://eur-lex.europa.eu/legal-content/EN/TXT/?qid=1522067053868&amp;uri=CELEX:32014L0028" TargetMode="External"/><Relationship Id="rId191" Type="http://schemas.openxmlformats.org/officeDocument/2006/relationships/hyperlink" Target="http://curia.europa.eu/juris/liste.jsf?pro=&amp;nat=or&amp;oqp=&amp;dates=&amp;lg=&amp;language=en&amp;jur=C%2CT%2CF&amp;cit=none%252CC%252CCJ%252CR%252C2008E%252C%252C%252C%252C%252C%252C%252C%252C%252C%252Ctrue%252Cfalse%252Cfalse&amp;num=T-116%252F10&amp;td=%3BALL&amp;pcs=Oor&amp;avg=&amp;page=1&amp;mat=or&amp;jge=&amp;for=&amp;cid=170705" TargetMode="External"/><Relationship Id="rId205" Type="http://schemas.openxmlformats.org/officeDocument/2006/relationships/hyperlink" Target="http://curia.europa.eu/juris/liste.jsf?language=en&amp;jur=C,T,F&amp;num=C-652/15&amp;td=ALL" TargetMode="External"/><Relationship Id="rId247" Type="http://schemas.openxmlformats.org/officeDocument/2006/relationships/hyperlink" Target="http://europa.eu/rapid/press-release_MEMO-17-1045_en.htm" TargetMode="External"/><Relationship Id="rId412" Type="http://schemas.openxmlformats.org/officeDocument/2006/relationships/hyperlink" Target="http://eur-lex.europa.eu/legal-content/EN/TXT/?uri=CELEX:32012L0018" TargetMode="External"/><Relationship Id="rId107" Type="http://schemas.openxmlformats.org/officeDocument/2006/relationships/hyperlink" Target="https://eur-lex.europa.eu/legal-content/EN/TXT/?uri=OJ%3AJOL_2015_239_R_0011" TargetMode="External"/><Relationship Id="rId289" Type="http://schemas.openxmlformats.org/officeDocument/2006/relationships/hyperlink" Target="https://eur-lex.europa.eu/legal-content/EN/TXT/?qid=1521726742344&amp;uri=CELEX:32002L0049" TargetMode="External"/><Relationship Id="rId454" Type="http://schemas.openxmlformats.org/officeDocument/2006/relationships/hyperlink" Target="http://curia.europa.eu/juris/liste.jsf?language=en&amp;jur=C,T,F&amp;num=C-415/17&amp;td=ALL" TargetMode="External"/><Relationship Id="rId496" Type="http://schemas.openxmlformats.org/officeDocument/2006/relationships/hyperlink" Target="https://eur-lex.europa.eu/legal-content/EN/TXT/?qid=1521729140296&amp;uri=CELEX:31991L0271" TargetMode="External"/><Relationship Id="rId11" Type="http://schemas.openxmlformats.org/officeDocument/2006/relationships/hyperlink" Target="http://eur-lex.europa.eu/legal-content/EN/TXT/?qid=1521649763709&amp;uri=CELEX:32014L0065" TargetMode="External"/><Relationship Id="rId53" Type="http://schemas.openxmlformats.org/officeDocument/2006/relationships/hyperlink" Target="http://europa.eu/rapid/press-release_MEMO-17-3494_en.htm" TargetMode="External"/><Relationship Id="rId149" Type="http://schemas.openxmlformats.org/officeDocument/2006/relationships/hyperlink" Target="https://eur-lex.europa.eu/legal-content/EN/TXT/?qid=1521820182588&amp;uri=CELEX:32004L0049" TargetMode="External"/><Relationship Id="rId314" Type="http://schemas.openxmlformats.org/officeDocument/2006/relationships/hyperlink" Target="http://curia.europa.eu/juris/liste.jsf?language=en&amp;jur=C,T,F&amp;num=C-98/16&amp;td=ALL" TargetMode="External"/><Relationship Id="rId356" Type="http://schemas.openxmlformats.org/officeDocument/2006/relationships/hyperlink" Target="https://eur-lex.europa.eu/legal-content/EN/TXT/?qid=1521729140296&amp;uri=CELEX:31991L0271" TargetMode="External"/><Relationship Id="rId398" Type="http://schemas.openxmlformats.org/officeDocument/2006/relationships/hyperlink" Target="http://europa.eu/rapid/press-release_IP-17-238_en.htm" TargetMode="External"/><Relationship Id="rId521" Type="http://schemas.openxmlformats.org/officeDocument/2006/relationships/hyperlink" Target="http://eur-lex.europa.eu/legal-content/EN/TXT/?qid=1522053419591&amp;uri=CELEX:32015L2203" TargetMode="External"/><Relationship Id="rId563" Type="http://schemas.openxmlformats.org/officeDocument/2006/relationships/hyperlink" Target="http://europa.eu/rapid/press-release_IP-17-4772_en.htm" TargetMode="External"/><Relationship Id="rId95" Type="http://schemas.openxmlformats.org/officeDocument/2006/relationships/hyperlink" Target="http://europa.eu/rapid/press-release_MEMO-17-4767_en.htm" TargetMode="External"/><Relationship Id="rId160" Type="http://schemas.openxmlformats.org/officeDocument/2006/relationships/hyperlink" Target="http://curia.europa.eu/juris/liste.jsf?language=en&amp;jur=C,T,F&amp;num=C-377/17&amp;td=ALL" TargetMode="External"/><Relationship Id="rId216" Type="http://schemas.openxmlformats.org/officeDocument/2006/relationships/hyperlink" Target="http://curia.europa.eu/juris/liste.jsf?language=en&amp;jur=C,T,F&amp;num=C-290/16&amp;td=ALL" TargetMode="External"/><Relationship Id="rId423" Type="http://schemas.openxmlformats.org/officeDocument/2006/relationships/hyperlink" Target="http://curia.europa.eu/juris/liste.jsf?language=en&amp;jur=C,T,F&amp;num=C-620/15&amp;td=ALL" TargetMode="External"/><Relationship Id="rId258" Type="http://schemas.openxmlformats.org/officeDocument/2006/relationships/hyperlink" Target="http://europa.eu/rapid/press-release_MEMO-14-2130_en.htm" TargetMode="External"/><Relationship Id="rId465" Type="http://schemas.openxmlformats.org/officeDocument/2006/relationships/hyperlink" Target="https://eur-lex.europa.eu/legal-content/EN/TXT/?qid=1521712009861&amp;uri=CELEX:32006L0126" TargetMode="External"/><Relationship Id="rId22" Type="http://schemas.openxmlformats.org/officeDocument/2006/relationships/hyperlink" Target="http://curia.europa.eu/juris/liste.jsf?language=en&amp;jur=C,T,F&amp;num=C-110/17&amp;td=ALL" TargetMode="External"/><Relationship Id="rId64" Type="http://schemas.openxmlformats.org/officeDocument/2006/relationships/hyperlink" Target="https://eur-lex.europa.eu/legal-content/EN/TXT/?qid=1521815878910&amp;uri=CELEX:32015L0652" TargetMode="External"/><Relationship Id="rId118" Type="http://schemas.openxmlformats.org/officeDocument/2006/relationships/hyperlink" Target="http://eur-lex.europa.eu/legal-content/EN/TXT/?qid=1521726408366&amp;uri=CELEX:32013L0034" TargetMode="External"/><Relationship Id="rId325" Type="http://schemas.openxmlformats.org/officeDocument/2006/relationships/hyperlink" Target="http://eur-lex.europa.eu/legal-content/EN/TXT/?qid=1521649763709&amp;uri=CELEX:32014L0065" TargetMode="External"/><Relationship Id="rId367" Type="http://schemas.openxmlformats.org/officeDocument/2006/relationships/hyperlink" Target="http://eur-lex.europa.eu/legal-content/EN/TXT/?qid=1522070723167&amp;uri=CELEX:31998L0026" TargetMode="External"/><Relationship Id="rId532" Type="http://schemas.openxmlformats.org/officeDocument/2006/relationships/hyperlink" Target="http://eur-lex.europa.eu/legal-content/EN/TXT/?qid=1521638778501&amp;uri=CELEX:32015L1794" TargetMode="External"/><Relationship Id="rId574" Type="http://schemas.openxmlformats.org/officeDocument/2006/relationships/hyperlink" Target="http://eur-lex.europa.eu/legal-content/AUTO/?uri=CELEX:32014L0066&amp;qid=1522056771445&amp;rid=1" TargetMode="External"/><Relationship Id="rId171" Type="http://schemas.openxmlformats.org/officeDocument/2006/relationships/hyperlink" Target="http://europa.eu/rapid/press-release_MEMO-17-3494_en.htm" TargetMode="External"/><Relationship Id="rId227" Type="http://schemas.openxmlformats.org/officeDocument/2006/relationships/hyperlink" Target="https://eur-lex.europa.eu/legal-content/EN/TXT/?qid=1521813846684&amp;uri=CELEX:31998L0070" TargetMode="External"/><Relationship Id="rId269" Type="http://schemas.openxmlformats.org/officeDocument/2006/relationships/hyperlink" Target="http://europa.eu/rapid/press-release_MEMO-17-4767_en.htm" TargetMode="External"/><Relationship Id="rId434" Type="http://schemas.openxmlformats.org/officeDocument/2006/relationships/hyperlink" Target="http://eur-lex.europa.eu/LexUriServ/LexUriServ.do?uri=OJ:L:2008:210:0001:0011:EN:PDF" TargetMode="External"/><Relationship Id="rId476" Type="http://schemas.openxmlformats.org/officeDocument/2006/relationships/hyperlink" Target="http://eur-lex.europa.eu/LexUriServ/LexUriServ.do?uri=OJ:L:2008:210:0012:0072:EN:PDF" TargetMode="External"/><Relationship Id="rId33" Type="http://schemas.openxmlformats.org/officeDocument/2006/relationships/hyperlink" Target="http://eur-lex.europa.eu/legal-content/EN/TXT/?qid=1521726221502&amp;uri=CELEX:32009L0138" TargetMode="External"/><Relationship Id="rId129" Type="http://schemas.openxmlformats.org/officeDocument/2006/relationships/hyperlink" Target="https://eur-lex.europa.eu/legal-content/EN/TXT/?qid=1528209985008&amp;uri=CELEX:32014L0087" TargetMode="External"/><Relationship Id="rId280" Type="http://schemas.openxmlformats.org/officeDocument/2006/relationships/hyperlink" Target="http://eur-lex.europa.eu/LexUriServ/LexUriServ.do?uri=OJ:L:2008:210:0012:0072:EN:PDF" TargetMode="External"/><Relationship Id="rId336" Type="http://schemas.openxmlformats.org/officeDocument/2006/relationships/hyperlink" Target="http://europa.eu/rapid/press-release_MEMO-17-3494_en.htm" TargetMode="External"/><Relationship Id="rId501" Type="http://schemas.openxmlformats.org/officeDocument/2006/relationships/hyperlink" Target="http://eur-lex.europa.eu/legal-content/EN/TXT/?qid=1522074813059&amp;uri=CELEX:32003R0343" TargetMode="External"/><Relationship Id="rId543" Type="http://schemas.openxmlformats.org/officeDocument/2006/relationships/hyperlink" Target="https://eur-lex.europa.eu/legal-content/EN/TXT/?qid=1521726742344&amp;uri=CELEX:32002L0049" TargetMode="External"/><Relationship Id="rId75" Type="http://schemas.openxmlformats.org/officeDocument/2006/relationships/hyperlink" Target="http://eur-lex.europa.eu/legal-content/EN/TXT/?qid=1521730329760&amp;uri=CELEX:32005L0036" TargetMode="External"/><Relationship Id="rId140" Type="http://schemas.openxmlformats.org/officeDocument/2006/relationships/hyperlink" Target="https://eur-lex.europa.eu/legal-content/EN/TXT/?qid=1521710113476&amp;uri=CELEX:32014L0094" TargetMode="External"/><Relationship Id="rId182" Type="http://schemas.openxmlformats.org/officeDocument/2006/relationships/hyperlink" Target="http://europa.eu/rapid/press-release_IP-15-4493_en.htm" TargetMode="External"/><Relationship Id="rId378" Type="http://schemas.openxmlformats.org/officeDocument/2006/relationships/hyperlink" Target="http://eur-lex.europa.eu/legal-content/EN/TXT/?qid=1522070981868&amp;uri=CELEX:32004L0038" TargetMode="External"/><Relationship Id="rId403" Type="http://schemas.openxmlformats.org/officeDocument/2006/relationships/hyperlink" Target="http://europa.eu/rapid/press-release_IP-16-4213_en.htm" TargetMode="External"/><Relationship Id="rId585" Type="http://schemas.openxmlformats.org/officeDocument/2006/relationships/hyperlink" Target="https://eur-lex.europa.eu/legal-content/EN/TXT/?qid=1521710113476&amp;uri=CELEX:32014L0094" TargetMode="External"/><Relationship Id="rId6" Type="http://schemas.openxmlformats.org/officeDocument/2006/relationships/hyperlink" Target="https://eur-lex.europa.eu/legal-content/EN/TXT/?qid=1521801997348&amp;uri=CELEX:32002L0059" TargetMode="External"/><Relationship Id="rId238" Type="http://schemas.openxmlformats.org/officeDocument/2006/relationships/hyperlink" Target="http://eur-lex.europa.eu/LexUriServ/LexUriServ.do?uri=OJ:L:2008:210:0012:0072:EN:PDF" TargetMode="External"/><Relationship Id="rId445" Type="http://schemas.openxmlformats.org/officeDocument/2006/relationships/hyperlink" Target="http://europa.eu/rapid/press-release_MEMO-17-1935_en.htm" TargetMode="External"/><Relationship Id="rId487" Type="http://schemas.openxmlformats.org/officeDocument/2006/relationships/hyperlink" Target="http://eur-lex.europa.eu/legal-content/EN/TXT/?qid=1521534649872&amp;uri=CELEX:32015L2203" TargetMode="External"/><Relationship Id="rId610" Type="http://schemas.openxmlformats.org/officeDocument/2006/relationships/hyperlink" Target="http://eur-lex.europa.eu/legal-content/AUTO/?uri=CELEX:32007L0002&amp;qid=1522067060821&amp;rid=1" TargetMode="External"/><Relationship Id="rId291" Type="http://schemas.openxmlformats.org/officeDocument/2006/relationships/hyperlink" Target="http://eur-lex.europa.eu/legal-content/EN/TXT/?qid=1522076127970&amp;uri=CELEX:32000L0035" TargetMode="External"/><Relationship Id="rId305" Type="http://schemas.openxmlformats.org/officeDocument/2006/relationships/hyperlink" Target="https://eur-lex.europa.eu/legal-content/EN/TXT/?qid=1521717781508&amp;uri=CELEX:32008L0056" TargetMode="External"/><Relationship Id="rId347" Type="http://schemas.openxmlformats.org/officeDocument/2006/relationships/hyperlink" Target="https://eur-lex.europa.eu/legal-content/EN/TXT/?qid=1521717808641&amp;uri=CELEX:32008L0050" TargetMode="External"/><Relationship Id="rId512" Type="http://schemas.openxmlformats.org/officeDocument/2006/relationships/hyperlink" Target="http://curia.europa.eu/juris/liste.jsf?language=en&amp;jur=C,T,F&amp;num=C-560/15&amp;td=ALL" TargetMode="External"/><Relationship Id="rId44" Type="http://schemas.openxmlformats.org/officeDocument/2006/relationships/hyperlink" Target="http://curia.europa.eu/juris/liste.jsf?language=en&amp;jur=C,T,F&amp;num=C-420/15&amp;td=ALL" TargetMode="External"/><Relationship Id="rId86" Type="http://schemas.openxmlformats.org/officeDocument/2006/relationships/hyperlink" Target="https://eur-lex.europa.eu/legal-content/EN/TXT/?qid=1521729815992&amp;uri=CELEX:32008L0050" TargetMode="External"/><Relationship Id="rId151" Type="http://schemas.openxmlformats.org/officeDocument/2006/relationships/hyperlink" Target="https://eur-lex.europa.eu/legal-content/EN/TXT/?qid=1521813846684&amp;uri=CELEX:31998L0070" TargetMode="External"/><Relationship Id="rId389" Type="http://schemas.openxmlformats.org/officeDocument/2006/relationships/hyperlink" Target="https://curia.europa.eu/jcms/upload/docs/application/pdf/2017-12/cp170134en.pdf" TargetMode="External"/><Relationship Id="rId554" Type="http://schemas.openxmlformats.org/officeDocument/2006/relationships/hyperlink" Target="http://eur-lex.europa.eu/legal-content/EN/TXT/?qid=1521726500980&amp;uri=CELEX:32013L0050" TargetMode="External"/><Relationship Id="rId596" Type="http://schemas.openxmlformats.org/officeDocument/2006/relationships/hyperlink" Target="https://eur-lex.europa.eu/legal-content/EN/TXT/?qid=1521646366481&amp;uri=CELEX:32009L0073" TargetMode="External"/><Relationship Id="rId193" Type="http://schemas.openxmlformats.org/officeDocument/2006/relationships/hyperlink" Target="https://curia.europa.eu/jcms/upload/docs/application/pdf/2017-06/cp170063en.pdf" TargetMode="External"/><Relationship Id="rId207" Type="http://schemas.openxmlformats.org/officeDocument/2006/relationships/hyperlink" Target="http://curia.europa.eu/juris/liste.jsf?language=en&amp;jur=C,T,F&amp;num=C-489/15&amp;td=ALL" TargetMode="External"/><Relationship Id="rId249" Type="http://schemas.openxmlformats.org/officeDocument/2006/relationships/hyperlink" Target="https://eur-lex.europa.eu/legal-content/EN/TXT/?qid=1522066479842&amp;uri=CELEX:32014L0095" TargetMode="External"/><Relationship Id="rId414" Type="http://schemas.openxmlformats.org/officeDocument/2006/relationships/hyperlink" Target="http://eur-lex.europa.eu/legal-content/EN/TXT/?qid=1521726408366&amp;uri=CELEX:32013L0034" TargetMode="External"/><Relationship Id="rId456" Type="http://schemas.openxmlformats.org/officeDocument/2006/relationships/hyperlink" Target="http://eur-lex.europa.eu/legal-content/EN/TXT/?qid=1522074324298&amp;uri=CELEX:32014L0024" TargetMode="External"/><Relationship Id="rId498" Type="http://schemas.openxmlformats.org/officeDocument/2006/relationships/hyperlink" Target="http://europa.eu/rapid/press-release_IP-16-4212_en.htm" TargetMode="External"/><Relationship Id="rId13" Type="http://schemas.openxmlformats.org/officeDocument/2006/relationships/hyperlink" Target="http://europa.eu/rapid/press-release_MEMO-17-3494_en.htm" TargetMode="External"/><Relationship Id="rId109" Type="http://schemas.openxmlformats.org/officeDocument/2006/relationships/hyperlink" Target="http://curia.europa.eu/juris/liste.jsf?language=en&amp;jur=C,T,F&amp;num=C-719/17&amp;td=ALL" TargetMode="External"/><Relationship Id="rId260" Type="http://schemas.openxmlformats.org/officeDocument/2006/relationships/hyperlink" Target="http://eur-lex.europa.eu/legal-content/EN/TXT/?qid=1521730329760&amp;uri=CELEX:32005L0036" TargetMode="External"/><Relationship Id="rId316" Type="http://schemas.openxmlformats.org/officeDocument/2006/relationships/hyperlink" Target="https://curia.europa.eu/jcms/upload/docs/application/pdf/2017-10/cp170106en.pdf" TargetMode="External"/><Relationship Id="rId523" Type="http://schemas.openxmlformats.org/officeDocument/2006/relationships/hyperlink" Target="http://europa.eu/rapid/press-release_MEMO-17-4767_en.htm" TargetMode="External"/><Relationship Id="rId55" Type="http://schemas.openxmlformats.org/officeDocument/2006/relationships/hyperlink" Target="https://eur-lex.europa.eu/legal-content/EN/TXT/?qid=1521717357058&amp;uri=CELEX:32006L0021" TargetMode="External"/><Relationship Id="rId97" Type="http://schemas.openxmlformats.org/officeDocument/2006/relationships/hyperlink" Target="http://eur-lex.europa.eu/legal-content/EN/TXT/?qid=1521728572712&amp;uri=CELEX:32014L0096" TargetMode="External"/><Relationship Id="rId120" Type="http://schemas.openxmlformats.org/officeDocument/2006/relationships/hyperlink" Target="http://curia.europa.eu/juris/liste.jsf?language=en&amp;jur=C,T,F&amp;num=C-528/15&amp;td=ALL" TargetMode="External"/><Relationship Id="rId358" Type="http://schemas.openxmlformats.org/officeDocument/2006/relationships/hyperlink" Target="http://europa.eu/rapid/press-release_MEMO-16-3644_en.htm" TargetMode="External"/><Relationship Id="rId565" Type="http://schemas.openxmlformats.org/officeDocument/2006/relationships/hyperlink" Target="https://eur-lex.europa.eu/legal-content/EN/TXT/?qid=1521710113476&amp;uri=CELEX:32014L0094" TargetMode="External"/><Relationship Id="rId162" Type="http://schemas.openxmlformats.org/officeDocument/2006/relationships/hyperlink" Target="http://europa.eu/rapid/press-release_MEMO-16-3644_en.htm" TargetMode="External"/><Relationship Id="rId218" Type="http://schemas.openxmlformats.org/officeDocument/2006/relationships/hyperlink" Target="http://curia.europa.eu/juris/liste.jsf?language=en&amp;jur=C,T,F&amp;num=C-559/16&amp;td=ALL" TargetMode="External"/><Relationship Id="rId425" Type="http://schemas.openxmlformats.org/officeDocument/2006/relationships/hyperlink" Target="http://europa.eu/rapid/press-release_MEMO-17-1935_en.htm" TargetMode="External"/><Relationship Id="rId467" Type="http://schemas.openxmlformats.org/officeDocument/2006/relationships/hyperlink" Target="http://eur-lex.europa.eu/legal-content/EN/TXT/?qid=1522073644574&amp;uri=CELEX:32012R1215" TargetMode="External"/><Relationship Id="rId271" Type="http://schemas.openxmlformats.org/officeDocument/2006/relationships/hyperlink" Target="http://eur-lex.europa.eu/legal-content/EN/TXT/?qid=1521638778501&amp;uri=CELEX:32015L1794" TargetMode="External"/><Relationship Id="rId24" Type="http://schemas.openxmlformats.org/officeDocument/2006/relationships/hyperlink" Target="http://curia.europa.eu/juris/liste.jsf?language=en&amp;jur=C,T,F&amp;num=,%20C-564/17,&amp;td=ALL" TargetMode="External"/><Relationship Id="rId66" Type="http://schemas.openxmlformats.org/officeDocument/2006/relationships/hyperlink" Target="https://eur-lex.europa.eu/legal-content/EN/TXT/?qid=1521727517957&amp;uri=CELEX:31979L0409" TargetMode="External"/><Relationship Id="rId131" Type="http://schemas.openxmlformats.org/officeDocument/2006/relationships/hyperlink" Target="https://eur-lex.europa.eu/legal-content/EN/TXT/?qid=1521730122416&amp;uri=CELEX:32014L0080" TargetMode="External"/><Relationship Id="rId327" Type="http://schemas.openxmlformats.org/officeDocument/2006/relationships/hyperlink" Target="http://europa.eu/rapid/press-release_MEMO-17-1045_en.htm" TargetMode="External"/><Relationship Id="rId369" Type="http://schemas.openxmlformats.org/officeDocument/2006/relationships/hyperlink" Target="http://eur-lex.europa.eu/legal-content/EN/TXT/?qid=1522070803843&amp;uri=CELEX:32014L0060" TargetMode="External"/><Relationship Id="rId534" Type="http://schemas.openxmlformats.org/officeDocument/2006/relationships/hyperlink" Target="https://eur-lex.europa.eu/legal-content/EN/TXT/?qid=1521813846684&amp;uri=CELEX:31998L0070" TargetMode="External"/><Relationship Id="rId576" Type="http://schemas.openxmlformats.org/officeDocument/2006/relationships/hyperlink" Target="http://eur-lex.europa.eu/legal-content/AUTO/?uri=CELEX:32014L0036&amp;qid=1522056778010&amp;rid=1" TargetMode="External"/><Relationship Id="rId173" Type="http://schemas.openxmlformats.org/officeDocument/2006/relationships/hyperlink" Target="https://eur-lex.europa.eu/legal-content/EN/TXT/?qid=1521559282344&amp;uri=CELEX:32011L0036" TargetMode="External"/><Relationship Id="rId229" Type="http://schemas.openxmlformats.org/officeDocument/2006/relationships/hyperlink" Target="https://ec.europa.eu/home-affairs/sites/homeaffairs/files/e-library/documents/policies/borders-and-visas/document-security/docs/comm_decision_c_2013_6181_en_.pdf" TargetMode="External"/><Relationship Id="rId380" Type="http://schemas.openxmlformats.org/officeDocument/2006/relationships/hyperlink" Target="http://curia.europa.eu/juris/liste.jsf?language=en&amp;jur=C,T,F&amp;num=C-434/15&amp;td=ALL" TargetMode="External"/><Relationship Id="rId436" Type="http://schemas.openxmlformats.org/officeDocument/2006/relationships/hyperlink" Target="http://europa.eu/rapid/press-release_MEMO-17-1280_en.htm" TargetMode="External"/><Relationship Id="rId601" Type="http://schemas.openxmlformats.org/officeDocument/2006/relationships/hyperlink" Target="http://eur-lex.europa.eu/legal-content/AUTO/?uri=CELEX:32014L0066&amp;qid=1522058487572&amp;rid=1" TargetMode="External"/><Relationship Id="rId240" Type="http://schemas.openxmlformats.org/officeDocument/2006/relationships/hyperlink" Target="https://eur-lex.europa.eu/legal-content/EN/TXT/?qid=1521717677904&amp;uri=CELEX:32007L0060" TargetMode="External"/><Relationship Id="rId478" Type="http://schemas.openxmlformats.org/officeDocument/2006/relationships/hyperlink" Target="https://eur-lex.europa.eu/legal-content/EN/TXT/?qid=1522066163066&amp;uri=CELEX:32008L0098" TargetMode="External"/><Relationship Id="rId35" Type="http://schemas.openxmlformats.org/officeDocument/2006/relationships/hyperlink" Target="http://eur-lex.europa.eu/legal-content/EN/TXT/?qid=1521726408366&amp;uri=CELEX:32013L0034" TargetMode="External"/><Relationship Id="rId77" Type="http://schemas.openxmlformats.org/officeDocument/2006/relationships/hyperlink" Target="https://eur-lex.europa.eu/legal-content/EN/TXT/?qid=1521730122416&amp;uri=CELEX:32014L0080" TargetMode="External"/><Relationship Id="rId100" Type="http://schemas.openxmlformats.org/officeDocument/2006/relationships/hyperlink" Target="https://eur-lex.europa.eu/legal-content/EN/TXT/?qid=1521815878910&amp;uri=CELEX:32015L0652" TargetMode="External"/><Relationship Id="rId282" Type="http://schemas.openxmlformats.org/officeDocument/2006/relationships/hyperlink" Target="http://europa.eu/rapid/press-release_MEMO-17-4767_en.htm" TargetMode="External"/><Relationship Id="rId338" Type="http://schemas.openxmlformats.org/officeDocument/2006/relationships/hyperlink" Target="http://europa.eu/rapid/press-release_MEMO-17-3494_en.htm" TargetMode="External"/><Relationship Id="rId503" Type="http://schemas.openxmlformats.org/officeDocument/2006/relationships/hyperlink" Target="https://eur-lex.europa.eu/legal-content/EN/TXT/?qid=1521710113476&amp;uri=CELEX:32014L0094" TargetMode="External"/><Relationship Id="rId545" Type="http://schemas.openxmlformats.org/officeDocument/2006/relationships/hyperlink" Target="http://eur-lex.europa.eu/legal-content/AUTO/?uri=CELEX:32014L0066&amp;qid=1522055633180&amp;rid=1" TargetMode="External"/><Relationship Id="rId587" Type="http://schemas.openxmlformats.org/officeDocument/2006/relationships/hyperlink" Target="https://eur-lex.europa.eu/legal-content/EN/TXT/?qid=1521717781508&amp;uri=CELEX:32008L0056" TargetMode="External"/><Relationship Id="rId8" Type="http://schemas.openxmlformats.org/officeDocument/2006/relationships/hyperlink" Target="https://eur-lex.europa.eu/legal-content/EN/TXT/?qid=1521710788093&amp;uri=CELEX:32004R0551" TargetMode="External"/><Relationship Id="rId142" Type="http://schemas.openxmlformats.org/officeDocument/2006/relationships/hyperlink" Target="http://europa.eu/rapid/press-release_MEMO-17-1577_en.htm" TargetMode="External"/><Relationship Id="rId184" Type="http://schemas.openxmlformats.org/officeDocument/2006/relationships/hyperlink" Target="https://eur-lex.europa.eu/legal-content/EN/TXT/?qid=1521713833534&amp;uri=CELEX:32001L0014" TargetMode="External"/><Relationship Id="rId391" Type="http://schemas.openxmlformats.org/officeDocument/2006/relationships/hyperlink" Target="http://eur-lex.europa.eu/legal-content/EN/TXT/?qid=1522072480440&amp;uri=CELEX:32012L0034" TargetMode="External"/><Relationship Id="rId405" Type="http://schemas.openxmlformats.org/officeDocument/2006/relationships/hyperlink" Target="http://curia.europa.eu/juris/liste.jsf?language=en&amp;jur=C,T,F&amp;num=C-310/09&amp;td=ALL" TargetMode="External"/><Relationship Id="rId447" Type="http://schemas.openxmlformats.org/officeDocument/2006/relationships/hyperlink" Target="http://eur-lex.europa.eu/legal-content/EN/TXT/?qid=1522074149124&amp;uri=CELEX:32008R0300" TargetMode="External"/><Relationship Id="rId612" Type="http://schemas.openxmlformats.org/officeDocument/2006/relationships/hyperlink" Target="http://eur-lex.europa.eu/legal-content/AUTO/?uri=CELEX:32007L0002&amp;qid=1522067060821&amp;rid=1" TargetMode="External"/><Relationship Id="rId251" Type="http://schemas.openxmlformats.org/officeDocument/2006/relationships/hyperlink" Target="https://eur-lex.europa.eu/legal-content/EN/TXT/?qid=1521728020270&amp;uri=CELEX:31991L0271" TargetMode="External"/><Relationship Id="rId489" Type="http://schemas.openxmlformats.org/officeDocument/2006/relationships/hyperlink" Target="http://eur-lex.europa.eu/legal-content/EN/TXT/?qid=1521638778501&amp;uri=CELEX:32015L1794" TargetMode="External"/><Relationship Id="rId46" Type="http://schemas.openxmlformats.org/officeDocument/2006/relationships/hyperlink" Target="http://curia.europa.eu/juris/liste.jsf?num=C-168/16&amp;language=en" TargetMode="External"/><Relationship Id="rId293" Type="http://schemas.openxmlformats.org/officeDocument/2006/relationships/hyperlink" Target="http://europa.eu/rapid/press-release_MEMO-17-1281_en.htm" TargetMode="External"/><Relationship Id="rId307" Type="http://schemas.openxmlformats.org/officeDocument/2006/relationships/hyperlink" Target="http://eur-lex.europa.eu/legal-content/EN/TXT/?qid=1522075391453&amp;uri=CELEX:32010R1177" TargetMode="External"/><Relationship Id="rId349" Type="http://schemas.openxmlformats.org/officeDocument/2006/relationships/hyperlink" Target="http://eur-lex.europa.eu/legal-content/EN/TXT/?qid=1522070355457&amp;uri=CELEX:32009R1071" TargetMode="External"/><Relationship Id="rId514" Type="http://schemas.openxmlformats.org/officeDocument/2006/relationships/hyperlink" Target="http://eur-lex.europa.eu/legal-content/EN/TXT/?qid=1521638179294&amp;uri=CELEX:32001L0029" TargetMode="External"/><Relationship Id="rId556" Type="http://schemas.openxmlformats.org/officeDocument/2006/relationships/hyperlink" Target="http://eur-lex.europa.eu/legal-content/EN/TXT/?qid=1521726408366&amp;uri=CELEX:32013L0034" TargetMode="External"/><Relationship Id="rId88" Type="http://schemas.openxmlformats.org/officeDocument/2006/relationships/hyperlink" Target="http://curia.europa.eu/juris/liste.jsf?language=en&amp;jur=C,T,F&amp;num=C-347/16&amp;td=ALL" TargetMode="External"/><Relationship Id="rId111" Type="http://schemas.openxmlformats.org/officeDocument/2006/relationships/hyperlink" Target="https://eur-lex.europa.eu/legal-content/EN/TXT/?qid=1521727561744&amp;uri=CELEX:32006R1013" TargetMode="External"/><Relationship Id="rId153" Type="http://schemas.openxmlformats.org/officeDocument/2006/relationships/hyperlink" Target="https://eur-lex.europa.eu/legal-content/EN/TXT/?qid=1521820219177&amp;uri=CELEX:32014L0096" TargetMode="External"/><Relationship Id="rId195" Type="http://schemas.openxmlformats.org/officeDocument/2006/relationships/hyperlink" Target="https://curia.europa.eu/jcms/upload/docs/application/pdf/2017-12/cp170139en.pdf" TargetMode="External"/><Relationship Id="rId209" Type="http://schemas.openxmlformats.org/officeDocument/2006/relationships/hyperlink" Target="http://curia.europa.eu/juris/liste.jsf?language=en&amp;jur=C,T,F&amp;num=C-504/16&amp;td=ALL" TargetMode="External"/><Relationship Id="rId360" Type="http://schemas.openxmlformats.org/officeDocument/2006/relationships/hyperlink" Target="http://eur-lex.europa.eu/legal-content/EN/TXT/?qid=1522070610335&amp;uri=CELEX:32014L0017" TargetMode="External"/><Relationship Id="rId416" Type="http://schemas.openxmlformats.org/officeDocument/2006/relationships/hyperlink" Target="https://eur-lex.europa.eu/legal-content/EN/TXT/?qid=1521646095966&amp;uri=CELEX:32010L0031" TargetMode="External"/><Relationship Id="rId598" Type="http://schemas.openxmlformats.org/officeDocument/2006/relationships/hyperlink" Target="http://eur-lex.europa.eu/legal-content/EN/TXT/?qid=1521638085056&amp;uri=CELEX:51989PC0552" TargetMode="External"/><Relationship Id="rId220" Type="http://schemas.openxmlformats.org/officeDocument/2006/relationships/hyperlink" Target="https://eur-lex.europa.eu/legal-content/EN/TXT/?qid=1521646324831&amp;uri=CELEX:32009L0072" TargetMode="External"/><Relationship Id="rId458" Type="http://schemas.openxmlformats.org/officeDocument/2006/relationships/hyperlink" Target="https://eur-lex.europa.eu/legal-content/EN/TXT/?qid=1521710113476&amp;uri=CELEX:32014L0094" TargetMode="External"/><Relationship Id="rId15" Type="http://schemas.openxmlformats.org/officeDocument/2006/relationships/hyperlink" Target="https://eur-lex.europa.eu/legal-content/EN/TXT/?qid=1521813846684&amp;uri=CELEX:31998L0070" TargetMode="External"/><Relationship Id="rId57" Type="http://schemas.openxmlformats.org/officeDocument/2006/relationships/hyperlink" Target="https://eur-lex.europa.eu/legal-content/EN/TXT/?qid=1521815714757&amp;uri=CELEX:32015L0849" TargetMode="External"/><Relationship Id="rId262" Type="http://schemas.openxmlformats.org/officeDocument/2006/relationships/hyperlink" Target="https://eur-lex.europa.eu/legal-content/EN/TXT/?qid=1521559003601&amp;uri=CELEX:32013L0040" TargetMode="External"/><Relationship Id="rId318" Type="http://schemas.openxmlformats.org/officeDocument/2006/relationships/hyperlink" Target="https://eur-lex.europa.eu/legal-content/EN/TXT/?qid=1521804065893&amp;uri=CELEX:32015L0849" TargetMode="External"/><Relationship Id="rId525" Type="http://schemas.openxmlformats.org/officeDocument/2006/relationships/hyperlink" Target="http://europa.eu/rapid/press-release_MEMO-17-1935_en.htm" TargetMode="External"/><Relationship Id="rId567" Type="http://schemas.openxmlformats.org/officeDocument/2006/relationships/hyperlink" Target="https://eur-lex.europa.eu/legal-content/EN/TXT/?qid=1521646095966&amp;uri=CELEX:32010L0031" TargetMode="External"/><Relationship Id="rId99" Type="http://schemas.openxmlformats.org/officeDocument/2006/relationships/hyperlink" Target="http://eur-lex.europa.eu/legal-content/EN/TXT/?qid=1521728936266&amp;uri=CELEX:32014L0098" TargetMode="External"/><Relationship Id="rId122" Type="http://schemas.openxmlformats.org/officeDocument/2006/relationships/hyperlink" Target="http://europa.eu/rapid/press-release_MEMO-17-1281_en.htm" TargetMode="External"/><Relationship Id="rId164" Type="http://schemas.openxmlformats.org/officeDocument/2006/relationships/hyperlink" Target="https://eur-lex.europa.eu/legal-content/EN/TXT/?qid=1521820701839&amp;uri=CELEX:32012R0748" TargetMode="External"/><Relationship Id="rId371" Type="http://schemas.openxmlformats.org/officeDocument/2006/relationships/hyperlink" Target="https://eur-lex.europa.eu/legal-content/EN/TXT/?qid=1521645883308&amp;uri=CELEX:32013L0051" TargetMode="External"/><Relationship Id="rId427" Type="http://schemas.openxmlformats.org/officeDocument/2006/relationships/hyperlink" Target="http://europa.eu/rapid/press-release_MEMO-17-1935_en.htm" TargetMode="External"/><Relationship Id="rId469" Type="http://schemas.openxmlformats.org/officeDocument/2006/relationships/hyperlink" Target="https://curia.europa.eu/jcms/upload/docs/application/pdf/2017-03/cp170025en.pdf" TargetMode="External"/><Relationship Id="rId26" Type="http://schemas.openxmlformats.org/officeDocument/2006/relationships/hyperlink" Target="http://eur-lex.europa.eu/legal-content/EN/TXT/?qid=1521637423127&amp;uri=CELEX:62014TA0061" TargetMode="External"/><Relationship Id="rId231" Type="http://schemas.openxmlformats.org/officeDocument/2006/relationships/hyperlink" Target="https://eur-lex.europa.eu/legal-content/EN/TXT/?qid=1521545327221&amp;uri=CELEX:32014L0036" TargetMode="External"/><Relationship Id="rId273" Type="http://schemas.openxmlformats.org/officeDocument/2006/relationships/hyperlink" Target="https://eur-lex.europa.eu/legal-content/EN/TXT/?qid=1521813846684&amp;uri=CELEX:31998L0070" TargetMode="External"/><Relationship Id="rId329" Type="http://schemas.openxmlformats.org/officeDocument/2006/relationships/hyperlink" Target="http://europa.eu/rapid/press-release_MEMO-17-1577_en.htm" TargetMode="External"/><Relationship Id="rId480" Type="http://schemas.openxmlformats.org/officeDocument/2006/relationships/hyperlink" Target="http://europa.eu/rapid/press-release_MEMO-17-1281_en.htm" TargetMode="External"/><Relationship Id="rId536" Type="http://schemas.openxmlformats.org/officeDocument/2006/relationships/hyperlink" Target="https://eur-lex.europa.eu/legal-content/EN/TXT/?qid=1521646366481&amp;uri=CELEX:32009L0073" TargetMode="External"/><Relationship Id="rId68" Type="http://schemas.openxmlformats.org/officeDocument/2006/relationships/hyperlink" Target="http://europa.eu/rapid/press-release_IP-16-2491_en.htm" TargetMode="External"/><Relationship Id="rId133" Type="http://schemas.openxmlformats.org/officeDocument/2006/relationships/hyperlink" Target="https://eur-lex.europa.eu/legal-content/EN/TXT/?qid=1522048402137&amp;uri=CELEX:32013L0036" TargetMode="External"/><Relationship Id="rId175" Type="http://schemas.openxmlformats.org/officeDocument/2006/relationships/hyperlink" Target="https://eur-lex.europa.eu/legal-content/EN/TXT/?qid=1521712669727&amp;uri=CELEX:32000L0059" TargetMode="External"/><Relationship Id="rId340" Type="http://schemas.openxmlformats.org/officeDocument/2006/relationships/hyperlink" Target="http://europa.eu/rapid/press-release_MEMO-17-1935_en.htm" TargetMode="External"/><Relationship Id="rId578" Type="http://schemas.openxmlformats.org/officeDocument/2006/relationships/hyperlink" Target="http://eur-lex.europa.eu/legal-content/EN/TXT/?qid=1521730329760&amp;uri=CELEX:32005L0036" TargetMode="External"/><Relationship Id="rId200" Type="http://schemas.openxmlformats.org/officeDocument/2006/relationships/hyperlink" Target="http://curia.europa.eu/juris/liste.jsf?language=en&amp;jur=C,T,F&amp;num=C-372/16&amp;td=ALL" TargetMode="External"/><Relationship Id="rId382" Type="http://schemas.openxmlformats.org/officeDocument/2006/relationships/hyperlink" Target="http://curia.europa.eu/juris/liste.jsf?language=en&amp;jur=C,T,F&amp;num=C-158/16&amp;td=ALL" TargetMode="External"/><Relationship Id="rId438" Type="http://schemas.openxmlformats.org/officeDocument/2006/relationships/hyperlink" Target="https://eur-lex.europa.eu/legal-content/EN/TXT/?qid=1521646366481&amp;uri=CELEX:32009L0073" TargetMode="External"/><Relationship Id="rId603" Type="http://schemas.openxmlformats.org/officeDocument/2006/relationships/hyperlink" Target="http://eur-lex.europa.eu/legal-content/AUTO/?uri=CELEX:32014L0089&amp;qid=1522058494692&amp;rid=1" TargetMode="External"/><Relationship Id="rId242" Type="http://schemas.openxmlformats.org/officeDocument/2006/relationships/hyperlink" Target="https://eur-lex.europa.eu/legal-content/EN/TXT/?qid=1522066374094&amp;uri=CELEX:32005L0045" TargetMode="External"/><Relationship Id="rId284" Type="http://schemas.openxmlformats.org/officeDocument/2006/relationships/hyperlink" Target="http://europa.eu/rapid/press-release_MEMO-17-3494_en.htm" TargetMode="External"/><Relationship Id="rId491" Type="http://schemas.openxmlformats.org/officeDocument/2006/relationships/hyperlink" Target="http://curia.europa.eu/juris/liste.jsf?language=en&amp;jur=C,T,F&amp;num=C-498/17&amp;td=ALL" TargetMode="External"/><Relationship Id="rId505" Type="http://schemas.openxmlformats.org/officeDocument/2006/relationships/hyperlink" Target="https://eur-lex.europa.eu/legal-content/EN/TXT/?qid=1522065941109&amp;uri=CELEX:32011L0051" TargetMode="External"/><Relationship Id="rId37" Type="http://schemas.openxmlformats.org/officeDocument/2006/relationships/hyperlink" Target="https://eur-lex.europa.eu/legal-content/EN/TXT/?qid=1521712626680&amp;uri=CELEX:32015L2087" TargetMode="External"/><Relationship Id="rId79" Type="http://schemas.openxmlformats.org/officeDocument/2006/relationships/hyperlink" Target="http://eur-lex.europa.eu/legal-content/EN/TXT/?qid=1521726221502&amp;uri=CELEX:32009L0138" TargetMode="External"/><Relationship Id="rId102" Type="http://schemas.openxmlformats.org/officeDocument/2006/relationships/hyperlink" Target="http://eur-lex.europa.eu/legal-content/EN/TXT/?qid=1521638736725&amp;uri=CELEX:32014L0112" TargetMode="External"/><Relationship Id="rId144" Type="http://schemas.openxmlformats.org/officeDocument/2006/relationships/hyperlink" Target="http://europa.eu/rapid/press-release_IP-17-238_en.htm" TargetMode="External"/><Relationship Id="rId547" Type="http://schemas.openxmlformats.org/officeDocument/2006/relationships/hyperlink" Target="http://eur-lex.europa.eu/legal-content/AUTO/?uri=CELEX:32005L0036&amp;qid=1522054528442&amp;rid=1" TargetMode="External"/><Relationship Id="rId589" Type="http://schemas.openxmlformats.org/officeDocument/2006/relationships/hyperlink" Target="https://eur-lex.europa.eu/legal-content/EN/TXT/?qid=1521646324831&amp;uri=CELEX:32009L0072" TargetMode="External"/><Relationship Id="rId90" Type="http://schemas.openxmlformats.org/officeDocument/2006/relationships/hyperlink" Target="https://eur-lex.europa.eu/legal-content/EN/TXT/?uri=celex%3A32015D1601" TargetMode="External"/><Relationship Id="rId186" Type="http://schemas.openxmlformats.org/officeDocument/2006/relationships/hyperlink" Target="https://eur-lex.europa.eu/legal-content/EN/TXT/?qid=1522051034691&amp;uri=CELEX:32006R1083" TargetMode="External"/><Relationship Id="rId351" Type="http://schemas.openxmlformats.org/officeDocument/2006/relationships/hyperlink" Target="http://europa.eu/rapid/press-release_IP-16-3651_en.htm" TargetMode="External"/><Relationship Id="rId393" Type="http://schemas.openxmlformats.org/officeDocument/2006/relationships/hyperlink" Target="http://europa.eu/rapid/press-release_MEMO-17-3494_en.htm" TargetMode="External"/><Relationship Id="rId407" Type="http://schemas.openxmlformats.org/officeDocument/2006/relationships/hyperlink" Target="http://europa.eu/rapid/press-release_IP-16-4216_en.htm" TargetMode="External"/><Relationship Id="rId449" Type="http://schemas.openxmlformats.org/officeDocument/2006/relationships/hyperlink" Target="http://europa.eu/rapid/press-release_MEMO-17-1936_en.htm" TargetMode="External"/><Relationship Id="rId614" Type="http://schemas.openxmlformats.org/officeDocument/2006/relationships/hyperlink" Target="http://eur-lex.europa.eu/legal-content/AUTO/?uri=CELEX:32003L0096&amp;qid=1522067249284&amp;rid=1" TargetMode="External"/><Relationship Id="rId211" Type="http://schemas.openxmlformats.org/officeDocument/2006/relationships/hyperlink" Target="http://curia.europa.eu/juris/liste.jsf?language=en&amp;jur=C,T,F&amp;num=C-20/16&amp;td=ALL" TargetMode="External"/><Relationship Id="rId253" Type="http://schemas.openxmlformats.org/officeDocument/2006/relationships/hyperlink" Target="http://europa.eu/rapid/press-release_IP-17-236_en.htm" TargetMode="External"/><Relationship Id="rId295" Type="http://schemas.openxmlformats.org/officeDocument/2006/relationships/hyperlink" Target="http://europa.eu/rapid/press-release_IP-16-2592_en.htm" TargetMode="External"/><Relationship Id="rId309" Type="http://schemas.openxmlformats.org/officeDocument/2006/relationships/hyperlink" Target="https://eur-lex.europa.eu/legal-content/EN/TXT/?qid=1521717466496&amp;uri=CELEX:31999L0031" TargetMode="External"/><Relationship Id="rId460" Type="http://schemas.openxmlformats.org/officeDocument/2006/relationships/hyperlink" Target="http://eur-lex.europa.eu/legal-content/EN/TXT/?qid=1522074449384&amp;uri=CELEX:32015L2087" TargetMode="External"/><Relationship Id="rId516" Type="http://schemas.openxmlformats.org/officeDocument/2006/relationships/hyperlink" Target="http://curia.europa.eu/juris/liste.jsf?language=en&amp;jur=C,T,F&amp;num=C-322/16&amp;td=AL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105.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106.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107.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108.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109.xlsx"/><Relationship Id="rId1" Type="http://schemas.openxmlformats.org/officeDocument/2006/relationships/themeOverride" Target="../theme/themeOverride10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Excel_Worksheet110.xlsx"/><Relationship Id="rId1" Type="http://schemas.openxmlformats.org/officeDocument/2006/relationships/themeOverride" Target="../theme/themeOverride110.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Excel_Worksheet111.xlsx"/><Relationship Id="rId1" Type="http://schemas.openxmlformats.org/officeDocument/2006/relationships/themeOverride" Target="../theme/themeOverride111.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112.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113.xlsx"/><Relationship Id="rId1" Type="http://schemas.openxmlformats.org/officeDocument/2006/relationships/themeOverride" Target="../theme/themeOverride113.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Excel_Worksheet114.xlsx"/><Relationship Id="rId1" Type="http://schemas.openxmlformats.org/officeDocument/2006/relationships/themeOverride" Target="../theme/themeOverride114.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115.xlsx"/><Relationship Id="rId1" Type="http://schemas.openxmlformats.org/officeDocument/2006/relationships/themeOverride" Target="../theme/themeOverride115.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116.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Worksheet117.xlsx"/><Relationship Id="rId1" Type="http://schemas.openxmlformats.org/officeDocument/2006/relationships/themeOverride" Target="../theme/themeOverride117.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118.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11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120.xlsx"/><Relationship Id="rId1" Type="http://schemas.openxmlformats.org/officeDocument/2006/relationships/themeOverride" Target="../theme/themeOverride120.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121.xlsx"/><Relationship Id="rId1" Type="http://schemas.openxmlformats.org/officeDocument/2006/relationships/themeOverride" Target="../theme/themeOverride121.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122.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Excel_Worksheet123.xlsx"/><Relationship Id="rId1" Type="http://schemas.openxmlformats.org/officeDocument/2006/relationships/themeOverride" Target="../theme/themeOverride123.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Excel_Worksheet124.xlsx"/><Relationship Id="rId1" Type="http://schemas.openxmlformats.org/officeDocument/2006/relationships/themeOverride" Target="../theme/themeOverride124.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Excel_Worksheet125.xlsx"/><Relationship Id="rId1" Type="http://schemas.openxmlformats.org/officeDocument/2006/relationships/themeOverride" Target="../theme/themeOverride125.xml"/></Relationships>
</file>

<file path=word/charts/_rels/chart126.xml.rels><?xml version="1.0" encoding="UTF-8" standalone="yes"?>
<Relationships xmlns="http://schemas.openxmlformats.org/package/2006/relationships"><Relationship Id="rId2" Type="http://schemas.openxmlformats.org/officeDocument/2006/relationships/package" Target="../embeddings/Microsoft_Excel_Worksheet126.xlsx"/><Relationship Id="rId1" Type="http://schemas.openxmlformats.org/officeDocument/2006/relationships/themeOverride" Target="../theme/themeOverride126.xml"/></Relationships>
</file>

<file path=word/charts/_rels/chart127.xml.rels><?xml version="1.0" encoding="UTF-8" standalone="yes"?>
<Relationships xmlns="http://schemas.openxmlformats.org/package/2006/relationships"><Relationship Id="rId2" Type="http://schemas.openxmlformats.org/officeDocument/2006/relationships/package" Target="../embeddings/Microsoft_Excel_Worksheet127.xlsx"/><Relationship Id="rId1" Type="http://schemas.openxmlformats.org/officeDocument/2006/relationships/themeOverride" Target="../theme/themeOverride127.xml"/></Relationships>
</file>

<file path=word/charts/_rels/chart128.xml.rels><?xml version="1.0" encoding="UTF-8" standalone="yes"?>
<Relationships xmlns="http://schemas.openxmlformats.org/package/2006/relationships"><Relationship Id="rId2" Type="http://schemas.openxmlformats.org/officeDocument/2006/relationships/package" Target="../embeddings/Microsoft_Excel_Worksheet128.xlsx"/><Relationship Id="rId1" Type="http://schemas.openxmlformats.org/officeDocument/2006/relationships/themeOverride" Target="../theme/themeOverride128.xml"/></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Excel_Worksheet129.xlsx"/><Relationship Id="rId1" Type="http://schemas.openxmlformats.org/officeDocument/2006/relationships/themeOverride" Target="../theme/themeOverride12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30.xml.rels><?xml version="1.0" encoding="UTF-8" standalone="yes"?>
<Relationships xmlns="http://schemas.openxmlformats.org/package/2006/relationships"><Relationship Id="rId2" Type="http://schemas.openxmlformats.org/officeDocument/2006/relationships/package" Target="../embeddings/Microsoft_Excel_Worksheet130.xlsx"/><Relationship Id="rId1" Type="http://schemas.openxmlformats.org/officeDocument/2006/relationships/themeOverride" Target="../theme/themeOverride130.xml"/></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Excel_Worksheet131.xlsx"/><Relationship Id="rId1" Type="http://schemas.openxmlformats.org/officeDocument/2006/relationships/themeOverride" Target="../theme/themeOverride131.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Excel_Worksheet132.xlsx"/><Relationship Id="rId1" Type="http://schemas.openxmlformats.org/officeDocument/2006/relationships/themeOverride" Target="../theme/themeOverride132.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Excel_Worksheet133.xlsx"/><Relationship Id="rId1" Type="http://schemas.openxmlformats.org/officeDocument/2006/relationships/themeOverride" Target="../theme/themeOverride133.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Excel_Worksheet134.xlsx"/><Relationship Id="rId1" Type="http://schemas.openxmlformats.org/officeDocument/2006/relationships/themeOverride" Target="../theme/themeOverride134.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Microsoft_Excel_Worksheet135.xlsx"/><Relationship Id="rId1" Type="http://schemas.openxmlformats.org/officeDocument/2006/relationships/themeOverride" Target="../theme/themeOverride135.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Microsoft_Excel_Worksheet136.xlsx"/><Relationship Id="rId1" Type="http://schemas.openxmlformats.org/officeDocument/2006/relationships/themeOverride" Target="../theme/themeOverride136.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Microsoft_Excel_Worksheet137.xlsx"/><Relationship Id="rId1" Type="http://schemas.openxmlformats.org/officeDocument/2006/relationships/themeOverride" Target="../theme/themeOverride137.xml"/></Relationships>
</file>

<file path=word/charts/_rels/chart138.xml.rels><?xml version="1.0" encoding="UTF-8" standalone="yes"?>
<Relationships xmlns="http://schemas.openxmlformats.org/package/2006/relationships"><Relationship Id="rId2" Type="http://schemas.openxmlformats.org/officeDocument/2006/relationships/package" Target="../embeddings/Microsoft_Excel_Worksheet138.xlsx"/><Relationship Id="rId1" Type="http://schemas.openxmlformats.org/officeDocument/2006/relationships/themeOverride" Target="../theme/themeOverride138.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Microsoft_Excel_Worksheet139.xlsx"/><Relationship Id="rId1" Type="http://schemas.openxmlformats.org/officeDocument/2006/relationships/themeOverride" Target="../theme/themeOverride13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40.xml.rels><?xml version="1.0" encoding="UTF-8" standalone="yes"?>
<Relationships xmlns="http://schemas.openxmlformats.org/package/2006/relationships"><Relationship Id="rId2" Type="http://schemas.openxmlformats.org/officeDocument/2006/relationships/package" Target="../embeddings/Microsoft_Excel_Worksheet140.xlsx"/><Relationship Id="rId1" Type="http://schemas.openxmlformats.org/officeDocument/2006/relationships/themeOverride" Target="../theme/themeOverride140.xml"/></Relationships>
</file>

<file path=word/charts/_rels/chart141.xml.rels><?xml version="1.0" encoding="UTF-8" standalone="yes"?>
<Relationships xmlns="http://schemas.openxmlformats.org/package/2006/relationships"><Relationship Id="rId2" Type="http://schemas.openxmlformats.org/officeDocument/2006/relationships/package" Target="../embeddings/Microsoft_Excel_Worksheet141.xlsx"/><Relationship Id="rId1" Type="http://schemas.openxmlformats.org/officeDocument/2006/relationships/themeOverride" Target="../theme/themeOverride141.xml"/></Relationships>
</file>

<file path=word/charts/_rels/chart142.xml.rels><?xml version="1.0" encoding="UTF-8" standalone="yes"?>
<Relationships xmlns="http://schemas.openxmlformats.org/package/2006/relationships"><Relationship Id="rId2" Type="http://schemas.openxmlformats.org/officeDocument/2006/relationships/package" Target="../embeddings/Microsoft_Excel_Worksheet142.xlsx"/><Relationship Id="rId1" Type="http://schemas.openxmlformats.org/officeDocument/2006/relationships/themeOverride" Target="../theme/themeOverride142.xml"/></Relationships>
</file>

<file path=word/charts/_rels/chart143.xml.rels><?xml version="1.0" encoding="UTF-8" standalone="yes"?>
<Relationships xmlns="http://schemas.openxmlformats.org/package/2006/relationships"><Relationship Id="rId2" Type="http://schemas.openxmlformats.org/officeDocument/2006/relationships/package" Target="../embeddings/Microsoft_Excel_Worksheet143.xlsx"/><Relationship Id="rId1" Type="http://schemas.openxmlformats.org/officeDocument/2006/relationships/themeOverride" Target="../theme/themeOverride143.xml"/></Relationships>
</file>

<file path=word/charts/_rels/chart144.xml.rels><?xml version="1.0" encoding="UTF-8" standalone="yes"?>
<Relationships xmlns="http://schemas.openxmlformats.org/package/2006/relationships"><Relationship Id="rId2" Type="http://schemas.openxmlformats.org/officeDocument/2006/relationships/package" Target="../embeddings/Microsoft_Excel_Worksheet144.xlsx"/><Relationship Id="rId1" Type="http://schemas.openxmlformats.org/officeDocument/2006/relationships/themeOverride" Target="../theme/themeOverride144.xml"/></Relationships>
</file>

<file path=word/charts/_rels/chart145.xml.rels><?xml version="1.0" encoding="UTF-8" standalone="yes"?>
<Relationships xmlns="http://schemas.openxmlformats.org/package/2006/relationships"><Relationship Id="rId2" Type="http://schemas.openxmlformats.org/officeDocument/2006/relationships/package" Target="../embeddings/Microsoft_Excel_Worksheet145.xlsx"/><Relationship Id="rId1" Type="http://schemas.openxmlformats.org/officeDocument/2006/relationships/themeOverride" Target="../theme/themeOverride145.xml"/></Relationships>
</file>

<file path=word/charts/_rels/chart146.xml.rels><?xml version="1.0" encoding="UTF-8" standalone="yes"?>
<Relationships xmlns="http://schemas.openxmlformats.org/package/2006/relationships"><Relationship Id="rId2" Type="http://schemas.openxmlformats.org/officeDocument/2006/relationships/package" Target="../embeddings/Microsoft_Excel_Worksheet146.xlsx"/><Relationship Id="rId1" Type="http://schemas.openxmlformats.org/officeDocument/2006/relationships/themeOverride" Target="../theme/themeOverride146.xml"/></Relationships>
</file>

<file path=word/charts/_rels/chart147.xml.rels><?xml version="1.0" encoding="UTF-8" standalone="yes"?>
<Relationships xmlns="http://schemas.openxmlformats.org/package/2006/relationships"><Relationship Id="rId2" Type="http://schemas.openxmlformats.org/officeDocument/2006/relationships/package" Target="../embeddings/Microsoft_Excel_Worksheet147.xlsx"/><Relationship Id="rId1" Type="http://schemas.openxmlformats.org/officeDocument/2006/relationships/themeOverride" Target="../theme/themeOverride147.xml"/></Relationships>
</file>

<file path=word/charts/_rels/chart148.xml.rels><?xml version="1.0" encoding="UTF-8" standalone="yes"?>
<Relationships xmlns="http://schemas.openxmlformats.org/package/2006/relationships"><Relationship Id="rId2" Type="http://schemas.openxmlformats.org/officeDocument/2006/relationships/package" Target="../embeddings/Microsoft_Excel_Worksheet148.xlsx"/><Relationship Id="rId1" Type="http://schemas.openxmlformats.org/officeDocument/2006/relationships/themeOverride" Target="../theme/themeOverride148.xml"/></Relationships>
</file>

<file path=word/charts/_rels/chart149.xml.rels><?xml version="1.0" encoding="UTF-8" standalone="yes"?>
<Relationships xmlns="http://schemas.openxmlformats.org/package/2006/relationships"><Relationship Id="rId2" Type="http://schemas.openxmlformats.org/officeDocument/2006/relationships/package" Target="../embeddings/Microsoft_Excel_Worksheet149.xlsx"/><Relationship Id="rId1" Type="http://schemas.openxmlformats.org/officeDocument/2006/relationships/themeOverride" Target="../theme/themeOverride14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50.xml.rels><?xml version="1.0" encoding="UTF-8" standalone="yes"?>
<Relationships xmlns="http://schemas.openxmlformats.org/package/2006/relationships"><Relationship Id="rId2" Type="http://schemas.openxmlformats.org/officeDocument/2006/relationships/package" Target="../embeddings/Microsoft_Excel_Worksheet150.xlsx"/><Relationship Id="rId1" Type="http://schemas.openxmlformats.org/officeDocument/2006/relationships/themeOverride" Target="../theme/themeOverride150.xml"/></Relationships>
</file>

<file path=word/charts/_rels/chart151.xml.rels><?xml version="1.0" encoding="UTF-8" standalone="yes"?>
<Relationships xmlns="http://schemas.openxmlformats.org/package/2006/relationships"><Relationship Id="rId2" Type="http://schemas.openxmlformats.org/officeDocument/2006/relationships/package" Target="../embeddings/Microsoft_Excel_Worksheet151.xlsx"/><Relationship Id="rId1" Type="http://schemas.openxmlformats.org/officeDocument/2006/relationships/themeOverride" Target="../theme/themeOverride151.xml"/></Relationships>
</file>

<file path=word/charts/_rels/chart152.xml.rels><?xml version="1.0" encoding="UTF-8" standalone="yes"?>
<Relationships xmlns="http://schemas.openxmlformats.org/package/2006/relationships"><Relationship Id="rId2" Type="http://schemas.openxmlformats.org/officeDocument/2006/relationships/package" Target="../embeddings/Microsoft_Excel_Worksheet152.xlsx"/><Relationship Id="rId1" Type="http://schemas.openxmlformats.org/officeDocument/2006/relationships/themeOverride" Target="../theme/themeOverride152.xml"/></Relationships>
</file>

<file path=word/charts/_rels/chart153.xml.rels><?xml version="1.0" encoding="UTF-8" standalone="yes"?>
<Relationships xmlns="http://schemas.openxmlformats.org/package/2006/relationships"><Relationship Id="rId2" Type="http://schemas.openxmlformats.org/officeDocument/2006/relationships/package" Target="../embeddings/Microsoft_Excel_Worksheet153.xlsx"/><Relationship Id="rId1" Type="http://schemas.openxmlformats.org/officeDocument/2006/relationships/themeOverride" Target="../theme/themeOverride153.xml"/></Relationships>
</file>

<file path=word/charts/_rels/chart154.xml.rels><?xml version="1.0" encoding="UTF-8" standalone="yes"?>
<Relationships xmlns="http://schemas.openxmlformats.org/package/2006/relationships"><Relationship Id="rId2" Type="http://schemas.openxmlformats.org/officeDocument/2006/relationships/package" Target="../embeddings/Microsoft_Excel_Worksheet154.xlsx"/><Relationship Id="rId1" Type="http://schemas.openxmlformats.org/officeDocument/2006/relationships/themeOverride" Target="../theme/themeOverride154.xml"/></Relationships>
</file>

<file path=word/charts/_rels/chart155.xml.rels><?xml version="1.0" encoding="UTF-8" standalone="yes"?>
<Relationships xmlns="http://schemas.openxmlformats.org/package/2006/relationships"><Relationship Id="rId2" Type="http://schemas.openxmlformats.org/officeDocument/2006/relationships/package" Target="../embeddings/Microsoft_Excel_Worksheet155.xlsx"/><Relationship Id="rId1" Type="http://schemas.openxmlformats.org/officeDocument/2006/relationships/themeOverride" Target="../theme/themeOverride155.xml"/></Relationships>
</file>

<file path=word/charts/_rels/chart156.xml.rels><?xml version="1.0" encoding="UTF-8" standalone="yes"?>
<Relationships xmlns="http://schemas.openxmlformats.org/package/2006/relationships"><Relationship Id="rId2" Type="http://schemas.openxmlformats.org/officeDocument/2006/relationships/package" Target="../embeddings/Microsoft_Excel_Worksheet156.xlsx"/><Relationship Id="rId1" Type="http://schemas.openxmlformats.org/officeDocument/2006/relationships/themeOverride" Target="../theme/themeOverride156.xml"/></Relationships>
</file>

<file path=word/charts/_rels/chart157.xml.rels><?xml version="1.0" encoding="UTF-8" standalone="yes"?>
<Relationships xmlns="http://schemas.openxmlformats.org/package/2006/relationships"><Relationship Id="rId2" Type="http://schemas.openxmlformats.org/officeDocument/2006/relationships/package" Target="../embeddings/Microsoft_Excel_Worksheet157.xlsx"/><Relationship Id="rId1" Type="http://schemas.openxmlformats.org/officeDocument/2006/relationships/themeOverride" Target="../theme/themeOverride157.xml"/></Relationships>
</file>

<file path=word/charts/_rels/chart158.xml.rels><?xml version="1.0" encoding="UTF-8" standalone="yes"?>
<Relationships xmlns="http://schemas.openxmlformats.org/package/2006/relationships"><Relationship Id="rId2" Type="http://schemas.openxmlformats.org/officeDocument/2006/relationships/package" Target="../embeddings/Microsoft_Excel_Worksheet158.xlsx"/><Relationship Id="rId1" Type="http://schemas.openxmlformats.org/officeDocument/2006/relationships/themeOverride" Target="../theme/themeOverride158.xml"/></Relationships>
</file>

<file path=word/charts/_rels/chart159.xml.rels><?xml version="1.0" encoding="UTF-8" standalone="yes"?>
<Relationships xmlns="http://schemas.openxmlformats.org/package/2006/relationships"><Relationship Id="rId2" Type="http://schemas.openxmlformats.org/officeDocument/2006/relationships/package" Target="../embeddings/Microsoft_Excel_Worksheet159.xlsx"/><Relationship Id="rId1" Type="http://schemas.openxmlformats.org/officeDocument/2006/relationships/themeOverride" Target="../theme/themeOverride15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60.xml.rels><?xml version="1.0" encoding="UTF-8" standalone="yes"?>
<Relationships xmlns="http://schemas.openxmlformats.org/package/2006/relationships"><Relationship Id="rId2" Type="http://schemas.openxmlformats.org/officeDocument/2006/relationships/package" Target="../embeddings/Microsoft_Excel_Worksheet160.xlsx"/><Relationship Id="rId1" Type="http://schemas.openxmlformats.org/officeDocument/2006/relationships/themeOverride" Target="../theme/themeOverride160.xml"/></Relationships>
</file>

<file path=word/charts/_rels/chart161.xml.rels><?xml version="1.0" encoding="UTF-8" standalone="yes"?>
<Relationships xmlns="http://schemas.openxmlformats.org/package/2006/relationships"><Relationship Id="rId2" Type="http://schemas.openxmlformats.org/officeDocument/2006/relationships/package" Target="../embeddings/Microsoft_Excel_Worksheet161.xlsx"/><Relationship Id="rId1" Type="http://schemas.openxmlformats.org/officeDocument/2006/relationships/themeOverride" Target="../theme/themeOverride161.xml"/></Relationships>
</file>

<file path=word/charts/_rels/chart162.xml.rels><?xml version="1.0" encoding="UTF-8" standalone="yes"?>
<Relationships xmlns="http://schemas.openxmlformats.org/package/2006/relationships"><Relationship Id="rId2" Type="http://schemas.openxmlformats.org/officeDocument/2006/relationships/package" Target="../embeddings/Microsoft_Excel_Worksheet162.xlsx"/><Relationship Id="rId1" Type="http://schemas.openxmlformats.org/officeDocument/2006/relationships/themeOverride" Target="../theme/themeOverride162.xml"/></Relationships>
</file>

<file path=word/charts/_rels/chart163.xml.rels><?xml version="1.0" encoding="UTF-8" standalone="yes"?>
<Relationships xmlns="http://schemas.openxmlformats.org/package/2006/relationships"><Relationship Id="rId2" Type="http://schemas.openxmlformats.org/officeDocument/2006/relationships/package" Target="../embeddings/Microsoft_Excel_Worksheet163.xlsx"/><Relationship Id="rId1" Type="http://schemas.openxmlformats.org/officeDocument/2006/relationships/themeOverride" Target="../theme/themeOverride163.xml"/></Relationships>
</file>

<file path=word/charts/_rels/chart164.xml.rels><?xml version="1.0" encoding="UTF-8" standalone="yes"?>
<Relationships xmlns="http://schemas.openxmlformats.org/package/2006/relationships"><Relationship Id="rId2" Type="http://schemas.openxmlformats.org/officeDocument/2006/relationships/package" Target="../embeddings/Microsoft_Excel_Worksheet164.xlsx"/><Relationship Id="rId1" Type="http://schemas.openxmlformats.org/officeDocument/2006/relationships/themeOverride" Target="../theme/themeOverride16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80946076430702E-2"/>
          <c:y val="5.5813953488372092E-2"/>
          <c:w val="0.89092585489306109"/>
          <c:h val="0.8397658541441430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1845542821998732E-2"/>
                  <c:y val="8.26794048354877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8C9-4269-BE36-230DDB447A12}"/>
                </c:ext>
              </c:extLst>
            </c:dLbl>
            <c:dLbl>
              <c:idx val="2"/>
              <c:layout>
                <c:manualLayout>
                  <c:x val="-4.9786555606169063E-2"/>
                  <c:y val="6.54470318869715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8C9-4269-BE36-230DDB447A12}"/>
                </c:ext>
              </c:extLst>
            </c:dLbl>
            <c:dLbl>
              <c:idx val="4"/>
              <c:layout>
                <c:manualLayout>
                  <c:x val="-4.9704399573815651E-2"/>
                  <c:y val="7.1302840557899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8C9-4269-BE36-230DDB447A12}"/>
                </c:ext>
              </c:extLst>
            </c:dLbl>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89</c:v>
                </c:pt>
                <c:pt idx="1">
                  <c:v>124</c:v>
                </c:pt>
                <c:pt idx="2">
                  <c:v>106</c:v>
                </c:pt>
                <c:pt idx="3">
                  <c:v>134</c:v>
                </c:pt>
                <c:pt idx="4">
                  <c:v>101</c:v>
                </c:pt>
              </c:numCache>
            </c:numRef>
          </c:val>
          <c:smooth val="0"/>
          <c:extLst xmlns:c16r2="http://schemas.microsoft.com/office/drawing/2015/06/chart">
            <c:ext xmlns:c16="http://schemas.microsoft.com/office/drawing/2014/chart" uri="{C3380CC4-5D6E-409C-BE32-E72D297353CC}">
              <c16:uniqueId val="{00000004-A265-4059-9636-C71B5AF0C23E}"/>
            </c:ext>
          </c:extLst>
        </c:ser>
        <c:dLbls>
          <c:showLegendKey val="0"/>
          <c:showVal val="0"/>
          <c:showCatName val="0"/>
          <c:showSerName val="0"/>
          <c:showPercent val="0"/>
          <c:showBubbleSize val="0"/>
        </c:dLbls>
        <c:marker val="1"/>
        <c:smooth val="0"/>
        <c:axId val="226982912"/>
        <c:axId val="226988800"/>
      </c:lineChart>
      <c:catAx>
        <c:axId val="226982912"/>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26988800"/>
        <c:crosses val="autoZero"/>
        <c:auto val="1"/>
        <c:lblAlgn val="ctr"/>
        <c:lblOffset val="100"/>
        <c:noMultiLvlLbl val="0"/>
      </c:catAx>
      <c:valAx>
        <c:axId val="226988800"/>
        <c:scaling>
          <c:orientation val="minMax"/>
          <c:min val="7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226982912"/>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211240385996529E-2"/>
          <c:y val="9.1535261548594551E-2"/>
          <c:w val="0.93909191583610185"/>
          <c:h val="0.79641975308641977"/>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765977635880092E-2"/>
                  <c:y val="-6.31288466990406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01D-4710-A9C6-8B46801A1154}"/>
                </c:ext>
              </c:extLst>
            </c:dLbl>
            <c:dLbl>
              <c:idx val="2"/>
              <c:layout>
                <c:manualLayout>
                  <c:x val="-4.2141871569536395E-2"/>
                  <c:y val="6.63744775805463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01D-4710-A9C6-8B46801A1154}"/>
                </c:ext>
              </c:extLst>
            </c:dLbl>
            <c:dLbl>
              <c:idx val="3"/>
              <c:layout>
                <c:manualLayout>
                  <c:x val="-3.6594803758982865E-2"/>
                  <c:y val="-5.35684563819766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01D-4710-A9C6-8B46801A1154}"/>
                </c:ext>
              </c:extLst>
            </c:dLbl>
            <c:dLbl>
              <c:idx val="4"/>
              <c:layout>
                <c:manualLayout>
                  <c:x val="-3.9364202609002232E-2"/>
                  <c:y val="6.6394597016836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01D-4710-A9C6-8B46801A1154}"/>
                </c:ext>
              </c:extLst>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23</c:v>
                </c:pt>
                <c:pt idx="1">
                  <c:v>40</c:v>
                </c:pt>
                <c:pt idx="2">
                  <c:v>28</c:v>
                </c:pt>
                <c:pt idx="3">
                  <c:v>43</c:v>
                </c:pt>
                <c:pt idx="4">
                  <c:v>23</c:v>
                </c:pt>
              </c:numCache>
            </c:numRef>
          </c:val>
          <c:smooth val="0"/>
          <c:extLst xmlns:c16r2="http://schemas.microsoft.com/office/drawing/2015/06/chart">
            <c:ext xmlns:c16="http://schemas.microsoft.com/office/drawing/2014/chart" uri="{C3380CC4-5D6E-409C-BE32-E72D297353CC}">
              <c16:uniqueId val="{00000004-F01D-4710-A9C6-8B46801A1154}"/>
            </c:ext>
          </c:extLst>
        </c:ser>
        <c:dLbls>
          <c:showLegendKey val="0"/>
          <c:showVal val="0"/>
          <c:showCatName val="0"/>
          <c:showSerName val="0"/>
          <c:showPercent val="0"/>
          <c:showBubbleSize val="0"/>
        </c:dLbls>
        <c:marker val="1"/>
        <c:smooth val="0"/>
        <c:axId val="324840064"/>
        <c:axId val="325452160"/>
      </c:lineChart>
      <c:catAx>
        <c:axId val="324840064"/>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5452160"/>
        <c:crosses val="autoZero"/>
        <c:auto val="1"/>
        <c:lblAlgn val="ctr"/>
        <c:lblOffset val="100"/>
        <c:noMultiLvlLbl val="0"/>
      </c:catAx>
      <c:valAx>
        <c:axId val="325452160"/>
        <c:scaling>
          <c:orientation val="minMax"/>
          <c:min val="15"/>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324840064"/>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383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France</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3">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6600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39D5-4C8B-B020-F4629B4C7B2D}"/>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39D5-4C8B-B020-F4629B4C7B2D}"/>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39D5-4C8B-B020-F4629B4C7B2D}"/>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39D5-4C8B-B020-F4629B4C7B2D}"/>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39D5-4C8B-B020-F4629B4C7B2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D5-4C8B-B020-F4629B4C7B2D}"/>
                </c:ext>
              </c:extLst>
            </c:dLbl>
            <c:dLbl>
              <c:idx val="1"/>
              <c:layout>
                <c:manualLayout>
                  <c:x val="-1.0995539137854681E-2"/>
                  <c:y val="9.5421929401681926E-2"/>
                </c:manualLayout>
              </c:layout>
              <c:spPr>
                <a:noFill/>
                <a:ln w="25403">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9D5-4C8B-B020-F4629B4C7B2D}"/>
                </c:ext>
              </c:extLst>
            </c:dLbl>
            <c:dLbl>
              <c:idx val="2"/>
              <c:layout>
                <c:manualLayout>
                  <c:x val="-2.7297884060788698E-2"/>
                  <c:y val="-1.1998500187476566E-5"/>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9D5-4C8B-B020-F4629B4C7B2D}"/>
                </c:ext>
              </c:extLst>
            </c:dLbl>
            <c:dLbl>
              <c:idx val="3"/>
              <c:layout>
                <c:manualLayout>
                  <c:x val="1.646090534979424E-2"/>
                  <c:y val="-9.7959183673469383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39D5-4C8B-B020-F4629B4C7B2D}"/>
                </c:ext>
              </c:extLst>
            </c:dLbl>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layout/>
              </c:ext>
            </c:extLst>
          </c:dLbls>
          <c:cat>
            <c:strRef>
              <c:f>Blad1!$A$2:$A$6</c:f>
              <c:strCache>
                <c:ptCount val="5"/>
                <c:pt idx="0">
                  <c:v>Policy Area</c:v>
                </c:pt>
                <c:pt idx="1">
                  <c:v>Justice and consumers</c:v>
                </c:pt>
                <c:pt idx="2">
                  <c:v>Employment</c:v>
                </c:pt>
                <c:pt idx="3">
                  <c:v>Environment</c:v>
                </c:pt>
                <c:pt idx="4">
                  <c:v>Other</c:v>
                </c:pt>
              </c:strCache>
            </c:strRef>
          </c:cat>
          <c:val>
            <c:numRef>
              <c:f>Blad1!$B$2:$B$6</c:f>
              <c:numCache>
                <c:formatCode>General</c:formatCode>
                <c:ptCount val="5"/>
                <c:pt idx="0">
                  <c:v>0</c:v>
                </c:pt>
                <c:pt idx="1">
                  <c:v>74</c:v>
                </c:pt>
                <c:pt idx="2">
                  <c:v>73</c:v>
                </c:pt>
                <c:pt idx="3">
                  <c:v>68</c:v>
                </c:pt>
                <c:pt idx="4">
                  <c:v>168</c:v>
                </c:pt>
              </c:numCache>
            </c:numRef>
          </c:val>
          <c:extLst xmlns:c16r2="http://schemas.microsoft.com/office/drawing/2015/06/chart">
            <c:ext xmlns:c16="http://schemas.microsoft.com/office/drawing/2014/chart" uri="{C3380CC4-5D6E-409C-BE32-E72D297353CC}">
              <c16:uniqueId val="{00000009-39D5-4C8B-B020-F4629B4C7B2D}"/>
            </c:ext>
          </c:extLst>
        </c:ser>
        <c:dLbls>
          <c:showLegendKey val="0"/>
          <c:showVal val="0"/>
          <c:showCatName val="0"/>
          <c:showSerName val="0"/>
          <c:showPercent val="0"/>
          <c:showBubbleSize val="0"/>
          <c:showLeaderLines val="0"/>
        </c:dLbls>
        <c:firstSliceAng val="304"/>
      </c:pieChart>
      <c:spPr>
        <a:noFill/>
        <a:ln w="25403">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6.0894991431856144E-2"/>
                  <c:y val="7.05517687154777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448-4E04-A766-E28D9BAD326B}"/>
                </c:ext>
              </c:extLst>
            </c:dLbl>
            <c:dLbl>
              <c:idx val="2"/>
              <c:layout>
                <c:manualLayout>
                  <c:x val="-3.8829316100047695E-2"/>
                  <c:y val="8.25866008192084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448-4E04-A766-E28D9BAD326B}"/>
                </c:ext>
              </c:extLst>
            </c:dLbl>
            <c:dLbl>
              <c:idx val="3"/>
              <c:layout>
                <c:manualLayout>
                  <c:x val="-5.2919189556750949E-2"/>
                  <c:y val="8.93192317749949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448-4E04-A766-E28D9BAD326B}"/>
                </c:ext>
              </c:extLst>
            </c:dLbl>
            <c:dLbl>
              <c:idx val="4"/>
              <c:layout>
                <c:manualLayout>
                  <c:x val="-4.1928374655647381E-2"/>
                  <c:y val="5.88930348258707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448-4E04-A766-E28D9BAD326B}"/>
                </c:ext>
              </c:extLst>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110</c:v>
                </c:pt>
                <c:pt idx="1">
                  <c:v>61</c:v>
                </c:pt>
                <c:pt idx="2">
                  <c:v>46</c:v>
                </c:pt>
                <c:pt idx="3">
                  <c:v>53</c:v>
                </c:pt>
                <c:pt idx="4">
                  <c:v>8</c:v>
                </c:pt>
              </c:numCache>
            </c:numRef>
          </c:val>
          <c:smooth val="0"/>
          <c:extLst xmlns:c16r2="http://schemas.microsoft.com/office/drawing/2015/06/chart">
            <c:ext xmlns:c16="http://schemas.microsoft.com/office/drawing/2014/chart" uri="{C3380CC4-5D6E-409C-BE32-E72D297353CC}">
              <c16:uniqueId val="{00000004-D448-4E04-A766-E28D9BAD326B}"/>
            </c:ext>
          </c:extLst>
        </c:ser>
        <c:dLbls>
          <c:showLegendKey val="0"/>
          <c:showVal val="0"/>
          <c:showCatName val="0"/>
          <c:showSerName val="0"/>
          <c:showPercent val="0"/>
          <c:showBubbleSize val="0"/>
        </c:dLbls>
        <c:marker val="1"/>
        <c:smooth val="0"/>
        <c:axId val="336931456"/>
        <c:axId val="336941440"/>
      </c:lineChart>
      <c:catAx>
        <c:axId val="33693145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6941440"/>
        <c:crosses val="autoZero"/>
        <c:auto val="1"/>
        <c:lblAlgn val="ctr"/>
        <c:lblOffset val="100"/>
        <c:noMultiLvlLbl val="0"/>
      </c:catAx>
      <c:valAx>
        <c:axId val="336941440"/>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6931456"/>
        <c:crosses val="autoZero"/>
        <c:crossBetween val="between"/>
      </c:valAx>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6.0886967815516245E-2"/>
                  <c:y val="6.94127387638062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1FC-43DE-8FAA-369EA0909BD4}"/>
                </c:ext>
              </c:extLst>
            </c:dLbl>
            <c:dLbl>
              <c:idx val="2"/>
              <c:layout>
                <c:manualLayout>
                  <c:x val="-4.4340036007895704E-2"/>
                  <c:y val="7.77137932385317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1FC-43DE-8FAA-369EA0909BD4}"/>
                </c:ext>
              </c:extLst>
            </c:dLbl>
            <c:dLbl>
              <c:idx val="3"/>
              <c:layout>
                <c:manualLayout>
                  <c:x val="-3.3667352919175164E-2"/>
                  <c:y val="-6.43979400817266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1FC-43DE-8FAA-369EA0909BD4}"/>
                </c:ext>
              </c:extLst>
            </c:dLbl>
            <c:dLbl>
              <c:idx val="4"/>
              <c:layout>
                <c:manualLayout>
                  <c:x val="-4.1928374655647381E-2"/>
                  <c:y val="5.88930348258707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1FC-43DE-8FAA-369EA0909BD4}"/>
                </c:ext>
              </c:extLst>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112</c:v>
                </c:pt>
                <c:pt idx="1">
                  <c:v>76</c:v>
                </c:pt>
                <c:pt idx="2">
                  <c:v>62</c:v>
                </c:pt>
                <c:pt idx="3">
                  <c:v>73</c:v>
                </c:pt>
                <c:pt idx="4">
                  <c:v>50</c:v>
                </c:pt>
              </c:numCache>
            </c:numRef>
          </c:val>
          <c:smooth val="0"/>
          <c:extLst xmlns:c16r2="http://schemas.microsoft.com/office/drawing/2015/06/chart">
            <c:ext xmlns:c16="http://schemas.microsoft.com/office/drawing/2014/chart" uri="{C3380CC4-5D6E-409C-BE32-E72D297353CC}">
              <c16:uniqueId val="{00000004-B1FC-43DE-8FAA-369EA0909BD4}"/>
            </c:ext>
          </c:extLst>
        </c:ser>
        <c:dLbls>
          <c:showLegendKey val="0"/>
          <c:showVal val="0"/>
          <c:showCatName val="0"/>
          <c:showSerName val="0"/>
          <c:showPercent val="0"/>
          <c:showBubbleSize val="0"/>
        </c:dLbls>
        <c:marker val="1"/>
        <c:smooth val="0"/>
        <c:axId val="338049280"/>
        <c:axId val="338063360"/>
      </c:lineChart>
      <c:catAx>
        <c:axId val="338049280"/>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8063360"/>
        <c:crosses val="autoZero"/>
        <c:auto val="1"/>
        <c:lblAlgn val="ctr"/>
        <c:lblOffset val="100"/>
        <c:noMultiLvlLbl val="0"/>
      </c:catAx>
      <c:valAx>
        <c:axId val="338063360"/>
        <c:scaling>
          <c:orientation val="minMax"/>
          <c:min val="4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8049280"/>
        <c:crosses val="autoZero"/>
        <c:crossBetween val="between"/>
      </c:valAx>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8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France</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2859105847063235"/>
          <c:y val="2.5367779440793041E-2"/>
        </c:manualLayout>
      </c:layout>
      <c:overlay val="0"/>
    </c:title>
    <c:autoTitleDeleted val="0"/>
    <c:plotArea>
      <c:layout/>
      <c:pieChart>
        <c:varyColors val="1"/>
        <c:ser>
          <c:idx val="0"/>
          <c:order val="0"/>
          <c:tx>
            <c:strRef>
              <c:f>Blad1!$A$3:$A$7</c:f>
              <c:strCache>
                <c:ptCount val="1"/>
                <c:pt idx="0">
                  <c:v>Environment Climate action  Taxation and customs Mobility and transport Agriculture and rural development</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DAD-4544-B1C8-9353036B01FD}"/>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DAD-4544-B1C8-9353036B01FD}"/>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DAD-4544-B1C8-9353036B01FD}"/>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DAD-4544-B1C8-9353036B01FD}"/>
              </c:ext>
            </c:extLst>
          </c:dPt>
          <c:dPt>
            <c:idx val="4"/>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DAD-4544-B1C8-9353036B01FD}"/>
              </c:ext>
            </c:extLst>
          </c:dPt>
          <c:dLbls>
            <c:dLbl>
              <c:idx val="0"/>
              <c:layout>
                <c:manualLayout>
                  <c:x val="-3.1959683318273743E-2"/>
                  <c:y val="-0.24643350969141475"/>
                </c:manualLayout>
              </c:layou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DAD-4544-B1C8-9353036B01FD}"/>
                </c:ext>
              </c:extLst>
            </c:dLbl>
            <c:dLbl>
              <c:idx val="1"/>
              <c:layout>
                <c:manualLayout>
                  <c:x val="-0.10104083301062777"/>
                  <c:y val="8.929804515760449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DAD-4544-B1C8-9353036B01FD}"/>
                </c:ext>
              </c:extLst>
            </c:dLbl>
            <c:dLbl>
              <c:idx val="2"/>
              <c:layout>
                <c:manualLayout>
                  <c:x val="-1.6452605309582202E-2"/>
                  <c:y val="3.947233330849416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DAD-4544-B1C8-9353036B01FD}"/>
                </c:ext>
              </c:extLst>
            </c:dLbl>
            <c:dLbl>
              <c:idx val="3"/>
              <c:layout>
                <c:manualLayout>
                  <c:x val="6.1124736457123189E-3"/>
                  <c:y val="-3.149564900601935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DAD-4544-B1C8-9353036B01FD}"/>
                </c:ext>
              </c:extLst>
            </c:dLbl>
            <c:dLbl>
              <c:idx val="4"/>
              <c:layout>
                <c:manualLayout>
                  <c:x val="4.6178735854739472E-2"/>
                  <c:y val="-1.0846435993598416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DAD-4544-B1C8-9353036B01FD}"/>
                </c:ext>
              </c:extLst>
            </c:dLbl>
            <c:dLbl>
              <c:idx val="5"/>
              <c:layout>
                <c:manualLayout>
                  <c:x val="-7.9495614035087717E-2"/>
                  <c:y val="-0.1727642276422764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DAD-4544-B1C8-9353036B01FD}"/>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Blad1!$A$3:$A$7</c:f>
              <c:strCache>
                <c:ptCount val="5"/>
                <c:pt idx="0">
                  <c:v>Environment</c:v>
                </c:pt>
                <c:pt idx="1">
                  <c:v>Climate action </c:v>
                </c:pt>
                <c:pt idx="2">
                  <c:v>Taxation and customs</c:v>
                </c:pt>
                <c:pt idx="3">
                  <c:v>Mobility and transport</c:v>
                </c:pt>
                <c:pt idx="4">
                  <c:v>Agriculture and rural development</c:v>
                </c:pt>
              </c:strCache>
            </c:strRef>
          </c:cat>
          <c:val>
            <c:numRef>
              <c:f>Blad1!$B$3:$B$7</c:f>
              <c:numCache>
                <c:formatCode>General</c:formatCode>
                <c:ptCount val="5"/>
                <c:pt idx="0">
                  <c:v>3</c:v>
                </c:pt>
                <c:pt idx="1">
                  <c:v>2</c:v>
                </c:pt>
                <c:pt idx="2">
                  <c:v>1</c:v>
                </c:pt>
                <c:pt idx="3">
                  <c:v>1</c:v>
                </c:pt>
                <c:pt idx="4">
                  <c:v>1</c:v>
                </c:pt>
              </c:numCache>
            </c:numRef>
          </c:val>
          <c:extLst xmlns:c16r2="http://schemas.microsoft.com/office/drawing/2015/06/chart">
            <c:ext xmlns:c16="http://schemas.microsoft.com/office/drawing/2014/chart" uri="{C3380CC4-5D6E-409C-BE32-E72D297353CC}">
              <c16:uniqueId val="{0000000B-EDAD-4544-B1C8-9353036B01FD}"/>
            </c:ext>
          </c:extLst>
        </c:ser>
        <c:dLbls>
          <c:showLegendKey val="0"/>
          <c:showVal val="0"/>
          <c:showCatName val="0"/>
          <c:showSerName val="0"/>
          <c:showPercent val="0"/>
          <c:showBubbleSize val="0"/>
          <c:showLeaderLines val="0"/>
        </c:dLbls>
        <c:firstSliceAng val="166"/>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France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7025968098473439E-2"/>
                  <c:y val="-6.4134449804792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4DFC-44E0-B9EC-421BBA6F5079}"/>
                </c:ext>
              </c:extLst>
            </c:dLbl>
            <c:dLbl>
              <c:idx val="1"/>
              <c:layout>
                <c:manualLayout>
                  <c:x val="-5.084708277636299E-2"/>
                  <c:y val="7.18594858447368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DFC-44E0-B9EC-421BBA6F5079}"/>
                </c:ext>
              </c:extLst>
            </c:dLbl>
            <c:dLbl>
              <c:idx val="2"/>
              <c:layout>
                <c:manualLayout>
                  <c:x val="-4.8463520746399882E-2"/>
                  <c:y val="7.0702702228999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DFC-44E0-B9EC-421BBA6F5079}"/>
                </c:ext>
              </c:extLst>
            </c:dLbl>
            <c:dLbl>
              <c:idx val="3"/>
              <c:layout>
                <c:manualLayout>
                  <c:x val="-5.0953977716849827E-2"/>
                  <c:y val="-9.82985640985194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DFC-44E0-B9EC-421BBA6F5079}"/>
                </c:ext>
              </c:extLst>
            </c:dLbl>
            <c:dLbl>
              <c:idx val="4"/>
              <c:layout>
                <c:manualLayout>
                  <c:x val="-5.2688003551794829E-2"/>
                  <c:y val="-5.88926174496644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DFC-44E0-B9EC-421BBA6F5079}"/>
                </c:ext>
              </c:extLst>
            </c:dLbl>
            <c:spPr>
              <a:noFill/>
              <a:ln w="25417">
                <a:noFill/>
              </a:ln>
            </c:spPr>
            <c:txPr>
              <a:bodyPr/>
              <a:lstStyle/>
              <a:p>
                <a:pPr>
                  <a:defRPr sz="901">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0.73</c:v>
                </c:pt>
                <c:pt idx="1">
                  <c:v>0.75</c:v>
                </c:pt>
                <c:pt idx="2">
                  <c:v>0.68</c:v>
                </c:pt>
                <c:pt idx="3">
                  <c:v>0.74</c:v>
                </c:pt>
                <c:pt idx="4">
                  <c:v>0.84</c:v>
                </c:pt>
              </c:numCache>
            </c:numRef>
          </c:val>
          <c:smooth val="0"/>
          <c:extLst xmlns:c16r2="http://schemas.microsoft.com/office/drawing/2015/06/chart">
            <c:ext xmlns:c16="http://schemas.microsoft.com/office/drawing/2014/chart" uri="{C3380CC4-5D6E-409C-BE32-E72D297353CC}">
              <c16:uniqueId val="{00000004-4DFC-44E0-B9EC-421BBA6F5079}"/>
            </c:ext>
          </c:extLst>
        </c:ser>
        <c:ser>
          <c:idx val="1"/>
          <c:order val="1"/>
          <c:tx>
            <c:strRef>
              <c:f>Blad1!$C$2</c:f>
              <c:strCache>
                <c:ptCount val="1"/>
                <c:pt idx="0">
                  <c:v>General rate for all Member States</c:v>
                </c:pt>
              </c:strCache>
            </c:strRef>
          </c:tx>
          <c:spPr>
            <a:ln w="25417">
              <a:solidFill>
                <a:srgbClr val="92D050"/>
              </a:solidFill>
            </a:ln>
          </c:spPr>
          <c:marker>
            <c:symbol val="square"/>
            <c:size val="5"/>
            <c:spPr>
              <a:solidFill>
                <a:srgbClr val="92D050"/>
              </a:solidFill>
              <a:ln>
                <a:solidFill>
                  <a:srgbClr val="92D050"/>
                </a:solidFill>
              </a:ln>
            </c:spPr>
          </c:marker>
          <c:dLbls>
            <c:dLbl>
              <c:idx val="0"/>
              <c:layout>
                <c:manualLayout>
                  <c:x val="-4.4272285047392619E-2"/>
                  <c:y val="5.85700577077280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4DFC-44E0-B9EC-421BBA6F5079}"/>
                </c:ext>
              </c:extLst>
            </c:dLbl>
            <c:dLbl>
              <c:idx val="1"/>
              <c:layout>
                <c:manualLayout>
                  <c:x val="-4.7129177006529695E-2"/>
                  <c:y val="-5.23760072561881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DFC-44E0-B9EC-421BBA6F5079}"/>
                </c:ext>
              </c:extLst>
            </c:dLbl>
            <c:dLbl>
              <c:idx val="2"/>
              <c:layout>
                <c:manualLayout>
                  <c:x val="-5.1819544861724999E-2"/>
                  <c:y val="-4.92627695327733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DFC-44E0-B9EC-421BBA6F5079}"/>
                </c:ext>
              </c:extLst>
            </c:dLbl>
            <c:dLbl>
              <c:idx val="3"/>
              <c:layout>
                <c:manualLayout>
                  <c:x val="-4.6295357882244918E-2"/>
                  <c:y val="5.0612860892388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DFC-44E0-B9EC-421BBA6F5079}"/>
                </c:ext>
              </c:extLst>
            </c:dLbl>
            <c:dLbl>
              <c:idx val="4"/>
              <c:layout>
                <c:manualLayout>
                  <c:x val="-4.4396129588279078E-2"/>
                  <c:y val="7.00782997762863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4DFC-44E0-B9EC-421BBA6F5079}"/>
                </c:ext>
              </c:extLst>
            </c:dLbl>
            <c:spPr>
              <a:noFill/>
              <a:ln w="25417">
                <a:noFill/>
              </a:ln>
            </c:spPr>
            <c:txPr>
              <a:bodyPr/>
              <a:lstStyle/>
              <a:p>
                <a:pPr>
                  <a:defRPr sz="901">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9-4DFC-44E0-B9EC-421BBA6F5079}"/>
            </c:ext>
          </c:extLst>
        </c:ser>
        <c:dLbls>
          <c:showLegendKey val="0"/>
          <c:showVal val="0"/>
          <c:showCatName val="0"/>
          <c:showSerName val="0"/>
          <c:showPercent val="0"/>
          <c:showBubbleSize val="0"/>
        </c:dLbls>
        <c:marker val="1"/>
        <c:smooth val="0"/>
        <c:axId val="336378496"/>
        <c:axId val="336384384"/>
      </c:lineChart>
      <c:catAx>
        <c:axId val="336378496"/>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6384384"/>
        <c:crosses val="autoZero"/>
        <c:auto val="1"/>
        <c:lblAlgn val="ctr"/>
        <c:lblOffset val="100"/>
        <c:noMultiLvlLbl val="0"/>
      </c:catAx>
      <c:valAx>
        <c:axId val="336384384"/>
        <c:scaling>
          <c:orientation val="minMax"/>
          <c:min val="0.5"/>
        </c:scaling>
        <c:delete val="1"/>
        <c:axPos val="l"/>
        <c:majorGridlines>
          <c:spPr>
            <a:ln w="9531" cap="flat" cmpd="sng" algn="ctr">
              <a:solidFill>
                <a:schemeClr val="tx1">
                  <a:lumMod val="15000"/>
                  <a:lumOff val="85000"/>
                </a:schemeClr>
              </a:solidFill>
              <a:round/>
            </a:ln>
            <a:effectLst/>
          </c:spPr>
        </c:majorGridlines>
        <c:numFmt formatCode="0%" sourceLinked="1"/>
        <c:majorTickMark val="out"/>
        <c:minorTickMark val="none"/>
        <c:tickLblPos val="nextTo"/>
        <c:crossAx val="336378496"/>
        <c:crosses val="autoZero"/>
        <c:crossBetween val="between"/>
      </c:valAx>
      <c:spPr>
        <a:noFill/>
        <a:ln w="25417">
          <a:noFill/>
        </a:ln>
      </c:spPr>
    </c:plotArea>
    <c:legend>
      <c:legendPos val="b"/>
      <c:overlay val="0"/>
      <c:txPr>
        <a:bodyPr/>
        <a:lstStyle/>
        <a:p>
          <a:pPr>
            <a:defRPr sz="901">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3"/>
              <c:layout>
                <c:manualLayout>
                  <c:x val="-3.9292622271345778E-2"/>
                  <c:y val="-7.12134129013924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61C-4612-9578-5F5F61F003F6}"/>
                </c:ext>
              </c:extLst>
            </c:dLbl>
            <c:dLbl>
              <c:idx val="4"/>
              <c:layout>
                <c:manualLayout>
                  <c:x val="-3.6662991922545719E-2"/>
                  <c:y val="-6.60973280544336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61C-4612-9578-5F5F61F003F6}"/>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77</c:v>
                </c:pt>
                <c:pt idx="1">
                  <c:v>78</c:v>
                </c:pt>
                <c:pt idx="2">
                  <c:v>80</c:v>
                </c:pt>
                <c:pt idx="3">
                  <c:v>83</c:v>
                </c:pt>
                <c:pt idx="4">
                  <c:v>65</c:v>
                </c:pt>
              </c:numCache>
            </c:numRef>
          </c:val>
          <c:smooth val="0"/>
          <c:extLst xmlns:c16r2="http://schemas.microsoft.com/office/drawing/2015/06/chart">
            <c:ext xmlns:c16="http://schemas.microsoft.com/office/drawing/2014/chart" uri="{C3380CC4-5D6E-409C-BE32-E72D297353CC}">
              <c16:uniqueId val="{00000001-861C-4612-9578-5F5F61F003F6}"/>
            </c:ext>
          </c:extLst>
        </c:ser>
        <c:dLbls>
          <c:showLegendKey val="0"/>
          <c:showVal val="0"/>
          <c:showCatName val="0"/>
          <c:showSerName val="0"/>
          <c:showPercent val="0"/>
          <c:showBubbleSize val="0"/>
        </c:dLbls>
        <c:marker val="1"/>
        <c:smooth val="0"/>
        <c:axId val="336435072"/>
        <c:axId val="336436608"/>
      </c:lineChart>
      <c:catAx>
        <c:axId val="336435072"/>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6436608"/>
        <c:crosses val="autoZero"/>
        <c:auto val="1"/>
        <c:lblAlgn val="ctr"/>
        <c:lblOffset val="100"/>
        <c:noMultiLvlLbl val="0"/>
      </c:catAx>
      <c:valAx>
        <c:axId val="336436608"/>
        <c:scaling>
          <c:orientation val="minMax"/>
          <c:min val="55"/>
        </c:scaling>
        <c:delete val="1"/>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one"/>
        <c:crossAx val="336435072"/>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21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France</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938397406207E-2"/>
        </c:manualLayout>
      </c:layout>
      <c:overlay val="0"/>
      <c:spPr>
        <a:noFill/>
        <a:ln w="25321">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751-44D2-8878-9DE5D9AB70A8}"/>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751-44D2-8878-9DE5D9AB70A8}"/>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751-44D2-8878-9DE5D9AB70A8}"/>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751-44D2-8878-9DE5D9AB70A8}"/>
              </c:ext>
            </c:extLst>
          </c:dPt>
          <c:dPt>
            <c:idx val="4"/>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751-44D2-8878-9DE5D9AB70A8}"/>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B751-44D2-8878-9DE5D9AB70A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51-44D2-8878-9DE5D9AB70A8}"/>
                </c:ext>
              </c:extLst>
            </c:dLbl>
            <c:dLbl>
              <c:idx val="1"/>
              <c:layout>
                <c:manualLayout>
                  <c:x val="2.9419707837188501E-3"/>
                  <c:y val="6.72136353326204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751-44D2-8878-9DE5D9AB70A8}"/>
                </c:ext>
              </c:extLst>
            </c:dLbl>
            <c:dLbl>
              <c:idx val="2"/>
              <c:layout>
                <c:manualLayout>
                  <c:x val="-3.5698343943087289E-2"/>
                  <c:y val="1.589881511724614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751-44D2-8878-9DE5D9AB70A8}"/>
                </c:ext>
              </c:extLst>
            </c:dLbl>
            <c:dLbl>
              <c:idx val="3"/>
              <c:layout>
                <c:manualLayout>
                  <c:x val="1.3477602604796894E-3"/>
                  <c:y val="0"/>
                </c:manualLayout>
              </c:layout>
              <c:spPr>
                <a:noFill/>
                <a:ln w="25321">
                  <a:noFill/>
                </a:ln>
              </c:spPr>
              <c:txPr>
                <a:bodyPr rot="0" spcFirstLastPara="1" vertOverflow="ellipsis" vert="horz" wrap="square" lIns="38100" tIns="19050" rIns="38100" bIns="19050" anchor="ctr" anchorCtr="1">
                  <a:spAutoFit/>
                </a:bodyPr>
                <a:lstStyle/>
                <a:p>
                  <a:pPr>
                    <a:defRPr sz="81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751-44D2-8878-9DE5D9AB70A8}"/>
                </c:ext>
              </c:extLst>
            </c:dLbl>
            <c:dLbl>
              <c:idx val="4"/>
              <c:layout>
                <c:manualLayout>
                  <c:x val="2.8752374772752515E-2"/>
                  <c:y val="-2.194873788924532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751-44D2-8878-9DE5D9AB70A8}"/>
                </c:ext>
              </c:extLst>
            </c:dLbl>
            <c:dLbl>
              <c:idx val="5"/>
              <c:layout>
                <c:manualLayout>
                  <c:x val="-0.11761523128094512"/>
                  <c:y val="-4.84464750548157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751-44D2-8878-9DE5D9AB70A8}"/>
                </c:ext>
              </c:extLst>
            </c:dLbl>
            <c:spPr>
              <a:noFill/>
              <a:ln w="2532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Policy Area</c:v>
                </c:pt>
                <c:pt idx="1">
                  <c:v>Financial stability, financial services and Capital Markets Union</c:v>
                </c:pt>
                <c:pt idx="2">
                  <c:v>Environment</c:v>
                </c:pt>
                <c:pt idx="3">
                  <c:v>Internal market, industry, entrepreneurship and SMEs</c:v>
                </c:pt>
                <c:pt idx="4">
                  <c:v>Taxation and customs</c:v>
                </c:pt>
                <c:pt idx="5">
                  <c:v>Other</c:v>
                </c:pt>
              </c:strCache>
            </c:strRef>
          </c:cat>
          <c:val>
            <c:numRef>
              <c:f>Blad1!$B$2:$B$7</c:f>
              <c:numCache>
                <c:formatCode>General</c:formatCode>
                <c:ptCount val="6"/>
                <c:pt idx="0">
                  <c:v>0</c:v>
                </c:pt>
                <c:pt idx="1">
                  <c:v>6</c:v>
                </c:pt>
                <c:pt idx="2">
                  <c:v>4</c:v>
                </c:pt>
                <c:pt idx="3">
                  <c:v>3</c:v>
                </c:pt>
                <c:pt idx="4">
                  <c:v>2</c:v>
                </c:pt>
                <c:pt idx="5">
                  <c:v>6</c:v>
                </c:pt>
              </c:numCache>
            </c:numRef>
          </c:val>
          <c:extLst xmlns:c16r2="http://schemas.microsoft.com/office/drawing/2015/06/chart">
            <c:ext xmlns:c16="http://schemas.microsoft.com/office/drawing/2014/chart" uri="{C3380CC4-5D6E-409C-BE32-E72D297353CC}">
              <c16:uniqueId val="{0000000C-B751-44D2-8878-9DE5D9AB70A8}"/>
            </c:ext>
          </c:extLst>
        </c:ser>
        <c:dLbls>
          <c:showLegendKey val="0"/>
          <c:showVal val="0"/>
          <c:showCatName val="0"/>
          <c:showSerName val="0"/>
          <c:showPercent val="0"/>
          <c:showBubbleSize val="0"/>
          <c:showLeaderLines val="0"/>
        </c:dLbls>
        <c:firstSliceAng val="241"/>
      </c:pieChart>
      <c:spPr>
        <a:noFill/>
        <a:ln w="25321">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4950454404513909E-2"/>
                  <c:y val="7.59437697406469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30A-4A93-83FE-C17205F0A9B8}"/>
                </c:ext>
              </c:extLst>
            </c:dLbl>
            <c:dLbl>
              <c:idx val="3"/>
              <c:layout>
                <c:manualLayout>
                  <c:x val="-4.212358629589906E-2"/>
                  <c:y val="-6.96555593594278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08A-4EF3-A5EC-F1F7003EFAAE}"/>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13</c:v>
                </c:pt>
                <c:pt idx="1">
                  <c:v>17</c:v>
                </c:pt>
                <c:pt idx="2">
                  <c:v>24</c:v>
                </c:pt>
                <c:pt idx="3">
                  <c:v>35</c:v>
                </c:pt>
                <c:pt idx="4">
                  <c:v>26</c:v>
                </c:pt>
              </c:numCache>
            </c:numRef>
          </c:val>
          <c:smooth val="0"/>
          <c:extLst xmlns:c16r2="http://schemas.microsoft.com/office/drawing/2015/06/chart">
            <c:ext xmlns:c16="http://schemas.microsoft.com/office/drawing/2014/chart" uri="{C3380CC4-5D6E-409C-BE32-E72D297353CC}">
              <c16:uniqueId val="{00000001-A30A-4A93-83FE-C17205F0A9B8}"/>
            </c:ext>
          </c:extLst>
        </c:ser>
        <c:dLbls>
          <c:showLegendKey val="0"/>
          <c:showVal val="0"/>
          <c:showCatName val="0"/>
          <c:showSerName val="0"/>
          <c:showPercent val="0"/>
          <c:showBubbleSize val="0"/>
        </c:dLbls>
        <c:marker val="1"/>
        <c:smooth val="0"/>
        <c:axId val="338545664"/>
        <c:axId val="338555648"/>
      </c:lineChart>
      <c:catAx>
        <c:axId val="33854566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8555648"/>
        <c:crosses val="autoZero"/>
        <c:auto val="1"/>
        <c:lblAlgn val="ctr"/>
        <c:lblOffset val="100"/>
        <c:noMultiLvlLbl val="0"/>
      </c:catAx>
      <c:valAx>
        <c:axId val="338555648"/>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854566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4950454404513909E-2"/>
                  <c:y val="7.02940522265225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567-43F6-9328-A02A8592AE73}"/>
                </c:ext>
              </c:extLst>
            </c:dLbl>
            <c:dLbl>
              <c:idx val="3"/>
              <c:layout>
                <c:manualLayout>
                  <c:x val="-4.2067440574903261E-2"/>
                  <c:y val="-5.3659909909909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538-4A2B-997F-1486FC91B84C}"/>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15</c:v>
                </c:pt>
                <c:pt idx="1">
                  <c:v>19</c:v>
                </c:pt>
                <c:pt idx="2">
                  <c:v>22</c:v>
                </c:pt>
                <c:pt idx="3">
                  <c:v>33</c:v>
                </c:pt>
                <c:pt idx="4">
                  <c:v>15</c:v>
                </c:pt>
              </c:numCache>
            </c:numRef>
          </c:val>
          <c:smooth val="0"/>
          <c:extLst xmlns:c16r2="http://schemas.microsoft.com/office/drawing/2015/06/chart">
            <c:ext xmlns:c16="http://schemas.microsoft.com/office/drawing/2014/chart" uri="{C3380CC4-5D6E-409C-BE32-E72D297353CC}">
              <c16:uniqueId val="{00000001-3567-43F6-9328-A02A8592AE73}"/>
            </c:ext>
          </c:extLst>
        </c:ser>
        <c:dLbls>
          <c:showLegendKey val="0"/>
          <c:showVal val="0"/>
          <c:showCatName val="0"/>
          <c:showSerName val="0"/>
          <c:showPercent val="0"/>
          <c:showBubbleSize val="0"/>
        </c:dLbls>
        <c:marker val="1"/>
        <c:smooth val="0"/>
        <c:axId val="338675584"/>
        <c:axId val="338677120"/>
      </c:lineChart>
      <c:catAx>
        <c:axId val="338675584"/>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8677120"/>
        <c:crosses val="autoZero"/>
        <c:auto val="1"/>
        <c:lblAlgn val="ctr"/>
        <c:lblOffset val="100"/>
        <c:noMultiLvlLbl val="0"/>
      </c:catAx>
      <c:valAx>
        <c:axId val="338677120"/>
        <c:scaling>
          <c:orientation val="minMax"/>
          <c:min val="5"/>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338675584"/>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15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France</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780429036476446"/>
          <c:y val="1.9607886173472814E-2"/>
        </c:manualLayout>
      </c:layout>
      <c:overlay val="0"/>
      <c:spPr>
        <a:noFill/>
        <a:ln w="25340">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F3B-4053-9120-BEA06E711BE0}"/>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F3B-4053-9120-BEA06E711BE0}"/>
              </c:ext>
            </c:extLst>
          </c:dPt>
          <c:dPt>
            <c:idx val="2"/>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F3B-4053-9120-BEA06E711BE0}"/>
              </c:ext>
            </c:extLst>
          </c:dPt>
          <c:dLbls>
            <c:dLbl>
              <c:idx val="0"/>
              <c:layout>
                <c:manualLayout>
                  <c:x val="2.4908300183890734E-2"/>
                  <c:y val="0.1880854652204619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F3B-4053-9120-BEA06E711BE0}"/>
                </c:ext>
              </c:extLst>
            </c:dLbl>
            <c:dLbl>
              <c:idx val="1"/>
              <c:layout>
                <c:manualLayout>
                  <c:x val="1.6632016632016633E-2"/>
                  <c:y val="-5.218901854135703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F3B-4053-9120-BEA06E711BE0}"/>
                </c:ext>
              </c:extLst>
            </c:dLbl>
            <c:dLbl>
              <c:idx val="2"/>
              <c:layout>
                <c:manualLayout>
                  <c:x val="-3.5901494567442203E-2"/>
                  <c:y val="-0.1522447592737586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F3B-4053-9120-BEA06E711BE0}"/>
                </c:ext>
              </c:extLst>
            </c:dLbl>
            <c:dLbl>
              <c:idx val="3"/>
              <c:layout>
                <c:manualLayout>
                  <c:x val="-1.3842746400885935E-2"/>
                  <c:y val="-0.3137254901960784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F3B-4053-9120-BEA06E711BE0}"/>
                </c:ext>
              </c:extLst>
            </c:dLbl>
            <c:dLbl>
              <c:idx val="4"/>
              <c:layout>
                <c:manualLayout>
                  <c:x val="2.7685492801771618E-3"/>
                  <c:y val="2.450980392156860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F3B-4053-9120-BEA06E711BE0}"/>
                </c:ext>
              </c:extLst>
            </c:dLbl>
            <c:dLbl>
              <c:idx val="5"/>
              <c:layout>
                <c:manualLayout>
                  <c:x val="1.6611295681063173E-2"/>
                  <c:y val="1.470588235294117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F3B-4053-9120-BEA06E711BE0}"/>
                </c:ext>
              </c:extLst>
            </c:dLbl>
            <c:dLbl>
              <c:idx val="6"/>
              <c:layout>
                <c:manualLayout>
                  <c:x val="3.875968992248062E-2"/>
                  <c:y val="0.1029411764705882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F3B-4053-9120-BEA06E711BE0}"/>
                </c:ext>
              </c:extLst>
            </c:dLbl>
            <c:dLbl>
              <c:idx val="7"/>
              <c:layout>
                <c:manualLayout>
                  <c:x val="8.3056478405315621E-3"/>
                  <c:y val="7.843137254901960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F3B-4053-9120-BEA06E711BE0}"/>
                </c:ext>
              </c:extLst>
            </c:dLbl>
            <c:spPr>
              <a:noFill/>
              <a:ln w="2534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Blad1!$A$4:$A$6</c:f>
              <c:strCache>
                <c:ptCount val="3"/>
                <c:pt idx="0">
                  <c:v>Financial stability, financial services and Capital Markets Union</c:v>
                </c:pt>
                <c:pt idx="1">
                  <c:v>Environment</c:v>
                </c:pt>
                <c:pt idx="2">
                  <c:v>Other</c:v>
                </c:pt>
              </c:strCache>
            </c:strRef>
          </c:cat>
          <c:val>
            <c:numRef>
              <c:f>Blad1!$B$4:$B$6</c:f>
              <c:numCache>
                <c:formatCode>General</c:formatCode>
                <c:ptCount val="3"/>
                <c:pt idx="0">
                  <c:v>6</c:v>
                </c:pt>
                <c:pt idx="1">
                  <c:v>2</c:v>
                </c:pt>
                <c:pt idx="2">
                  <c:v>7</c:v>
                </c:pt>
              </c:numCache>
            </c:numRef>
          </c:val>
          <c:extLst xmlns:c16r2="http://schemas.microsoft.com/office/drawing/2015/06/chart">
            <c:ext xmlns:c16="http://schemas.microsoft.com/office/drawing/2014/chart" uri="{C3380CC4-5D6E-409C-BE32-E72D297353CC}">
              <c16:uniqueId val="{0000000B-CF3B-4053-9120-BEA06E711BE0}"/>
            </c:ext>
          </c:extLst>
        </c:ser>
        <c:dLbls>
          <c:showLegendKey val="0"/>
          <c:showVal val="0"/>
          <c:showCatName val="0"/>
          <c:showSerName val="0"/>
          <c:showPercent val="0"/>
          <c:showBubbleSize val="0"/>
          <c:showLeaderLines val="0"/>
        </c:dLbls>
        <c:firstSliceAng val="327"/>
      </c:pieChart>
      <c:spPr>
        <a:noFill/>
        <a:ln w="25340">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23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Belgium</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121528413599462"/>
          <c:y val="2.9411764705882353E-2"/>
        </c:manualLayout>
      </c:layout>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293-419E-A5B8-829519898580}"/>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293-419E-A5B8-829519898580}"/>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293-419E-A5B8-829519898580}"/>
              </c:ext>
            </c:extLst>
          </c:dPt>
          <c:dPt>
            <c:idx val="3"/>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293-419E-A5B8-829519898580}"/>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293-419E-A5B8-829519898580}"/>
              </c:ext>
            </c:extLst>
          </c:dPt>
          <c:dLbls>
            <c:dLbl>
              <c:idx val="0"/>
              <c:layout>
                <c:manualLayout>
                  <c:x val="-6.6442130780164102E-2"/>
                  <c:y val="0.1078431372549019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293-419E-A5B8-829519898580}"/>
                </c:ext>
              </c:extLst>
            </c:dLbl>
            <c:dLbl>
              <c:idx val="1"/>
              <c:layout>
                <c:manualLayout>
                  <c:x val="-4.1528239202657809E-2"/>
                  <c:y val="5.392156862745098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293-419E-A5B8-829519898580}"/>
                </c:ext>
              </c:extLst>
            </c:dLbl>
            <c:dLbl>
              <c:idx val="2"/>
              <c:layout>
                <c:manualLayout>
                  <c:x val="7.8731437640062428E-3"/>
                  <c:y val="-2.94117647058823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293-419E-A5B8-829519898580}"/>
                </c:ext>
              </c:extLst>
            </c:dLbl>
            <c:dLbl>
              <c:idx val="3"/>
              <c:layout>
                <c:manualLayout>
                  <c:x val="1.6611295681063124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293-419E-A5B8-829519898580}"/>
                </c:ext>
              </c:extLst>
            </c:dLbl>
            <c:dLbl>
              <c:idx val="4"/>
              <c:layout>
                <c:manualLayout>
                  <c:x val="-4.152823920265783E-2"/>
                  <c:y val="-0.2058823529411764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293-419E-A5B8-829519898580}"/>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Blad1!$A$4:$A$7</c:f>
              <c:strCache>
                <c:ptCount val="4"/>
                <c:pt idx="0">
                  <c:v>Mobility and transport</c:v>
                </c:pt>
                <c:pt idx="1">
                  <c:v>Financial stability, financial services and capital markets union</c:v>
                </c:pt>
                <c:pt idx="2">
                  <c:v>Environment</c:v>
                </c:pt>
                <c:pt idx="3">
                  <c:v>Other</c:v>
                </c:pt>
              </c:strCache>
            </c:strRef>
          </c:cat>
          <c:val>
            <c:numRef>
              <c:f>Blad1!$B$4:$B$7</c:f>
              <c:numCache>
                <c:formatCode>General</c:formatCode>
                <c:ptCount val="4"/>
                <c:pt idx="0">
                  <c:v>6</c:v>
                </c:pt>
                <c:pt idx="1">
                  <c:v>4</c:v>
                </c:pt>
                <c:pt idx="2">
                  <c:v>5</c:v>
                </c:pt>
                <c:pt idx="3">
                  <c:v>8</c:v>
                </c:pt>
              </c:numCache>
            </c:numRef>
          </c:val>
          <c:extLst xmlns:c16r2="http://schemas.microsoft.com/office/drawing/2015/06/chart">
            <c:ext xmlns:c16="http://schemas.microsoft.com/office/drawing/2014/chart" uri="{C3380CC4-5D6E-409C-BE32-E72D297353CC}">
              <c16:uniqueId val="{0000000A-2293-419E-A5B8-829519898580}"/>
            </c:ext>
          </c:extLst>
        </c:ser>
        <c:dLbls>
          <c:dLblPos val="inEnd"/>
          <c:showLegendKey val="0"/>
          <c:showVal val="0"/>
          <c:showCatName val="0"/>
          <c:showSerName val="0"/>
          <c:showPercent val="1"/>
          <c:showBubbleSize val="0"/>
          <c:showLeaderLines val="0"/>
        </c:dLbls>
        <c:firstSliceAng val="29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68">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37</c:v>
                </c:pt>
                <c:pt idx="1">
                  <c:v>105</c:v>
                </c:pt>
                <c:pt idx="2">
                  <c:v>89</c:v>
                </c:pt>
                <c:pt idx="3">
                  <c:v>50</c:v>
                </c:pt>
                <c:pt idx="4">
                  <c:v>65</c:v>
                </c:pt>
              </c:numCache>
            </c:numRef>
          </c:val>
          <c:smooth val="0"/>
          <c:extLst xmlns:c16r2="http://schemas.microsoft.com/office/drawing/2015/06/chart">
            <c:ext xmlns:c16="http://schemas.microsoft.com/office/drawing/2014/chart" uri="{C3380CC4-5D6E-409C-BE32-E72D297353CC}">
              <c16:uniqueId val="{00000000-2F31-407C-BEA8-E786C519046A}"/>
            </c:ext>
          </c:extLst>
        </c:ser>
        <c:dLbls>
          <c:showLegendKey val="0"/>
          <c:showVal val="0"/>
          <c:showCatName val="0"/>
          <c:showSerName val="0"/>
          <c:showPercent val="0"/>
          <c:showBubbleSize val="0"/>
        </c:dLbls>
        <c:marker val="1"/>
        <c:smooth val="0"/>
        <c:axId val="338866176"/>
        <c:axId val="338867712"/>
      </c:lineChart>
      <c:catAx>
        <c:axId val="338866176"/>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8867712"/>
        <c:crosses val="autoZero"/>
        <c:auto val="1"/>
        <c:lblAlgn val="ctr"/>
        <c:lblOffset val="100"/>
        <c:noMultiLvlLbl val="0"/>
      </c:catAx>
      <c:valAx>
        <c:axId val="338867712"/>
        <c:scaling>
          <c:orientation val="minMax"/>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338866176"/>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65 complaints made against Croatia</a:t>
            </a:r>
          </a:p>
        </c:rich>
      </c:tx>
      <c:overlay val="0"/>
      <c:spPr>
        <a:noFill/>
        <a:ln w="25403">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6600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39D5-4C8B-B020-F4629B4C7B2D}"/>
              </c:ext>
            </c:extLst>
          </c:dPt>
          <c:dPt>
            <c:idx val="1"/>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39D5-4C8B-B020-F4629B4C7B2D}"/>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39D5-4C8B-B020-F4629B4C7B2D}"/>
              </c:ext>
            </c:extLst>
          </c:dPt>
          <c:dPt>
            <c:idx val="3"/>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39D5-4C8B-B020-F4629B4C7B2D}"/>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39D5-4C8B-B020-F4629B4C7B2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D5-4C8B-B020-F4629B4C7B2D}"/>
                </c:ext>
              </c:extLst>
            </c:dLbl>
            <c:dLbl>
              <c:idx val="1"/>
              <c:layout>
                <c:manualLayout>
                  <c:x val="-5.4931961758486941E-2"/>
                  <c:y val="0.1333046927765951"/>
                </c:manualLayout>
              </c:layout>
              <c:spPr>
                <a:noFill/>
                <a:ln w="25403">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9D5-4C8B-B020-F4629B4C7B2D}"/>
                </c:ext>
              </c:extLst>
            </c:dLbl>
            <c:dLbl>
              <c:idx val="2"/>
              <c:layout>
                <c:manualLayout>
                  <c:x val="-1.9121837529781593E-2"/>
                  <c:y val="-5.430078569169082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9D5-4C8B-B020-F4629B4C7B2D}"/>
                </c:ext>
              </c:extLst>
            </c:dLbl>
            <c:dLbl>
              <c:idx val="3"/>
              <c:layout>
                <c:manualLayout>
                  <c:x val="8.2372322899505763E-3"/>
                  <c:y val="-2.1715526601520086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39D5-4C8B-B020-F4629B4C7B2D}"/>
                </c:ext>
              </c:extLst>
            </c:dLbl>
            <c:dLbl>
              <c:idx val="4"/>
              <c:layout>
                <c:manualLayout>
                  <c:x val="-5.7660626029654036E-2"/>
                  <c:y val="-0.1791530944625407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39D5-4C8B-B020-F4629B4C7B2D}"/>
                </c:ext>
              </c:extLst>
            </c:dLbl>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Policy Area</c:v>
                </c:pt>
                <c:pt idx="1">
                  <c:v>Employment</c:v>
                </c:pt>
                <c:pt idx="2">
                  <c:v>Justice and consumers</c:v>
                </c:pt>
                <c:pt idx="3">
                  <c:v>Agriculture and rural development</c:v>
                </c:pt>
                <c:pt idx="4">
                  <c:v>Other</c:v>
                </c:pt>
              </c:strCache>
            </c:strRef>
          </c:cat>
          <c:val>
            <c:numRef>
              <c:f>Blad1!$B$2:$B$6</c:f>
              <c:numCache>
                <c:formatCode>General</c:formatCode>
                <c:ptCount val="5"/>
                <c:pt idx="0">
                  <c:v>0</c:v>
                </c:pt>
                <c:pt idx="1">
                  <c:v>22</c:v>
                </c:pt>
                <c:pt idx="2">
                  <c:v>11</c:v>
                </c:pt>
                <c:pt idx="3">
                  <c:v>9</c:v>
                </c:pt>
                <c:pt idx="4">
                  <c:v>23</c:v>
                </c:pt>
              </c:numCache>
            </c:numRef>
          </c:val>
          <c:extLst xmlns:c16r2="http://schemas.microsoft.com/office/drawing/2015/06/chart">
            <c:ext xmlns:c16="http://schemas.microsoft.com/office/drawing/2014/chart" uri="{C3380CC4-5D6E-409C-BE32-E72D297353CC}">
              <c16:uniqueId val="{00000009-39D5-4C8B-B020-F4629B4C7B2D}"/>
            </c:ext>
          </c:extLst>
        </c:ser>
        <c:dLbls>
          <c:showLegendKey val="0"/>
          <c:showVal val="0"/>
          <c:showCatName val="0"/>
          <c:showSerName val="0"/>
          <c:showPercent val="0"/>
          <c:showBubbleSize val="0"/>
          <c:showLeaderLines val="0"/>
        </c:dLbls>
        <c:firstSliceAng val="279"/>
      </c:pieChart>
      <c:spPr>
        <a:noFill/>
        <a:ln w="25403">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40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18</c:v>
                </c:pt>
                <c:pt idx="1">
                  <c:v>43</c:v>
                </c:pt>
                <c:pt idx="2">
                  <c:v>35</c:v>
                </c:pt>
                <c:pt idx="3">
                  <c:v>30</c:v>
                </c:pt>
                <c:pt idx="4">
                  <c:v>9</c:v>
                </c:pt>
              </c:numCache>
            </c:numRef>
          </c:val>
          <c:smooth val="0"/>
          <c:extLst xmlns:c16r2="http://schemas.microsoft.com/office/drawing/2015/06/chart">
            <c:ext xmlns:c16="http://schemas.microsoft.com/office/drawing/2014/chart" uri="{C3380CC4-5D6E-409C-BE32-E72D297353CC}">
              <c16:uniqueId val="{00000000-F5F9-4C39-A9B6-9976AC205E73}"/>
            </c:ext>
          </c:extLst>
        </c:ser>
        <c:dLbls>
          <c:showLegendKey val="0"/>
          <c:showVal val="0"/>
          <c:showCatName val="0"/>
          <c:showSerName val="0"/>
          <c:showPercent val="0"/>
          <c:showBubbleSize val="0"/>
        </c:dLbls>
        <c:marker val="1"/>
        <c:smooth val="0"/>
        <c:axId val="11444224"/>
        <c:axId val="11445760"/>
      </c:lineChart>
      <c:catAx>
        <c:axId val="11444224"/>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445760"/>
        <c:crosses val="autoZero"/>
        <c:auto val="1"/>
        <c:lblAlgn val="ctr"/>
        <c:lblOffset val="100"/>
        <c:noMultiLvlLbl val="0"/>
      </c:catAx>
      <c:valAx>
        <c:axId val="11445760"/>
        <c:scaling>
          <c:orientation val="minMax"/>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11444224"/>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40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14</c:v>
                </c:pt>
                <c:pt idx="1">
                  <c:v>37</c:v>
                </c:pt>
                <c:pt idx="2">
                  <c:v>36</c:v>
                </c:pt>
                <c:pt idx="3">
                  <c:v>34</c:v>
                </c:pt>
                <c:pt idx="4">
                  <c:v>29</c:v>
                </c:pt>
              </c:numCache>
            </c:numRef>
          </c:val>
          <c:smooth val="0"/>
          <c:extLst xmlns:c16r2="http://schemas.microsoft.com/office/drawing/2015/06/chart">
            <c:ext xmlns:c16="http://schemas.microsoft.com/office/drawing/2014/chart" uri="{C3380CC4-5D6E-409C-BE32-E72D297353CC}">
              <c16:uniqueId val="{00000000-63ED-48CE-92BD-2F4192526971}"/>
            </c:ext>
          </c:extLst>
        </c:ser>
        <c:dLbls>
          <c:showLegendKey val="0"/>
          <c:showVal val="0"/>
          <c:showCatName val="0"/>
          <c:showSerName val="0"/>
          <c:showPercent val="0"/>
          <c:showBubbleSize val="0"/>
        </c:dLbls>
        <c:marker val="1"/>
        <c:smooth val="0"/>
        <c:axId val="11524352"/>
        <c:axId val="338432000"/>
      </c:lineChart>
      <c:catAx>
        <c:axId val="11524352"/>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8432000"/>
        <c:crosses val="autoZero"/>
        <c:auto val="1"/>
        <c:lblAlgn val="ctr"/>
        <c:lblOffset val="100"/>
        <c:noMultiLvlLbl val="0"/>
      </c:catAx>
      <c:valAx>
        <c:axId val="338432000"/>
        <c:scaling>
          <c:orientation val="minMax"/>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11524352"/>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9">
                <a:latin typeface="Arial" panose="020B0604020202020204" pitchFamily="34" charset="0"/>
                <a:cs typeface="Arial" panose="020B0604020202020204" pitchFamily="34" charset="0"/>
              </a:defRPr>
            </a:pPr>
            <a:r>
              <a:rPr lang="en-US" sz="1099"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9  EU Pilot files opened against </a:t>
            </a:r>
            <a:r>
              <a:rPr lang="en-US" sz="1099"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Croatia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ADA-4DB1-8FA2-57A5BCA5D3D0}"/>
              </c:ext>
            </c:extLst>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ADA-4DB1-8FA2-57A5BCA5D3D0}"/>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ADA-4DB1-8FA2-57A5BCA5D3D0}"/>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ADA-4DB1-8FA2-57A5BCA5D3D0}"/>
              </c:ext>
            </c:extLst>
          </c:dPt>
          <c:dPt>
            <c:idx val="4"/>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ADA-4DB1-8FA2-57A5BCA5D3D0}"/>
              </c:ext>
            </c:extLst>
          </c:dPt>
          <c:dLbls>
            <c:dLbl>
              <c:idx val="0"/>
              <c:layout>
                <c:manualLayout>
                  <c:x val="5.2267399981265159E-2"/>
                  <c:y val="-0.27409945712795325"/>
                </c:manualLayout>
              </c:layout>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ADA-4DB1-8FA2-57A5BCA5D3D0}"/>
                </c:ext>
              </c:extLst>
            </c:dLbl>
            <c:dLbl>
              <c:idx val="1"/>
              <c:layout>
                <c:manualLayout>
                  <c:x val="-5.4464093627640811E-3"/>
                  <c:y val="0.11357109773043075"/>
                </c:manualLayout>
              </c:layout>
              <c:tx>
                <c:rich>
                  <a:bodyPr/>
                  <a:lstStyle/>
                  <a:p>
                    <a:r>
                      <a:rPr lang="en-US" sz="900"/>
                      <a:t>Agriculture and rural development
2</a:t>
                    </a:r>
                    <a:endParaRPr lang="en-US" sz="850"/>
                  </a:p>
                </c:rich>
              </c:tx>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ADA-4DB1-8FA2-57A5BCA5D3D0}"/>
                </c:ext>
              </c:extLst>
            </c:dLbl>
            <c:dLbl>
              <c:idx val="2"/>
              <c:layout>
                <c:manualLayout>
                  <c:x val="5.488145948969494E-3"/>
                  <c:y val="-0.15379710790868123"/>
                </c:manualLayout>
              </c:layout>
              <c:tx>
                <c:rich>
                  <a:bodyPr/>
                  <a:lstStyle/>
                  <a:p>
                    <a:r>
                      <a:rPr lang="en-US" sz="900"/>
                      <a:t>Mobility and transport
2</a:t>
                    </a:r>
                    <a:endParaRPr lang="en-US" sz="850"/>
                  </a:p>
                </c:rich>
              </c:tx>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ADA-4DB1-8FA2-57A5BCA5D3D0}"/>
                </c:ext>
              </c:extLst>
            </c:dLbl>
            <c:dLbl>
              <c:idx val="3"/>
              <c:layout>
                <c:manualLayout>
                  <c:x val="0.10101716793597522"/>
                  <c:y val="-4.7169811320754623E-2"/>
                </c:manualLayout>
              </c:layout>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ADA-4DB1-8FA2-57A5BCA5D3D0}"/>
                </c:ext>
              </c:extLst>
            </c:dLbl>
            <c:spPr>
              <a:noFill/>
              <a:ln w="25386">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Environment</c:v>
                </c:pt>
                <c:pt idx="1">
                  <c:v>Agriculture and rural development</c:v>
                </c:pt>
                <c:pt idx="2">
                  <c:v>Mobility and transport</c:v>
                </c:pt>
                <c:pt idx="3">
                  <c:v>Climate action</c:v>
                </c:pt>
              </c:strCache>
            </c:strRef>
          </c:cat>
          <c:val>
            <c:numRef>
              <c:f>Blad1!$B$2:$B$5</c:f>
              <c:numCache>
                <c:formatCode>General</c:formatCode>
                <c:ptCount val="4"/>
                <c:pt idx="0">
                  <c:v>4</c:v>
                </c:pt>
                <c:pt idx="1">
                  <c:v>2</c:v>
                </c:pt>
                <c:pt idx="2">
                  <c:v>2</c:v>
                </c:pt>
                <c:pt idx="3">
                  <c:v>1</c:v>
                </c:pt>
              </c:numCache>
            </c:numRef>
          </c:val>
          <c:extLst xmlns:c16r2="http://schemas.microsoft.com/office/drawing/2015/06/chart">
            <c:ext xmlns:c16="http://schemas.microsoft.com/office/drawing/2014/chart" uri="{C3380CC4-5D6E-409C-BE32-E72D297353CC}">
              <c16:uniqueId val="{0000000A-9ADA-4DB1-8FA2-57A5BCA5D3D0}"/>
            </c:ext>
          </c:extLst>
        </c:ser>
        <c:dLbls>
          <c:showLegendKey val="0"/>
          <c:showVal val="0"/>
          <c:showCatName val="0"/>
          <c:showSerName val="0"/>
          <c:showPercent val="0"/>
          <c:showBubbleSize val="0"/>
          <c:showLeaderLines val="0"/>
        </c:dLbls>
        <c:firstSliceAng val="186"/>
      </c:pieChart>
      <c:spPr>
        <a:noFill/>
        <a:ln w="25386">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Croatia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3"/>
              <c:layout>
                <c:manualLayout>
                  <c:x val="-5.0962961992479724E-2"/>
                  <c:y val="5.74659901667221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A1A-4F3B-AB57-9EE81745BD1A}"/>
                </c:ext>
              </c:extLst>
            </c:dLbl>
            <c:spPr>
              <a:noFill/>
              <a:ln w="25384">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1</c:v>
                </c:pt>
                <c:pt idx="1">
                  <c:v>0.65</c:v>
                </c:pt>
                <c:pt idx="2">
                  <c:v>0.67</c:v>
                </c:pt>
                <c:pt idx="3">
                  <c:v>0.65</c:v>
                </c:pt>
                <c:pt idx="4">
                  <c:v>0.71</c:v>
                </c:pt>
              </c:numCache>
            </c:numRef>
          </c:val>
          <c:smooth val="0"/>
          <c:extLst xmlns:c16r2="http://schemas.microsoft.com/office/drawing/2015/06/chart">
            <c:ext xmlns:c16="http://schemas.microsoft.com/office/drawing/2014/chart" uri="{C3380CC4-5D6E-409C-BE32-E72D297353CC}">
              <c16:uniqueId val="{00000001-AA1A-4F3B-AB57-9EE81745BD1A}"/>
            </c:ext>
          </c:extLst>
        </c:ser>
        <c:ser>
          <c:idx val="1"/>
          <c:order val="1"/>
          <c:tx>
            <c:strRef>
              <c:f>Blad1!$C$2</c:f>
              <c:strCache>
                <c:ptCount val="1"/>
                <c:pt idx="0">
                  <c:v>General rate for all Member States</c:v>
                </c:pt>
              </c:strCache>
            </c:strRef>
          </c:tx>
          <c:spPr>
            <a:ln w="25384">
              <a:solidFill>
                <a:srgbClr val="92D050"/>
              </a:solidFill>
            </a:ln>
          </c:spPr>
          <c:marker>
            <c:symbol val="square"/>
            <c:size val="4"/>
            <c:spPr>
              <a:solidFill>
                <a:srgbClr val="92D050"/>
              </a:solidFill>
              <a:ln>
                <a:solidFill>
                  <a:srgbClr val="92D050"/>
                </a:solidFill>
              </a:ln>
            </c:spPr>
          </c:marker>
          <c:dLbls>
            <c:spPr>
              <a:noFill/>
              <a:ln w="25384">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2-AA1A-4F3B-AB57-9EE81745BD1A}"/>
            </c:ext>
          </c:extLst>
        </c:ser>
        <c:dLbls>
          <c:showLegendKey val="0"/>
          <c:showVal val="0"/>
          <c:showCatName val="0"/>
          <c:showSerName val="0"/>
          <c:showPercent val="0"/>
          <c:showBubbleSize val="0"/>
        </c:dLbls>
        <c:marker val="1"/>
        <c:smooth val="0"/>
        <c:axId val="281886720"/>
        <c:axId val="281888256"/>
      </c:lineChart>
      <c:catAx>
        <c:axId val="281886720"/>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1888256"/>
        <c:crosses val="autoZero"/>
        <c:auto val="1"/>
        <c:lblAlgn val="ctr"/>
        <c:lblOffset val="100"/>
        <c:noMultiLvlLbl val="0"/>
      </c:catAx>
      <c:valAx>
        <c:axId val="281888256"/>
        <c:scaling>
          <c:orientation val="minMax"/>
          <c:min val="0.5"/>
        </c:scaling>
        <c:delete val="1"/>
        <c:axPos val="l"/>
        <c:majorGridlines>
          <c:spPr>
            <a:ln w="9519" cap="flat" cmpd="sng" algn="ctr">
              <a:solidFill>
                <a:schemeClr val="tx1">
                  <a:lumMod val="15000"/>
                  <a:lumOff val="85000"/>
                </a:schemeClr>
              </a:solidFill>
              <a:round/>
            </a:ln>
            <a:effectLst/>
          </c:spPr>
        </c:majorGridlines>
        <c:numFmt formatCode="0%" sourceLinked="1"/>
        <c:majorTickMark val="out"/>
        <c:minorTickMark val="none"/>
        <c:tickLblPos val="nextTo"/>
        <c:crossAx val="281886720"/>
        <c:crosses val="autoZero"/>
        <c:crossBetween val="between"/>
      </c:valAx>
      <c:spPr>
        <a:noFill/>
        <a:ln w="25384">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8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Blad1!$A$4:$A$7</c:f>
              <c:numCache>
                <c:formatCode>General</c:formatCode>
                <c:ptCount val="4"/>
                <c:pt idx="0">
                  <c:v>2014</c:v>
                </c:pt>
                <c:pt idx="1">
                  <c:v>2015</c:v>
                </c:pt>
                <c:pt idx="2">
                  <c:v>2016</c:v>
                </c:pt>
                <c:pt idx="3">
                  <c:v>2017</c:v>
                </c:pt>
              </c:numCache>
            </c:numRef>
          </c:cat>
          <c:val>
            <c:numRef>
              <c:f>Blad1!$B$4:$B$7</c:f>
              <c:numCache>
                <c:formatCode>General</c:formatCode>
                <c:ptCount val="4"/>
                <c:pt idx="0">
                  <c:v>10</c:v>
                </c:pt>
                <c:pt idx="1">
                  <c:v>21</c:v>
                </c:pt>
                <c:pt idx="2">
                  <c:v>44</c:v>
                </c:pt>
                <c:pt idx="3">
                  <c:v>56</c:v>
                </c:pt>
              </c:numCache>
            </c:numRef>
          </c:val>
          <c:smooth val="0"/>
          <c:extLst xmlns:c16r2="http://schemas.microsoft.com/office/drawing/2015/06/chart">
            <c:ext xmlns:c16="http://schemas.microsoft.com/office/drawing/2014/chart" uri="{C3380CC4-5D6E-409C-BE32-E72D297353CC}">
              <c16:uniqueId val="{00000000-588E-4C0E-93E4-B3E5379D2D6C}"/>
            </c:ext>
          </c:extLst>
        </c:ser>
        <c:dLbls>
          <c:showLegendKey val="0"/>
          <c:showVal val="0"/>
          <c:showCatName val="0"/>
          <c:showSerName val="0"/>
          <c:showPercent val="0"/>
          <c:showBubbleSize val="0"/>
        </c:dLbls>
        <c:marker val="1"/>
        <c:smooth val="0"/>
        <c:axId val="281925888"/>
        <c:axId val="281927680"/>
      </c:lineChart>
      <c:catAx>
        <c:axId val="281925888"/>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1927680"/>
        <c:crosses val="autoZero"/>
        <c:auto val="1"/>
        <c:lblAlgn val="ctr"/>
        <c:lblOffset val="100"/>
        <c:noMultiLvlLbl val="0"/>
      </c:catAx>
      <c:valAx>
        <c:axId val="281927680"/>
        <c:scaling>
          <c:orientation val="minMax"/>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281925888"/>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33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Croatia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5940783229910829"/>
          <c:y val="3.2786849513805512E-2"/>
        </c:manualLayout>
      </c:layout>
      <c:overlay val="0"/>
      <c:spPr>
        <a:noFill/>
        <a:ln w="2534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774-427D-9E71-5E2A3E6A40F6}"/>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774-427D-9E71-5E2A3E6A40F6}"/>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774-427D-9E71-5E2A3E6A40F6}"/>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774-427D-9E71-5E2A3E6A40F6}"/>
              </c:ext>
            </c:extLst>
          </c:dPt>
          <c:dPt>
            <c:idx val="4"/>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774-427D-9E71-5E2A3E6A40F6}"/>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9774-427D-9E71-5E2A3E6A4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74-427D-9E71-5E2A3E6A40F6}"/>
                </c:ext>
              </c:extLst>
            </c:dLbl>
            <c:dLbl>
              <c:idx val="1"/>
              <c:layout>
                <c:manualLayout>
                  <c:x val="-5.0449008494132461E-2"/>
                  <c:y val="0.151226132476093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774-427D-9E71-5E2A3E6A40F6}"/>
                </c:ext>
              </c:extLst>
            </c:dLbl>
            <c:dLbl>
              <c:idx val="2"/>
              <c:layout>
                <c:manualLayout>
                  <c:x val="0"/>
                  <c:y val="6.557377049180328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774-427D-9E71-5E2A3E6A40F6}"/>
                </c:ext>
              </c:extLst>
            </c:dLbl>
            <c:dLbl>
              <c:idx val="3"/>
              <c:layout>
                <c:manualLayout>
                  <c:x val="4.9345878548808083E-3"/>
                  <c:y val="9.518404199475065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774-427D-9E71-5E2A3E6A40F6}"/>
                </c:ext>
              </c:extLst>
            </c:dLbl>
            <c:dLbl>
              <c:idx val="4"/>
              <c:layout>
                <c:manualLayout>
                  <c:x val="1.5254421200470067E-2"/>
                  <c:y val="-7.398891432500649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9774-427D-9E71-5E2A3E6A40F6}"/>
                </c:ext>
              </c:extLst>
            </c:dLbl>
            <c:dLbl>
              <c:idx val="5"/>
              <c:layout>
                <c:manualLayout>
                  <c:x val="-2.7762128735571946E-3"/>
                  <c:y val="-4.3027408459188502E-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9774-427D-9E71-5E2A3E6A40F6}"/>
                </c:ext>
              </c:extLst>
            </c:dLbl>
            <c:dLbl>
              <c:idx val="6"/>
              <c:layout>
                <c:manualLayout>
                  <c:x val="-4.1597337770382672E-2"/>
                  <c:y val="-0.2240437158469945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774-427D-9E71-5E2A3E6A40F6}"/>
                </c:ext>
              </c:extLst>
            </c:dLbl>
            <c:spPr>
              <a:noFill/>
              <a:ln w="2534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Policy Area</c:v>
                </c:pt>
                <c:pt idx="1">
                  <c:v>Mobility and transport</c:v>
                </c:pt>
                <c:pt idx="2">
                  <c:v>Justice and consumers</c:v>
                </c:pt>
                <c:pt idx="3">
                  <c:v>Financial stability, financial services and Capital Markets Union</c:v>
                </c:pt>
                <c:pt idx="4">
                  <c:v>Environment</c:v>
                </c:pt>
                <c:pt idx="5">
                  <c:v>Other</c:v>
                </c:pt>
              </c:strCache>
            </c:strRef>
          </c:cat>
          <c:val>
            <c:numRef>
              <c:f>Blad1!$B$2:$B$7</c:f>
              <c:numCache>
                <c:formatCode>General</c:formatCode>
                <c:ptCount val="6"/>
                <c:pt idx="0">
                  <c:v>0</c:v>
                </c:pt>
                <c:pt idx="1">
                  <c:v>8</c:v>
                </c:pt>
                <c:pt idx="2">
                  <c:v>3</c:v>
                </c:pt>
                <c:pt idx="3">
                  <c:v>5</c:v>
                </c:pt>
                <c:pt idx="4">
                  <c:v>5</c:v>
                </c:pt>
                <c:pt idx="5">
                  <c:v>12</c:v>
                </c:pt>
              </c:numCache>
            </c:numRef>
          </c:val>
          <c:extLst xmlns:c16r2="http://schemas.microsoft.com/office/drawing/2015/06/chart">
            <c:ext xmlns:c16="http://schemas.microsoft.com/office/drawing/2014/chart" uri="{C3380CC4-5D6E-409C-BE32-E72D297353CC}">
              <c16:uniqueId val="{0000000D-9774-427D-9E71-5E2A3E6A40F6}"/>
            </c:ext>
          </c:extLst>
        </c:ser>
        <c:ser>
          <c:idx val="1"/>
          <c:order val="1"/>
          <c:tx>
            <c:strRef>
              <c:f>Blad1!$C$1</c:f>
              <c:strCache>
                <c:ptCount val="1"/>
                <c:pt idx="0">
                  <c:v>Column1</c:v>
                </c:pt>
              </c:strCache>
            </c:strRef>
          </c:tx>
          <c:dPt>
            <c:idx val="0"/>
            <c:bubble3D val="0"/>
            <c:extLst xmlns:c16r2="http://schemas.microsoft.com/office/drawing/2015/06/chart">
              <c:ext xmlns:c16="http://schemas.microsoft.com/office/drawing/2014/chart" uri="{C3380CC4-5D6E-409C-BE32-E72D297353CC}">
                <c16:uniqueId val="{0000000E-9774-427D-9E71-5E2A3E6A40F6}"/>
              </c:ext>
            </c:extLst>
          </c:dPt>
          <c:dPt>
            <c:idx val="1"/>
            <c:bubble3D val="0"/>
            <c:extLst xmlns:c16r2="http://schemas.microsoft.com/office/drawing/2015/06/chart">
              <c:ext xmlns:c16="http://schemas.microsoft.com/office/drawing/2014/chart" uri="{C3380CC4-5D6E-409C-BE32-E72D297353CC}">
                <c16:uniqueId val="{0000000F-9774-427D-9E71-5E2A3E6A40F6}"/>
              </c:ext>
            </c:extLst>
          </c:dPt>
          <c:dPt>
            <c:idx val="2"/>
            <c:bubble3D val="0"/>
            <c:extLst xmlns:c16r2="http://schemas.microsoft.com/office/drawing/2015/06/chart">
              <c:ext xmlns:c16="http://schemas.microsoft.com/office/drawing/2014/chart" uri="{C3380CC4-5D6E-409C-BE32-E72D297353CC}">
                <c16:uniqueId val="{00000010-9774-427D-9E71-5E2A3E6A40F6}"/>
              </c:ext>
            </c:extLst>
          </c:dPt>
          <c:dPt>
            <c:idx val="3"/>
            <c:bubble3D val="0"/>
            <c:extLst xmlns:c16r2="http://schemas.microsoft.com/office/drawing/2015/06/chart">
              <c:ext xmlns:c16="http://schemas.microsoft.com/office/drawing/2014/chart" uri="{C3380CC4-5D6E-409C-BE32-E72D297353CC}">
                <c16:uniqueId val="{00000011-9774-427D-9E71-5E2A3E6A40F6}"/>
              </c:ext>
            </c:extLst>
          </c:dPt>
          <c:dPt>
            <c:idx val="4"/>
            <c:bubble3D val="0"/>
            <c:extLst xmlns:c16r2="http://schemas.microsoft.com/office/drawing/2015/06/chart">
              <c:ext xmlns:c16="http://schemas.microsoft.com/office/drawing/2014/chart" uri="{C3380CC4-5D6E-409C-BE32-E72D297353CC}">
                <c16:uniqueId val="{00000012-9774-427D-9E71-5E2A3E6A40F6}"/>
              </c:ext>
            </c:extLst>
          </c:dPt>
          <c:dPt>
            <c:idx val="5"/>
            <c:bubble3D val="0"/>
            <c:extLst xmlns:c16r2="http://schemas.microsoft.com/office/drawing/2015/06/chart">
              <c:ext xmlns:c16="http://schemas.microsoft.com/office/drawing/2014/chart" uri="{C3380CC4-5D6E-409C-BE32-E72D297353CC}">
                <c16:uniqueId val="{00000013-9774-427D-9E71-5E2A3E6A40F6}"/>
              </c:ext>
            </c:extLst>
          </c:dPt>
          <c:dLbls>
            <c:spPr>
              <a:noFill/>
              <a:ln w="25345">
                <a:noFill/>
              </a:ln>
            </c:sp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Blad1!$A$2:$A$7</c:f>
              <c:strCache>
                <c:ptCount val="6"/>
                <c:pt idx="0">
                  <c:v>Policy Area</c:v>
                </c:pt>
                <c:pt idx="1">
                  <c:v>Mobility and transport</c:v>
                </c:pt>
                <c:pt idx="2">
                  <c:v>Justice and consumers</c:v>
                </c:pt>
                <c:pt idx="3">
                  <c:v>Financial stability, financial services and Capital Markets Union</c:v>
                </c:pt>
                <c:pt idx="4">
                  <c:v>Environment</c:v>
                </c:pt>
                <c:pt idx="5">
                  <c:v>Other</c:v>
                </c:pt>
              </c:strCache>
            </c:strRef>
          </c:cat>
          <c:val>
            <c:numRef>
              <c:f>Blad1!$C$2:$C$7</c:f>
              <c:numCache>
                <c:formatCode>General</c:formatCode>
                <c:ptCount val="6"/>
              </c:numCache>
            </c:numRef>
          </c:val>
          <c:extLst xmlns:c16r2="http://schemas.microsoft.com/office/drawing/2015/06/chart">
            <c:ext xmlns:c16="http://schemas.microsoft.com/office/drawing/2014/chart" uri="{C3380CC4-5D6E-409C-BE32-E72D297353CC}">
              <c16:uniqueId val="{00000014-9774-427D-9E71-5E2A3E6A40F6}"/>
            </c:ext>
          </c:extLst>
        </c:ser>
        <c:dLbls>
          <c:showLegendKey val="0"/>
          <c:showVal val="0"/>
          <c:showCatName val="0"/>
          <c:showSerName val="0"/>
          <c:showPercent val="0"/>
          <c:showBubbleSize val="0"/>
          <c:showLeaderLines val="0"/>
        </c:dLbls>
        <c:firstSliceAng val="288"/>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2"/>
              <c:layout>
                <c:manualLayout>
                  <c:x val="-3.1346578366445915E-2"/>
                  <c:y val="7.68666666666666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FE3-4FC2-B658-63B8B49F864E}"/>
                </c:ext>
              </c:extLst>
            </c:dLbl>
            <c:spPr>
              <a:noFill/>
              <a:ln w="2538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Blad1!$A$4:$A$7</c:f>
              <c:numCache>
                <c:formatCode>General</c:formatCode>
                <c:ptCount val="4"/>
                <c:pt idx="0">
                  <c:v>2014</c:v>
                </c:pt>
                <c:pt idx="1">
                  <c:v>2015</c:v>
                </c:pt>
                <c:pt idx="2">
                  <c:v>2016</c:v>
                </c:pt>
                <c:pt idx="3">
                  <c:v>2017</c:v>
                </c:pt>
              </c:numCache>
            </c:numRef>
          </c:cat>
          <c:val>
            <c:numRef>
              <c:f>Blad1!$B$4:$B$7</c:f>
              <c:numCache>
                <c:formatCode>General</c:formatCode>
                <c:ptCount val="4"/>
                <c:pt idx="0">
                  <c:v>13</c:v>
                </c:pt>
                <c:pt idx="1">
                  <c:v>6</c:v>
                </c:pt>
                <c:pt idx="2">
                  <c:v>25</c:v>
                </c:pt>
                <c:pt idx="3">
                  <c:v>34</c:v>
                </c:pt>
              </c:numCache>
            </c:numRef>
          </c:val>
          <c:smooth val="0"/>
          <c:extLst xmlns:c16r2="http://schemas.microsoft.com/office/drawing/2015/06/chart">
            <c:ext xmlns:c16="http://schemas.microsoft.com/office/drawing/2014/chart" uri="{C3380CC4-5D6E-409C-BE32-E72D297353CC}">
              <c16:uniqueId val="{00000001-0FE3-4FC2-B658-63B8B49F864E}"/>
            </c:ext>
          </c:extLst>
        </c:ser>
        <c:dLbls>
          <c:showLegendKey val="0"/>
          <c:showVal val="0"/>
          <c:showCatName val="0"/>
          <c:showSerName val="0"/>
          <c:showPercent val="0"/>
          <c:showBubbleSize val="0"/>
        </c:dLbls>
        <c:marker val="1"/>
        <c:smooth val="0"/>
        <c:axId val="140266496"/>
        <c:axId val="140268288"/>
      </c:lineChart>
      <c:catAx>
        <c:axId val="140266496"/>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40268288"/>
        <c:crosses val="autoZero"/>
        <c:auto val="1"/>
        <c:lblAlgn val="ctr"/>
        <c:lblOffset val="100"/>
        <c:noMultiLvlLbl val="0"/>
      </c:catAx>
      <c:valAx>
        <c:axId val="140268288"/>
        <c:scaling>
          <c:orientation val="minMax"/>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40266496"/>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8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2</c:v>
                </c:pt>
                <c:pt idx="1">
                  <c:v>6</c:v>
                </c:pt>
                <c:pt idx="2">
                  <c:v>7</c:v>
                </c:pt>
                <c:pt idx="3">
                  <c:v>25</c:v>
                </c:pt>
                <c:pt idx="4">
                  <c:v>26</c:v>
                </c:pt>
              </c:numCache>
            </c:numRef>
          </c:val>
          <c:smooth val="0"/>
          <c:extLst xmlns:c16r2="http://schemas.microsoft.com/office/drawing/2015/06/chart">
            <c:ext xmlns:c16="http://schemas.microsoft.com/office/drawing/2014/chart" uri="{C3380CC4-5D6E-409C-BE32-E72D297353CC}">
              <c16:uniqueId val="{00000000-6485-4AD0-9B92-EF6A21308E8E}"/>
            </c:ext>
          </c:extLst>
        </c:ser>
        <c:dLbls>
          <c:showLegendKey val="0"/>
          <c:showVal val="0"/>
          <c:showCatName val="0"/>
          <c:showSerName val="0"/>
          <c:showPercent val="0"/>
          <c:showBubbleSize val="0"/>
        </c:dLbls>
        <c:marker val="1"/>
        <c:smooth val="0"/>
        <c:axId val="282092672"/>
        <c:axId val="282094208"/>
      </c:lineChart>
      <c:catAx>
        <c:axId val="282092672"/>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2094208"/>
        <c:crosses val="autoZero"/>
        <c:auto val="1"/>
        <c:lblAlgn val="ctr"/>
        <c:lblOffset val="100"/>
        <c:noMultiLvlLbl val="0"/>
      </c:catAx>
      <c:valAx>
        <c:axId val="282094208"/>
        <c:scaling>
          <c:orientation val="minMax"/>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282092672"/>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80946076430702E-2"/>
          <c:y val="5.5813953488372092E-2"/>
          <c:w val="0.89092585489306109"/>
          <c:h val="0.8397658541441430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4356304635474283E-2"/>
                  <c:y val="7.12081580555855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0DA-497E-B6A2-797A30EB1B5E}"/>
                </c:ext>
              </c:extLst>
            </c:dLbl>
            <c:dLbl>
              <c:idx val="2"/>
              <c:layout>
                <c:manualLayout>
                  <c:x val="-4.9786555606169063E-2"/>
                  <c:y val="-5.9925828384079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880-4001-A468-F35272AC92C7}"/>
                </c:ext>
              </c:extLst>
            </c:dLbl>
            <c:dLbl>
              <c:idx val="4"/>
              <c:layout>
                <c:manualLayout>
                  <c:x val="-4.7052341597796143E-2"/>
                  <c:y val="-6.01027397260274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0DA-497E-B6A2-797A30EB1B5E}"/>
                </c:ext>
              </c:extLst>
            </c:dLbl>
            <c:dLbl>
              <c:idx val="5"/>
              <c:layout>
                <c:manualLayout>
                  <c:x val="-3.3278236914600551E-2"/>
                  <c:y val="-6.58105022831050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0DA-497E-B6A2-797A30EB1B5E}"/>
                </c:ext>
              </c:extLst>
            </c:dLbl>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133</c:v>
                </c:pt>
                <c:pt idx="1">
                  <c:v>133</c:v>
                </c:pt>
                <c:pt idx="2">
                  <c:v>179</c:v>
                </c:pt>
                <c:pt idx="3">
                  <c:v>147</c:v>
                </c:pt>
                <c:pt idx="4">
                  <c:v>131</c:v>
                </c:pt>
              </c:numCache>
            </c:numRef>
          </c:val>
          <c:smooth val="0"/>
          <c:extLst xmlns:c16r2="http://schemas.microsoft.com/office/drawing/2015/06/chart">
            <c:ext xmlns:c16="http://schemas.microsoft.com/office/drawing/2014/chart" uri="{C3380CC4-5D6E-409C-BE32-E72D297353CC}">
              <c16:uniqueId val="{00000003-30DA-497E-B6A2-797A30EB1B5E}"/>
            </c:ext>
          </c:extLst>
        </c:ser>
        <c:dLbls>
          <c:showLegendKey val="0"/>
          <c:showVal val="0"/>
          <c:showCatName val="0"/>
          <c:showSerName val="0"/>
          <c:showPercent val="0"/>
          <c:showBubbleSize val="0"/>
        </c:dLbls>
        <c:marker val="1"/>
        <c:smooth val="0"/>
        <c:axId val="325617920"/>
        <c:axId val="325640192"/>
      </c:lineChart>
      <c:catAx>
        <c:axId val="325617920"/>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5640192"/>
        <c:crosses val="autoZero"/>
        <c:auto val="1"/>
        <c:lblAlgn val="ctr"/>
        <c:lblOffset val="100"/>
        <c:noMultiLvlLbl val="0"/>
      </c:catAx>
      <c:valAx>
        <c:axId val="325640192"/>
        <c:scaling>
          <c:orientation val="minMax"/>
          <c:min val="7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325617920"/>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26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Croatia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9.9044767813917245E-2"/>
          <c:y val="2.9411764705882353E-2"/>
        </c:manualLayout>
      </c:layout>
      <c:overlay val="0"/>
      <c:spPr>
        <a:noFill/>
        <a:ln w="25321">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559-4D7B-8DD6-65C592D2E6E5}"/>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559-4D7B-8DD6-65C592D2E6E5}"/>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559-4D7B-8DD6-65C592D2E6E5}"/>
              </c:ext>
            </c:extLst>
          </c:dPt>
          <c:dPt>
            <c:idx val="3"/>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559-4D7B-8DD6-65C592D2E6E5}"/>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559-4D7B-8DD6-65C592D2E6E5}"/>
              </c:ext>
            </c:extLst>
          </c:dPt>
          <c:dPt>
            <c:idx val="5"/>
            <c:bubble3D val="0"/>
            <c:extLst xmlns:c16r2="http://schemas.microsoft.com/office/drawing/2015/06/chart">
              <c:ext xmlns:c16="http://schemas.microsoft.com/office/drawing/2014/chart" uri="{C3380CC4-5D6E-409C-BE32-E72D297353CC}">
                <c16:uniqueId val="{0000000A-4559-4D7B-8DD6-65C592D2E6E5}"/>
              </c:ext>
            </c:extLst>
          </c:dPt>
          <c:dLbls>
            <c:dLbl>
              <c:idx val="0"/>
              <c:layout>
                <c:manualLayout>
                  <c:x val="-3.5948947130049494E-2"/>
                  <c:y val="0.1272498776635971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559-4D7B-8DD6-65C592D2E6E5}"/>
                </c:ext>
              </c:extLst>
            </c:dLbl>
            <c:dLbl>
              <c:idx val="1"/>
              <c:layout>
                <c:manualLayout>
                  <c:x val="-5.4368359880170901E-3"/>
                  <c:y val="0.1777748120467992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559-4D7B-8DD6-65C592D2E6E5}"/>
                </c:ext>
              </c:extLst>
            </c:dLbl>
            <c:dLbl>
              <c:idx val="2"/>
              <c:layout>
                <c:manualLayout>
                  <c:x val="8.2723547290476421E-5"/>
                  <c:y val="3.140976022065038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559-4D7B-8DD6-65C592D2E6E5}"/>
                </c:ext>
              </c:extLst>
            </c:dLbl>
            <c:dLbl>
              <c:idx val="3"/>
              <c:layout>
                <c:manualLayout>
                  <c:x val="1.1072399561333702E-2"/>
                  <c:y val="0.2173335103945340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559-4D7B-8DD6-65C592D2E6E5}"/>
                </c:ext>
              </c:extLst>
            </c:dLbl>
            <c:dLbl>
              <c:idx val="4"/>
              <c:layout>
                <c:manualLayout>
                  <c:x val="-6.3521643994084914E-2"/>
                  <c:y val="-0.173897415365452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4559-4D7B-8DD6-65C592D2E6E5}"/>
                </c:ext>
              </c:extLst>
            </c:dLbl>
            <c:spPr>
              <a:noFill/>
              <a:ln w="25321">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Blad1!$A$4:$A$9</c:f>
              <c:strCache>
                <c:ptCount val="5"/>
                <c:pt idx="0">
                  <c:v>Mobility and transport</c:v>
                </c:pt>
                <c:pt idx="1">
                  <c:v>Financial stability, financial services and Capital Markets Union</c:v>
                </c:pt>
                <c:pt idx="2">
                  <c:v>Environment</c:v>
                </c:pt>
                <c:pt idx="3">
                  <c:v>Justice and consumers</c:v>
                </c:pt>
                <c:pt idx="4">
                  <c:v>Other</c:v>
                </c:pt>
              </c:strCache>
            </c:strRef>
          </c:cat>
          <c:val>
            <c:numRef>
              <c:f>Blad1!$B$4:$B$9</c:f>
              <c:numCache>
                <c:formatCode>General</c:formatCode>
                <c:ptCount val="6"/>
                <c:pt idx="0">
                  <c:v>6</c:v>
                </c:pt>
                <c:pt idx="1">
                  <c:v>5</c:v>
                </c:pt>
                <c:pt idx="2">
                  <c:v>3</c:v>
                </c:pt>
                <c:pt idx="3">
                  <c:v>3</c:v>
                </c:pt>
                <c:pt idx="4">
                  <c:v>9</c:v>
                </c:pt>
              </c:numCache>
            </c:numRef>
          </c:val>
          <c:extLst xmlns:c16r2="http://schemas.microsoft.com/office/drawing/2015/06/chart">
            <c:ext xmlns:c16="http://schemas.microsoft.com/office/drawing/2014/chart" uri="{C3380CC4-5D6E-409C-BE32-E72D297353CC}">
              <c16:uniqueId val="{0000000B-4559-4D7B-8DD6-65C592D2E6E5}"/>
            </c:ext>
          </c:extLst>
        </c:ser>
        <c:dLbls>
          <c:showLegendKey val="0"/>
          <c:showVal val="0"/>
          <c:showCatName val="0"/>
          <c:showSerName val="0"/>
          <c:showPercent val="0"/>
          <c:showBubbleSize val="0"/>
          <c:showLeaderLines val="0"/>
        </c:dLbls>
        <c:firstSliceAng val="288"/>
      </c:pieChart>
      <c:spPr>
        <a:noFill/>
        <a:ln w="25321">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6.6767512192463838E-2"/>
                  <c:y val="7.20230796666362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27D-48D9-B015-DBFB54A08C4F}"/>
                </c:ext>
              </c:extLst>
            </c:dLbl>
            <c:dLbl>
              <c:idx val="3"/>
              <c:layout>
                <c:manualLayout>
                  <c:x val="-3.8955071792496528E-2"/>
                  <c:y val="-6.18330776195189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27D-48D9-B015-DBFB54A08C4F}"/>
                </c:ext>
              </c:extLst>
            </c:dLbl>
            <c:dLbl>
              <c:idx val="4"/>
              <c:layout>
                <c:manualLayout>
                  <c:x val="-4.1846759204850641E-2"/>
                  <c:y val="6.66109662337223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27D-48D9-B015-DBFB54A08C4F}"/>
                </c:ext>
              </c:extLst>
            </c:dLbl>
            <c:spPr>
              <a:noFill/>
              <a:ln w="2537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472</c:v>
                </c:pt>
                <c:pt idx="1">
                  <c:v>475</c:v>
                </c:pt>
                <c:pt idx="2">
                  <c:v>637</c:v>
                </c:pt>
                <c:pt idx="3">
                  <c:v>753</c:v>
                </c:pt>
                <c:pt idx="4">
                  <c:v>533</c:v>
                </c:pt>
              </c:numCache>
            </c:numRef>
          </c:val>
          <c:smooth val="0"/>
          <c:extLst xmlns:c16r2="http://schemas.microsoft.com/office/drawing/2015/06/chart">
            <c:ext xmlns:c16="http://schemas.microsoft.com/office/drawing/2014/chart" uri="{C3380CC4-5D6E-409C-BE32-E72D297353CC}">
              <c16:uniqueId val="{00000002-127D-48D9-B015-DBFB54A08C4F}"/>
            </c:ext>
          </c:extLst>
        </c:ser>
        <c:dLbls>
          <c:showLegendKey val="0"/>
          <c:showVal val="0"/>
          <c:showCatName val="0"/>
          <c:showSerName val="0"/>
          <c:showPercent val="0"/>
          <c:showBubbleSize val="0"/>
        </c:dLbls>
        <c:marker val="1"/>
        <c:smooth val="0"/>
        <c:axId val="339559168"/>
        <c:axId val="339560704"/>
      </c:lineChart>
      <c:catAx>
        <c:axId val="339559168"/>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9560704"/>
        <c:crosses val="autoZero"/>
        <c:auto val="1"/>
        <c:lblAlgn val="ctr"/>
        <c:lblOffset val="100"/>
        <c:noMultiLvlLbl val="0"/>
      </c:catAx>
      <c:valAx>
        <c:axId val="339560704"/>
        <c:scaling>
          <c:orientation val="minMax"/>
          <c:min val="370"/>
        </c:scaling>
        <c:delete val="1"/>
        <c:axPos val="l"/>
        <c:majorGridlines>
          <c:spPr>
            <a:ln w="9516" cap="flat" cmpd="sng" algn="ctr">
              <a:solidFill>
                <a:schemeClr val="tx1">
                  <a:lumMod val="15000"/>
                  <a:lumOff val="85000"/>
                </a:schemeClr>
              </a:solidFill>
              <a:round/>
            </a:ln>
            <a:effectLst/>
          </c:spPr>
        </c:majorGridlines>
        <c:numFmt formatCode="General" sourceLinked="1"/>
        <c:majorTickMark val="out"/>
        <c:minorTickMark val="none"/>
        <c:tickLblPos val="nextTo"/>
        <c:crossAx val="339559168"/>
        <c:crosses val="autoZero"/>
        <c:crossBetween val="between"/>
      </c:valAx>
      <c:spPr>
        <a:noFill/>
        <a:ln w="25375">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533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Italy</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602445641663213"/>
          <c:y val="3.1537601278101103E-2"/>
        </c:manualLayout>
      </c:layout>
      <c:overlay val="0"/>
      <c:spPr>
        <a:noFill/>
        <a:ln w="25396">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B3A-4240-AF34-9BB27923393C}"/>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B3A-4240-AF34-9BB27923393C}"/>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B3A-4240-AF34-9BB27923393C}"/>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B3A-4240-AF34-9BB27923393C}"/>
              </c:ext>
            </c:extLst>
          </c:dPt>
          <c:dPt>
            <c:idx val="4"/>
            <c:bubble3D val="0"/>
            <c:extLst xmlns:c16r2="http://schemas.microsoft.com/office/drawing/2015/06/chart">
              <c:ext xmlns:c16="http://schemas.microsoft.com/office/drawing/2014/chart" uri="{C3380CC4-5D6E-409C-BE32-E72D297353CC}">
                <c16:uniqueId val="{00000008-CB3A-4240-AF34-9BB27923393C}"/>
              </c:ext>
            </c:extLst>
          </c:dPt>
          <c:dLbls>
            <c:dLbl>
              <c:idx val="0"/>
              <c:layout>
                <c:manualLayout>
                  <c:x val="-7.1355000378039171E-2"/>
                  <c:y val="7.4922294464229322E-2"/>
                </c:manualLayout>
              </c:layout>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B3A-4240-AF34-9BB27923393C}"/>
                </c:ext>
              </c:extLst>
            </c:dLbl>
            <c:dLbl>
              <c:idx val="1"/>
              <c:layout>
                <c:manualLayout>
                  <c:x val="-2.2038603199291448E-2"/>
                  <c:y val="-3.916663943977957E-2"/>
                </c:manualLayout>
              </c:layout>
              <c:spPr>
                <a:noFill/>
                <a:ln w="25396">
                  <a:noFill/>
                </a:ln>
              </c:spPr>
              <c:txPr>
                <a:bodyPr rot="0" spcFirstLastPara="1" vertOverflow="ellipsis" vert="horz" wrap="square" lIns="38100" tIns="19050" rIns="38100" bIns="19050" anchor="ctr" anchorCtr="1">
                  <a:spAutoFit/>
                </a:bodyPr>
                <a:lstStyle/>
                <a:p>
                  <a:pPr>
                    <a:defRPr sz="82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B3A-4240-AF34-9BB27923393C}"/>
                </c:ext>
              </c:extLst>
            </c:dLbl>
            <c:dLbl>
              <c:idx val="2"/>
              <c:layout>
                <c:manualLayout>
                  <c:x val="2.1945281531166629E-2"/>
                  <c:y val="-4.2833338778710754E-2"/>
                </c:manualLayout>
              </c:layout>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B3A-4240-AF34-9BB27923393C}"/>
                </c:ext>
              </c:extLst>
            </c:dLbl>
            <c:dLbl>
              <c:idx val="3"/>
              <c:layout>
                <c:manualLayout>
                  <c:x val="-4.6576585334240604E-2"/>
                  <c:y val="-0.22270591694710359"/>
                </c:manualLayout>
              </c:layout>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B3A-4240-AF34-9BB27923393C}"/>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Environment</c:v>
                </c:pt>
                <c:pt idx="1">
                  <c:v>Internal market, industry, entrepreneurship and SMEs</c:v>
                </c:pt>
                <c:pt idx="2">
                  <c:v>Employment</c:v>
                </c:pt>
                <c:pt idx="3">
                  <c:v>Other</c:v>
                </c:pt>
              </c:strCache>
            </c:strRef>
          </c:cat>
          <c:val>
            <c:numRef>
              <c:f>Blad1!$B$2:$B$5</c:f>
              <c:numCache>
                <c:formatCode>General</c:formatCode>
                <c:ptCount val="4"/>
                <c:pt idx="0">
                  <c:v>160</c:v>
                </c:pt>
                <c:pt idx="1">
                  <c:v>104</c:v>
                </c:pt>
                <c:pt idx="2">
                  <c:v>60</c:v>
                </c:pt>
                <c:pt idx="3">
                  <c:v>209</c:v>
                </c:pt>
              </c:numCache>
            </c:numRef>
          </c:val>
          <c:extLst xmlns:c16r2="http://schemas.microsoft.com/office/drawing/2015/06/chart">
            <c:ext xmlns:c16="http://schemas.microsoft.com/office/drawing/2014/chart" uri="{C3380CC4-5D6E-409C-BE32-E72D297353CC}">
              <c16:uniqueId val="{00000009-CB3A-4240-AF34-9BB27923393C}"/>
            </c:ext>
          </c:extLst>
        </c:ser>
        <c:dLbls>
          <c:showLegendKey val="0"/>
          <c:showVal val="0"/>
          <c:showCatName val="0"/>
          <c:showSerName val="0"/>
          <c:showPercent val="0"/>
          <c:showBubbleSize val="0"/>
          <c:showLeaderLines val="0"/>
        </c:dLbls>
        <c:firstSliceAng val="296"/>
      </c:pieChart>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4370860927152318E-2"/>
                  <c:y val="-4.88545246277204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CC3-4404-8D9C-8A50E9C487A9}"/>
                </c:ext>
              </c:extLst>
            </c:dLbl>
            <c:spPr>
              <a:noFill/>
              <a:ln w="2539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122</c:v>
                </c:pt>
                <c:pt idx="1">
                  <c:v>128</c:v>
                </c:pt>
                <c:pt idx="2">
                  <c:v>68</c:v>
                </c:pt>
                <c:pt idx="3">
                  <c:v>52</c:v>
                </c:pt>
                <c:pt idx="4">
                  <c:v>16</c:v>
                </c:pt>
              </c:numCache>
            </c:numRef>
          </c:val>
          <c:smooth val="0"/>
          <c:extLst xmlns:c16r2="http://schemas.microsoft.com/office/drawing/2015/06/chart">
            <c:ext xmlns:c16="http://schemas.microsoft.com/office/drawing/2014/chart" uri="{C3380CC4-5D6E-409C-BE32-E72D297353CC}">
              <c16:uniqueId val="{00000000-CF45-4D9D-A6EF-5ABA0CCB7B37}"/>
            </c:ext>
          </c:extLst>
        </c:ser>
        <c:dLbls>
          <c:showLegendKey val="0"/>
          <c:showVal val="0"/>
          <c:showCatName val="0"/>
          <c:showSerName val="0"/>
          <c:showPercent val="0"/>
          <c:showBubbleSize val="0"/>
        </c:dLbls>
        <c:marker val="1"/>
        <c:smooth val="0"/>
        <c:axId val="339776256"/>
        <c:axId val="339777792"/>
      </c:lineChart>
      <c:catAx>
        <c:axId val="339776256"/>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9777792"/>
        <c:crosses val="autoZero"/>
        <c:auto val="1"/>
        <c:lblAlgn val="ctr"/>
        <c:lblOffset val="100"/>
        <c:noMultiLvlLbl val="0"/>
      </c:catAx>
      <c:valAx>
        <c:axId val="339777792"/>
        <c:scaling>
          <c:orientation val="minMax"/>
        </c:scaling>
        <c:delete val="1"/>
        <c:axPos val="l"/>
        <c:majorGridlines>
          <c:spPr>
            <a:ln w="9523" cap="flat" cmpd="sng" algn="ctr">
              <a:solidFill>
                <a:schemeClr val="tx1">
                  <a:lumMod val="15000"/>
                  <a:lumOff val="85000"/>
                </a:schemeClr>
              </a:solidFill>
              <a:round/>
            </a:ln>
            <a:effectLst/>
          </c:spPr>
        </c:majorGridlines>
        <c:numFmt formatCode="General" sourceLinked="1"/>
        <c:majorTickMark val="out"/>
        <c:minorTickMark val="none"/>
        <c:tickLblPos val="nextTo"/>
        <c:crossAx val="339776256"/>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9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147</c:v>
                </c:pt>
                <c:pt idx="1">
                  <c:v>139</c:v>
                </c:pt>
                <c:pt idx="2">
                  <c:v>111</c:v>
                </c:pt>
                <c:pt idx="3">
                  <c:v>99</c:v>
                </c:pt>
                <c:pt idx="4">
                  <c:v>70</c:v>
                </c:pt>
              </c:numCache>
            </c:numRef>
          </c:val>
          <c:smooth val="0"/>
          <c:extLst xmlns:c16r2="http://schemas.microsoft.com/office/drawing/2015/06/chart">
            <c:ext xmlns:c16="http://schemas.microsoft.com/office/drawing/2014/chart" uri="{C3380CC4-5D6E-409C-BE32-E72D297353CC}">
              <c16:uniqueId val="{00000000-F581-4A52-A355-B2CD059755E1}"/>
            </c:ext>
          </c:extLst>
        </c:ser>
        <c:dLbls>
          <c:showLegendKey val="0"/>
          <c:showVal val="0"/>
          <c:showCatName val="0"/>
          <c:showSerName val="0"/>
          <c:showPercent val="0"/>
          <c:showBubbleSize val="0"/>
        </c:dLbls>
        <c:marker val="1"/>
        <c:smooth val="0"/>
        <c:axId val="339798656"/>
        <c:axId val="339681664"/>
      </c:lineChart>
      <c:catAx>
        <c:axId val="339798656"/>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9681664"/>
        <c:crosses val="autoZero"/>
        <c:auto val="1"/>
        <c:lblAlgn val="ctr"/>
        <c:lblOffset val="100"/>
        <c:noMultiLvlLbl val="0"/>
      </c:catAx>
      <c:valAx>
        <c:axId val="339681664"/>
        <c:scaling>
          <c:orientation val="minMax"/>
          <c:min val="40"/>
        </c:scaling>
        <c:delete val="1"/>
        <c:axPos val="l"/>
        <c:majorGridlines>
          <c:spPr>
            <a:ln w="9523" cap="flat" cmpd="sng" algn="ctr">
              <a:solidFill>
                <a:schemeClr val="tx1">
                  <a:lumMod val="15000"/>
                  <a:lumOff val="85000"/>
                </a:schemeClr>
              </a:solidFill>
              <a:round/>
            </a:ln>
            <a:effectLst/>
          </c:spPr>
        </c:majorGridlines>
        <c:numFmt formatCode="General" sourceLinked="1"/>
        <c:majorTickMark val="out"/>
        <c:minorTickMark val="none"/>
        <c:tickLblPos val="nextTo"/>
        <c:crossAx val="339798656"/>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16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Italy</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olidFill>
              <a:srgbClr val="808AA4"/>
            </a:solidFill>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18E-44FF-8D7E-3B17A40E8D39}"/>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18E-44FF-8D7E-3B17A40E8D39}"/>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18E-44FF-8D7E-3B17A40E8D39}"/>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18E-44FF-8D7E-3B17A40E8D39}"/>
              </c:ext>
            </c:extLst>
          </c:dPt>
          <c:dPt>
            <c:idx val="4"/>
            <c:bubble3D val="0"/>
            <c:extLst xmlns:c16r2="http://schemas.microsoft.com/office/drawing/2015/06/chart">
              <c:ext xmlns:c16="http://schemas.microsoft.com/office/drawing/2014/chart" uri="{C3380CC4-5D6E-409C-BE32-E72D297353CC}">
                <c16:uniqueId val="{00000008-F18E-44FF-8D7E-3B17A40E8D39}"/>
              </c:ext>
            </c:extLst>
          </c:dPt>
          <c:dLbls>
            <c:dLbl>
              <c:idx val="0"/>
              <c:layout>
                <c:manualLayout>
                  <c:x val="-2.1649240566240697E-2"/>
                  <c:y val="4.055411992419866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18E-44FF-8D7E-3B17A40E8D39}"/>
                </c:ext>
              </c:extLst>
            </c:dLbl>
            <c:dLbl>
              <c:idx val="1"/>
              <c:layout>
                <c:manualLayout>
                  <c:x val="-1.6324598769416117E-2"/>
                  <c:y val="-1.0810810810810811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18E-44FF-8D7E-3B17A40E8D39}"/>
                </c:ext>
              </c:extLst>
            </c:dLbl>
            <c:dLbl>
              <c:idx val="2"/>
              <c:layout>
                <c:manualLayout>
                  <c:x val="2.208639903618605E-2"/>
                  <c:y val="-5.530822160743420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18E-44FF-8D7E-3B17A40E8D39}"/>
                </c:ext>
              </c:extLst>
            </c:dLbl>
            <c:dLbl>
              <c:idx val="3"/>
              <c:layout>
                <c:manualLayout>
                  <c:x val="5.1866959253044187E-2"/>
                  <c:y val="-4.1591422693784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18E-44FF-8D7E-3B17A40E8D39}"/>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layout/>
              </c:ext>
            </c:extLst>
          </c:dLbls>
          <c:cat>
            <c:strRef>
              <c:f>Blad1!$A$3:$A$7</c:f>
              <c:strCache>
                <c:ptCount val="5"/>
                <c:pt idx="0">
                  <c:v>Taxation and customs</c:v>
                </c:pt>
                <c:pt idx="1">
                  <c:v>Environment</c:v>
                </c:pt>
                <c:pt idx="2">
                  <c:v>Energy </c:v>
                </c:pt>
                <c:pt idx="3">
                  <c:v>Climate action </c:v>
                </c:pt>
                <c:pt idx="4">
                  <c:v>Other</c:v>
                </c:pt>
              </c:strCache>
            </c:strRef>
          </c:cat>
          <c:val>
            <c:numRef>
              <c:f>Blad1!$B$3:$B$7</c:f>
              <c:numCache>
                <c:formatCode>General</c:formatCode>
                <c:ptCount val="5"/>
                <c:pt idx="0">
                  <c:v>4</c:v>
                </c:pt>
                <c:pt idx="1">
                  <c:v>4</c:v>
                </c:pt>
                <c:pt idx="2">
                  <c:v>2</c:v>
                </c:pt>
                <c:pt idx="3">
                  <c:v>2</c:v>
                </c:pt>
                <c:pt idx="4">
                  <c:v>4</c:v>
                </c:pt>
              </c:numCache>
            </c:numRef>
          </c:val>
          <c:extLst xmlns:c16r2="http://schemas.microsoft.com/office/drawing/2015/06/chart">
            <c:ext xmlns:c16="http://schemas.microsoft.com/office/drawing/2014/chart" uri="{C3380CC4-5D6E-409C-BE32-E72D297353CC}">
              <c16:uniqueId val="{00000009-F18E-44FF-8D7E-3B17A40E8D39}"/>
            </c:ext>
          </c:extLst>
        </c:ser>
        <c:dLbls>
          <c:showLegendKey val="0"/>
          <c:showVal val="0"/>
          <c:showCatName val="0"/>
          <c:showSerName val="0"/>
          <c:showPercent val="0"/>
          <c:showBubbleSize val="0"/>
          <c:showLeaderLines val="0"/>
        </c:dLbls>
        <c:firstSliceAng val="266"/>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Italy</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2747839659577439E-2"/>
                  <c:y val="-6.72200502909164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EBE-468F-B4E7-7D3506CA4D67}"/>
                </c:ext>
              </c:extLst>
            </c:dLbl>
            <c:dLbl>
              <c:idx val="3"/>
              <c:layout>
                <c:manualLayout>
                  <c:x val="-5.0962961992479724E-2"/>
                  <c:y val="5.74659901667221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C5B-4167-9470-DBD3129A5E07}"/>
                </c:ext>
              </c:extLst>
            </c:dLbl>
            <c:dLbl>
              <c:idx val="4"/>
              <c:layout>
                <c:manualLayout>
                  <c:x val="-5.2747839659577439E-2"/>
                  <c:y val="6.68125837417175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EBE-468F-B4E7-7D3506CA4D67}"/>
                </c:ext>
              </c:extLst>
            </c:dLbl>
            <c:spPr>
              <a:noFill/>
              <a:ln w="25384">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0.7</c:v>
                </c:pt>
                <c:pt idx="1">
                  <c:v>0.75</c:v>
                </c:pt>
                <c:pt idx="2">
                  <c:v>0.76</c:v>
                </c:pt>
                <c:pt idx="3">
                  <c:v>0.89</c:v>
                </c:pt>
                <c:pt idx="4">
                  <c:v>0.88</c:v>
                </c:pt>
              </c:numCache>
            </c:numRef>
          </c:val>
          <c:smooth val="0"/>
          <c:extLst xmlns:c16r2="http://schemas.microsoft.com/office/drawing/2015/06/chart">
            <c:ext xmlns:c16="http://schemas.microsoft.com/office/drawing/2014/chart" uri="{C3380CC4-5D6E-409C-BE32-E72D297353CC}">
              <c16:uniqueId val="{00000001-EC5B-4167-9470-DBD3129A5E07}"/>
            </c:ext>
          </c:extLst>
        </c:ser>
        <c:ser>
          <c:idx val="1"/>
          <c:order val="1"/>
          <c:tx>
            <c:strRef>
              <c:f>Blad1!$C$2</c:f>
              <c:strCache>
                <c:ptCount val="1"/>
                <c:pt idx="0">
                  <c:v>General rate for all Member States</c:v>
                </c:pt>
              </c:strCache>
            </c:strRef>
          </c:tx>
          <c:spPr>
            <a:ln w="25384">
              <a:solidFill>
                <a:srgbClr val="92D050"/>
              </a:solidFill>
            </a:ln>
          </c:spPr>
          <c:marker>
            <c:symbol val="square"/>
            <c:size val="4"/>
            <c:spPr>
              <a:solidFill>
                <a:srgbClr val="92D050"/>
              </a:solidFill>
              <a:ln>
                <a:solidFill>
                  <a:srgbClr val="92D050"/>
                </a:solidFill>
              </a:ln>
            </c:spPr>
          </c:marker>
          <c:dLbls>
            <c:dLbl>
              <c:idx val="2"/>
              <c:layout>
                <c:manualLayout>
                  <c:x val="-4.0289367898780092E-2"/>
                  <c:y val="5.84792504083842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EBE-468F-B4E7-7D3506CA4D67}"/>
                </c:ext>
              </c:extLst>
            </c:dLbl>
            <c:dLbl>
              <c:idx val="3"/>
              <c:layout>
                <c:manualLayout>
                  <c:x val="-5.6900663579843219E-2"/>
                  <c:y val="5.26517445808784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EBE-468F-B4E7-7D3506CA4D67}"/>
                </c:ext>
              </c:extLst>
            </c:dLbl>
            <c:dLbl>
              <c:idx val="4"/>
              <c:layout>
                <c:manualLayout>
                  <c:x val="-5.4124621965506908E-2"/>
                  <c:y val="5.26670904697099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EBE-468F-B4E7-7D3506CA4D67}"/>
                </c:ext>
              </c:extLst>
            </c:dLbl>
            <c:spPr>
              <a:noFill/>
              <a:ln w="25384">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2-EC5B-4167-9470-DBD3129A5E07}"/>
            </c:ext>
          </c:extLst>
        </c:ser>
        <c:dLbls>
          <c:showLegendKey val="0"/>
          <c:showVal val="0"/>
          <c:showCatName val="0"/>
          <c:showSerName val="0"/>
          <c:showPercent val="0"/>
          <c:showBubbleSize val="0"/>
        </c:dLbls>
        <c:marker val="1"/>
        <c:smooth val="0"/>
        <c:axId val="339891712"/>
        <c:axId val="339893248"/>
      </c:lineChart>
      <c:catAx>
        <c:axId val="339891712"/>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9893248"/>
        <c:crosses val="autoZero"/>
        <c:auto val="1"/>
        <c:lblAlgn val="ctr"/>
        <c:lblOffset val="100"/>
        <c:noMultiLvlLbl val="0"/>
      </c:catAx>
      <c:valAx>
        <c:axId val="339893248"/>
        <c:scaling>
          <c:orientation val="minMax"/>
          <c:min val="0.5"/>
        </c:scaling>
        <c:delete val="1"/>
        <c:axPos val="l"/>
        <c:majorGridlines>
          <c:spPr>
            <a:ln w="9519" cap="flat" cmpd="sng" algn="ctr">
              <a:solidFill>
                <a:schemeClr val="tx1">
                  <a:lumMod val="15000"/>
                  <a:lumOff val="85000"/>
                </a:schemeClr>
              </a:solidFill>
              <a:round/>
            </a:ln>
            <a:effectLst/>
          </c:spPr>
        </c:majorGridlines>
        <c:numFmt formatCode="0%" sourceLinked="1"/>
        <c:majorTickMark val="out"/>
        <c:minorTickMark val="none"/>
        <c:tickLblPos val="nextTo"/>
        <c:crossAx val="339891712"/>
        <c:crosses val="autoZero"/>
        <c:crossBetween val="between"/>
      </c:valAx>
      <c:spPr>
        <a:noFill/>
        <a:ln w="25384">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254815020091449E-2"/>
          <c:y val="6.5986802639472111E-2"/>
          <c:w val="0.93899057127010543"/>
          <c:h val="0.65789620272286109"/>
        </c:manualLayout>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4"/>
              <c:layout>
                <c:manualLayout>
                  <c:x val="-4.4983583789278525E-2"/>
                  <c:y val="7.5715552487709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FEE-46B7-B224-97C5D478B1DC}"/>
                </c:ext>
              </c:extLst>
            </c:dLbl>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104</c:v>
                </c:pt>
                <c:pt idx="1">
                  <c:v>89</c:v>
                </c:pt>
                <c:pt idx="2">
                  <c:v>89</c:v>
                </c:pt>
                <c:pt idx="3">
                  <c:v>70</c:v>
                </c:pt>
                <c:pt idx="4">
                  <c:v>62</c:v>
                </c:pt>
              </c:numCache>
            </c:numRef>
          </c:val>
          <c:smooth val="0"/>
          <c:extLst xmlns:c16r2="http://schemas.microsoft.com/office/drawing/2015/06/chart">
            <c:ext xmlns:c16="http://schemas.microsoft.com/office/drawing/2014/chart" uri="{C3380CC4-5D6E-409C-BE32-E72D297353CC}">
              <c16:uniqueId val="{00000001-3FEE-46B7-B224-97C5D478B1DC}"/>
            </c:ext>
          </c:extLst>
        </c:ser>
        <c:dLbls>
          <c:showLegendKey val="0"/>
          <c:showVal val="0"/>
          <c:showCatName val="0"/>
          <c:showSerName val="0"/>
          <c:showPercent val="0"/>
          <c:showBubbleSize val="0"/>
        </c:dLbls>
        <c:marker val="1"/>
        <c:smooth val="0"/>
        <c:axId val="339960192"/>
        <c:axId val="339961728"/>
      </c:lineChart>
      <c:catAx>
        <c:axId val="339960192"/>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9961728"/>
        <c:crosses val="autoZero"/>
        <c:auto val="1"/>
        <c:lblAlgn val="ctr"/>
        <c:lblOffset val="100"/>
        <c:noMultiLvlLbl val="0"/>
      </c:catAx>
      <c:valAx>
        <c:axId val="339961728"/>
        <c:scaling>
          <c:orientation val="minMax"/>
          <c:min val="50"/>
        </c:scaling>
        <c:delete val="1"/>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one"/>
        <c:crossAx val="339960192"/>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12 new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Italy</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0967896529"/>
          <c:y val="3.2786863180563966E-2"/>
        </c:manualLayout>
      </c:layout>
      <c:overlay val="0"/>
      <c:spPr>
        <a:noFill/>
        <a:ln w="25384">
          <a:noFill/>
        </a:ln>
      </c:spPr>
    </c:title>
    <c:autoTitleDeleted val="0"/>
    <c:plotArea>
      <c:layout/>
      <c:pieChart>
        <c:varyColors val="1"/>
        <c:ser>
          <c:idx val="0"/>
          <c:order val="0"/>
          <c:tx>
            <c:strRef>
              <c:f>Blad1!$B$1</c:f>
              <c:strCache>
                <c:ptCount val="1"/>
                <c:pt idx="0">
                  <c:v>[Number of infringement cases] infringement cases against Italy</c:v>
                </c:pt>
              </c:strCache>
            </c:strRef>
          </c:tx>
          <c:spPr>
            <a:solidFill>
              <a:srgbClr val="00A676"/>
            </a:solidFill>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E08-4F72-926A-AF0F09801F67}"/>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E08-4F72-926A-AF0F09801F67}"/>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E08-4F72-926A-AF0F09801F67}"/>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E08-4F72-926A-AF0F09801F67}"/>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E08-4F72-926A-AF0F09801F67}"/>
              </c:ext>
            </c:extLst>
          </c:dPt>
          <c:dPt>
            <c:idx val="5"/>
            <c:bubble3D val="0"/>
            <c:extLst xmlns:c16r2="http://schemas.microsoft.com/office/drawing/2015/06/chart">
              <c:ext xmlns:c16="http://schemas.microsoft.com/office/drawing/2014/chart" uri="{C3380CC4-5D6E-409C-BE32-E72D297353CC}">
                <c16:uniqueId val="{0000000A-EE08-4F72-926A-AF0F09801F67}"/>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08-4F72-926A-AF0F09801F67}"/>
                </c:ext>
              </c:extLst>
            </c:dLbl>
            <c:dLbl>
              <c:idx val="1"/>
              <c:layout>
                <c:manualLayout>
                  <c:x val="-3.3289258327937693E-2"/>
                  <c:y val="0.1006197718073687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E08-4F72-926A-AF0F09801F67}"/>
                </c:ext>
              </c:extLst>
            </c:dLbl>
            <c:dLbl>
              <c:idx val="2"/>
              <c:layout>
                <c:manualLayout>
                  <c:x val="-3.0177587663133804E-2"/>
                  <c:y val="8.7906615585032308E-2"/>
                </c:manualLayout>
              </c:layout>
              <c:spPr>
                <a:noFill/>
                <a:ln w="25384">
                  <a:noFill/>
                </a:ln>
              </c:spPr>
              <c:txPr>
                <a:bodyPr rot="0" spcFirstLastPara="1" vertOverflow="ellipsis" vert="horz" wrap="square" lIns="38100" tIns="19050" rIns="38100" bIns="19050" anchor="ctr" anchorCtr="1">
                  <a:spAutoFit/>
                </a:bodyPr>
                <a:lstStyle/>
                <a:p>
                  <a:pPr>
                    <a:defRPr sz="82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E08-4F72-926A-AF0F09801F67}"/>
                </c:ext>
              </c:extLst>
            </c:dLbl>
            <c:dLbl>
              <c:idx val="3"/>
              <c:layout>
                <c:manualLayout>
                  <c:x val="1.4827545167781644E-2"/>
                  <c:y val="-9.476402356616318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E08-4F72-926A-AF0F09801F67}"/>
                </c:ext>
              </c:extLst>
            </c:dLbl>
            <c:dLbl>
              <c:idx val="4"/>
              <c:layout>
                <c:manualLayout>
                  <c:x val="-0.1109329670485651"/>
                  <c:y val="-9.559113345103190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E08-4F72-926A-AF0F09801F67}"/>
                </c:ext>
              </c:extLst>
            </c:dLbl>
            <c:dLbl>
              <c:idx val="5"/>
              <c:layout>
                <c:manualLayout>
                  <c:x val="0.11092601569562541"/>
                  <c:y val="4.917989759476786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E08-4F72-926A-AF0F09801F67}"/>
                </c:ext>
              </c:extLst>
            </c:dLbl>
            <c:dLbl>
              <c:idx val="6"/>
              <c:layout>
                <c:manualLayout>
                  <c:x val="-1.6638935108153077E-2"/>
                  <c:y val="8.193666365474806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E08-4F72-926A-AF0F09801F67}"/>
                </c:ext>
              </c:extLst>
            </c:dLbl>
            <c:dLbl>
              <c:idx val="7"/>
              <c:layout>
                <c:manualLayout>
                  <c:x val="0.1192457016084304"/>
                  <c:y val="4.91803278688524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E08-4F72-926A-AF0F09801F67}"/>
                </c:ext>
              </c:extLst>
            </c:dLbl>
            <c:dLbl>
              <c:idx val="8"/>
              <c:layout>
                <c:manualLayout>
                  <c:x val="2.7731558513588465E-3"/>
                  <c:y val="4.91803278688524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E08-4F72-926A-AF0F09801F67}"/>
                </c:ext>
              </c:extLst>
            </c:dLbl>
            <c:dLbl>
              <c:idx val="9"/>
              <c:layout>
                <c:manualLayout>
                  <c:x val="1.3865779256794232E-2"/>
                  <c:y val="6.01092896174863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E08-4F72-926A-AF0F09801F67}"/>
                </c:ext>
              </c:extLst>
            </c:dLbl>
            <c:dLbl>
              <c:idx val="10"/>
              <c:layout>
                <c:manualLayout>
                  <c:x val="-8.3194675540765387E-3"/>
                  <c:y val="1.09289617486338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E08-4F72-926A-AF0F09801F67}"/>
                </c:ext>
              </c:extLst>
            </c:dLbl>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5"/>
                <c:pt idx="0">
                  <c:v>Policy Area</c:v>
                </c:pt>
                <c:pt idx="1">
                  <c:v>Environment</c:v>
                </c:pt>
                <c:pt idx="2">
                  <c:v>Internal market, industry, entrepreneurship and SMEs</c:v>
                </c:pt>
                <c:pt idx="3">
                  <c:v>Mobility and transport</c:v>
                </c:pt>
                <c:pt idx="4">
                  <c:v>Others</c:v>
                </c:pt>
              </c:strCache>
            </c:strRef>
          </c:cat>
          <c:val>
            <c:numRef>
              <c:f>Blad1!$B$2:$B$7</c:f>
              <c:numCache>
                <c:formatCode>General</c:formatCode>
                <c:ptCount val="6"/>
                <c:pt idx="0">
                  <c:v>0</c:v>
                </c:pt>
                <c:pt idx="1">
                  <c:v>4</c:v>
                </c:pt>
                <c:pt idx="2">
                  <c:v>2</c:v>
                </c:pt>
                <c:pt idx="3">
                  <c:v>2</c:v>
                </c:pt>
                <c:pt idx="4">
                  <c:v>4</c:v>
                </c:pt>
              </c:numCache>
            </c:numRef>
          </c:val>
          <c:extLst xmlns:c16r2="http://schemas.microsoft.com/office/drawing/2015/06/chart">
            <c:ext xmlns:c16="http://schemas.microsoft.com/office/drawing/2014/chart" uri="{C3380CC4-5D6E-409C-BE32-E72D297353CC}">
              <c16:uniqueId val="{00000010-EE08-4F72-926A-AF0F09801F67}"/>
            </c:ext>
          </c:extLst>
        </c:ser>
        <c:dLbls>
          <c:showLegendKey val="0"/>
          <c:showVal val="0"/>
          <c:showCatName val="0"/>
          <c:showSerName val="0"/>
          <c:showPercent val="0"/>
          <c:showBubbleSize val="0"/>
          <c:showLeaderLines val="0"/>
        </c:dLbls>
        <c:firstSliceAng val="266"/>
      </c:pieChart>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046258752539654E-2"/>
                  <c:y val="7.24464839622319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4F0-4441-83CB-1578F4667517}"/>
                </c:ext>
              </c:extLst>
            </c:dLbl>
            <c:dLbl>
              <c:idx val="3"/>
              <c:layout>
                <c:manualLayout>
                  <c:x val="-4.2239380977031851E-2"/>
                  <c:y val="5.09304298521970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4F0-4441-83CB-1578F4667517}"/>
                </c:ext>
              </c:extLst>
            </c:dLbl>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24</c:v>
                </c:pt>
                <c:pt idx="1">
                  <c:v>15</c:v>
                </c:pt>
                <c:pt idx="2">
                  <c:v>20</c:v>
                </c:pt>
                <c:pt idx="3">
                  <c:v>14</c:v>
                </c:pt>
                <c:pt idx="4">
                  <c:v>9</c:v>
                </c:pt>
              </c:numCache>
            </c:numRef>
          </c:val>
          <c:smooth val="0"/>
          <c:extLst xmlns:c16r2="http://schemas.microsoft.com/office/drawing/2015/06/chart">
            <c:ext xmlns:c16="http://schemas.microsoft.com/office/drawing/2014/chart" uri="{C3380CC4-5D6E-409C-BE32-E72D297353CC}">
              <c16:uniqueId val="{00000002-F4F0-4441-83CB-1578F4667517}"/>
            </c:ext>
          </c:extLst>
        </c:ser>
        <c:dLbls>
          <c:showLegendKey val="0"/>
          <c:showVal val="0"/>
          <c:showCatName val="0"/>
          <c:showSerName val="0"/>
          <c:showPercent val="0"/>
          <c:showBubbleSize val="0"/>
        </c:dLbls>
        <c:marker val="1"/>
        <c:smooth val="0"/>
        <c:axId val="339069952"/>
        <c:axId val="339088128"/>
      </c:lineChart>
      <c:catAx>
        <c:axId val="339069952"/>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9088128"/>
        <c:crosses val="autoZero"/>
        <c:auto val="1"/>
        <c:lblAlgn val="ctr"/>
        <c:lblOffset val="100"/>
        <c:noMultiLvlLbl val="0"/>
      </c:catAx>
      <c:valAx>
        <c:axId val="339088128"/>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one"/>
        <c:crossAx val="339069952"/>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131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Bulgaria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99">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15B-4D22-91A2-D5469FBD0447}"/>
              </c:ext>
            </c:extLst>
          </c:dPt>
          <c:dPt>
            <c:idx val="1"/>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15B-4D22-91A2-D5469FBD0447}"/>
              </c:ext>
            </c:extLst>
          </c:dPt>
          <c:dPt>
            <c:idx val="2"/>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15B-4D22-91A2-D5469FBD0447}"/>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15B-4D22-91A2-D5469FBD0447}"/>
              </c:ext>
            </c:extLst>
          </c:dPt>
          <c:dPt>
            <c:idx val="4"/>
            <c:bubble3D val="0"/>
            <c:extLst xmlns:c16r2="http://schemas.microsoft.com/office/drawing/2015/06/chart">
              <c:ext xmlns:c16="http://schemas.microsoft.com/office/drawing/2014/chart" uri="{C3380CC4-5D6E-409C-BE32-E72D297353CC}">
                <c16:uniqueId val="{00000008-B15B-4D22-91A2-D5469FBD0447}"/>
              </c:ext>
            </c:extLst>
          </c:dPt>
          <c:dLbls>
            <c:dLbl>
              <c:idx val="0"/>
              <c:layout>
                <c:manualLayout>
                  <c:x val="-0.12936605741415766"/>
                  <c:y val="0.15273564797688879"/>
                </c:manualLayout>
              </c:layout>
              <c:tx>
                <c:rich>
                  <a:bodyPr rot="0" spcFirstLastPara="1" vertOverflow="ellipsis" vert="horz" wrap="square" lIns="38100" tIns="19050" rIns="38100" bIns="19050" anchor="ctr" anchorCtr="1">
                    <a:no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sz="900"/>
                      <a:t>Justice and consumers
48</a:t>
                    </a:r>
                  </a:p>
                </c:rich>
              </c:tx>
              <c:spPr>
                <a:noFill/>
                <a:ln w="25399">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15:layout>
                    <c:manualLayout>
                      <c:w val="0.17308033051850952"/>
                      <c:h val="0.22359698056452795"/>
                    </c:manualLayout>
                  </c15:layout>
                </c:ext>
                <c:ext xmlns:c16="http://schemas.microsoft.com/office/drawing/2014/chart" uri="{C3380CC4-5D6E-409C-BE32-E72D297353CC}">
                  <c16:uniqueId val="{00000001-B15B-4D22-91A2-D5469FBD0447}"/>
                </c:ext>
              </c:extLst>
            </c:dLbl>
            <c:dLbl>
              <c:idx val="1"/>
              <c:layout>
                <c:manualLayout>
                  <c:x val="8.2281518764025993E-3"/>
                  <c:y val="-2.1804594056615407E-2"/>
                </c:manualLayout>
              </c:layout>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15B-4D22-91A2-D5469FBD0447}"/>
                </c:ext>
              </c:extLst>
            </c:dLbl>
            <c:dLbl>
              <c:idx val="2"/>
              <c:layout>
                <c:manualLayout>
                  <c:x val="1.1013460632083263E-2"/>
                  <c:y val="5.1109320227589003E-2"/>
                </c:manualLayout>
              </c:layout>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15B-4D22-91A2-D5469FBD0447}"/>
                </c:ext>
              </c:extLst>
            </c:dLbl>
            <c:dLbl>
              <c:idx val="3"/>
              <c:layout>
                <c:manualLayout>
                  <c:x val="-9.6303839285328208E-2"/>
                  <c:y val="-0.29407775370360584"/>
                </c:manualLayout>
              </c:layout>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15B-4D22-91A2-D5469FBD0447}"/>
                </c:ext>
              </c:extLst>
            </c:dLbl>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Justice and consumers</c:v>
                </c:pt>
                <c:pt idx="1">
                  <c:v>Employment</c:v>
                </c:pt>
                <c:pt idx="2">
                  <c:v>Agriculture and rural development</c:v>
                </c:pt>
                <c:pt idx="3">
                  <c:v>Other</c:v>
                </c:pt>
              </c:strCache>
            </c:strRef>
          </c:cat>
          <c:val>
            <c:numRef>
              <c:f>Blad1!$B$2:$B$5</c:f>
              <c:numCache>
                <c:formatCode>General</c:formatCode>
                <c:ptCount val="4"/>
                <c:pt idx="0">
                  <c:v>48</c:v>
                </c:pt>
                <c:pt idx="1">
                  <c:v>12</c:v>
                </c:pt>
                <c:pt idx="2">
                  <c:v>12</c:v>
                </c:pt>
                <c:pt idx="3">
                  <c:v>59</c:v>
                </c:pt>
              </c:numCache>
            </c:numRef>
          </c:val>
          <c:extLst xmlns:c16r2="http://schemas.microsoft.com/office/drawing/2015/06/chart">
            <c:ext xmlns:c16="http://schemas.microsoft.com/office/drawing/2014/chart" uri="{C3380CC4-5D6E-409C-BE32-E72D297353CC}">
              <c16:uniqueId val="{00000009-B15B-4D22-91A2-D5469FBD0447}"/>
            </c:ext>
          </c:extLst>
        </c:ser>
        <c:dLbls>
          <c:showLegendKey val="0"/>
          <c:showVal val="0"/>
          <c:showCatName val="0"/>
          <c:showSerName val="0"/>
          <c:showPercent val="0"/>
          <c:showBubbleSize val="0"/>
          <c:showLeaderLines val="0"/>
        </c:dLbls>
        <c:firstSliceAng val="286"/>
      </c:pieChart>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2277777777777775E-2"/>
                  <c:y val="-7.91394335511982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54F-41BC-A588-E22BFD59413A}"/>
                </c:ext>
              </c:extLst>
            </c:dLbl>
            <c:dLbl>
              <c:idx val="1"/>
              <c:layout>
                <c:manualLayout>
                  <c:x val="-3.1166666666666665E-2"/>
                  <c:y val="-8.03149606299212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54F-41BC-A588-E22BFD59413A}"/>
                </c:ext>
              </c:extLst>
            </c:dLbl>
            <c:dLbl>
              <c:idx val="2"/>
              <c:layout>
                <c:manualLayout>
                  <c:x val="-4.2277777777777775E-2"/>
                  <c:y val="-7.36928104575162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54F-41BC-A588-E22BFD59413A}"/>
                </c:ext>
              </c:extLst>
            </c:dLbl>
            <c:dLbl>
              <c:idx val="3"/>
              <c:layout>
                <c:manualLayout>
                  <c:x val="-4.2277777777777775E-2"/>
                  <c:y val="-9.54793028322440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54F-41BC-A588-E22BFD59413A}"/>
                </c:ext>
              </c:extLst>
            </c:dLbl>
            <c:dLbl>
              <c:idx val="4"/>
              <c:layout>
                <c:manualLayout>
                  <c:x val="-3.3944444444444444E-2"/>
                  <c:y val="-9.54793028322440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54F-41BC-A588-E22BFD59413A}"/>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28</c:v>
                </c:pt>
                <c:pt idx="1">
                  <c:v>22</c:v>
                </c:pt>
                <c:pt idx="2">
                  <c:v>18</c:v>
                </c:pt>
                <c:pt idx="3">
                  <c:v>15</c:v>
                </c:pt>
                <c:pt idx="4">
                  <c:v>7</c:v>
                </c:pt>
              </c:numCache>
            </c:numRef>
          </c:val>
          <c:smooth val="0"/>
          <c:extLst xmlns:c16r2="http://schemas.microsoft.com/office/drawing/2015/06/chart">
            <c:ext xmlns:c16="http://schemas.microsoft.com/office/drawing/2014/chart" uri="{C3380CC4-5D6E-409C-BE32-E72D297353CC}">
              <c16:uniqueId val="{00000005-154F-41BC-A588-E22BFD59413A}"/>
            </c:ext>
          </c:extLst>
        </c:ser>
        <c:dLbls>
          <c:showLegendKey val="0"/>
          <c:showVal val="0"/>
          <c:showCatName val="0"/>
          <c:showSerName val="0"/>
          <c:showPercent val="0"/>
          <c:showBubbleSize val="0"/>
        </c:dLbls>
        <c:marker val="1"/>
        <c:smooth val="0"/>
        <c:axId val="339114624"/>
        <c:axId val="339132800"/>
      </c:lineChart>
      <c:catAx>
        <c:axId val="33911462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9132800"/>
        <c:crosses val="autoZero"/>
        <c:auto val="1"/>
        <c:lblAlgn val="ctr"/>
        <c:lblOffset val="100"/>
        <c:noMultiLvlLbl val="0"/>
      </c:catAx>
      <c:valAx>
        <c:axId val="339132800"/>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crossAx val="33911462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7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Italy</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09669246852618"/>
          <c:y val="2.9411636045494315E-2"/>
        </c:manualLayout>
      </c:layout>
      <c:overlay val="0"/>
      <c:spPr>
        <a:noFill/>
        <a:ln w="25396">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olidFill>
              <a:srgbClr val="808AA4"/>
            </a:solidFill>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3BA-4A44-80AF-2ED2793907E2}"/>
              </c:ext>
            </c:extLst>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3BA-4A44-80AF-2ED2793907E2}"/>
              </c:ext>
            </c:extLst>
          </c:dPt>
          <c:dPt>
            <c:idx val="2"/>
            <c:bubble3D val="0"/>
            <c:spPr>
              <a:solidFill>
                <a:srgbClr val="A65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4-63BA-4A44-80AF-2ED2793907E2}"/>
              </c:ext>
            </c:extLst>
          </c:dPt>
          <c:dPt>
            <c:idx val="3"/>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3BA-4A44-80AF-2ED2793907E2}"/>
              </c:ext>
            </c:extLst>
          </c:dPt>
          <c:dPt>
            <c:idx val="4"/>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6-63BA-4A44-80AF-2ED2793907E2}"/>
              </c:ext>
            </c:extLst>
          </c:dPt>
          <c:dLbls>
            <c:dLbl>
              <c:idx val="0"/>
              <c:layout>
                <c:manualLayout>
                  <c:x val="2.5293480106031548E-2"/>
                  <c:y val="-6.444858029109998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3BA-4A44-80AF-2ED2793907E2}"/>
                </c:ext>
              </c:extLst>
            </c:dLbl>
            <c:dLbl>
              <c:idx val="1"/>
              <c:layout>
                <c:manualLayout>
                  <c:x val="1.970223249457002E-2"/>
                  <c:y val="0.1314516821760916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3BA-4A44-80AF-2ED2793907E2}"/>
                </c:ext>
              </c:extLst>
            </c:dLbl>
            <c:dLbl>
              <c:idx val="2"/>
              <c:layout>
                <c:manualLayout>
                  <c:x val="-7.240481755700935E-3"/>
                  <c:y val="-2.424242424242424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3BA-4A44-80AF-2ED2793907E2}"/>
                </c:ext>
              </c:extLst>
            </c:dLbl>
            <c:dLbl>
              <c:idx val="3"/>
              <c:layout>
                <c:manualLayout>
                  <c:x val="3.0295808795044898E-2"/>
                  <c:y val="-3.636363636363636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3BA-4A44-80AF-2ED2793907E2}"/>
                </c:ext>
              </c:extLst>
            </c:dLbl>
            <c:dLbl>
              <c:idx val="4"/>
              <c:layout>
                <c:manualLayout>
                  <c:x val="-6.359627932080629E-2"/>
                  <c:y val="-2.317346695299451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3BA-4A44-80AF-2ED2793907E2}"/>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Environment</c:v>
                </c:pt>
                <c:pt idx="1">
                  <c:v>Agriculture and rural development</c:v>
                </c:pt>
                <c:pt idx="2">
                  <c:v>Competition</c:v>
                </c:pt>
                <c:pt idx="3">
                  <c:v>Mobility and transport</c:v>
                </c:pt>
                <c:pt idx="4">
                  <c:v>Employment</c:v>
                </c:pt>
              </c:strCache>
            </c:strRef>
          </c:cat>
          <c:val>
            <c:numRef>
              <c:f>Blad1!$B$4:$B$8</c:f>
              <c:numCache>
                <c:formatCode>General</c:formatCode>
                <c:ptCount val="5"/>
                <c:pt idx="0">
                  <c:v>3</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7-63BA-4A44-80AF-2ED2793907E2}"/>
            </c:ext>
          </c:extLst>
        </c:ser>
        <c:dLbls>
          <c:showLegendKey val="0"/>
          <c:showVal val="0"/>
          <c:showCatName val="0"/>
          <c:showSerName val="0"/>
          <c:showPercent val="0"/>
          <c:showBubbleSize val="0"/>
          <c:showLeaderLines val="0"/>
        </c:dLbls>
        <c:firstSliceAng val="219"/>
      </c:pieChart>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3.6418732782369144E-2"/>
                  <c:y val="-6.58105022831050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0B4-408F-B616-DABC1167C547}"/>
                </c:ext>
              </c:extLst>
            </c:dLbl>
            <c:spPr>
              <a:noFill/>
              <a:ln w="25368">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Blad1!$B$3:$B$8</c:f>
              <c:numCache>
                <c:formatCode>General</c:formatCode>
                <c:ptCount val="6"/>
                <c:pt idx="0">
                  <c:v>83</c:v>
                </c:pt>
                <c:pt idx="1">
                  <c:v>85</c:v>
                </c:pt>
                <c:pt idx="2">
                  <c:v>62</c:v>
                </c:pt>
                <c:pt idx="3">
                  <c:v>43</c:v>
                </c:pt>
                <c:pt idx="4">
                  <c:v>62</c:v>
                </c:pt>
                <c:pt idx="5">
                  <c:v>90</c:v>
                </c:pt>
              </c:numCache>
            </c:numRef>
          </c:val>
          <c:smooth val="0"/>
          <c:extLst xmlns:c16r2="http://schemas.microsoft.com/office/drawing/2015/06/chart">
            <c:ext xmlns:c16="http://schemas.microsoft.com/office/drawing/2014/chart" uri="{C3380CC4-5D6E-409C-BE32-E72D297353CC}">
              <c16:uniqueId val="{00000001-50B4-408F-B616-DABC1167C547}"/>
            </c:ext>
          </c:extLst>
        </c:ser>
        <c:dLbls>
          <c:showLegendKey val="0"/>
          <c:showVal val="0"/>
          <c:showCatName val="0"/>
          <c:showSerName val="0"/>
          <c:showPercent val="0"/>
          <c:showBubbleSize val="0"/>
        </c:dLbls>
        <c:marker val="1"/>
        <c:smooth val="0"/>
        <c:axId val="340104704"/>
        <c:axId val="340106240"/>
      </c:lineChart>
      <c:catAx>
        <c:axId val="340104704"/>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0106240"/>
        <c:crosses val="autoZero"/>
        <c:auto val="1"/>
        <c:lblAlgn val="ctr"/>
        <c:lblOffset val="100"/>
        <c:noMultiLvlLbl val="0"/>
      </c:catAx>
      <c:valAx>
        <c:axId val="340106240"/>
        <c:scaling>
          <c:orientation val="minMax"/>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340104704"/>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mn-lt"/>
                <a:ea typeface="+mn-ea"/>
                <a:cs typeface="+mn-cs"/>
              </a:defRPr>
            </a:pPr>
            <a:r>
              <a:rPr lang="en-US" sz="1098" b="0" i="0">
                <a:solidFill>
                  <a:srgbClr val="002060"/>
                </a:solidFill>
                <a:latin typeface="Arial" panose="020B0604020202020204" pitchFamily="34" charset="0"/>
                <a:ea typeface="Verdana" panose="020B0604030504040204" pitchFamily="34" charset="0"/>
                <a:cs typeface="Arial" panose="020B0604020202020204" pitchFamily="34" charset="0"/>
              </a:rPr>
              <a:t>90 complaints made against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Cyprus</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5398087135814362"/>
          <c:y val="3.1537493072960353E-2"/>
        </c:manualLayout>
      </c:layout>
      <c:overlay val="0"/>
      <c:spPr>
        <a:noFill/>
        <a:ln w="25347">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6FF-48A7-A2F5-6349554E9EDF}"/>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6FF-48A7-A2F5-6349554E9EDF}"/>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6FF-48A7-A2F5-6349554E9EDF}"/>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6FF-48A7-A2F5-6349554E9EDF}"/>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76FF-48A7-A2F5-6349554E9EDF}"/>
              </c:ext>
            </c:extLst>
          </c:dPt>
          <c:dLbls>
            <c:dLbl>
              <c:idx val="0"/>
              <c:layout>
                <c:manualLayout>
                  <c:x val="2.4745978534861362E-2"/>
                  <c:y val="0.12087069557945636"/>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FF-48A7-A2F5-6349554E9EDF}"/>
                </c:ext>
              </c:extLst>
            </c:dLbl>
            <c:dLbl>
              <c:idx val="1"/>
              <c:layout>
                <c:manualLayout>
                  <c:x val="-3.0965158766918841E-2"/>
                  <c:y val="0.16938057742782153"/>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6FF-48A7-A2F5-6349554E9EDF}"/>
                </c:ext>
              </c:extLst>
            </c:dLbl>
            <c:dLbl>
              <c:idx val="2"/>
              <c:layout>
                <c:manualLayout>
                  <c:x val="6.7001127210195906E-3"/>
                  <c:y val="2.0431380126563935E-2"/>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6FF-48A7-A2F5-6349554E9EDF}"/>
                </c:ext>
              </c:extLst>
            </c:dLbl>
            <c:dLbl>
              <c:idx val="3"/>
              <c:layout>
                <c:manualLayout>
                  <c:x val="7.1633986928104579E-3"/>
                  <c:y val="-1.8704623460528973E-2"/>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6FF-48A7-A2F5-6349554E9EDF}"/>
                </c:ext>
              </c:extLst>
            </c:dLbl>
            <c:dLbl>
              <c:idx val="4"/>
              <c:layout>
                <c:manualLayout>
                  <c:x val="9.1503267973856203E-2"/>
                  <c:y val="-3.076923076923077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76FF-48A7-A2F5-6349554E9EDF}"/>
                </c:ext>
              </c:extLst>
            </c:dLbl>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1">
                  <c:v>Financial stability, financial services and Capital Markets Union </c:v>
                </c:pt>
                <c:pt idx="2">
                  <c:v>Justice and consumers</c:v>
                </c:pt>
                <c:pt idx="3">
                  <c:v>Environment</c:v>
                </c:pt>
                <c:pt idx="4">
                  <c:v>Other</c:v>
                </c:pt>
              </c:strCache>
            </c:strRef>
          </c:cat>
          <c:val>
            <c:numRef>
              <c:f>Blad1!$B$2:$B$6</c:f>
              <c:numCache>
                <c:formatCode>General</c:formatCode>
                <c:ptCount val="5"/>
                <c:pt idx="1">
                  <c:v>55</c:v>
                </c:pt>
                <c:pt idx="2">
                  <c:v>7</c:v>
                </c:pt>
                <c:pt idx="3">
                  <c:v>7</c:v>
                </c:pt>
                <c:pt idx="4">
                  <c:v>21</c:v>
                </c:pt>
              </c:numCache>
            </c:numRef>
          </c:val>
          <c:extLst xmlns:c16r2="http://schemas.microsoft.com/office/drawing/2015/06/chart">
            <c:ext xmlns:c16="http://schemas.microsoft.com/office/drawing/2014/chart" uri="{C3380CC4-5D6E-409C-BE32-E72D297353CC}">
              <c16:uniqueId val="{00000009-76FF-48A7-A2F5-6349554E9EDF}"/>
            </c:ext>
          </c:extLst>
        </c:ser>
        <c:dLbls>
          <c:showLegendKey val="0"/>
          <c:showVal val="0"/>
          <c:showCatName val="0"/>
          <c:showSerName val="0"/>
          <c:showPercent val="0"/>
          <c:showBubbleSize val="0"/>
          <c:showLeaderLines val="0"/>
        </c:dLbls>
        <c:firstSliceAng val="212"/>
      </c:pieChart>
      <c:spPr>
        <a:noFill/>
        <a:ln w="2534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2137320044296787E-2"/>
                  <c:y val="-5.96938775510204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9EA-4705-8796-34F09047091E}"/>
                </c:ext>
              </c:extLst>
            </c:dLbl>
            <c:dLbl>
              <c:idx val="2"/>
              <c:layout>
                <c:manualLayout>
                  <c:x val="-5.0184642617347251E-2"/>
                  <c:y val="6.92801792633063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9EA-4705-8796-34F09047091E}"/>
                </c:ext>
              </c:extLst>
            </c:dLbl>
            <c:dLbl>
              <c:idx val="3"/>
              <c:layout>
                <c:manualLayout>
                  <c:x val="-4.4902163392366655E-2"/>
                  <c:y val="8.73774706733086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9EA-4705-8796-34F09047091E}"/>
                </c:ext>
              </c:extLst>
            </c:dLbl>
            <c:spPr>
              <a:noFill/>
              <a:ln w="2540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Blad1!$B$3:$B$8</c:f>
              <c:numCache>
                <c:formatCode>General</c:formatCode>
                <c:ptCount val="6"/>
                <c:pt idx="0">
                  <c:v>38</c:v>
                </c:pt>
                <c:pt idx="1">
                  <c:v>43</c:v>
                </c:pt>
                <c:pt idx="2">
                  <c:v>31</c:v>
                </c:pt>
                <c:pt idx="3">
                  <c:v>31</c:v>
                </c:pt>
                <c:pt idx="4">
                  <c:v>27</c:v>
                </c:pt>
                <c:pt idx="5">
                  <c:v>4</c:v>
                </c:pt>
              </c:numCache>
            </c:numRef>
          </c:val>
          <c:smooth val="0"/>
          <c:extLst xmlns:c16r2="http://schemas.microsoft.com/office/drawing/2015/06/chart">
            <c:ext xmlns:c16="http://schemas.microsoft.com/office/drawing/2014/chart" uri="{C3380CC4-5D6E-409C-BE32-E72D297353CC}">
              <c16:uniqueId val="{00000003-69EA-4705-8796-34F09047091E}"/>
            </c:ext>
          </c:extLst>
        </c:ser>
        <c:dLbls>
          <c:showLegendKey val="0"/>
          <c:showVal val="0"/>
          <c:showCatName val="0"/>
          <c:showSerName val="0"/>
          <c:showPercent val="0"/>
          <c:showBubbleSize val="0"/>
        </c:dLbls>
        <c:marker val="1"/>
        <c:smooth val="0"/>
        <c:axId val="340237312"/>
        <c:axId val="340259584"/>
      </c:lineChart>
      <c:catAx>
        <c:axId val="340237312"/>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0259584"/>
        <c:crosses val="autoZero"/>
        <c:auto val="1"/>
        <c:lblAlgn val="ctr"/>
        <c:lblOffset val="100"/>
        <c:noMultiLvlLbl val="0"/>
      </c:catAx>
      <c:valAx>
        <c:axId val="340259584"/>
        <c:scaling>
          <c:orientation val="minMax"/>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340237312"/>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2137320044296787E-2"/>
                  <c:y val="-5.96938775510204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CFA-492F-AA4A-CBEDF6F7E9B0}"/>
                </c:ext>
              </c:extLst>
            </c:dLbl>
            <c:dLbl>
              <c:idx val="2"/>
              <c:layout>
                <c:manualLayout>
                  <c:x val="-5.0184642617347251E-2"/>
                  <c:y val="6.92801792633063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CFA-492F-AA4A-CBEDF6F7E9B0}"/>
                </c:ext>
              </c:extLst>
            </c:dLbl>
            <c:dLbl>
              <c:idx val="3"/>
              <c:layout>
                <c:manualLayout>
                  <c:x val="-4.4902163392366655E-2"/>
                  <c:y val="8.73774706733086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CFA-492F-AA4A-CBEDF6F7E9B0}"/>
                </c:ext>
              </c:extLst>
            </c:dLbl>
            <c:dLbl>
              <c:idx val="4"/>
              <c:layout>
                <c:manualLayout>
                  <c:x val="-3.3710344827586308E-2"/>
                  <c:y val="-6.50677200902934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CFA-492F-AA4A-CBEDF6F7E9B0}"/>
                </c:ext>
              </c:extLst>
            </c:dLbl>
            <c:spPr>
              <a:noFill/>
              <a:ln w="2540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Blad1!$B$3:$B$8</c:f>
              <c:numCache>
                <c:formatCode>General</c:formatCode>
                <c:ptCount val="6"/>
                <c:pt idx="0">
                  <c:v>32</c:v>
                </c:pt>
                <c:pt idx="1">
                  <c:v>40</c:v>
                </c:pt>
                <c:pt idx="2">
                  <c:v>37</c:v>
                </c:pt>
                <c:pt idx="3">
                  <c:v>36</c:v>
                </c:pt>
                <c:pt idx="4">
                  <c:v>40</c:v>
                </c:pt>
                <c:pt idx="5">
                  <c:v>24</c:v>
                </c:pt>
              </c:numCache>
            </c:numRef>
          </c:val>
          <c:smooth val="0"/>
          <c:extLst xmlns:c16r2="http://schemas.microsoft.com/office/drawing/2015/06/chart">
            <c:ext xmlns:c16="http://schemas.microsoft.com/office/drawing/2014/chart" uri="{C3380CC4-5D6E-409C-BE32-E72D297353CC}">
              <c16:uniqueId val="{00000003-8CFA-492F-AA4A-CBEDF6F7E9B0}"/>
            </c:ext>
          </c:extLst>
        </c:ser>
        <c:dLbls>
          <c:showLegendKey val="0"/>
          <c:showVal val="0"/>
          <c:showCatName val="0"/>
          <c:showSerName val="0"/>
          <c:showPercent val="0"/>
          <c:showBubbleSize val="0"/>
        </c:dLbls>
        <c:marker val="1"/>
        <c:smooth val="0"/>
        <c:axId val="340318848"/>
        <c:axId val="340660608"/>
      </c:lineChart>
      <c:catAx>
        <c:axId val="340318848"/>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0660608"/>
        <c:crosses val="autoZero"/>
        <c:auto val="1"/>
        <c:lblAlgn val="ctr"/>
        <c:lblOffset val="100"/>
        <c:noMultiLvlLbl val="0"/>
      </c:catAx>
      <c:valAx>
        <c:axId val="340660608"/>
        <c:scaling>
          <c:orientation val="minMax"/>
          <c:min val="20"/>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340318848"/>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4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Cyprus</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755-4993-8229-6BA68BBB1C1B}"/>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755-4993-8229-6BA68BBB1C1B}"/>
              </c:ext>
            </c:extLst>
          </c:dPt>
          <c:dPt>
            <c:idx val="2"/>
            <c:bubble3D val="0"/>
            <c:spPr>
              <a:solidFill>
                <a:srgbClr val="A65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755-4993-8229-6BA68BBB1C1B}"/>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755-4993-8229-6BA68BBB1C1B}"/>
              </c:ext>
            </c:extLst>
          </c:dPt>
          <c:dPt>
            <c:idx val="4"/>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755-4993-8229-6BA68BBB1C1B}"/>
              </c:ext>
            </c:extLst>
          </c:dPt>
          <c:dLbls>
            <c:dLbl>
              <c:idx val="0"/>
              <c:layout>
                <c:manualLayout>
                  <c:x val="2.6972806677853792E-2"/>
                  <c:y val="-0.243698008337193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755-4993-8229-6BA68BBB1C1B}"/>
                </c:ext>
              </c:extLst>
            </c:dLbl>
            <c:dLbl>
              <c:idx val="1"/>
              <c:layout>
                <c:manualLayout>
                  <c:x val="4.114456672389237E-2"/>
                  <c:y val="7.094213325870171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755-4993-8229-6BA68BBB1C1B}"/>
                </c:ext>
              </c:extLst>
            </c:dLbl>
            <c:dLbl>
              <c:idx val="2"/>
              <c:layout>
                <c:manualLayout>
                  <c:x val="2.7029810928806314E-2"/>
                  <c:y val="-5.25654316721381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755-4993-8229-6BA68BBB1C1B}"/>
                </c:ext>
              </c:extLst>
            </c:dLbl>
            <c:dLbl>
              <c:idx val="3"/>
              <c:layout>
                <c:manualLayout>
                  <c:x val="-1.9186653888658655E-2"/>
                  <c:y val="1.413961974265412E-2"/>
                </c:manualLayout>
              </c:layout>
              <c:spPr/>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755-4993-8229-6BA68BBB1C1B}"/>
                </c:ext>
              </c:extLst>
            </c:dLbl>
            <c:dLbl>
              <c:idx val="4"/>
              <c:layout>
                <c:manualLayout>
                  <c:x val="8.2236842105263153E-3"/>
                  <c:y val="-2.03252032520325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755-4993-8229-6BA68BBB1C1B}"/>
                </c:ext>
              </c:extLst>
            </c:dLbl>
            <c:dLbl>
              <c:idx val="5"/>
              <c:layout>
                <c:manualLayout>
                  <c:x val="1.6447368421052631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755-4993-8229-6BA68BBB1C1B}"/>
                </c:ext>
              </c:extLst>
            </c:dLbl>
            <c:dLbl>
              <c:idx val="6"/>
              <c:layout>
                <c:manualLayout>
                  <c:x val="-3.0153508771929825E-2"/>
                  <c:y val="-5.58943089430894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755-4993-8229-6BA68BBB1C1B}"/>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Blad1!$A$3:$A$5</c:f>
              <c:strCache>
                <c:ptCount val="3"/>
                <c:pt idx="0">
                  <c:v>Environment</c:v>
                </c:pt>
                <c:pt idx="1">
                  <c:v>Energy</c:v>
                </c:pt>
                <c:pt idx="2">
                  <c:v>Economic and financial affairs</c:v>
                </c:pt>
              </c:strCache>
            </c:strRef>
          </c:cat>
          <c:val>
            <c:numRef>
              <c:f>Blad1!$B$3:$B$5</c:f>
              <c:numCache>
                <c:formatCode>General</c:formatCode>
                <c:ptCount val="3"/>
                <c:pt idx="0">
                  <c:v>2</c:v>
                </c:pt>
                <c:pt idx="1">
                  <c:v>1</c:v>
                </c:pt>
                <c:pt idx="2">
                  <c:v>1</c:v>
                </c:pt>
              </c:numCache>
            </c:numRef>
          </c:val>
          <c:extLst xmlns:c16r2="http://schemas.microsoft.com/office/drawing/2015/06/chart">
            <c:ext xmlns:c16="http://schemas.microsoft.com/office/drawing/2014/chart" uri="{C3380CC4-5D6E-409C-BE32-E72D297353CC}">
              <c16:uniqueId val="{0000000C-E755-4993-8229-6BA68BBB1C1B}"/>
            </c:ext>
          </c:extLst>
        </c:ser>
        <c:dLbls>
          <c:showLegendKey val="0"/>
          <c:showVal val="0"/>
          <c:showCatName val="0"/>
          <c:showSerName val="0"/>
          <c:showPercent val="0"/>
          <c:showBubbleSize val="0"/>
          <c:showLeaderLines val="0"/>
        </c:dLbls>
        <c:firstSliceAng val="181"/>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175529847454589E-2"/>
          <c:y val="5.5722834645669288E-2"/>
          <c:w val="0.87779859464322363"/>
          <c:h val="0.69629112999947851"/>
        </c:manualLayout>
      </c:layout>
      <c:lineChart>
        <c:grouping val="standard"/>
        <c:varyColors val="0"/>
        <c:ser>
          <c:idx val="0"/>
          <c:order val="0"/>
          <c:tx>
            <c:strRef>
              <c:f>Blad1!$B$2</c:f>
              <c:strCache>
                <c:ptCount val="1"/>
                <c:pt idx="0">
                  <c:v>Cyprus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454387045213358E-2"/>
                  <c:y val="-5.25938189845474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525-43B0-BFEA-BFDC85279825}"/>
                </c:ext>
              </c:extLst>
            </c:dLbl>
            <c:dLbl>
              <c:idx val="1"/>
              <c:layout>
                <c:manualLayout>
                  <c:x val="-5.2863338006210125E-2"/>
                  <c:y val="6.88189845474613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525-43B0-BFEA-BFDC85279825}"/>
                </c:ext>
              </c:extLst>
            </c:dLbl>
            <c:dLbl>
              <c:idx val="2"/>
              <c:layout>
                <c:manualLayout>
                  <c:x val="-5.0090182154851275E-2"/>
                  <c:y val="-7.46688741721854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525-43B0-BFEA-BFDC85279825}"/>
                </c:ext>
              </c:extLst>
            </c:dLbl>
            <c:dLbl>
              <c:idx val="4"/>
              <c:layout>
                <c:manualLayout>
                  <c:x val="-5.5636493857568969E-2"/>
                  <c:y val="-5.81125827814569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525-43B0-BFEA-BFDC85279825}"/>
                </c:ext>
              </c:extLst>
            </c:dLbl>
            <c:dLbl>
              <c:idx val="5"/>
              <c:layout>
                <c:manualLayout>
                  <c:x val="-4.1731940770636099E-2"/>
                  <c:y val="-8.0098080877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525-43B0-BFEA-BFDC85279825}"/>
                </c:ext>
              </c:extLst>
            </c:dLbl>
            <c:spPr>
              <a:noFill/>
              <a:ln w="25370">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Blad1!$B$3:$B$8</c:f>
              <c:numCache>
                <c:formatCode>0%</c:formatCode>
                <c:ptCount val="6"/>
                <c:pt idx="0">
                  <c:v>0.85</c:v>
                </c:pt>
                <c:pt idx="1">
                  <c:v>0.67</c:v>
                </c:pt>
                <c:pt idx="2">
                  <c:v>0.76</c:v>
                </c:pt>
                <c:pt idx="3">
                  <c:v>0.72</c:v>
                </c:pt>
                <c:pt idx="4">
                  <c:v>0.87</c:v>
                </c:pt>
                <c:pt idx="5">
                  <c:v>0.82</c:v>
                </c:pt>
              </c:numCache>
            </c:numRef>
          </c:val>
          <c:smooth val="0"/>
          <c:extLst xmlns:c16r2="http://schemas.microsoft.com/office/drawing/2015/06/chart">
            <c:ext xmlns:c16="http://schemas.microsoft.com/office/drawing/2014/chart" uri="{C3380CC4-5D6E-409C-BE32-E72D297353CC}">
              <c16:uniqueId val="{00000005-A525-43B0-BFEA-BFDC85279825}"/>
            </c:ext>
          </c:extLst>
        </c:ser>
        <c:ser>
          <c:idx val="1"/>
          <c:order val="1"/>
          <c:tx>
            <c:strRef>
              <c:f>Blad1!$C$2</c:f>
              <c:strCache>
                <c:ptCount val="1"/>
                <c:pt idx="0">
                  <c:v>General rate for all Member States</c:v>
                </c:pt>
              </c:strCache>
            </c:strRef>
          </c:tx>
          <c:spPr>
            <a:ln w="25370">
              <a:solidFill>
                <a:srgbClr val="92D050"/>
              </a:solidFill>
            </a:ln>
          </c:spPr>
          <c:marker>
            <c:symbol val="square"/>
            <c:size val="4"/>
            <c:spPr>
              <a:solidFill>
                <a:srgbClr val="92D050"/>
              </a:solidFill>
              <a:ln>
                <a:solidFill>
                  <a:srgbClr val="92D050"/>
                </a:solidFill>
              </a:ln>
            </c:spPr>
          </c:marker>
          <c:dLbls>
            <c:dLbl>
              <c:idx val="0"/>
              <c:layout>
                <c:manualLayout>
                  <c:x val="-4.454387045213358E-2"/>
                  <c:y val="6.91501103752759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525-43B0-BFEA-BFDC85279825}"/>
                </c:ext>
              </c:extLst>
            </c:dLbl>
            <c:dLbl>
              <c:idx val="1"/>
              <c:layout>
                <c:manualLayout>
                  <c:x val="-5.5636493857568969E-2"/>
                  <c:y val="-7.4337748344370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525-43B0-BFEA-BFDC85279825}"/>
                </c:ext>
              </c:extLst>
            </c:dLbl>
            <c:dLbl>
              <c:idx val="2"/>
              <c:layout>
                <c:manualLayout>
                  <c:x val="-4.7317026303492431E-2"/>
                  <c:y val="6.36313465783664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A525-43B0-BFEA-BFDC85279825}"/>
                </c:ext>
              </c:extLst>
            </c:dLbl>
            <c:dLbl>
              <c:idx val="4"/>
              <c:layout>
                <c:manualLayout>
                  <c:x val="-5.5636493857568969E-2"/>
                  <c:y val="6.91501103752759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A525-43B0-BFEA-BFDC85279825}"/>
                </c:ext>
              </c:extLst>
            </c:dLbl>
            <c:dLbl>
              <c:idx val="5"/>
              <c:layout>
                <c:manualLayout>
                  <c:x val="-3.8961359112104833E-2"/>
                  <c:y val="5.80476800851457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A525-43B0-BFEA-BFDC85279825}"/>
                </c:ext>
              </c:extLst>
            </c:dLbl>
            <c:spPr>
              <a:noFill/>
              <a:ln w="25370">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Blad1!$C$3:$C$8</c:f>
              <c:numCache>
                <c:formatCode>0%</c:formatCode>
                <c:ptCount val="6"/>
                <c:pt idx="0">
                  <c:v>0.68</c:v>
                </c:pt>
                <c:pt idx="1">
                  <c:v>0.7</c:v>
                </c:pt>
                <c:pt idx="2">
                  <c:v>0.75</c:v>
                </c:pt>
                <c:pt idx="3">
                  <c:v>0.75</c:v>
                </c:pt>
                <c:pt idx="4">
                  <c:v>0.72</c:v>
                </c:pt>
                <c:pt idx="5">
                  <c:v>0.77</c:v>
                </c:pt>
              </c:numCache>
            </c:numRef>
          </c:val>
          <c:smooth val="0"/>
          <c:extLst xmlns:c16r2="http://schemas.microsoft.com/office/drawing/2015/06/chart">
            <c:ext xmlns:c16="http://schemas.microsoft.com/office/drawing/2014/chart" uri="{C3380CC4-5D6E-409C-BE32-E72D297353CC}">
              <c16:uniqueId val="{0000000B-A525-43B0-BFEA-BFDC85279825}"/>
            </c:ext>
          </c:extLst>
        </c:ser>
        <c:dLbls>
          <c:showLegendKey val="0"/>
          <c:showVal val="0"/>
          <c:showCatName val="0"/>
          <c:showSerName val="0"/>
          <c:showPercent val="0"/>
          <c:showBubbleSize val="0"/>
        </c:dLbls>
        <c:marker val="1"/>
        <c:smooth val="0"/>
        <c:axId val="340415616"/>
        <c:axId val="340417152"/>
      </c:lineChart>
      <c:catAx>
        <c:axId val="340415616"/>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0417152"/>
        <c:crosses val="autoZero"/>
        <c:auto val="1"/>
        <c:lblAlgn val="ctr"/>
        <c:lblOffset val="100"/>
        <c:noMultiLvlLbl val="0"/>
      </c:catAx>
      <c:valAx>
        <c:axId val="340417152"/>
        <c:scaling>
          <c:orientation val="minMax"/>
        </c:scaling>
        <c:delete val="1"/>
        <c:axPos val="l"/>
        <c:majorGridlines>
          <c:spPr>
            <a:ln w="9514" cap="flat" cmpd="sng" algn="ctr">
              <a:solidFill>
                <a:schemeClr val="tx1">
                  <a:lumMod val="15000"/>
                  <a:lumOff val="85000"/>
                </a:schemeClr>
              </a:solidFill>
              <a:round/>
            </a:ln>
            <a:effectLst/>
          </c:spPr>
        </c:majorGridlines>
        <c:numFmt formatCode="0%" sourceLinked="1"/>
        <c:majorTickMark val="out"/>
        <c:minorTickMark val="none"/>
        <c:tickLblPos val="nextTo"/>
        <c:crossAx val="340415616"/>
        <c:crosses val="autoZero"/>
        <c:crossBetween val="between"/>
      </c:valAx>
      <c:spPr>
        <a:noFill/>
        <a:ln w="25370">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3"/>
              <c:layout>
                <c:manualLayout>
                  <c:x val="-4.2067440574903261E-2"/>
                  <c:y val="-5.81125827814569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DBC-46DC-A691-A542E72773E4}"/>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44</c:v>
                </c:pt>
                <c:pt idx="1">
                  <c:v>41</c:v>
                </c:pt>
                <c:pt idx="2">
                  <c:v>47</c:v>
                </c:pt>
                <c:pt idx="3">
                  <c:v>68</c:v>
                </c:pt>
                <c:pt idx="4">
                  <c:v>61</c:v>
                </c:pt>
              </c:numCache>
            </c:numRef>
          </c:val>
          <c:smooth val="0"/>
          <c:extLst xmlns:c16r2="http://schemas.microsoft.com/office/drawing/2015/06/chart">
            <c:ext xmlns:c16="http://schemas.microsoft.com/office/drawing/2014/chart" uri="{C3380CC4-5D6E-409C-BE32-E72D297353CC}">
              <c16:uniqueId val="{00000000-67EA-4BBF-9D3A-272DF7C9BA62}"/>
            </c:ext>
          </c:extLst>
        </c:ser>
        <c:dLbls>
          <c:showLegendKey val="0"/>
          <c:showVal val="0"/>
          <c:showCatName val="0"/>
          <c:showSerName val="0"/>
          <c:showPercent val="0"/>
          <c:showBubbleSize val="0"/>
        </c:dLbls>
        <c:marker val="1"/>
        <c:smooth val="0"/>
        <c:axId val="340480000"/>
        <c:axId val="340481536"/>
      </c:lineChart>
      <c:catAx>
        <c:axId val="340480000"/>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0481536"/>
        <c:crosses val="autoZero"/>
        <c:auto val="1"/>
        <c:lblAlgn val="ctr"/>
        <c:lblOffset val="100"/>
        <c:noMultiLvlLbl val="0"/>
      </c:catAx>
      <c:valAx>
        <c:axId val="340481536"/>
        <c:scaling>
          <c:orientation val="minMax"/>
          <c:min val="30"/>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340480000"/>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41 new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Cyprus</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0967896529"/>
          <c:y val="3.2786863180563966E-2"/>
        </c:manualLayout>
      </c:layout>
      <c:overlay val="0"/>
      <c:spPr>
        <a:noFill/>
        <a:ln w="25384">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olidFill>
              <a:srgbClr val="7030A0"/>
            </a:solidFill>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5B4-405C-BFA1-A53173D9E63F}"/>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5B4-405C-BFA1-A53173D9E63F}"/>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5B4-405C-BFA1-A53173D9E63F}"/>
              </c:ext>
            </c:extLst>
          </c:dPt>
          <c:dPt>
            <c:idx val="3"/>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5B4-405C-BFA1-A53173D9E63F}"/>
              </c:ext>
            </c:extLst>
          </c:dPt>
          <c:dPt>
            <c:idx val="4"/>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5B4-405C-BFA1-A53173D9E63F}"/>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45B4-405C-BFA1-A53173D9E63F}"/>
              </c:ext>
            </c:extLst>
          </c:dPt>
          <c:dPt>
            <c:idx val="6"/>
            <c:bubble3D val="0"/>
            <c:extLst xmlns:c16r2="http://schemas.microsoft.com/office/drawing/2015/06/chart">
              <c:ext xmlns:c16="http://schemas.microsoft.com/office/drawing/2014/chart" uri="{C3380CC4-5D6E-409C-BE32-E72D297353CC}">
                <c16:uniqueId val="{0000000C-45B4-405C-BFA1-A53173D9E63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B4-405C-BFA1-A53173D9E63F}"/>
                </c:ext>
              </c:extLst>
            </c:dLbl>
            <c:dLbl>
              <c:idx val="1"/>
              <c:layout>
                <c:manualLayout>
                  <c:x val="-2.8097505253703498E-3"/>
                  <c:y val="3.528986808245060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5B4-405C-BFA1-A53173D9E63F}"/>
                </c:ext>
              </c:extLst>
            </c:dLbl>
            <c:dLbl>
              <c:idx val="2"/>
              <c:layout>
                <c:manualLayout>
                  <c:x val="-1.3764267838613196E-2"/>
                  <c:y val="7.605008250190224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5B4-405C-BFA1-A53173D9E63F}"/>
                </c:ext>
              </c:extLst>
            </c:dLbl>
            <c:dLbl>
              <c:idx val="3"/>
              <c:layout>
                <c:manualLayout>
                  <c:x val="9.1846077379862407E-3"/>
                  <c:y val="-8.70527584703377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5B4-405C-BFA1-A53173D9E63F}"/>
                </c:ext>
              </c:extLst>
            </c:dLbl>
            <c:dLbl>
              <c:idx val="4"/>
              <c:layout>
                <c:manualLayout>
                  <c:x val="3.0531866656202857E-2"/>
                  <c:y val="-3.261304470491667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45B4-405C-BFA1-A53173D9E63F}"/>
                </c:ext>
              </c:extLst>
            </c:dLbl>
            <c:dLbl>
              <c:idx val="5"/>
              <c:layout>
                <c:manualLayout>
                  <c:x val="-7.496315867493307E-2"/>
                  <c:y val="-0.1792826181743567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45B4-405C-BFA1-A53173D9E63F}"/>
                </c:ext>
              </c:extLst>
            </c:dLbl>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6"/>
                <c:pt idx="0">
                  <c:v>Policy Area</c:v>
                </c:pt>
                <c:pt idx="1">
                  <c:v>Environment</c:v>
                </c:pt>
                <c:pt idx="2">
                  <c:v>Mobility and transport</c:v>
                </c:pt>
                <c:pt idx="3">
                  <c:v>Health and food safety</c:v>
                </c:pt>
                <c:pt idx="4">
                  <c:v>Justice and consumers</c:v>
                </c:pt>
                <c:pt idx="5">
                  <c:v>Other</c:v>
                </c:pt>
              </c:strCache>
            </c:strRef>
          </c:cat>
          <c:val>
            <c:numRef>
              <c:f>Blad1!$B$2:$B$8</c:f>
              <c:numCache>
                <c:formatCode>General</c:formatCode>
                <c:ptCount val="7"/>
                <c:pt idx="0">
                  <c:v>0</c:v>
                </c:pt>
                <c:pt idx="1">
                  <c:v>11</c:v>
                </c:pt>
                <c:pt idx="2">
                  <c:v>8</c:v>
                </c:pt>
                <c:pt idx="3">
                  <c:v>6</c:v>
                </c:pt>
                <c:pt idx="4">
                  <c:v>3</c:v>
                </c:pt>
                <c:pt idx="5">
                  <c:v>13</c:v>
                </c:pt>
              </c:numCache>
            </c:numRef>
          </c:val>
          <c:extLst xmlns:c16r2="http://schemas.microsoft.com/office/drawing/2015/06/chart">
            <c:ext xmlns:c16="http://schemas.microsoft.com/office/drawing/2014/chart" uri="{C3380CC4-5D6E-409C-BE32-E72D297353CC}">
              <c16:uniqueId val="{0000000D-45B4-405C-BFA1-A53173D9E63F}"/>
            </c:ext>
          </c:extLst>
        </c:ser>
        <c:dLbls>
          <c:showLegendKey val="0"/>
          <c:showVal val="0"/>
          <c:showCatName val="0"/>
          <c:showSerName val="0"/>
          <c:showPercent val="0"/>
          <c:showBubbleSize val="0"/>
          <c:showLeaderLines val="0"/>
        </c:dLbls>
        <c:firstSliceAng val="272"/>
      </c:pieChart>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2132730921072663E-2"/>
                  <c:y val="5.51706036745406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61E-4FBD-B725-D892BCD77AB7}"/>
                </c:ext>
              </c:extLst>
            </c:dLbl>
            <c:dLbl>
              <c:idx val="1"/>
              <c:layout>
                <c:manualLayout>
                  <c:x val="-4.4905869324473977E-2"/>
                  <c:y val="6.05902777777777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61E-4FBD-B725-D892BCD77AB7}"/>
                </c:ext>
              </c:extLst>
            </c:dLbl>
            <c:dLbl>
              <c:idx val="2"/>
              <c:layout>
                <c:manualLayout>
                  <c:x val="-4.1878994776815691E-2"/>
                  <c:y val="6.36107986501687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61E-4FBD-B725-D892BCD77AB7}"/>
                </c:ext>
              </c:extLst>
            </c:dLbl>
            <c:dLbl>
              <c:idx val="3"/>
              <c:layout>
                <c:manualLayout>
                  <c:x val="-5.0439261952721026E-2"/>
                  <c:y val="7.03706679522202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61E-4FBD-B725-D892BCD77AB7}"/>
                </c:ext>
              </c:extLst>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44</c:v>
                </c:pt>
                <c:pt idx="1">
                  <c:v>44</c:v>
                </c:pt>
                <c:pt idx="2">
                  <c:v>35</c:v>
                </c:pt>
                <c:pt idx="3">
                  <c:v>28</c:v>
                </c:pt>
                <c:pt idx="4">
                  <c:v>5</c:v>
                </c:pt>
              </c:numCache>
            </c:numRef>
          </c:val>
          <c:smooth val="0"/>
          <c:extLst xmlns:c16r2="http://schemas.microsoft.com/office/drawing/2015/06/chart">
            <c:ext xmlns:c16="http://schemas.microsoft.com/office/drawing/2014/chart" uri="{C3380CC4-5D6E-409C-BE32-E72D297353CC}">
              <c16:uniqueId val="{00000004-B61E-4FBD-B725-D892BCD77AB7}"/>
            </c:ext>
          </c:extLst>
        </c:ser>
        <c:dLbls>
          <c:showLegendKey val="0"/>
          <c:showVal val="0"/>
          <c:showCatName val="0"/>
          <c:showSerName val="0"/>
          <c:showPercent val="0"/>
          <c:showBubbleSize val="0"/>
        </c:dLbls>
        <c:marker val="1"/>
        <c:smooth val="0"/>
        <c:axId val="326103040"/>
        <c:axId val="326104576"/>
      </c:lineChart>
      <c:catAx>
        <c:axId val="326103040"/>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6104576"/>
        <c:crosses val="autoZero"/>
        <c:auto val="1"/>
        <c:lblAlgn val="ctr"/>
        <c:lblOffset val="100"/>
        <c:noMultiLvlLbl val="0"/>
      </c:catAx>
      <c:valAx>
        <c:axId val="326104576"/>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26103040"/>
        <c:crosses val="autoZero"/>
        <c:crossBetween val="between"/>
      </c:valAx>
      <c:spPr>
        <a:noFill/>
        <a:ln w="25396">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95954610151343E-2"/>
          <c:y val="5.3963421503949519E-2"/>
          <c:w val="0.91059955285517424"/>
          <c:h val="0.81885607701263097"/>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378557779780015E-2"/>
                  <c:y val="0.1048145699344833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1D3-4651-9835-670553D47668}"/>
                </c:ext>
              </c:extLst>
            </c:dLbl>
            <c:dLbl>
              <c:idx val="2"/>
              <c:layout>
                <c:manualLayout>
                  <c:x val="-4.4831398562741848E-2"/>
                  <c:y val="7.93251988539600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1D3-4651-9835-670553D47668}"/>
                </c:ext>
              </c:extLst>
            </c:dLbl>
            <c:dLbl>
              <c:idx val="3"/>
              <c:layout>
                <c:manualLayout>
                  <c:x val="-4.1911056037450087E-2"/>
                  <c:y val="-8.54166666666666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9BE-49EB-8444-45C709A2D124}"/>
                </c:ext>
              </c:extLst>
            </c:dLbl>
            <c:dLbl>
              <c:idx val="4"/>
              <c:layout>
                <c:manualLayout>
                  <c:x val="-3.9285264961714493E-2"/>
                  <c:y val="9.696373180625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1D3-4651-9835-670553D47668}"/>
                </c:ext>
              </c:extLst>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c:v>
                </c:pt>
              </c:numCache>
            </c:numRef>
          </c:cat>
          <c:val>
            <c:numRef>
              <c:f>Blad1!$B$2:$B$6</c:f>
              <c:numCache>
                <c:formatCode>General</c:formatCode>
                <c:ptCount val="5"/>
                <c:pt idx="0">
                  <c:v>27</c:v>
                </c:pt>
                <c:pt idx="1">
                  <c:v>17</c:v>
                </c:pt>
                <c:pt idx="2">
                  <c:v>25</c:v>
                </c:pt>
                <c:pt idx="3">
                  <c:v>48</c:v>
                </c:pt>
                <c:pt idx="4">
                  <c:v>42</c:v>
                </c:pt>
              </c:numCache>
            </c:numRef>
          </c:val>
          <c:smooth val="0"/>
          <c:extLst xmlns:c16r2="http://schemas.microsoft.com/office/drawing/2015/06/chart">
            <c:ext xmlns:c16="http://schemas.microsoft.com/office/drawing/2014/chart" uri="{C3380CC4-5D6E-409C-BE32-E72D297353CC}">
              <c16:uniqueId val="{00000003-81D3-4651-9835-670553D47668}"/>
            </c:ext>
          </c:extLst>
        </c:ser>
        <c:dLbls>
          <c:showLegendKey val="0"/>
          <c:showVal val="0"/>
          <c:showCatName val="0"/>
          <c:showSerName val="0"/>
          <c:showPercent val="0"/>
          <c:showBubbleSize val="0"/>
        </c:dLbls>
        <c:marker val="1"/>
        <c:smooth val="0"/>
        <c:axId val="340621184"/>
        <c:axId val="340622720"/>
      </c:lineChart>
      <c:catAx>
        <c:axId val="340621184"/>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0622720"/>
        <c:crosses val="autoZero"/>
        <c:auto val="1"/>
        <c:lblAlgn val="ctr"/>
        <c:lblOffset val="100"/>
        <c:noMultiLvlLbl val="0"/>
      </c:catAx>
      <c:valAx>
        <c:axId val="340622720"/>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340621184"/>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487532808398944E-2"/>
          <c:y val="4.7619047619047616E-2"/>
          <c:w val="0.91059955285517424"/>
          <c:h val="0.81885607701263097"/>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077451761315908E-2"/>
                  <c:y val="7.30079541584019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ABD-40B5-A8C5-480B3F491982}"/>
                </c:ext>
              </c:extLst>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28</c:v>
                </c:pt>
                <c:pt idx="1">
                  <c:v>30</c:v>
                </c:pt>
                <c:pt idx="2">
                  <c:v>38</c:v>
                </c:pt>
                <c:pt idx="3">
                  <c:v>44</c:v>
                </c:pt>
                <c:pt idx="4">
                  <c:v>35</c:v>
                </c:pt>
              </c:numCache>
            </c:numRef>
          </c:val>
          <c:smooth val="0"/>
          <c:extLst xmlns:c16r2="http://schemas.microsoft.com/office/drawing/2015/06/chart">
            <c:ext xmlns:c16="http://schemas.microsoft.com/office/drawing/2014/chart" uri="{C3380CC4-5D6E-409C-BE32-E72D297353CC}">
              <c16:uniqueId val="{00000001-9ABD-40B5-A8C5-480B3F491982}"/>
            </c:ext>
          </c:extLst>
        </c:ser>
        <c:dLbls>
          <c:showLegendKey val="0"/>
          <c:showVal val="0"/>
          <c:showCatName val="0"/>
          <c:showSerName val="0"/>
          <c:showPercent val="0"/>
          <c:showBubbleSize val="0"/>
        </c:dLbls>
        <c:marker val="1"/>
        <c:smooth val="0"/>
        <c:axId val="341098880"/>
        <c:axId val="341100416"/>
      </c:lineChart>
      <c:catAx>
        <c:axId val="341098880"/>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1100416"/>
        <c:crosses val="autoZero"/>
        <c:auto val="1"/>
        <c:lblAlgn val="ctr"/>
        <c:lblOffset val="100"/>
        <c:noMultiLvlLbl val="0"/>
      </c:catAx>
      <c:valAx>
        <c:axId val="341100416"/>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341098880"/>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9" b="0" baseline="0">
                <a:solidFill>
                  <a:srgbClr val="002060"/>
                </a:solidFill>
                <a:latin typeface="Arial" panose="020B0604020202020204" pitchFamily="34" charset="0"/>
                <a:ea typeface="Verdana" panose="020B0604030504040204" pitchFamily="34" charset="0"/>
                <a:cs typeface="Arial" panose="020B0604020202020204" pitchFamily="34" charset="0"/>
              </a:rPr>
              <a:t>35 new </a:t>
            </a:r>
            <a:r>
              <a:rPr lang="nl-BE" sz="1099"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Cyprus</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72">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212-41C0-8BBE-65A8DA9942AF}"/>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212-41C0-8BBE-65A8DA9942AF}"/>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212-41C0-8BBE-65A8DA9942AF}"/>
              </c:ext>
            </c:extLst>
          </c:dPt>
          <c:dPt>
            <c:idx val="3"/>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212-41C0-8BBE-65A8DA9942AF}"/>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212-41C0-8BBE-65A8DA9942AF}"/>
              </c:ext>
            </c:extLst>
          </c:dPt>
          <c:dLbls>
            <c:dLbl>
              <c:idx val="0"/>
              <c:layout>
                <c:manualLayout>
                  <c:x val="1.8656393198374956E-2"/>
                  <c:y val="1.6152147648210641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212-41C0-8BBE-65A8DA9942AF}"/>
                </c:ext>
              </c:extLst>
            </c:dLbl>
            <c:dLbl>
              <c:idx val="1"/>
              <c:layout>
                <c:manualLayout>
                  <c:x val="-1.0951606255829591E-2"/>
                  <c:y val="9.221068481977601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212-41C0-8BBE-65A8DA9942AF}"/>
                </c:ext>
              </c:extLst>
            </c:dLbl>
            <c:dLbl>
              <c:idx val="2"/>
              <c:layout>
                <c:manualLayout>
                  <c:x val="-8.026723932235743E-3"/>
                  <c:y val="-5.843293492695882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212-41C0-8BBE-65A8DA9942AF}"/>
                </c:ext>
              </c:extLst>
            </c:dLbl>
            <c:dLbl>
              <c:idx val="3"/>
              <c:layout>
                <c:manualLayout>
                  <c:x val="2.7838385828745406E-2"/>
                  <c:y val="-4.720672538312932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212-41C0-8BBE-65A8DA9942AF}"/>
                </c:ext>
              </c:extLst>
            </c:dLbl>
            <c:dLbl>
              <c:idx val="4"/>
              <c:layout>
                <c:manualLayout>
                  <c:x val="-7.4468015878180513E-2"/>
                  <c:y val="-0.1967378778847863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6212-41C0-8BBE-65A8DA9942AF}"/>
                </c:ext>
              </c:extLst>
            </c:dLbl>
            <c:spPr>
              <a:noFill/>
              <a:ln w="25372">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Environment</c:v>
                </c:pt>
                <c:pt idx="1">
                  <c:v>Mobility and transport</c:v>
                </c:pt>
                <c:pt idx="2">
                  <c:v>Health and food safety</c:v>
                </c:pt>
                <c:pt idx="3">
                  <c:v>Justice and consumers</c:v>
                </c:pt>
                <c:pt idx="4">
                  <c:v>Other</c:v>
                </c:pt>
              </c:strCache>
            </c:strRef>
          </c:cat>
          <c:val>
            <c:numRef>
              <c:f>Blad1!$B$4:$B$8</c:f>
              <c:numCache>
                <c:formatCode>General</c:formatCode>
                <c:ptCount val="5"/>
                <c:pt idx="0">
                  <c:v>8</c:v>
                </c:pt>
                <c:pt idx="1">
                  <c:v>7</c:v>
                </c:pt>
                <c:pt idx="2">
                  <c:v>6</c:v>
                </c:pt>
                <c:pt idx="3">
                  <c:v>3</c:v>
                </c:pt>
                <c:pt idx="4">
                  <c:v>11</c:v>
                </c:pt>
              </c:numCache>
            </c:numRef>
          </c:val>
          <c:extLst xmlns:c16r2="http://schemas.microsoft.com/office/drawing/2015/06/chart">
            <c:ext xmlns:c16="http://schemas.microsoft.com/office/drawing/2014/chart" uri="{C3380CC4-5D6E-409C-BE32-E72D297353CC}">
              <c16:uniqueId val="{0000000A-6212-41C0-8BBE-65A8DA9942AF}"/>
            </c:ext>
          </c:extLst>
        </c:ser>
        <c:dLbls>
          <c:showLegendKey val="0"/>
          <c:showVal val="0"/>
          <c:showCatName val="0"/>
          <c:showSerName val="0"/>
          <c:showPercent val="0"/>
          <c:showBubbleSize val="0"/>
          <c:showLeaderLines val="0"/>
        </c:dLbls>
        <c:firstSliceAng val="270"/>
      </c:pieChart>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4980587909040491E-2"/>
                  <c:y val="-5.8610086100861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C58-4FCE-B295-8EBDFA13F6E3}"/>
                </c:ext>
              </c:extLst>
            </c:dLbl>
            <c:dLbl>
              <c:idx val="2"/>
              <c:layout>
                <c:manualLayout>
                  <c:x val="-5.9722422384389968E-2"/>
                  <c:y val="7.59537437894063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C58-4FCE-B295-8EBDFA13F6E3}"/>
                </c:ext>
              </c:extLst>
            </c:dLbl>
            <c:dLbl>
              <c:idx val="4"/>
              <c:layout>
                <c:manualLayout>
                  <c:x val="-2.834165280088741E-2"/>
                  <c:y val="-8.3210332103321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C58-4FCE-B295-8EBDFA13F6E3}"/>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Blad1!$B$3:$B$8</c:f>
              <c:numCache>
                <c:formatCode>General</c:formatCode>
                <c:ptCount val="6"/>
                <c:pt idx="0">
                  <c:v>17</c:v>
                </c:pt>
                <c:pt idx="1">
                  <c:v>29</c:v>
                </c:pt>
                <c:pt idx="2">
                  <c:v>18</c:v>
                </c:pt>
                <c:pt idx="3">
                  <c:v>17</c:v>
                </c:pt>
                <c:pt idx="4">
                  <c:v>35</c:v>
                </c:pt>
                <c:pt idx="5">
                  <c:v>26</c:v>
                </c:pt>
              </c:numCache>
            </c:numRef>
          </c:val>
          <c:smooth val="0"/>
          <c:extLst xmlns:c16r2="http://schemas.microsoft.com/office/drawing/2015/06/chart">
            <c:ext xmlns:c16="http://schemas.microsoft.com/office/drawing/2014/chart" uri="{C3380CC4-5D6E-409C-BE32-E72D297353CC}">
              <c16:uniqueId val="{00000003-EC58-4FCE-B295-8EBDFA13F6E3}"/>
            </c:ext>
          </c:extLst>
        </c:ser>
        <c:dLbls>
          <c:showLegendKey val="0"/>
          <c:showVal val="0"/>
          <c:showCatName val="0"/>
          <c:showSerName val="0"/>
          <c:showPercent val="0"/>
          <c:showBubbleSize val="0"/>
        </c:dLbls>
        <c:marker val="1"/>
        <c:smooth val="0"/>
        <c:axId val="341037056"/>
        <c:axId val="341038592"/>
      </c:lineChart>
      <c:catAx>
        <c:axId val="34103705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1038592"/>
        <c:crosses val="autoZero"/>
        <c:auto val="1"/>
        <c:lblAlgn val="ctr"/>
        <c:lblOffset val="100"/>
        <c:noMultiLvlLbl val="0"/>
      </c:catAx>
      <c:valAx>
        <c:axId val="341038592"/>
        <c:scaling>
          <c:orientation val="minMax"/>
          <c:min val="1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41037056"/>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mn-lt"/>
                <a:ea typeface="+mn-ea"/>
                <a:cs typeface="+mn-cs"/>
              </a:defRPr>
            </a:pPr>
            <a:r>
              <a:rPr lang="en-US" sz="1097" b="0" i="0">
                <a:solidFill>
                  <a:srgbClr val="002060"/>
                </a:solidFill>
                <a:latin typeface="Arial" panose="020B0604020202020204" pitchFamily="34" charset="0"/>
                <a:ea typeface="Verdana" panose="020B0604030504040204" pitchFamily="34" charset="0"/>
                <a:cs typeface="Arial" panose="020B0604020202020204" pitchFamily="34" charset="0"/>
              </a:rPr>
              <a:t>26 complaints made against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Latvia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37">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6600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EDA-4AF5-B869-3B4704508C4C}"/>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EDA-4AF5-B869-3B4704508C4C}"/>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EDA-4AF5-B869-3B4704508C4C}"/>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EDA-4AF5-B869-3B4704508C4C}"/>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EDA-4AF5-B869-3B4704508C4C}"/>
              </c:ext>
            </c:extLst>
          </c:dPt>
          <c:dLbls>
            <c:dLbl>
              <c:idx val="0"/>
              <c:layout>
                <c:manualLayout>
                  <c:x val="-1.0997429445030711E-2"/>
                  <c:y val="9.3205880129181379E-2"/>
                </c:manualLayout>
              </c:layout>
              <c:spPr>
                <a:noFill/>
                <a:ln w="2533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DA-4AF5-B869-3B4704508C4C}"/>
                </c:ext>
              </c:extLst>
            </c:dLbl>
            <c:dLbl>
              <c:idx val="1"/>
              <c:layout>
                <c:manualLayout>
                  <c:x val="-2.8465853533014257E-2"/>
                  <c:y val="0.11033377077865267"/>
                </c:manualLayout>
              </c:layout>
              <c:spPr>
                <a:noFill/>
                <a:ln w="2533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EDA-4AF5-B869-3B4704508C4C}"/>
                </c:ext>
              </c:extLst>
            </c:dLbl>
            <c:dLbl>
              <c:idx val="2"/>
              <c:layout>
                <c:manualLayout>
                  <c:x val="-3.16219485103547E-2"/>
                  <c:y val="0.15011074197120708"/>
                </c:manualLayout>
              </c:layout>
              <c:spPr>
                <a:noFill/>
                <a:ln w="2533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EDA-4AF5-B869-3B4704508C4C}"/>
                </c:ext>
              </c:extLst>
            </c:dLbl>
            <c:dLbl>
              <c:idx val="3"/>
              <c:layout>
                <c:manualLayout>
                  <c:x val="-3.4153646154732225E-3"/>
                  <c:y val="0.12499803803594318"/>
                </c:manualLayout>
              </c:layout>
              <c:spPr>
                <a:noFill/>
                <a:ln w="2533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EDA-4AF5-B869-3B4704508C4C}"/>
                </c:ext>
              </c:extLst>
            </c:dLbl>
            <c:dLbl>
              <c:idx val="4"/>
              <c:layout>
                <c:manualLayout>
                  <c:x val="-8.8617158149348979E-2"/>
                  <c:y val="-0.3350157480314960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EDA-4AF5-B869-3B4704508C4C}"/>
                </c:ext>
              </c:extLst>
            </c:dLbl>
            <c:spPr>
              <a:noFill/>
              <a:ln w="2533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1">
                  <c:v>Justice and consumers</c:v>
                </c:pt>
                <c:pt idx="2">
                  <c:v>Financial stability, financial services and Capital Markets Union</c:v>
                </c:pt>
                <c:pt idx="3">
                  <c:v>Internal market, industry, entrepreneurship and SMEs</c:v>
                </c:pt>
                <c:pt idx="4">
                  <c:v>Other</c:v>
                </c:pt>
              </c:strCache>
            </c:strRef>
          </c:cat>
          <c:val>
            <c:numRef>
              <c:f>Blad1!$B$2:$B$6</c:f>
              <c:numCache>
                <c:formatCode>General</c:formatCode>
                <c:ptCount val="5"/>
                <c:pt idx="1">
                  <c:v>6</c:v>
                </c:pt>
                <c:pt idx="2">
                  <c:v>4</c:v>
                </c:pt>
                <c:pt idx="3">
                  <c:v>4</c:v>
                </c:pt>
                <c:pt idx="4">
                  <c:v>12</c:v>
                </c:pt>
              </c:numCache>
            </c:numRef>
          </c:val>
          <c:extLst xmlns:c16r2="http://schemas.microsoft.com/office/drawing/2015/06/chart">
            <c:ext xmlns:c16="http://schemas.microsoft.com/office/drawing/2014/chart" uri="{C3380CC4-5D6E-409C-BE32-E72D297353CC}">
              <c16:uniqueId val="{0000000A-2EDA-4AF5-B869-3B4704508C4C}"/>
            </c:ext>
          </c:extLst>
        </c:ser>
        <c:dLbls>
          <c:showLegendKey val="0"/>
          <c:showVal val="0"/>
          <c:showCatName val="0"/>
          <c:showSerName val="0"/>
          <c:showPercent val="0"/>
          <c:showBubbleSize val="0"/>
          <c:showLeaderLines val="0"/>
        </c:dLbls>
        <c:firstSliceAng val="294"/>
      </c:pieChart>
      <c:spPr>
        <a:noFill/>
        <a:ln w="25337">
          <a:noFill/>
        </a:ln>
      </c:spPr>
    </c:plotArea>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9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Blad1!$B$3:$B$8</c:f>
              <c:numCache>
                <c:formatCode>General</c:formatCode>
                <c:ptCount val="6"/>
                <c:pt idx="0">
                  <c:v>35</c:v>
                </c:pt>
                <c:pt idx="1">
                  <c:v>26</c:v>
                </c:pt>
                <c:pt idx="2">
                  <c:v>25</c:v>
                </c:pt>
                <c:pt idx="3">
                  <c:v>17</c:v>
                </c:pt>
                <c:pt idx="4">
                  <c:v>20</c:v>
                </c:pt>
                <c:pt idx="5">
                  <c:v>9</c:v>
                </c:pt>
              </c:numCache>
            </c:numRef>
          </c:val>
          <c:smooth val="0"/>
          <c:extLst xmlns:c16r2="http://schemas.microsoft.com/office/drawing/2015/06/chart">
            <c:ext xmlns:c16="http://schemas.microsoft.com/office/drawing/2014/chart" uri="{C3380CC4-5D6E-409C-BE32-E72D297353CC}">
              <c16:uniqueId val="{00000000-6D89-4F6B-87B3-32EE79EFE779}"/>
            </c:ext>
          </c:extLst>
        </c:ser>
        <c:dLbls>
          <c:showLegendKey val="0"/>
          <c:showVal val="0"/>
          <c:showCatName val="0"/>
          <c:showSerName val="0"/>
          <c:showPercent val="0"/>
          <c:showBubbleSize val="0"/>
        </c:dLbls>
        <c:marker val="1"/>
        <c:smooth val="0"/>
        <c:axId val="341238144"/>
        <c:axId val="341239680"/>
      </c:lineChart>
      <c:catAx>
        <c:axId val="341238144"/>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1239680"/>
        <c:crosses val="autoZero"/>
        <c:auto val="1"/>
        <c:lblAlgn val="ctr"/>
        <c:lblOffset val="100"/>
        <c:noMultiLvlLbl val="0"/>
      </c:catAx>
      <c:valAx>
        <c:axId val="341239680"/>
        <c:scaling>
          <c:orientation val="minMax"/>
        </c:scaling>
        <c:delete val="1"/>
        <c:axPos val="l"/>
        <c:majorGridlines>
          <c:spPr>
            <a:ln w="9523" cap="flat" cmpd="sng" algn="ctr">
              <a:solidFill>
                <a:schemeClr val="tx1">
                  <a:lumMod val="15000"/>
                  <a:lumOff val="85000"/>
                </a:schemeClr>
              </a:solidFill>
              <a:round/>
            </a:ln>
            <a:effectLst/>
          </c:spPr>
        </c:majorGridlines>
        <c:numFmt formatCode="General" sourceLinked="1"/>
        <c:majorTickMark val="out"/>
        <c:minorTickMark val="none"/>
        <c:tickLblPos val="nextTo"/>
        <c:crossAx val="341238144"/>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9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Blad1!$B$3:$B$8</c:f>
              <c:numCache>
                <c:formatCode>General</c:formatCode>
                <c:ptCount val="6"/>
                <c:pt idx="0">
                  <c:v>28</c:v>
                </c:pt>
                <c:pt idx="1">
                  <c:v>24</c:v>
                </c:pt>
                <c:pt idx="2">
                  <c:v>23</c:v>
                </c:pt>
                <c:pt idx="3">
                  <c:v>21</c:v>
                </c:pt>
                <c:pt idx="4">
                  <c:v>26</c:v>
                </c:pt>
                <c:pt idx="5">
                  <c:v>26</c:v>
                </c:pt>
              </c:numCache>
            </c:numRef>
          </c:val>
          <c:smooth val="0"/>
          <c:extLst xmlns:c16r2="http://schemas.microsoft.com/office/drawing/2015/06/chart">
            <c:ext xmlns:c16="http://schemas.microsoft.com/office/drawing/2014/chart" uri="{C3380CC4-5D6E-409C-BE32-E72D297353CC}">
              <c16:uniqueId val="{00000000-84B5-465C-9905-6972E8B97CF2}"/>
            </c:ext>
          </c:extLst>
        </c:ser>
        <c:dLbls>
          <c:showLegendKey val="0"/>
          <c:showVal val="0"/>
          <c:showCatName val="0"/>
          <c:showSerName val="0"/>
          <c:showPercent val="0"/>
          <c:showBubbleSize val="0"/>
        </c:dLbls>
        <c:marker val="1"/>
        <c:smooth val="0"/>
        <c:axId val="341285120"/>
        <c:axId val="341299200"/>
      </c:lineChart>
      <c:catAx>
        <c:axId val="341285120"/>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1299200"/>
        <c:crosses val="autoZero"/>
        <c:auto val="1"/>
        <c:lblAlgn val="ctr"/>
        <c:lblOffset val="100"/>
        <c:noMultiLvlLbl val="0"/>
      </c:catAx>
      <c:valAx>
        <c:axId val="341299200"/>
        <c:scaling>
          <c:orientation val="minMax"/>
        </c:scaling>
        <c:delete val="1"/>
        <c:axPos val="l"/>
        <c:majorGridlines>
          <c:spPr>
            <a:ln w="9523" cap="flat" cmpd="sng" algn="ctr">
              <a:solidFill>
                <a:schemeClr val="tx1">
                  <a:lumMod val="15000"/>
                  <a:lumOff val="85000"/>
                </a:schemeClr>
              </a:solidFill>
              <a:round/>
            </a:ln>
            <a:effectLst/>
          </c:spPr>
        </c:majorGridlines>
        <c:numFmt formatCode="General" sourceLinked="1"/>
        <c:majorTickMark val="out"/>
        <c:minorTickMark val="none"/>
        <c:tickLblPos val="nextTo"/>
        <c:crossAx val="341285120"/>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9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Latvia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F14-481F-A084-30987F670B73}"/>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F14-481F-A084-30987F670B73}"/>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F14-481F-A084-30987F670B73}"/>
              </c:ext>
            </c:extLst>
          </c:dPt>
          <c:dPt>
            <c:idx val="3"/>
            <c:bubble3D val="0"/>
            <c:spPr>
              <a:solidFill>
                <a:srgbClr val="A65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F14-481F-A084-30987F670B73}"/>
              </c:ext>
            </c:extLst>
          </c:dPt>
          <c:dPt>
            <c:idx val="4"/>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F14-481F-A084-30987F670B73}"/>
              </c:ext>
            </c:extLst>
          </c:dPt>
          <c:dLbls>
            <c:dLbl>
              <c:idx val="0"/>
              <c:layout>
                <c:manualLayout>
                  <c:x val="8.12723204681382E-3"/>
                  <c:y val="-9.374771587095916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F14-481F-A084-30987F670B73}"/>
                </c:ext>
              </c:extLst>
            </c:dLbl>
            <c:dLbl>
              <c:idx val="1"/>
              <c:layout>
                <c:manualLayout>
                  <c:x val="-2.4610171679359753E-2"/>
                  <c:y val="5.547318847802252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F14-481F-A084-30987F670B73}"/>
                </c:ext>
              </c:extLst>
            </c:dLbl>
            <c:dLbl>
              <c:idx val="2"/>
              <c:layout>
                <c:manualLayout>
                  <c:x val="-2.8522869067596057E-3"/>
                  <c:y val="-0.1702585634074221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F14-481F-A084-30987F670B73}"/>
                </c:ext>
              </c:extLst>
            </c:dLbl>
            <c:dLbl>
              <c:idx val="3"/>
              <c:layout>
                <c:manualLayout>
                  <c:x val="6.8312465040230627E-2"/>
                  <c:y val="-5.8266055350676097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F14-481F-A084-30987F670B73}"/>
                </c:ext>
              </c:extLst>
            </c:dLbl>
            <c:dLbl>
              <c:idx val="4"/>
              <c:layout>
                <c:manualLayout>
                  <c:x val="-4.0974570801600593E-2"/>
                  <c:y val="-3.923718395959998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F14-481F-A084-30987F670B73}"/>
                </c:ext>
              </c:extLst>
            </c:dLbl>
            <c:dLbl>
              <c:idx val="5"/>
              <c:layout>
                <c:manualLayout>
                  <c:x val="7.1260705898604781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F14-481F-A084-30987F670B73}"/>
                </c:ext>
              </c:extLst>
            </c:dLbl>
            <c:dLbl>
              <c:idx val="6"/>
              <c:layout>
                <c:manualLayout>
                  <c:x val="-9.0729399565795023E-6"/>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F14-481F-A084-30987F670B73}"/>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Blad1!$A$3:$A$7</c:f>
              <c:strCache>
                <c:ptCount val="5"/>
                <c:pt idx="0">
                  <c:v>Environment</c:v>
                </c:pt>
                <c:pt idx="1">
                  <c:v>Climate action</c:v>
                </c:pt>
                <c:pt idx="2">
                  <c:v>Energy</c:v>
                </c:pt>
                <c:pt idx="3">
                  <c:v>Economic and financial affairs</c:v>
                </c:pt>
                <c:pt idx="4">
                  <c:v>Migration and home affairs</c:v>
                </c:pt>
              </c:strCache>
            </c:strRef>
          </c:cat>
          <c:val>
            <c:numRef>
              <c:f>Blad1!$B$3:$B$7</c:f>
              <c:numCache>
                <c:formatCode>General</c:formatCode>
                <c:ptCount val="5"/>
                <c:pt idx="0">
                  <c:v>3</c:v>
                </c:pt>
                <c:pt idx="1">
                  <c:v>2</c:v>
                </c:pt>
                <c:pt idx="2">
                  <c:v>2</c:v>
                </c:pt>
                <c:pt idx="3">
                  <c:v>1</c:v>
                </c:pt>
                <c:pt idx="4">
                  <c:v>1</c:v>
                </c:pt>
              </c:numCache>
            </c:numRef>
          </c:val>
          <c:extLst xmlns:c16r2="http://schemas.microsoft.com/office/drawing/2015/06/chart">
            <c:ext xmlns:c16="http://schemas.microsoft.com/office/drawing/2014/chart" uri="{C3380CC4-5D6E-409C-BE32-E72D297353CC}">
              <c16:uniqueId val="{0000000C-1F14-481F-A084-30987F670B73}"/>
            </c:ext>
          </c:extLst>
        </c:ser>
        <c:dLbls>
          <c:showLegendKey val="0"/>
          <c:showVal val="0"/>
          <c:showCatName val="0"/>
          <c:showSerName val="0"/>
          <c:showPercent val="0"/>
          <c:showBubbleSize val="0"/>
          <c:showLeaderLines val="0"/>
        </c:dLbls>
        <c:firstSliceAng val="223"/>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Latvia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6.1284776902887139E-2"/>
                  <c:y val="-6.3668699186991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45A-4C75-BAD3-61D5A24068D8}"/>
                </c:ext>
              </c:extLst>
            </c:dLbl>
            <c:dLbl>
              <c:idx val="2"/>
              <c:layout>
                <c:manualLayout>
                  <c:x val="-5.5729221347331583E-2"/>
                  <c:y val="-6.86304426144519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45A-4C75-BAD3-61D5A24068D8}"/>
                </c:ext>
              </c:extLst>
            </c:dLbl>
            <c:dLbl>
              <c:idx val="3"/>
              <c:layout>
                <c:manualLayout>
                  <c:x val="-4.8189830837757575E-2"/>
                  <c:y val="-5.9905117372626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45A-4C75-BAD3-61D5A24068D8}"/>
                </c:ext>
              </c:extLst>
            </c:dLbl>
            <c:dLbl>
              <c:idx val="4"/>
              <c:layout>
                <c:manualLayout>
                  <c:x val="-5.8506999125109364E-2"/>
                  <c:y val="-7.38313008130081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45A-4C75-BAD3-61D5A24068D8}"/>
                </c:ext>
              </c:extLst>
            </c:dLbl>
            <c:dLbl>
              <c:idx val="5"/>
              <c:layout>
                <c:manualLayout>
                  <c:x val="-5.5729221347331583E-2"/>
                  <c:y val="-6.85762381903928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45A-4C75-BAD3-61D5A24068D8}"/>
                </c:ext>
              </c:extLst>
            </c:dLbl>
            <c:spPr>
              <a:noFill/>
              <a:ln w="25418">
                <a:noFill/>
              </a:ln>
            </c:spPr>
            <c:txPr>
              <a:bodyPr/>
              <a:lstStyle/>
              <a:p>
                <a:pPr>
                  <a:defRPr sz="901">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Blad1!$B$3:$B$8</c:f>
              <c:numCache>
                <c:formatCode>0%</c:formatCode>
                <c:ptCount val="6"/>
                <c:pt idx="0">
                  <c:v>0.63</c:v>
                </c:pt>
                <c:pt idx="1">
                  <c:v>0.71</c:v>
                </c:pt>
                <c:pt idx="2">
                  <c:v>0.89</c:v>
                </c:pt>
                <c:pt idx="3">
                  <c:v>0.79</c:v>
                </c:pt>
                <c:pt idx="4">
                  <c:v>0.73</c:v>
                </c:pt>
                <c:pt idx="5">
                  <c:v>0.78</c:v>
                </c:pt>
              </c:numCache>
            </c:numRef>
          </c:val>
          <c:smooth val="0"/>
          <c:extLst xmlns:c16r2="http://schemas.microsoft.com/office/drawing/2015/06/chart">
            <c:ext xmlns:c16="http://schemas.microsoft.com/office/drawing/2014/chart" uri="{C3380CC4-5D6E-409C-BE32-E72D297353CC}">
              <c16:uniqueId val="{00000005-D45A-4C75-BAD3-61D5A24068D8}"/>
            </c:ext>
          </c:extLst>
        </c:ser>
        <c:ser>
          <c:idx val="1"/>
          <c:order val="1"/>
          <c:tx>
            <c:strRef>
              <c:f>Blad1!$C$2</c:f>
              <c:strCache>
                <c:ptCount val="1"/>
                <c:pt idx="0">
                  <c:v>General rate for all Member States</c:v>
                </c:pt>
              </c:strCache>
            </c:strRef>
          </c:tx>
          <c:spPr>
            <a:ln w="25418">
              <a:solidFill>
                <a:srgbClr val="92D050"/>
              </a:solidFill>
            </a:ln>
          </c:spPr>
          <c:marker>
            <c:symbol val="square"/>
            <c:size val="5"/>
            <c:spPr>
              <a:solidFill>
                <a:srgbClr val="92D050"/>
              </a:solidFill>
              <a:ln>
                <a:solidFill>
                  <a:srgbClr val="92D050"/>
                </a:solidFill>
              </a:ln>
            </c:spPr>
          </c:marker>
          <c:dLbls>
            <c:dLbl>
              <c:idx val="1"/>
              <c:layout>
                <c:manualLayout>
                  <c:x val="-5.2951443569553808E-2"/>
                  <c:y val="7.89126016260162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45A-4C75-BAD3-61D5A24068D8}"/>
                </c:ext>
              </c:extLst>
            </c:dLbl>
            <c:dLbl>
              <c:idx val="2"/>
              <c:layout>
                <c:manualLayout>
                  <c:x val="-5.0173665791776026E-2"/>
                  <c:y val="6.86607975192054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45A-4C75-BAD3-61D5A24068D8}"/>
                </c:ext>
              </c:extLst>
            </c:dLbl>
            <c:dLbl>
              <c:idx val="3"/>
              <c:layout>
                <c:manualLayout>
                  <c:x val="-5.0173665791776026E-2"/>
                  <c:y val="7.38313008130081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45A-4C75-BAD3-61D5A24068D8}"/>
                </c:ext>
              </c:extLst>
            </c:dLbl>
            <c:dLbl>
              <c:idx val="4"/>
              <c:layout>
                <c:manualLayout>
                  <c:x val="-5.0173665791776026E-2"/>
                  <c:y val="6.36686991869918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45A-4C75-BAD3-61D5A24068D8}"/>
                </c:ext>
              </c:extLst>
            </c:dLbl>
            <c:dLbl>
              <c:idx val="5"/>
              <c:layout>
                <c:manualLayout>
                  <c:x val="-5.2951443569553808E-2"/>
                  <c:y val="6.85762381903927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D45A-4C75-BAD3-61D5A24068D8}"/>
                </c:ext>
              </c:extLst>
            </c:dLbl>
            <c:spPr>
              <a:noFill/>
              <a:ln w="25418">
                <a:noFill/>
              </a:ln>
            </c:spPr>
            <c:txPr>
              <a:bodyPr/>
              <a:lstStyle/>
              <a:p>
                <a:pPr>
                  <a:defRPr sz="901">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Blad1!$C$3:$C$8</c:f>
              <c:numCache>
                <c:formatCode>0%</c:formatCode>
                <c:ptCount val="6"/>
                <c:pt idx="0">
                  <c:v>0.68</c:v>
                </c:pt>
                <c:pt idx="1">
                  <c:v>0.7</c:v>
                </c:pt>
                <c:pt idx="2">
                  <c:v>0.75</c:v>
                </c:pt>
                <c:pt idx="3">
                  <c:v>0.75</c:v>
                </c:pt>
                <c:pt idx="4">
                  <c:v>0.72</c:v>
                </c:pt>
                <c:pt idx="5">
                  <c:v>0.77</c:v>
                </c:pt>
              </c:numCache>
            </c:numRef>
          </c:val>
          <c:smooth val="0"/>
          <c:extLst xmlns:c16r2="http://schemas.microsoft.com/office/drawing/2015/06/chart">
            <c:ext xmlns:c16="http://schemas.microsoft.com/office/drawing/2014/chart" uri="{C3380CC4-5D6E-409C-BE32-E72D297353CC}">
              <c16:uniqueId val="{0000000B-D45A-4C75-BAD3-61D5A24068D8}"/>
            </c:ext>
          </c:extLst>
        </c:ser>
        <c:dLbls>
          <c:showLegendKey val="0"/>
          <c:showVal val="0"/>
          <c:showCatName val="0"/>
          <c:showSerName val="0"/>
          <c:showPercent val="0"/>
          <c:showBubbleSize val="0"/>
        </c:dLbls>
        <c:marker val="1"/>
        <c:smooth val="0"/>
        <c:axId val="341577728"/>
        <c:axId val="341579264"/>
      </c:lineChart>
      <c:catAx>
        <c:axId val="341577728"/>
        <c:scaling>
          <c:orientation val="minMax"/>
        </c:scaling>
        <c:delete val="0"/>
        <c:axPos val="b"/>
        <c:numFmt formatCode="General" sourceLinked="1"/>
        <c:majorTickMark val="none"/>
        <c:minorTickMark val="none"/>
        <c:tickLblPos val="nextTo"/>
        <c:spPr>
          <a:noFill/>
          <a:ln w="12709"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1579264"/>
        <c:crosses val="autoZero"/>
        <c:auto val="1"/>
        <c:lblAlgn val="ctr"/>
        <c:lblOffset val="100"/>
        <c:noMultiLvlLbl val="0"/>
      </c:catAx>
      <c:valAx>
        <c:axId val="341579264"/>
        <c:scaling>
          <c:orientation val="minMax"/>
          <c:min val="0.5"/>
        </c:scaling>
        <c:delete val="1"/>
        <c:axPos val="l"/>
        <c:majorGridlines>
          <c:spPr>
            <a:ln w="9532" cap="flat" cmpd="sng" algn="ctr">
              <a:solidFill>
                <a:schemeClr val="tx1">
                  <a:lumMod val="15000"/>
                  <a:lumOff val="85000"/>
                </a:schemeClr>
              </a:solidFill>
              <a:round/>
            </a:ln>
            <a:effectLst/>
          </c:spPr>
        </c:majorGridlines>
        <c:numFmt formatCode="0%" sourceLinked="1"/>
        <c:majorTickMark val="out"/>
        <c:minorTickMark val="none"/>
        <c:tickLblPos val="nextTo"/>
        <c:crossAx val="341577728"/>
        <c:crosses val="autoZero"/>
        <c:crossBetween val="between"/>
      </c:valAx>
      <c:spPr>
        <a:noFill/>
        <a:ln w="25418">
          <a:noFill/>
        </a:ln>
      </c:spPr>
    </c:plotArea>
    <c:legend>
      <c:legendPos val="b"/>
      <c:layout>
        <c:manualLayout>
          <c:xMode val="edge"/>
          <c:yMode val="edge"/>
          <c:x val="8.2656838108002451E-2"/>
          <c:y val="0.86742481300509378"/>
          <c:w val="0.83468632378399521"/>
          <c:h val="8.5521147801188913E-2"/>
        </c:manualLayout>
      </c:layout>
      <c:overlay val="0"/>
      <c:txPr>
        <a:bodyPr/>
        <a:lstStyle/>
        <a:p>
          <a:pPr>
            <a:defRPr sz="901">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8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20</c:v>
                </c:pt>
                <c:pt idx="1">
                  <c:v>26</c:v>
                </c:pt>
                <c:pt idx="2">
                  <c:v>28</c:v>
                </c:pt>
                <c:pt idx="3">
                  <c:v>38</c:v>
                </c:pt>
                <c:pt idx="4">
                  <c:v>35</c:v>
                </c:pt>
              </c:numCache>
            </c:numRef>
          </c:val>
          <c:smooth val="0"/>
          <c:extLst xmlns:c16r2="http://schemas.microsoft.com/office/drawing/2015/06/chart">
            <c:ext xmlns:c16="http://schemas.microsoft.com/office/drawing/2014/chart" uri="{C3380CC4-5D6E-409C-BE32-E72D297353CC}">
              <c16:uniqueId val="{00000000-807C-499F-85BC-482E9562FC13}"/>
            </c:ext>
          </c:extLst>
        </c:ser>
        <c:dLbls>
          <c:showLegendKey val="0"/>
          <c:showVal val="0"/>
          <c:showCatName val="0"/>
          <c:showSerName val="0"/>
          <c:showPercent val="0"/>
          <c:showBubbleSize val="0"/>
        </c:dLbls>
        <c:marker val="1"/>
        <c:smooth val="0"/>
        <c:axId val="341645952"/>
        <c:axId val="341664128"/>
      </c:lineChart>
      <c:catAx>
        <c:axId val="341645952"/>
        <c:scaling>
          <c:orientation val="minMax"/>
        </c:scaling>
        <c:delete val="0"/>
        <c:axPos val="b"/>
        <c:numFmt formatCode="General" sourceLinked="1"/>
        <c:majorTickMark val="none"/>
        <c:minorTickMark val="none"/>
        <c:tickLblPos val="nextTo"/>
        <c:spPr>
          <a:noFill/>
          <a:ln w="1269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1664128"/>
        <c:crosses val="autoZero"/>
        <c:auto val="1"/>
        <c:lblAlgn val="ctr"/>
        <c:lblOffset val="100"/>
        <c:noMultiLvlLbl val="0"/>
      </c:catAx>
      <c:valAx>
        <c:axId val="341664128"/>
        <c:scaling>
          <c:orientation val="minMax"/>
          <c:min val="15"/>
        </c:scaling>
        <c:delete val="1"/>
        <c:axPos val="l"/>
        <c:majorGridlines>
          <c:spPr>
            <a:ln w="9518" cap="flat" cmpd="sng" algn="ctr">
              <a:solidFill>
                <a:schemeClr val="tx1">
                  <a:lumMod val="15000"/>
                  <a:lumOff val="85000"/>
                </a:schemeClr>
              </a:solidFill>
              <a:round/>
            </a:ln>
            <a:effectLst/>
          </c:spPr>
        </c:majorGridlines>
        <c:numFmt formatCode="General" sourceLinked="1"/>
        <c:majorTickMark val="out"/>
        <c:minorTickMark val="none"/>
        <c:tickLblPos val="nextTo"/>
        <c:crossAx val="341645952"/>
        <c:crosses val="autoZero"/>
        <c:crossBetween val="between"/>
      </c:valAx>
      <c:spPr>
        <a:noFill/>
        <a:ln w="25382">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2132730921072663E-2"/>
                  <c:y val="5.6312015876064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2C3-469B-A8C8-4BCB67A9E2D7}"/>
                </c:ext>
              </c:extLst>
            </c:dLbl>
            <c:dLbl>
              <c:idx val="2"/>
              <c:layout>
                <c:manualLayout>
                  <c:x val="-4.1878994776815691E-2"/>
                  <c:y val="6.36107986501687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2C3-469B-A8C8-4BCB67A9E2D7}"/>
                </c:ext>
              </c:extLst>
            </c:dLbl>
            <c:dLbl>
              <c:idx val="3"/>
              <c:layout>
                <c:manualLayout>
                  <c:x val="-5.0439261952721026E-2"/>
                  <c:y val="7.03706679522202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2C3-469B-A8C8-4BCB67A9E2D7}"/>
                </c:ext>
              </c:extLst>
            </c:dLbl>
            <c:spPr>
              <a:noFill/>
              <a:ln w="2537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57</c:v>
                </c:pt>
                <c:pt idx="1">
                  <c:v>57</c:v>
                </c:pt>
                <c:pt idx="2">
                  <c:v>48</c:v>
                </c:pt>
                <c:pt idx="3">
                  <c:v>43</c:v>
                </c:pt>
                <c:pt idx="4">
                  <c:v>30</c:v>
                </c:pt>
              </c:numCache>
            </c:numRef>
          </c:val>
          <c:smooth val="0"/>
          <c:extLst xmlns:c16r2="http://schemas.microsoft.com/office/drawing/2015/06/chart">
            <c:ext xmlns:c16="http://schemas.microsoft.com/office/drawing/2014/chart" uri="{C3380CC4-5D6E-409C-BE32-E72D297353CC}">
              <c16:uniqueId val="{00000003-12C3-469B-A8C8-4BCB67A9E2D7}"/>
            </c:ext>
          </c:extLst>
        </c:ser>
        <c:dLbls>
          <c:showLegendKey val="0"/>
          <c:showVal val="0"/>
          <c:showCatName val="0"/>
          <c:showSerName val="0"/>
          <c:showPercent val="0"/>
          <c:showBubbleSize val="0"/>
        </c:dLbls>
        <c:marker val="1"/>
        <c:smooth val="0"/>
        <c:axId val="327232896"/>
        <c:axId val="327238784"/>
      </c:lineChart>
      <c:catAx>
        <c:axId val="327232896"/>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7238784"/>
        <c:crosses val="autoZero"/>
        <c:auto val="1"/>
        <c:lblAlgn val="ctr"/>
        <c:lblOffset val="100"/>
        <c:noMultiLvlLbl val="0"/>
      </c:catAx>
      <c:valAx>
        <c:axId val="327238784"/>
        <c:scaling>
          <c:orientation val="minMax"/>
          <c:min val="20"/>
        </c:scaling>
        <c:delete val="1"/>
        <c:axPos val="l"/>
        <c:majorGridlines>
          <c:spPr>
            <a:ln w="9516" cap="flat" cmpd="sng" algn="ctr">
              <a:solidFill>
                <a:schemeClr val="tx1">
                  <a:lumMod val="15000"/>
                  <a:lumOff val="85000"/>
                </a:schemeClr>
              </a:solidFill>
              <a:round/>
            </a:ln>
            <a:effectLst/>
          </c:spPr>
        </c:majorGridlines>
        <c:numFmt formatCode="General" sourceLinked="1"/>
        <c:majorTickMark val="out"/>
        <c:minorTickMark val="none"/>
        <c:tickLblPos val="nextTo"/>
        <c:crossAx val="327232896"/>
        <c:crosses val="autoZero"/>
        <c:crossBetween val="between"/>
      </c:valAx>
      <c:spPr>
        <a:noFill/>
        <a:ln w="25373">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22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Latvia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799515840258E-2"/>
        </c:manualLayout>
      </c:layout>
      <c:overlay val="0"/>
      <c:spPr>
        <a:noFill/>
        <a:ln w="2533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DE5-4B47-83E7-A7536287150D}"/>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DE5-4B47-83E7-A7536287150D}"/>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DE5-4B47-83E7-A7536287150D}"/>
              </c:ext>
            </c:extLst>
          </c:dPt>
          <c:dPt>
            <c:idx val="3"/>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DE5-4B47-83E7-A7536287150D}"/>
              </c:ext>
            </c:extLst>
          </c:dPt>
          <c:dPt>
            <c:idx val="4"/>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DE5-4B47-83E7-A7536287150D}"/>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FDE5-4B47-83E7-A7536287150D}"/>
              </c:ext>
            </c:extLst>
          </c:dPt>
          <c:dPt>
            <c:idx val="6"/>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FDE5-4B47-83E7-A7536287150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E5-4B47-83E7-A7536287150D}"/>
                </c:ext>
              </c:extLst>
            </c:dLbl>
            <c:dLbl>
              <c:idx val="1"/>
              <c:layout>
                <c:manualLayout>
                  <c:x val="-6.0260782910157622E-2"/>
                  <c:y val="0.1711846566054243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DE5-4B47-83E7-A7536287150D}"/>
                </c:ext>
              </c:extLst>
            </c:dLbl>
            <c:dLbl>
              <c:idx val="2"/>
              <c:layout>
                <c:manualLayout>
                  <c:x val="5.564741907261592E-3"/>
                  <c:y val="0.1447851545362194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DE5-4B47-83E7-A7536287150D}"/>
                </c:ext>
              </c:extLst>
            </c:dLbl>
            <c:dLbl>
              <c:idx val="3"/>
              <c:layout>
                <c:manualLayout>
                  <c:x val="-7.4431321084864393E-3"/>
                  <c:y val="4.198987036271482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DE5-4B47-83E7-A7536287150D}"/>
                </c:ext>
              </c:extLst>
            </c:dLbl>
            <c:dLbl>
              <c:idx val="4"/>
              <c:layout>
                <c:manualLayout>
                  <c:x val="3.3633045386916069E-2"/>
                  <c:y val="-2.314814814814814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DE5-4B47-83E7-A7536287150D}"/>
                </c:ext>
              </c:extLst>
            </c:dLbl>
            <c:dLbl>
              <c:idx val="5"/>
              <c:layout>
                <c:manualLayout>
                  <c:x val="-7.5009186351706031E-2"/>
                  <c:y val="-5.5763662300797219E-2"/>
                </c:manualLayout>
              </c:layout>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FDE5-4B47-83E7-A7536287150D}"/>
                </c:ext>
              </c:extLst>
            </c:dLbl>
            <c:dLbl>
              <c:idx val="6"/>
              <c:layout>
                <c:manualLayout>
                  <c:x val="-2.4958402662229616E-2"/>
                  <c:y val="-2.732240437158469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DE5-4B47-83E7-A7536287150D}"/>
                </c:ext>
              </c:extLst>
            </c:dLbl>
            <c:dLbl>
              <c:idx val="7"/>
              <c:layout>
                <c:manualLayout>
                  <c:x val="0"/>
                  <c:y val="2.185792349726773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DE5-4B47-83E7-A7536287150D}"/>
                </c:ext>
              </c:extLst>
            </c:dLbl>
            <c:spPr>
              <a:noFill/>
              <a:ln w="2533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6"/>
                <c:pt idx="0">
                  <c:v>Policy Area</c:v>
                </c:pt>
                <c:pt idx="1">
                  <c:v>Mobility and transport</c:v>
                </c:pt>
                <c:pt idx="2">
                  <c:v>Financial stability, financial services and Capital Markets Union</c:v>
                </c:pt>
                <c:pt idx="3">
                  <c:v>Health and food safety</c:v>
                </c:pt>
                <c:pt idx="4">
                  <c:v>Environment</c:v>
                </c:pt>
                <c:pt idx="5">
                  <c:v>Other</c:v>
                </c:pt>
              </c:strCache>
            </c:strRef>
          </c:cat>
          <c:val>
            <c:numRef>
              <c:f>Blad1!$B$2:$B$8</c:f>
              <c:numCache>
                <c:formatCode>General</c:formatCode>
                <c:ptCount val="7"/>
                <c:pt idx="0">
                  <c:v>0</c:v>
                </c:pt>
                <c:pt idx="1">
                  <c:v>6</c:v>
                </c:pt>
                <c:pt idx="2">
                  <c:v>3</c:v>
                </c:pt>
                <c:pt idx="3">
                  <c:v>3</c:v>
                </c:pt>
                <c:pt idx="4">
                  <c:v>3</c:v>
                </c:pt>
                <c:pt idx="5">
                  <c:v>7</c:v>
                </c:pt>
              </c:numCache>
            </c:numRef>
          </c:val>
          <c:extLst xmlns:c16r2="http://schemas.microsoft.com/office/drawing/2015/06/chart">
            <c:ext xmlns:c16="http://schemas.microsoft.com/office/drawing/2014/chart" uri="{C3380CC4-5D6E-409C-BE32-E72D297353CC}">
              <c16:uniqueId val="{0000000F-FDE5-4B47-83E7-A7536287150D}"/>
            </c:ext>
          </c:extLst>
        </c:ser>
        <c:dLbls>
          <c:showLegendKey val="0"/>
          <c:showVal val="0"/>
          <c:showCatName val="0"/>
          <c:showSerName val="0"/>
          <c:showPercent val="0"/>
          <c:showBubbleSize val="0"/>
          <c:showLeaderLines val="0"/>
        </c:dLbls>
        <c:firstSliceAng val="292"/>
      </c:pieChart>
      <c:spPr>
        <a:noFill/>
        <a:ln w="25335">
          <a:noFill/>
        </a:ln>
      </c:spPr>
    </c:plotArea>
    <c:plotVisOnly val="1"/>
    <c:dispBlanksAs val="gap"/>
    <c:showDLblsOverMax val="0"/>
  </c:chart>
  <c:spPr>
    <a:solidFill>
      <a:schemeClr val="bg1"/>
    </a:solidFill>
    <a:ln w="950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647221454243847E-2"/>
          <c:y val="5.3921568627450983E-2"/>
          <c:w val="0.93917850933361724"/>
          <c:h val="0.83101358653697699"/>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378557779780015E-2"/>
                  <c:y val="8.28159944637144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816-4136-847F-F3615EA1ECB1}"/>
                </c:ext>
              </c:extLst>
            </c:dLbl>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8</c:v>
                </c:pt>
                <c:pt idx="1">
                  <c:v>14</c:v>
                </c:pt>
                <c:pt idx="2">
                  <c:v>20</c:v>
                </c:pt>
                <c:pt idx="3">
                  <c:v>32</c:v>
                </c:pt>
                <c:pt idx="4">
                  <c:v>28</c:v>
                </c:pt>
              </c:numCache>
            </c:numRef>
          </c:val>
          <c:smooth val="0"/>
          <c:extLst xmlns:c16r2="http://schemas.microsoft.com/office/drawing/2015/06/chart">
            <c:ext xmlns:c16="http://schemas.microsoft.com/office/drawing/2014/chart" uri="{C3380CC4-5D6E-409C-BE32-E72D297353CC}">
              <c16:uniqueId val="{00000001-1816-4136-847F-F3615EA1ECB1}"/>
            </c:ext>
          </c:extLst>
        </c:ser>
        <c:dLbls>
          <c:showLegendKey val="0"/>
          <c:showVal val="0"/>
          <c:showCatName val="0"/>
          <c:showSerName val="0"/>
          <c:showPercent val="0"/>
          <c:showBubbleSize val="0"/>
        </c:dLbls>
        <c:marker val="1"/>
        <c:smooth val="0"/>
        <c:axId val="341758720"/>
        <c:axId val="341760256"/>
      </c:lineChart>
      <c:catAx>
        <c:axId val="341758720"/>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1760256"/>
        <c:crosses val="autoZero"/>
        <c:auto val="1"/>
        <c:lblAlgn val="ctr"/>
        <c:lblOffset val="100"/>
        <c:noMultiLvlLbl val="0"/>
      </c:catAx>
      <c:valAx>
        <c:axId val="341760256"/>
        <c:scaling>
          <c:orientation val="minMax"/>
          <c:min val="5"/>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341758720"/>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411155073277532E-2"/>
          <c:y val="5.3849249577011329E-2"/>
          <c:w val="0.93917850933361724"/>
          <c:h val="0.83101358653697699"/>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077451761315908E-2"/>
                  <c:y val="7.74569376577123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D3B-4FD2-A60F-0A4A03A3C57A}"/>
                </c:ext>
              </c:extLst>
            </c:dLbl>
            <c:spPr>
              <a:noFill/>
              <a:ln w="2535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13</c:v>
                </c:pt>
                <c:pt idx="1">
                  <c:v>11</c:v>
                </c:pt>
                <c:pt idx="2">
                  <c:v>16</c:v>
                </c:pt>
                <c:pt idx="3">
                  <c:v>20</c:v>
                </c:pt>
                <c:pt idx="4">
                  <c:v>19</c:v>
                </c:pt>
              </c:numCache>
            </c:numRef>
          </c:val>
          <c:smooth val="0"/>
          <c:extLst xmlns:c16r2="http://schemas.microsoft.com/office/drawing/2015/06/chart">
            <c:ext xmlns:c16="http://schemas.microsoft.com/office/drawing/2014/chart" uri="{C3380CC4-5D6E-409C-BE32-E72D297353CC}">
              <c16:uniqueId val="{00000001-AD3B-4FD2-A60F-0A4A03A3C57A}"/>
            </c:ext>
          </c:extLst>
        </c:ser>
        <c:dLbls>
          <c:showLegendKey val="0"/>
          <c:showVal val="0"/>
          <c:showCatName val="0"/>
          <c:showSerName val="0"/>
          <c:showPercent val="0"/>
          <c:showBubbleSize val="0"/>
        </c:dLbls>
        <c:marker val="1"/>
        <c:smooth val="0"/>
        <c:axId val="341785600"/>
        <c:axId val="341791488"/>
      </c:lineChart>
      <c:catAx>
        <c:axId val="341785600"/>
        <c:scaling>
          <c:orientation val="minMax"/>
        </c:scaling>
        <c:delete val="0"/>
        <c:axPos val="b"/>
        <c:numFmt formatCode="General" sourceLinked="1"/>
        <c:majorTickMark val="none"/>
        <c:minorTickMark val="none"/>
        <c:tickLblPos val="nextTo"/>
        <c:spPr>
          <a:noFill/>
          <a:ln w="1267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1791488"/>
        <c:crosses val="autoZero"/>
        <c:auto val="1"/>
        <c:lblAlgn val="ctr"/>
        <c:lblOffset val="100"/>
        <c:noMultiLvlLbl val="0"/>
      </c:catAx>
      <c:valAx>
        <c:axId val="341791488"/>
        <c:scaling>
          <c:orientation val="minMax"/>
          <c:min val="5"/>
        </c:scaling>
        <c:delete val="1"/>
        <c:axPos val="l"/>
        <c:majorGridlines>
          <c:spPr>
            <a:ln w="9509" cap="flat" cmpd="sng" algn="ctr">
              <a:solidFill>
                <a:schemeClr val="tx1">
                  <a:lumMod val="15000"/>
                  <a:lumOff val="85000"/>
                </a:schemeClr>
              </a:solidFill>
              <a:round/>
            </a:ln>
            <a:effectLst/>
          </c:spPr>
        </c:majorGridlines>
        <c:numFmt formatCode="General" sourceLinked="1"/>
        <c:majorTickMark val="out"/>
        <c:minorTickMark val="none"/>
        <c:tickLblPos val="nextTo"/>
        <c:crossAx val="341785600"/>
        <c:crosses val="autoZero"/>
        <c:crossBetween val="between"/>
      </c:valAx>
      <c:spPr>
        <a:noFill/>
        <a:ln w="25358">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19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Latvia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12152694694082"/>
          <c:y val="2.94117897424984E-2"/>
        </c:manualLayout>
      </c:layout>
      <c:overlay val="0"/>
      <c:spPr>
        <a:noFill/>
        <a:ln w="25329">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FF99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252-4ACB-9BF9-6ADD79DDD3CB}"/>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D252-4ACB-9BF9-6ADD79DDD3CB}"/>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D252-4ACB-9BF9-6ADD79DDD3CB}"/>
              </c:ext>
            </c:extLst>
          </c:dPt>
          <c:dPt>
            <c:idx val="3"/>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D252-4ACB-9BF9-6ADD79DDD3CB}"/>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D252-4ACB-9BF9-6ADD79DDD3CB}"/>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D252-4ACB-9BF9-6ADD79DDD3CB}"/>
              </c:ext>
            </c:extLst>
          </c:dPt>
          <c:dLbls>
            <c:dLbl>
              <c:idx val="0"/>
              <c:layout>
                <c:manualLayout>
                  <c:x val="2.5025287536732353E-2"/>
                  <c:y val="3.158273440119048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252-4ACB-9BF9-6ADD79DDD3CB}"/>
                </c:ext>
              </c:extLst>
            </c:dLbl>
            <c:dLbl>
              <c:idx val="1"/>
              <c:layout>
                <c:manualLayout>
                  <c:x val="3.3160355995001667E-2"/>
                  <c:y val="0.1623695866141732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252-4ACB-9BF9-6ADD79DDD3CB}"/>
                </c:ext>
              </c:extLst>
            </c:dLbl>
            <c:dLbl>
              <c:idx val="2"/>
              <c:layout>
                <c:manualLayout>
                  <c:x val="6.9959278346020705E-3"/>
                  <c:y val="0.1150019214887858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252-4ACB-9BF9-6ADD79DDD3CB}"/>
                </c:ext>
              </c:extLst>
            </c:dLbl>
            <c:dLbl>
              <c:idx val="3"/>
              <c:layout>
                <c:manualLayout>
                  <c:x val="-5.4852155108518416E-3"/>
                  <c:y val="1.56401010621335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252-4ACB-9BF9-6ADD79DDD3CB}"/>
                </c:ext>
              </c:extLst>
            </c:dLbl>
            <c:dLbl>
              <c:idx val="4"/>
              <c:layout>
                <c:manualLayout>
                  <c:x val="-8.3047104577044145E-2"/>
                  <c:y val="-0.1271342834482138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252-4ACB-9BF9-6ADD79DDD3CB}"/>
                </c:ext>
              </c:extLst>
            </c:dLbl>
            <c:dLbl>
              <c:idx val="5"/>
              <c:layout>
                <c:manualLayout>
                  <c:x val="0"/>
                  <c:y val="-1.960784313725485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252-4ACB-9BF9-6ADD79DDD3CB}"/>
                </c:ext>
              </c:extLst>
            </c:dLbl>
            <c:spPr>
              <a:noFill/>
              <a:ln w="2532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Blad1!$A$4:$A$9</c:f>
              <c:strCache>
                <c:ptCount val="5"/>
                <c:pt idx="0">
                  <c:v>Mobility and transport</c:v>
                </c:pt>
                <c:pt idx="1">
                  <c:v>Financial stability, financial services and Capital Markets Union</c:v>
                </c:pt>
                <c:pt idx="2">
                  <c:v>Health and food safety</c:v>
                </c:pt>
                <c:pt idx="3">
                  <c:v>Environment</c:v>
                </c:pt>
                <c:pt idx="4">
                  <c:v>Other</c:v>
                </c:pt>
              </c:strCache>
            </c:strRef>
          </c:cat>
          <c:val>
            <c:numRef>
              <c:f>Blad1!$B$4:$B$9</c:f>
              <c:numCache>
                <c:formatCode>General</c:formatCode>
                <c:ptCount val="6"/>
                <c:pt idx="0">
                  <c:v>5</c:v>
                </c:pt>
                <c:pt idx="1">
                  <c:v>3</c:v>
                </c:pt>
                <c:pt idx="2">
                  <c:v>3</c:v>
                </c:pt>
                <c:pt idx="3">
                  <c:v>2</c:v>
                </c:pt>
                <c:pt idx="4">
                  <c:v>6</c:v>
                </c:pt>
              </c:numCache>
            </c:numRef>
          </c:val>
          <c:extLst xmlns:c16r2="http://schemas.microsoft.com/office/drawing/2015/06/chart">
            <c:ext xmlns:c16="http://schemas.microsoft.com/office/drawing/2014/chart" uri="{C3380CC4-5D6E-409C-BE32-E72D297353CC}">
              <c16:uniqueId val="{0000000C-D252-4ACB-9BF9-6ADD79DDD3CB}"/>
            </c:ext>
          </c:extLst>
        </c:ser>
        <c:dLbls>
          <c:showLegendKey val="0"/>
          <c:showVal val="0"/>
          <c:showCatName val="0"/>
          <c:showSerName val="0"/>
          <c:showPercent val="0"/>
          <c:showBubbleSize val="0"/>
          <c:showLeaderLines val="0"/>
        </c:dLbls>
        <c:firstSliceAng val="266"/>
      </c:pieChart>
      <c:spPr>
        <a:noFill/>
        <a:ln w="25329">
          <a:noFill/>
        </a:ln>
      </c:spPr>
    </c:plotArea>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5000676912058203E-2"/>
                  <c:y val="6.8856790252211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5C2-4A72-87F7-3967065C8B37}"/>
                </c:ext>
              </c:extLst>
            </c:dLbl>
            <c:dLbl>
              <c:idx val="3"/>
              <c:layout>
                <c:manualLayout>
                  <c:x val="-4.2227505618311359E-2"/>
                  <c:y val="-6.91174324422931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5C2-4A72-87F7-3967065C8B37}"/>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Blad1!$B$3:$B$8</c:f>
              <c:numCache>
                <c:formatCode>General</c:formatCode>
                <c:ptCount val="6"/>
                <c:pt idx="0">
                  <c:v>36</c:v>
                </c:pt>
                <c:pt idx="1">
                  <c:v>28</c:v>
                </c:pt>
                <c:pt idx="2">
                  <c:v>33</c:v>
                </c:pt>
                <c:pt idx="3">
                  <c:v>37</c:v>
                </c:pt>
                <c:pt idx="4">
                  <c:v>30</c:v>
                </c:pt>
                <c:pt idx="5">
                  <c:v>40</c:v>
                </c:pt>
              </c:numCache>
            </c:numRef>
          </c:val>
          <c:smooth val="0"/>
          <c:extLst xmlns:c16r2="http://schemas.microsoft.com/office/drawing/2015/06/chart">
            <c:ext xmlns:c16="http://schemas.microsoft.com/office/drawing/2014/chart" uri="{C3380CC4-5D6E-409C-BE32-E72D297353CC}">
              <c16:uniqueId val="{00000002-D5C2-4A72-87F7-3967065C8B37}"/>
            </c:ext>
          </c:extLst>
        </c:ser>
        <c:dLbls>
          <c:showLegendKey val="0"/>
          <c:showVal val="0"/>
          <c:showCatName val="0"/>
          <c:showSerName val="0"/>
          <c:showPercent val="0"/>
          <c:showBubbleSize val="0"/>
        </c:dLbls>
        <c:marker val="1"/>
        <c:smooth val="0"/>
        <c:axId val="341953920"/>
        <c:axId val="342312064"/>
      </c:lineChart>
      <c:catAx>
        <c:axId val="341953920"/>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2312064"/>
        <c:crosses val="autoZero"/>
        <c:auto val="1"/>
        <c:lblAlgn val="ctr"/>
        <c:lblOffset val="100"/>
        <c:noMultiLvlLbl val="0"/>
      </c:catAx>
      <c:valAx>
        <c:axId val="342312064"/>
        <c:scaling>
          <c:orientation val="minMax"/>
          <c:min val="20"/>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341953920"/>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40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Lithuania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3">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39A4-4293-AD4C-DCF6CFB364F4}"/>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39A4-4293-AD4C-DCF6CFB364F4}"/>
              </c:ext>
            </c:extLst>
          </c:dPt>
          <c:dPt>
            <c:idx val="2"/>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39A4-4293-AD4C-DCF6CFB364F4}"/>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39A4-4293-AD4C-DCF6CFB364F4}"/>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39A4-4293-AD4C-DCF6CFB364F4}"/>
              </c:ext>
            </c:extLst>
          </c:dPt>
          <c:dLbls>
            <c:dLbl>
              <c:idx val="0"/>
              <c:layout>
                <c:manualLayout>
                  <c:x val="-0.12616477923785063"/>
                  <c:y val="0.11427271187875709"/>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9A4-4293-AD4C-DCF6CFB364F4}"/>
                </c:ext>
              </c:extLst>
            </c:dLbl>
            <c:dLbl>
              <c:idx val="1"/>
              <c:layout>
                <c:manualLayout>
                  <c:x val="-1.921674947139021E-2"/>
                  <c:y val="4.1534586402506138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9A4-4293-AD4C-DCF6CFB364F4}"/>
                </c:ext>
              </c:extLst>
            </c:dLbl>
            <c:dLbl>
              <c:idx val="2"/>
              <c:layout>
                <c:manualLayout>
                  <c:x val="1.1027078405322792E-2"/>
                  <c:y val="-3.130810261620523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9A4-4293-AD4C-DCF6CFB364F4}"/>
                </c:ext>
              </c:extLst>
            </c:dLbl>
            <c:dLbl>
              <c:idx val="3"/>
              <c:layout>
                <c:manualLayout>
                  <c:x val="-6.0329434129375775E-2"/>
                  <c:y val="-0.2096774193548387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39A4-4293-AD4C-DCF6CFB364F4}"/>
                </c:ext>
              </c:extLst>
            </c:dLbl>
            <c:dLbl>
              <c:idx val="4"/>
              <c:layout>
                <c:manualLayout>
                  <c:x val="-3.0253025302530254E-2"/>
                  <c:y val="-0.1419558359621451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9A4-4293-AD4C-DCF6CFB364F4}"/>
                </c:ext>
              </c:extLst>
            </c:dLbl>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Justice and consumers</c:v>
                </c:pt>
                <c:pt idx="1">
                  <c:v>Taxation and customs</c:v>
                </c:pt>
                <c:pt idx="2">
                  <c:v>Communication networks</c:v>
                </c:pt>
                <c:pt idx="3">
                  <c:v>Other</c:v>
                </c:pt>
              </c:strCache>
            </c:strRef>
          </c:cat>
          <c:val>
            <c:numRef>
              <c:f>Blad1!$B$3:$B$6</c:f>
              <c:numCache>
                <c:formatCode>General</c:formatCode>
                <c:ptCount val="4"/>
                <c:pt idx="0">
                  <c:v>8</c:v>
                </c:pt>
                <c:pt idx="1">
                  <c:v>6</c:v>
                </c:pt>
                <c:pt idx="2">
                  <c:v>5</c:v>
                </c:pt>
                <c:pt idx="3">
                  <c:v>21</c:v>
                </c:pt>
              </c:numCache>
            </c:numRef>
          </c:val>
          <c:extLst xmlns:c16r2="http://schemas.microsoft.com/office/drawing/2015/06/chart">
            <c:ext xmlns:c16="http://schemas.microsoft.com/office/drawing/2014/chart" uri="{C3380CC4-5D6E-409C-BE32-E72D297353CC}">
              <c16:uniqueId val="{0000000A-39A4-4293-AD4C-DCF6CFB364F4}"/>
            </c:ext>
          </c:extLst>
        </c:ser>
        <c:dLbls>
          <c:showLegendKey val="0"/>
          <c:showVal val="0"/>
          <c:showCatName val="0"/>
          <c:showSerName val="0"/>
          <c:showPercent val="0"/>
          <c:showBubbleSize val="0"/>
          <c:showLeaderLines val="0"/>
        </c:dLbls>
        <c:firstSliceAng val="318"/>
      </c:pieChart>
      <c:spPr>
        <a:noFill/>
        <a:ln w="25403">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2"/>
              <c:layout>
                <c:manualLayout>
                  <c:x val="-4.5105861767279092E-2"/>
                  <c:y val="6.31590208832591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C36-4C48-A0F8-9BFDCB08FF97}"/>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Blad1!$B$3:$B$8</c:f>
              <c:numCache>
                <c:formatCode>General</c:formatCode>
                <c:ptCount val="6"/>
                <c:pt idx="0">
                  <c:v>32</c:v>
                </c:pt>
                <c:pt idx="1">
                  <c:v>35</c:v>
                </c:pt>
                <c:pt idx="2">
                  <c:v>27</c:v>
                </c:pt>
                <c:pt idx="3">
                  <c:v>26</c:v>
                </c:pt>
                <c:pt idx="4">
                  <c:v>23</c:v>
                </c:pt>
                <c:pt idx="5">
                  <c:v>6</c:v>
                </c:pt>
              </c:numCache>
            </c:numRef>
          </c:val>
          <c:smooth val="0"/>
          <c:extLst xmlns:c16r2="http://schemas.microsoft.com/office/drawing/2015/06/chart">
            <c:ext xmlns:c16="http://schemas.microsoft.com/office/drawing/2014/chart" uri="{C3380CC4-5D6E-409C-BE32-E72D297353CC}">
              <c16:uniqueId val="{00000001-3C36-4C48-A0F8-9BFDCB08FF97}"/>
            </c:ext>
          </c:extLst>
        </c:ser>
        <c:dLbls>
          <c:showLegendKey val="0"/>
          <c:showVal val="0"/>
          <c:showCatName val="0"/>
          <c:showSerName val="0"/>
          <c:showPercent val="0"/>
          <c:showBubbleSize val="0"/>
        </c:dLbls>
        <c:marker val="1"/>
        <c:smooth val="0"/>
        <c:axId val="342442368"/>
        <c:axId val="342443904"/>
      </c:lineChart>
      <c:catAx>
        <c:axId val="342442368"/>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2443904"/>
        <c:crosses val="autoZero"/>
        <c:auto val="1"/>
        <c:lblAlgn val="ctr"/>
        <c:lblOffset val="100"/>
        <c:noMultiLvlLbl val="0"/>
      </c:catAx>
      <c:valAx>
        <c:axId val="342443904"/>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342442368"/>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2"/>
              <c:layout>
                <c:manualLayout>
                  <c:x val="-4.7883639545056866E-2"/>
                  <c:y val="7.52367910532922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31D-424B-AE67-21E6D4ED23BC}"/>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Blad1!$B$3:$B$8</c:f>
              <c:numCache>
                <c:formatCode>General</c:formatCode>
                <c:ptCount val="6"/>
                <c:pt idx="0">
                  <c:v>30</c:v>
                </c:pt>
                <c:pt idx="1">
                  <c:v>30</c:v>
                </c:pt>
                <c:pt idx="2">
                  <c:v>29</c:v>
                </c:pt>
                <c:pt idx="3">
                  <c:v>26</c:v>
                </c:pt>
                <c:pt idx="4">
                  <c:v>24</c:v>
                </c:pt>
                <c:pt idx="5">
                  <c:v>19</c:v>
                </c:pt>
              </c:numCache>
            </c:numRef>
          </c:val>
          <c:smooth val="0"/>
          <c:extLst xmlns:c16r2="http://schemas.microsoft.com/office/drawing/2015/06/chart">
            <c:ext xmlns:c16="http://schemas.microsoft.com/office/drawing/2014/chart" uri="{C3380CC4-5D6E-409C-BE32-E72D297353CC}">
              <c16:uniqueId val="{00000001-E31D-424B-AE67-21E6D4ED23BC}"/>
            </c:ext>
          </c:extLst>
        </c:ser>
        <c:dLbls>
          <c:showLegendKey val="0"/>
          <c:showVal val="0"/>
          <c:showCatName val="0"/>
          <c:showSerName val="0"/>
          <c:showPercent val="0"/>
          <c:showBubbleSize val="0"/>
        </c:dLbls>
        <c:marker val="1"/>
        <c:smooth val="0"/>
        <c:axId val="342485632"/>
        <c:axId val="342040960"/>
      </c:lineChart>
      <c:catAx>
        <c:axId val="342485632"/>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2040960"/>
        <c:crosses val="autoZero"/>
        <c:auto val="1"/>
        <c:lblAlgn val="ctr"/>
        <c:lblOffset val="100"/>
        <c:noMultiLvlLbl val="0"/>
      </c:catAx>
      <c:valAx>
        <c:axId val="342040960"/>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342485632"/>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7">
                <a:latin typeface="Arial" panose="020B0604020202020204" pitchFamily="34" charset="0"/>
                <a:cs typeface="Arial" panose="020B0604020202020204" pitchFamily="34" charset="0"/>
              </a:defRPr>
            </a:pPr>
            <a:r>
              <a:rPr lang="en-US" sz="1097"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6 EU Pilot files opened against </a:t>
            </a:r>
            <a:r>
              <a:rPr lang="en-US" sz="1097"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Lithuania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F14-46A9-97FE-E06C1CD79206}"/>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F14-46A9-97FE-E06C1CD79206}"/>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F14-46A9-97FE-E06C1CD79206}"/>
              </c:ext>
            </c:extLst>
          </c:dPt>
          <c:dPt>
            <c:idx val="3"/>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F14-46A9-97FE-E06C1CD79206}"/>
              </c:ext>
            </c:extLst>
          </c:dPt>
          <c:dLbls>
            <c:dLbl>
              <c:idx val="0"/>
              <c:layout>
                <c:manualLayout>
                  <c:x val="5.6931807135219212E-2"/>
                  <c:y val="-0.2615489924224588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F14-46A9-97FE-E06C1CD79206}"/>
                </c:ext>
              </c:extLst>
            </c:dLbl>
            <c:dLbl>
              <c:idx val="1"/>
              <c:layout>
                <c:manualLayout>
                  <c:x val="4.1155827743754252E-2"/>
                  <c:y val="0.18253190333966879"/>
                </c:manualLayout>
              </c:layout>
              <c:tx>
                <c:rich>
                  <a:bodyPr/>
                  <a:lstStyle/>
                  <a:p>
                    <a:r>
                      <a:rPr lang="en-US" sz="820"/>
                      <a:t>Internal market, </a:t>
                    </a:r>
                    <a:r>
                      <a:rPr lang="en-US" sz="820">
                        <a:latin typeface="Arial" panose="020B0604020202020204" pitchFamily="34" charset="0"/>
                        <a:cs typeface="Arial" panose="020B0604020202020204" pitchFamily="34" charset="0"/>
                      </a:rPr>
                      <a:t>industry</a:t>
                    </a:r>
                    <a:r>
                      <a:rPr lang="en-US" sz="820"/>
                      <a:t>, entrepreneurship and SMEs
1</a:t>
                    </a:r>
                    <a:endParaRPr lang="en-US" sz="800"/>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F14-46A9-97FE-E06C1CD79206}"/>
                </c:ext>
              </c:extLst>
            </c:dLbl>
            <c:dLbl>
              <c:idx val="2"/>
              <c:layout>
                <c:manualLayout>
                  <c:x val="1.3705404879945562E-2"/>
                  <c:y val="5.29265091863517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F14-46A9-97FE-E06C1CD79206}"/>
                </c:ext>
              </c:extLst>
            </c:dLbl>
            <c:dLbl>
              <c:idx val="3"/>
              <c:layout>
                <c:manualLayout>
                  <c:x val="3.103917565859823E-2"/>
                  <c:y val="-4.3902012248468944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F14-46A9-97FE-E06C1CD79206}"/>
                </c:ext>
              </c:extLst>
            </c:dLbl>
            <c:dLbl>
              <c:idx val="4"/>
              <c:layout>
                <c:manualLayout>
                  <c:x val="2.7412280701754384E-3"/>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F14-46A9-97FE-E06C1CD79206}"/>
                </c:ext>
              </c:extLst>
            </c:dLbl>
            <c:dLbl>
              <c:idx val="5"/>
              <c:layout>
                <c:manualLayout>
                  <c:x val="5.7565789473684209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F14-46A9-97FE-E06C1CD79206}"/>
                </c:ext>
              </c:extLst>
            </c:dLbl>
            <c:spPr>
              <a:noFill/>
              <a:ln w="25337">
                <a:noFill/>
              </a:ln>
            </c:spPr>
            <c:txPr>
              <a:bodyPr/>
              <a:lstStyle/>
              <a:p>
                <a:pPr>
                  <a:defRPr sz="820" baseline="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Environment</c:v>
                </c:pt>
                <c:pt idx="1">
                  <c:v>Internal market, industry, entrepreneurship and SMEs</c:v>
                </c:pt>
                <c:pt idx="2">
                  <c:v>Energy</c:v>
                </c:pt>
                <c:pt idx="3">
                  <c:v>Communication networks</c:v>
                </c:pt>
              </c:strCache>
            </c:strRef>
          </c:cat>
          <c:val>
            <c:numRef>
              <c:f>Blad1!$B$3:$B$6</c:f>
              <c:numCache>
                <c:formatCode>General</c:formatCode>
                <c:ptCount val="4"/>
                <c:pt idx="0">
                  <c:v>3</c:v>
                </c:pt>
                <c:pt idx="1">
                  <c:v>1</c:v>
                </c:pt>
                <c:pt idx="2">
                  <c:v>1</c:v>
                </c:pt>
                <c:pt idx="3">
                  <c:v>1</c:v>
                </c:pt>
              </c:numCache>
            </c:numRef>
          </c:val>
          <c:extLst xmlns:c16r2="http://schemas.microsoft.com/office/drawing/2015/06/chart">
            <c:ext xmlns:c16="http://schemas.microsoft.com/office/drawing/2014/chart" uri="{C3380CC4-5D6E-409C-BE32-E72D297353CC}">
              <c16:uniqueId val="{0000000A-7F14-46A9-97FE-E06C1CD79206}"/>
            </c:ext>
          </c:extLst>
        </c:ser>
        <c:dLbls>
          <c:showLegendKey val="0"/>
          <c:showVal val="0"/>
          <c:showCatName val="0"/>
          <c:showSerName val="0"/>
          <c:showPercent val="0"/>
          <c:showBubbleSize val="0"/>
          <c:showLeaderLines val="0"/>
        </c:dLbls>
        <c:firstSliceAng val="180"/>
      </c:pieChart>
      <c:spPr>
        <a:noFill/>
        <a:ln w="25337">
          <a:noFill/>
        </a:ln>
      </c:spPr>
    </c:plotArea>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Lithuania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5.0116603560994143E-2"/>
                  <c:y val="6.7899707400623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898-41A6-9B35-B4E8DA240166}"/>
                </c:ext>
              </c:extLst>
            </c:dLbl>
            <c:dLbl>
              <c:idx val="2"/>
              <c:layout>
                <c:manualLayout>
                  <c:x val="-5.5636493857568969E-2"/>
                  <c:y val="-4.7985901309164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898-41A6-9B35-B4E8DA240166}"/>
                </c:ext>
              </c:extLst>
            </c:dLbl>
            <c:dLbl>
              <c:idx val="3"/>
              <c:layout>
                <c:manualLayout>
                  <c:x val="-4.8189830837757575E-2"/>
                  <c:y val="-5.9905117372626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898-41A6-9B35-B4E8DA240166}"/>
                </c:ext>
              </c:extLst>
            </c:dLbl>
            <c:dLbl>
              <c:idx val="4"/>
              <c:layout>
                <c:manualLayout>
                  <c:x val="-4.7317026303492431E-2"/>
                  <c:y val="-7.31621349446122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898-41A6-9B35-B4E8DA240166}"/>
                </c:ext>
              </c:extLst>
            </c:dLbl>
            <c:dLbl>
              <c:idx val="5"/>
              <c:layout>
                <c:manualLayout>
                  <c:x val="-5.828493821993181E-2"/>
                  <c:y val="-5.7732535685291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AD8-414C-9942-05A4F75647D0}"/>
                </c:ext>
              </c:extLst>
            </c:dLbl>
            <c:spPr>
              <a:noFill/>
              <a:ln w="25384">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Blad1!$B$3:$B$8</c:f>
              <c:numCache>
                <c:formatCode>0%</c:formatCode>
                <c:ptCount val="6"/>
                <c:pt idx="0">
                  <c:v>0.76</c:v>
                </c:pt>
                <c:pt idx="1">
                  <c:v>0.69</c:v>
                </c:pt>
                <c:pt idx="2">
                  <c:v>0.86</c:v>
                </c:pt>
                <c:pt idx="3">
                  <c:v>0.76</c:v>
                </c:pt>
                <c:pt idx="4">
                  <c:v>0.76</c:v>
                </c:pt>
                <c:pt idx="5">
                  <c:v>0.91</c:v>
                </c:pt>
              </c:numCache>
            </c:numRef>
          </c:val>
          <c:smooth val="0"/>
          <c:extLst xmlns:c16r2="http://schemas.microsoft.com/office/drawing/2015/06/chart">
            <c:ext xmlns:c16="http://schemas.microsoft.com/office/drawing/2014/chart" uri="{C3380CC4-5D6E-409C-BE32-E72D297353CC}">
              <c16:uniqueId val="{00000004-5898-41A6-9B35-B4E8DA240166}"/>
            </c:ext>
          </c:extLst>
        </c:ser>
        <c:ser>
          <c:idx val="1"/>
          <c:order val="1"/>
          <c:tx>
            <c:strRef>
              <c:f>Blad1!$C$2</c:f>
              <c:strCache>
                <c:ptCount val="1"/>
                <c:pt idx="0">
                  <c:v>General rate for all Member States</c:v>
                </c:pt>
              </c:strCache>
            </c:strRef>
          </c:tx>
          <c:spPr>
            <a:ln w="25384">
              <a:solidFill>
                <a:srgbClr val="92D050"/>
              </a:solidFill>
            </a:ln>
          </c:spPr>
          <c:marker>
            <c:symbol val="square"/>
            <c:size val="4"/>
            <c:spPr>
              <a:solidFill>
                <a:srgbClr val="92D050"/>
              </a:solidFill>
              <a:ln>
                <a:solidFill>
                  <a:srgbClr val="92D050"/>
                </a:solidFill>
              </a:ln>
            </c:spPr>
          </c:marker>
          <c:dLbls>
            <c:dLbl>
              <c:idx val="0"/>
              <c:layout>
                <c:manualLayout>
                  <c:x val="-4.1770714600774736E-2"/>
                  <c:y val="7.81973816717019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898-41A6-9B35-B4E8DA240166}"/>
                </c:ext>
              </c:extLst>
            </c:dLbl>
            <c:dLbl>
              <c:idx val="1"/>
              <c:layout>
                <c:manualLayout>
                  <c:x val="-5.2892598075822882E-2"/>
                  <c:y val="-5.78399188016905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5898-41A6-9B35-B4E8DA240166}"/>
                </c:ext>
              </c:extLst>
            </c:dLbl>
            <c:dLbl>
              <c:idx val="3"/>
              <c:layout>
                <c:manualLayout>
                  <c:x val="-5.2863338006210125E-2"/>
                  <c:y val="7.31621349446122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898-41A6-9B35-B4E8DA240166}"/>
                </c:ext>
              </c:extLst>
            </c:dLbl>
            <c:dLbl>
              <c:idx val="4"/>
              <c:layout>
                <c:manualLayout>
                  <c:x val="-4.454387045213358E-2"/>
                  <c:y val="5.80563947633434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5898-41A6-9B35-B4E8DA240166}"/>
                </c:ext>
              </c:extLst>
            </c:dLbl>
            <c:spPr>
              <a:noFill/>
              <a:ln w="25384">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Blad1!$C$3:$C$8</c:f>
              <c:numCache>
                <c:formatCode>0%</c:formatCode>
                <c:ptCount val="6"/>
                <c:pt idx="0">
                  <c:v>0.68</c:v>
                </c:pt>
                <c:pt idx="1">
                  <c:v>0.7</c:v>
                </c:pt>
                <c:pt idx="2">
                  <c:v>0.75</c:v>
                </c:pt>
                <c:pt idx="3">
                  <c:v>0.75</c:v>
                </c:pt>
                <c:pt idx="4">
                  <c:v>0.72</c:v>
                </c:pt>
                <c:pt idx="5">
                  <c:v>0.77</c:v>
                </c:pt>
              </c:numCache>
            </c:numRef>
          </c:val>
          <c:smooth val="0"/>
          <c:extLst xmlns:c16r2="http://schemas.microsoft.com/office/drawing/2015/06/chart">
            <c:ext xmlns:c16="http://schemas.microsoft.com/office/drawing/2014/chart" uri="{C3380CC4-5D6E-409C-BE32-E72D297353CC}">
              <c16:uniqueId val="{00000009-5898-41A6-9B35-B4E8DA240166}"/>
            </c:ext>
          </c:extLst>
        </c:ser>
        <c:dLbls>
          <c:showLegendKey val="0"/>
          <c:showVal val="0"/>
          <c:showCatName val="0"/>
          <c:showSerName val="0"/>
          <c:showPercent val="0"/>
          <c:showBubbleSize val="0"/>
        </c:dLbls>
        <c:marker val="1"/>
        <c:smooth val="0"/>
        <c:axId val="342256256"/>
        <c:axId val="342282624"/>
      </c:lineChart>
      <c:catAx>
        <c:axId val="34225625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2282624"/>
        <c:crosses val="autoZero"/>
        <c:auto val="1"/>
        <c:lblAlgn val="ctr"/>
        <c:lblOffset val="100"/>
        <c:noMultiLvlLbl val="0"/>
      </c:catAx>
      <c:valAx>
        <c:axId val="342282624"/>
        <c:scaling>
          <c:orientation val="minMax"/>
          <c:min val="0.5"/>
        </c:scaling>
        <c:delete val="1"/>
        <c:axPos val="l"/>
        <c:majorGridlines>
          <c:spPr>
            <a:ln w="9519" cap="flat" cmpd="sng" algn="ctr">
              <a:solidFill>
                <a:schemeClr val="tx1">
                  <a:lumMod val="15000"/>
                  <a:lumOff val="85000"/>
                </a:schemeClr>
              </a:solidFill>
              <a:round/>
            </a:ln>
            <a:effectLst/>
          </c:spPr>
        </c:majorGridlines>
        <c:numFmt formatCode="0%" sourceLinked="1"/>
        <c:majorTickMark val="out"/>
        <c:minorTickMark val="none"/>
        <c:tickLblPos val="nextTo"/>
        <c:crossAx val="342256256"/>
        <c:crosses val="autoZero"/>
        <c:crossBetween val="between"/>
      </c:valAx>
      <c:spPr>
        <a:noFill/>
        <a:ln w="25384">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5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Bulgaria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28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E15-4F78-BF91-9670A23C61CA}"/>
              </c:ext>
            </c:extLst>
          </c:dPt>
          <c:dPt>
            <c:idx val="1"/>
            <c:bubble3D val="0"/>
            <c:spPr>
              <a:solidFill>
                <a:srgbClr val="95C154">
                  <a:alpha val="99000"/>
                </a:srgbClr>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E15-4F78-BF91-9670A23C61CA}"/>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E15-4F78-BF91-9670A23C61CA}"/>
              </c:ext>
            </c:extLst>
          </c:dPt>
          <c:dPt>
            <c:idx val="3"/>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E15-4F78-BF91-9670A23C61CA}"/>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E15-4F78-BF91-9670A23C61CA}"/>
              </c:ext>
            </c:extLst>
          </c:dPt>
          <c:dLbls>
            <c:dLbl>
              <c:idx val="0"/>
              <c:layout>
                <c:manualLayout>
                  <c:x val="3.5584527343918079E-2"/>
                  <c:y val="-0.1532738021312004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E15-4F78-BF91-9670A23C61CA}"/>
                </c:ext>
              </c:extLst>
            </c:dLbl>
            <c:dLbl>
              <c:idx val="1"/>
              <c:layout>
                <c:manualLayout>
                  <c:x val="-1.1483800180715115E-2"/>
                  <c:y val="-5.4774501767720189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E15-4F78-BF91-9670A23C61CA}"/>
                </c:ext>
              </c:extLst>
            </c:dLbl>
            <c:dLbl>
              <c:idx val="2"/>
              <c:layout>
                <c:manualLayout>
                  <c:x val="5.9995697259154081E-2"/>
                  <c:y val="-4.523294998219859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E15-4F78-BF91-9670A23C61CA}"/>
                </c:ext>
              </c:extLst>
            </c:dLbl>
            <c:dLbl>
              <c:idx val="3"/>
              <c:layout>
                <c:manualLayout>
                  <c:x val="1.096685488327117E-2"/>
                  <c:y val="-2.540690416746687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15-4F78-BF91-9670A23C61CA}"/>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3"/>
                <c:pt idx="0">
                  <c:v>Environment</c:v>
                </c:pt>
                <c:pt idx="1">
                  <c:v>Communication networks</c:v>
                </c:pt>
                <c:pt idx="2">
                  <c:v>Climate action</c:v>
                </c:pt>
              </c:strCache>
            </c:strRef>
          </c:cat>
          <c:val>
            <c:numRef>
              <c:f>Blad1!$B$2:$B$5</c:f>
              <c:numCache>
                <c:formatCode>General</c:formatCode>
                <c:ptCount val="4"/>
                <c:pt idx="0">
                  <c:v>3</c:v>
                </c:pt>
                <c:pt idx="1">
                  <c:v>1</c:v>
                </c:pt>
                <c:pt idx="2">
                  <c:v>1</c:v>
                </c:pt>
              </c:numCache>
            </c:numRef>
          </c:val>
          <c:extLst xmlns:c16r2="http://schemas.microsoft.com/office/drawing/2015/06/chart">
            <c:ext xmlns:c16="http://schemas.microsoft.com/office/drawing/2014/chart" uri="{C3380CC4-5D6E-409C-BE32-E72D297353CC}">
              <c16:uniqueId val="{0000000A-9E15-4F78-BF91-9670A23C61CA}"/>
            </c:ext>
          </c:extLst>
        </c:ser>
        <c:dLbls>
          <c:showLegendKey val="0"/>
          <c:showVal val="0"/>
          <c:showCatName val="0"/>
          <c:showSerName val="0"/>
          <c:showPercent val="0"/>
          <c:showBubbleSize val="0"/>
          <c:showLeaderLines val="0"/>
        </c:dLbls>
        <c:firstSliceAng val="182"/>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563026775118457E-2"/>
                  <c:y val="7.69127746018049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AF3-4FE5-87C3-13DBC6C11554}"/>
                </c:ext>
              </c:extLst>
            </c:dLbl>
            <c:dLbl>
              <c:idx val="2"/>
              <c:layout>
                <c:manualLayout>
                  <c:x val="-4.7378143326143637E-2"/>
                  <c:y val="7.12135512170567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AF3-4FE5-87C3-13DBC6C11554}"/>
                </c:ext>
              </c:extLst>
            </c:dLbl>
            <c:dLbl>
              <c:idx val="3"/>
              <c:layout>
                <c:manualLayout>
                  <c:x val="-4.1776604530693963E-2"/>
                  <c:y val="-5.99258283840799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28F-4E55-8A0E-ECA53115E124}"/>
                </c:ext>
              </c:extLst>
            </c:dLbl>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25</c:v>
                </c:pt>
                <c:pt idx="1">
                  <c:v>26</c:v>
                </c:pt>
                <c:pt idx="2">
                  <c:v>33</c:v>
                </c:pt>
                <c:pt idx="3">
                  <c:v>50</c:v>
                </c:pt>
                <c:pt idx="4">
                  <c:v>34</c:v>
                </c:pt>
              </c:numCache>
            </c:numRef>
          </c:val>
          <c:smooth val="0"/>
          <c:extLst xmlns:c16r2="http://schemas.microsoft.com/office/drawing/2015/06/chart">
            <c:ext xmlns:c16="http://schemas.microsoft.com/office/drawing/2014/chart" uri="{C3380CC4-5D6E-409C-BE32-E72D297353CC}">
              <c16:uniqueId val="{00000002-1AF3-4FE5-87C3-13DBC6C11554}"/>
            </c:ext>
          </c:extLst>
        </c:ser>
        <c:dLbls>
          <c:showLegendKey val="0"/>
          <c:showVal val="0"/>
          <c:showCatName val="0"/>
          <c:showSerName val="0"/>
          <c:showPercent val="0"/>
          <c:showBubbleSize val="0"/>
        </c:dLbls>
        <c:marker val="1"/>
        <c:smooth val="0"/>
        <c:axId val="342542592"/>
        <c:axId val="342548480"/>
      </c:lineChart>
      <c:catAx>
        <c:axId val="342542592"/>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2548480"/>
        <c:crosses val="autoZero"/>
        <c:auto val="1"/>
        <c:lblAlgn val="ctr"/>
        <c:lblOffset val="100"/>
        <c:noMultiLvlLbl val="0"/>
      </c:catAx>
      <c:valAx>
        <c:axId val="342548480"/>
        <c:scaling>
          <c:orientation val="minMax"/>
          <c:min val="2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342542592"/>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14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Lithuania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95B-4138-B4E3-1F8E7C3E08EF}"/>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95B-4138-B4E3-1F8E7C3E08EF}"/>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95B-4138-B4E3-1F8E7C3E08EF}"/>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95B-4138-B4E3-1F8E7C3E08EF}"/>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95B-4138-B4E3-1F8E7C3E08EF}"/>
              </c:ext>
            </c:extLst>
          </c:dPt>
          <c:dPt>
            <c:idx val="5"/>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E95B-4138-B4E3-1F8E7C3E08EF}"/>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E95B-4138-B4E3-1F8E7C3E08E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95B-4138-B4E3-1F8E7C3E08EF}"/>
                </c:ext>
              </c:extLst>
            </c:dLbl>
            <c:dLbl>
              <c:idx val="1"/>
              <c:layout>
                <c:manualLayout>
                  <c:x val="-1.1109460831959113E-2"/>
                  <c:y val="0.1550079600705649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95B-4138-B4E3-1F8E7C3E08EF}"/>
                </c:ext>
              </c:extLst>
            </c:dLbl>
            <c:dLbl>
              <c:idx val="2"/>
              <c:layout>
                <c:manualLayout>
                  <c:x val="1.9507732082574537E-2"/>
                  <c:y val="0.253767892415509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95B-4138-B4E3-1F8E7C3E08EF}"/>
                </c:ext>
              </c:extLst>
            </c:dLbl>
            <c:dLbl>
              <c:idx val="3"/>
              <c:layout>
                <c:manualLayout>
                  <c:x val="-1.8182731318318987E-3"/>
                  <c:y val="4.521707327567660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95B-4138-B4E3-1F8E7C3E08EF}"/>
                </c:ext>
              </c:extLst>
            </c:dLbl>
            <c:dLbl>
              <c:idx val="4"/>
              <c:layout>
                <c:manualLayout>
                  <c:x val="-4.1597337770382693E-2"/>
                  <c:y val="-4.3027408459188502E-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95B-4138-B4E3-1F8E7C3E08EF}"/>
                </c:ext>
              </c:extLst>
            </c:dLbl>
            <c:dLbl>
              <c:idx val="6"/>
              <c:layout>
                <c:manualLayout>
                  <c:x val="-1.9408302117575108E-2"/>
                  <c:y val="5.464480874316939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95B-4138-B4E3-1F8E7C3E08EF}"/>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5"/>
                <c:pt idx="0">
                  <c:v>Policy Area</c:v>
                </c:pt>
                <c:pt idx="1">
                  <c:v>Mobility and transport</c:v>
                </c:pt>
                <c:pt idx="2">
                  <c:v>Financial stability, financial services and capital markets union</c:v>
                </c:pt>
                <c:pt idx="3">
                  <c:v>Environment</c:v>
                </c:pt>
                <c:pt idx="4">
                  <c:v>Other</c:v>
                </c:pt>
              </c:strCache>
            </c:strRef>
          </c:cat>
          <c:val>
            <c:numRef>
              <c:f>Blad1!$B$2:$B$7</c:f>
              <c:numCache>
                <c:formatCode>General</c:formatCode>
                <c:ptCount val="6"/>
                <c:pt idx="0">
                  <c:v>0</c:v>
                </c:pt>
                <c:pt idx="1">
                  <c:v>4</c:v>
                </c:pt>
                <c:pt idx="2">
                  <c:v>3</c:v>
                </c:pt>
                <c:pt idx="3">
                  <c:v>3</c:v>
                </c:pt>
                <c:pt idx="4">
                  <c:v>4</c:v>
                </c:pt>
              </c:numCache>
            </c:numRef>
          </c:val>
          <c:extLst xmlns:c16r2="http://schemas.microsoft.com/office/drawing/2015/06/chart">
            <c:ext xmlns:c16="http://schemas.microsoft.com/office/drawing/2014/chart" uri="{C3380CC4-5D6E-409C-BE32-E72D297353CC}">
              <c16:uniqueId val="{0000000E-E95B-4138-B4E3-1F8E7C3E08EF}"/>
            </c:ext>
          </c:extLst>
        </c:ser>
        <c:dLbls>
          <c:showLegendKey val="0"/>
          <c:showVal val="0"/>
          <c:showCatName val="1"/>
          <c:showSerName val="0"/>
          <c:showPercent val="0"/>
          <c:showBubbleSize val="0"/>
          <c:showLeaderLines val="0"/>
        </c:dLbls>
        <c:firstSliceAng val="26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3271887187146531E-2"/>
                  <c:y val="7.22789072587791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EB9-4E96-8607-6A065CF78C0F}"/>
                </c:ext>
              </c:extLst>
            </c:dLbl>
            <c:dLbl>
              <c:idx val="3"/>
              <c:layout>
                <c:manualLayout>
                  <c:x val="-4.4875459771680788E-2"/>
                  <c:y val="-6.14361415257368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F4E-4E3A-B730-E6C83666800D}"/>
                </c:ext>
              </c:extLst>
            </c:dLbl>
            <c:spPr>
              <a:noFill/>
              <a:ln w="25355">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14</c:v>
                </c:pt>
                <c:pt idx="1">
                  <c:v>10</c:v>
                </c:pt>
                <c:pt idx="2">
                  <c:v>16</c:v>
                </c:pt>
                <c:pt idx="3">
                  <c:v>35</c:v>
                </c:pt>
                <c:pt idx="4">
                  <c:v>23</c:v>
                </c:pt>
              </c:numCache>
            </c:numRef>
          </c:val>
          <c:smooth val="0"/>
          <c:extLst xmlns:c16r2="http://schemas.microsoft.com/office/drawing/2015/06/chart">
            <c:ext xmlns:c16="http://schemas.microsoft.com/office/drawing/2014/chart" uri="{C3380CC4-5D6E-409C-BE32-E72D297353CC}">
              <c16:uniqueId val="{00000001-2EB9-4E96-8607-6A065CF78C0F}"/>
            </c:ext>
          </c:extLst>
        </c:ser>
        <c:dLbls>
          <c:showLegendKey val="0"/>
          <c:showVal val="0"/>
          <c:showCatName val="0"/>
          <c:showSerName val="0"/>
          <c:showPercent val="0"/>
          <c:showBubbleSize val="0"/>
        </c:dLbls>
        <c:marker val="1"/>
        <c:smooth val="0"/>
        <c:axId val="342684032"/>
        <c:axId val="342685568"/>
      </c:lineChart>
      <c:catAx>
        <c:axId val="342684032"/>
        <c:scaling>
          <c:orientation val="minMax"/>
        </c:scaling>
        <c:delete val="0"/>
        <c:axPos val="b"/>
        <c:numFmt formatCode="General" sourceLinked="1"/>
        <c:majorTickMark val="none"/>
        <c:minorTickMark val="none"/>
        <c:tickLblPos val="nextTo"/>
        <c:spPr>
          <a:noFill/>
          <a:ln w="1267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2685568"/>
        <c:crosses val="autoZero"/>
        <c:auto val="1"/>
        <c:lblAlgn val="ctr"/>
        <c:lblOffset val="100"/>
        <c:noMultiLvlLbl val="0"/>
      </c:catAx>
      <c:valAx>
        <c:axId val="342685568"/>
        <c:scaling>
          <c:orientation val="minMax"/>
          <c:min val="5"/>
        </c:scaling>
        <c:delete val="1"/>
        <c:axPos val="l"/>
        <c:majorGridlines>
          <c:spPr>
            <a:ln w="9508" cap="flat" cmpd="sng" algn="ctr">
              <a:solidFill>
                <a:schemeClr val="tx1">
                  <a:lumMod val="15000"/>
                  <a:lumOff val="85000"/>
                </a:schemeClr>
              </a:solidFill>
              <a:round/>
            </a:ln>
            <a:effectLst/>
          </c:spPr>
        </c:majorGridlines>
        <c:numFmt formatCode="General" sourceLinked="1"/>
        <c:majorTickMark val="out"/>
        <c:minorTickMark val="none"/>
        <c:tickLblPos val="nextTo"/>
        <c:crossAx val="342684032"/>
        <c:crosses val="autoZero"/>
        <c:crossBetween val="between"/>
      </c:valAx>
      <c:spPr>
        <a:noFill/>
        <a:ln w="25355">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179263781711149E-2"/>
                  <c:y val="5.08426800347704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B63-4F2A-8CEA-AAA7454D7DA0}"/>
                </c:ext>
              </c:extLst>
            </c:dLbl>
            <c:dLbl>
              <c:idx val="3"/>
              <c:layout>
                <c:manualLayout>
                  <c:x val="-3.9355037015721871E-2"/>
                  <c:y val="-6.30325717482036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75C-408A-9F6A-E7286B6BE88D}"/>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14</c:v>
                </c:pt>
                <c:pt idx="1">
                  <c:v>13</c:v>
                </c:pt>
                <c:pt idx="2">
                  <c:v>16</c:v>
                </c:pt>
                <c:pt idx="3">
                  <c:v>29</c:v>
                </c:pt>
                <c:pt idx="4">
                  <c:v>11</c:v>
                </c:pt>
              </c:numCache>
            </c:numRef>
          </c:val>
          <c:smooth val="0"/>
          <c:extLst xmlns:c16r2="http://schemas.microsoft.com/office/drawing/2015/06/chart">
            <c:ext xmlns:c16="http://schemas.microsoft.com/office/drawing/2014/chart" uri="{C3380CC4-5D6E-409C-BE32-E72D297353CC}">
              <c16:uniqueId val="{00000001-DB63-4F2A-8CEA-AAA7454D7DA0}"/>
            </c:ext>
          </c:extLst>
        </c:ser>
        <c:dLbls>
          <c:showLegendKey val="0"/>
          <c:showVal val="0"/>
          <c:showCatName val="0"/>
          <c:showSerName val="0"/>
          <c:showPercent val="0"/>
          <c:showBubbleSize val="0"/>
        </c:dLbls>
        <c:marker val="1"/>
        <c:smooth val="0"/>
        <c:axId val="342723584"/>
        <c:axId val="342737664"/>
      </c:lineChart>
      <c:catAx>
        <c:axId val="34272358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42737664"/>
        <c:crosses val="autoZero"/>
        <c:auto val="1"/>
        <c:lblAlgn val="ctr"/>
        <c:lblOffset val="100"/>
        <c:noMultiLvlLbl val="0"/>
      </c:catAx>
      <c:valAx>
        <c:axId val="342737664"/>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4272358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11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Lithuania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DE8-4C9E-9CE9-3FE29F175DA7}"/>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DE8-4C9E-9CE9-3FE29F175DA7}"/>
              </c:ext>
            </c:extLst>
          </c:dPt>
          <c:dPt>
            <c:idx val="2"/>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DE8-4C9E-9CE9-3FE29F175DA7}"/>
              </c:ext>
            </c:extLst>
          </c:dPt>
          <c:dPt>
            <c:idx val="3"/>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DE8-4C9E-9CE9-3FE29F175DA7}"/>
              </c:ext>
            </c:extLst>
          </c:dPt>
          <c:dLbls>
            <c:dLbl>
              <c:idx val="0"/>
              <c:layout>
                <c:manualLayout>
                  <c:x val="-4.4290619879043529E-2"/>
                  <c:y val="0.248946422468419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DE8-4C9E-9CE9-3FE29F175DA7}"/>
                </c:ext>
              </c:extLst>
            </c:dLbl>
            <c:dLbl>
              <c:idx val="1"/>
              <c:layout>
                <c:manualLayout>
                  <c:x val="1.383745378469608E-2"/>
                  <c:y val="1.735007150431133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DE8-4C9E-9CE9-3FE29F175DA7}"/>
                </c:ext>
              </c:extLst>
            </c:dLbl>
            <c:dLbl>
              <c:idx val="2"/>
              <c:layout>
                <c:manualLayout>
                  <c:x val="-2.6087582075496377E-3"/>
                  <c:y val="-3.8598116411919099E-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DE8-4C9E-9CE9-3FE29F175DA7}"/>
                </c:ext>
              </c:extLst>
            </c:dLbl>
            <c:dLbl>
              <c:idx val="3"/>
              <c:layout>
                <c:manualLayout>
                  <c:x val="-0.15503875968992245"/>
                  <c:y val="-0.1617647058823530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DE8-4C9E-9CE9-3FE29F175DA7}"/>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Blad1!$A$4:$A$7</c:f>
              <c:strCache>
                <c:ptCount val="3"/>
                <c:pt idx="0">
                  <c:v>Financial stability, financial services and capital markets union</c:v>
                </c:pt>
                <c:pt idx="1">
                  <c:v>Mobility and transport</c:v>
                </c:pt>
                <c:pt idx="2">
                  <c:v>Other</c:v>
                </c:pt>
              </c:strCache>
            </c:strRef>
          </c:cat>
          <c:val>
            <c:numRef>
              <c:f>Blad1!$B$4:$B$7</c:f>
              <c:numCache>
                <c:formatCode>General</c:formatCode>
                <c:ptCount val="4"/>
                <c:pt idx="0">
                  <c:v>3</c:v>
                </c:pt>
                <c:pt idx="1">
                  <c:v>4</c:v>
                </c:pt>
                <c:pt idx="2">
                  <c:v>4</c:v>
                </c:pt>
              </c:numCache>
            </c:numRef>
          </c:val>
          <c:extLst xmlns:c16r2="http://schemas.microsoft.com/office/drawing/2015/06/chart">
            <c:ext xmlns:c16="http://schemas.microsoft.com/office/drawing/2014/chart" uri="{C3380CC4-5D6E-409C-BE32-E72D297353CC}">
              <c16:uniqueId val="{00000008-EDE8-4C9E-9CE9-3FE29F175DA7}"/>
            </c:ext>
          </c:extLst>
        </c:ser>
        <c:dLbls>
          <c:dLblPos val="inEnd"/>
          <c:showLegendKey val="0"/>
          <c:showVal val="0"/>
          <c:showCatName val="0"/>
          <c:showSerName val="0"/>
          <c:showPercent val="1"/>
          <c:showBubbleSize val="0"/>
          <c:showLeaderLines val="0"/>
        </c:dLbls>
        <c:firstSliceAng val="26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48358043508383E-2"/>
          <c:y val="7.7241379310344832E-2"/>
          <c:w val="0.93899057127010543"/>
          <c:h val="0.691994750656168"/>
        </c:manualLayout>
      </c:layout>
      <c:lineChart>
        <c:grouping val="standard"/>
        <c:varyColors val="0"/>
        <c:ser>
          <c:idx val="0"/>
          <c:order val="0"/>
          <c:tx>
            <c:strRef>
              <c:f>Blad1!$B$2</c:f>
              <c:strCache>
                <c:ptCount val="1"/>
                <c:pt idx="0">
                  <c:v>Bulgaria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636493857568969E-2"/>
                  <c:y val="-5.25938189845474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558-4DEA-929E-12A87A82F211}"/>
                </c:ext>
              </c:extLst>
            </c:dLbl>
            <c:dLbl>
              <c:idx val="1"/>
              <c:layout>
                <c:manualLayout>
                  <c:x val="-6.9502273114363203E-2"/>
                  <c:y val="-6.36313465783664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558-4DEA-929E-12A87A82F211}"/>
                </c:ext>
              </c:extLst>
            </c:dLbl>
            <c:dLbl>
              <c:idx val="2"/>
              <c:layout>
                <c:manualLayout>
                  <c:x val="-5.5636493857568969E-2"/>
                  <c:y val="-6.91501103752758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558-4DEA-929E-12A87A82F211}"/>
                </c:ext>
              </c:extLst>
            </c:dLbl>
            <c:dLbl>
              <c:idx val="3"/>
              <c:layout>
                <c:manualLayout>
                  <c:x val="-4.8189830837757575E-2"/>
                  <c:y val="-5.9905117372626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558-4DEA-929E-12A87A82F211}"/>
                </c:ext>
              </c:extLst>
            </c:dLbl>
            <c:dLbl>
              <c:idx val="4"/>
              <c:layout>
                <c:manualLayout>
                  <c:x val="-5.5636493857568865E-2"/>
                  <c:y val="-8.01876379690949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558-4DEA-929E-12A87A82F211}"/>
                </c:ext>
              </c:extLst>
            </c:dLbl>
            <c:spPr>
              <a:noFill/>
              <a:ln w="25370">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0.75</c:v>
                </c:pt>
                <c:pt idx="1">
                  <c:v>0.84</c:v>
                </c:pt>
                <c:pt idx="2">
                  <c:v>0.84</c:v>
                </c:pt>
                <c:pt idx="3">
                  <c:v>0.76</c:v>
                </c:pt>
                <c:pt idx="4">
                  <c:v>0.78</c:v>
                </c:pt>
              </c:numCache>
            </c:numRef>
          </c:val>
          <c:smooth val="0"/>
          <c:extLst xmlns:c16r2="http://schemas.microsoft.com/office/drawing/2015/06/chart">
            <c:ext xmlns:c16="http://schemas.microsoft.com/office/drawing/2014/chart" uri="{C3380CC4-5D6E-409C-BE32-E72D297353CC}">
              <c16:uniqueId val="{00000005-5558-4DEA-929E-12A87A82F211}"/>
            </c:ext>
          </c:extLst>
        </c:ser>
        <c:ser>
          <c:idx val="1"/>
          <c:order val="1"/>
          <c:tx>
            <c:strRef>
              <c:f>Blad1!$C$2</c:f>
              <c:strCache>
                <c:ptCount val="1"/>
                <c:pt idx="0">
                  <c:v>General rate for all Member States</c:v>
                </c:pt>
              </c:strCache>
            </c:strRef>
          </c:tx>
          <c:spPr>
            <a:ln w="25370">
              <a:solidFill>
                <a:srgbClr val="92D050"/>
              </a:solidFill>
            </a:ln>
          </c:spPr>
          <c:marker>
            <c:symbol val="square"/>
            <c:size val="4"/>
            <c:spPr>
              <a:solidFill>
                <a:srgbClr val="92D050"/>
              </a:solidFill>
              <a:ln>
                <a:solidFill>
                  <a:srgbClr val="92D050"/>
                </a:solidFill>
              </a:ln>
            </c:spPr>
          </c:marker>
          <c:dLbls>
            <c:dLbl>
              <c:idx val="0"/>
              <c:layout>
                <c:manualLayout>
                  <c:x val="-4.7326142689875207E-2"/>
                  <c:y val="5.27028077082469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5558-4DEA-929E-12A87A82F211}"/>
                </c:ext>
              </c:extLst>
            </c:dLbl>
            <c:dLbl>
              <c:idx val="1"/>
              <c:layout>
                <c:manualLayout>
                  <c:x val="-6.3955961411645501E-2"/>
                  <c:y val="6.36313465783664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558-4DEA-929E-12A87A82F211}"/>
                </c:ext>
              </c:extLst>
            </c:dLbl>
            <c:dLbl>
              <c:idx val="2"/>
              <c:layout>
                <c:manualLayout>
                  <c:x val="-5.2863338006210125E-2"/>
                  <c:y val="6.91501103752758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5558-4DEA-929E-12A87A82F211}"/>
                </c:ext>
              </c:extLst>
            </c:dLbl>
            <c:dLbl>
              <c:idx val="3"/>
              <c:layout>
                <c:manualLayout>
                  <c:x val="-5.0090182154851275E-2"/>
                  <c:y val="6.36313465783664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5558-4DEA-929E-12A87A82F211}"/>
                </c:ext>
              </c:extLst>
            </c:dLbl>
            <c:dLbl>
              <c:idx val="4"/>
              <c:layout>
                <c:manualLayout>
                  <c:x val="-5.0090182154851177E-2"/>
                  <c:y val="6.91501103752758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5558-4DEA-929E-12A87A82F211}"/>
                </c:ext>
              </c:extLst>
            </c:dLbl>
            <c:spPr>
              <a:noFill/>
              <a:ln w="25370">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B-5558-4DEA-929E-12A87A82F211}"/>
            </c:ext>
          </c:extLst>
        </c:ser>
        <c:dLbls>
          <c:showLegendKey val="0"/>
          <c:showVal val="0"/>
          <c:showCatName val="0"/>
          <c:showSerName val="0"/>
          <c:showPercent val="0"/>
          <c:showBubbleSize val="0"/>
        </c:dLbls>
        <c:marker val="1"/>
        <c:smooth val="0"/>
        <c:axId val="327453312"/>
        <c:axId val="327479680"/>
      </c:lineChart>
      <c:catAx>
        <c:axId val="327453312"/>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7479680"/>
        <c:crosses val="autoZero"/>
        <c:auto val="1"/>
        <c:lblAlgn val="ctr"/>
        <c:lblOffset val="100"/>
        <c:noMultiLvlLbl val="0"/>
      </c:catAx>
      <c:valAx>
        <c:axId val="327479680"/>
        <c:scaling>
          <c:orientation val="minMax"/>
          <c:min val="0.5"/>
        </c:scaling>
        <c:delete val="1"/>
        <c:axPos val="l"/>
        <c:majorGridlines>
          <c:spPr>
            <a:ln w="9514" cap="flat" cmpd="sng" algn="ctr">
              <a:solidFill>
                <a:schemeClr val="tx1">
                  <a:lumMod val="15000"/>
                  <a:lumOff val="85000"/>
                </a:schemeClr>
              </a:solidFill>
              <a:round/>
            </a:ln>
            <a:effectLst/>
          </c:spPr>
        </c:majorGridlines>
        <c:numFmt formatCode="0%" sourceLinked="1"/>
        <c:majorTickMark val="out"/>
        <c:minorTickMark val="none"/>
        <c:tickLblPos val="nextTo"/>
        <c:crossAx val="327453312"/>
        <c:crosses val="autoZero"/>
        <c:crossBetween val="between"/>
      </c:valAx>
      <c:spPr>
        <a:noFill/>
        <a:ln w="25370">
          <a:noFill/>
        </a:ln>
      </c:spPr>
    </c:plotArea>
    <c:legend>
      <c:legendPos val="b"/>
      <c:layout>
        <c:manualLayout>
          <c:xMode val="edge"/>
          <c:yMode val="edge"/>
          <c:x val="6.6878646538609435E-2"/>
          <c:y val="0.8516933659154674"/>
          <c:w val="0.86624270692278127"/>
          <c:h val="9.2883971400126719E-2"/>
        </c:manualLayout>
      </c:layout>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4.2177260954963408E-2"/>
                  <c:y val="-5.78212420956277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6F0-4E5E-9615-E1F7A24E364F}"/>
                </c:ext>
              </c:extLst>
            </c:dLbl>
            <c:dLbl>
              <c:idx val="2"/>
              <c:layout>
                <c:manualLayout>
                  <c:x val="-4.4780156612654824E-2"/>
                  <c:y val="5.53179748291180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6F0-4E5E-9615-E1F7A24E364F}"/>
                </c:ext>
              </c:extLst>
            </c:dLbl>
            <c:dLbl>
              <c:idx val="3"/>
              <c:layout>
                <c:manualLayout>
                  <c:x val="-3.9344779802602287E-2"/>
                  <c:y val="-6.84871639500361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6F0-4E5E-9615-E1F7A24E364F}"/>
                </c:ext>
              </c:extLst>
            </c:dLbl>
            <c:dLbl>
              <c:idx val="4"/>
              <c:layout>
                <c:manualLayout>
                  <c:x val="-3.3747240618101547E-2"/>
                  <c:y val="-9.80128151240881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6F0-4E5E-9615-E1F7A24E364F}"/>
                </c:ext>
              </c:extLst>
            </c:dLbl>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42</c:v>
                </c:pt>
                <c:pt idx="1">
                  <c:v>50</c:v>
                </c:pt>
                <c:pt idx="2">
                  <c:v>39</c:v>
                </c:pt>
                <c:pt idx="3">
                  <c:v>55</c:v>
                </c:pt>
                <c:pt idx="4">
                  <c:v>53</c:v>
                </c:pt>
              </c:numCache>
            </c:numRef>
          </c:val>
          <c:smooth val="0"/>
          <c:extLst xmlns:c16r2="http://schemas.microsoft.com/office/drawing/2015/06/chart">
            <c:ext xmlns:c16="http://schemas.microsoft.com/office/drawing/2014/chart" uri="{C3380CC4-5D6E-409C-BE32-E72D297353CC}">
              <c16:uniqueId val="{00000004-C6F0-4E5E-9615-E1F7A24E364F}"/>
            </c:ext>
          </c:extLst>
        </c:ser>
        <c:dLbls>
          <c:showLegendKey val="0"/>
          <c:showVal val="0"/>
          <c:showCatName val="0"/>
          <c:showSerName val="0"/>
          <c:showPercent val="0"/>
          <c:showBubbleSize val="0"/>
        </c:dLbls>
        <c:marker val="1"/>
        <c:smooth val="0"/>
        <c:axId val="327314048"/>
        <c:axId val="327319936"/>
      </c:lineChart>
      <c:catAx>
        <c:axId val="327314048"/>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7319936"/>
        <c:crosses val="autoZero"/>
        <c:auto val="1"/>
        <c:lblAlgn val="ctr"/>
        <c:lblOffset val="100"/>
        <c:noMultiLvlLbl val="0"/>
      </c:catAx>
      <c:valAx>
        <c:axId val="327319936"/>
        <c:scaling>
          <c:orientation val="minMax"/>
          <c:min val="35"/>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327314048"/>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29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Bulgaria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0236220473"/>
          <c:y val="3.2786749932120551E-2"/>
        </c:manualLayout>
      </c:layout>
      <c:overlay val="0"/>
      <c:spPr>
        <a:noFill/>
        <a:ln w="25326">
          <a:noFill/>
        </a:ln>
      </c:spPr>
    </c:title>
    <c:autoTitleDeleted val="0"/>
    <c:plotArea>
      <c:layout/>
      <c:pieChart>
        <c:varyColors val="1"/>
        <c:ser>
          <c:idx val="0"/>
          <c:order val="0"/>
          <c:tx>
            <c:strRef>
              <c:f>Blad1!$B$1</c:f>
              <c:strCache>
                <c:ptCount val="1"/>
                <c:pt idx="0">
                  <c:v>[Number of infringement cases] infringement cases against Bulgaria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783-419F-80CB-556BB4BA55DA}"/>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783-419F-80CB-556BB4BA55DA}"/>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783-419F-80CB-556BB4BA55DA}"/>
              </c:ext>
            </c:extLst>
          </c:dPt>
          <c:dPt>
            <c:idx val="3"/>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783-419F-80CB-556BB4BA55DA}"/>
              </c:ext>
            </c:extLst>
          </c:dPt>
          <c:dPt>
            <c:idx val="4"/>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783-419F-80CB-556BB4BA55DA}"/>
              </c:ext>
            </c:extLst>
          </c:dPt>
          <c:dPt>
            <c:idx val="5"/>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0783-419F-80CB-556BB4BA55DA}"/>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0783-419F-80CB-556BB4BA55D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83-419F-80CB-556BB4BA55DA}"/>
                </c:ext>
              </c:extLst>
            </c:dLbl>
            <c:dLbl>
              <c:idx val="1"/>
              <c:layout>
                <c:manualLayout>
                  <c:x val="5.9421667119196305E-3"/>
                  <c:y val="-6.427654876473773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783-419F-80CB-556BB4BA55DA}"/>
                </c:ext>
              </c:extLst>
            </c:dLbl>
            <c:dLbl>
              <c:idx val="2"/>
              <c:layout>
                <c:manualLayout>
                  <c:x val="-0.18814010317675808"/>
                  <c:y val="5.781235678873473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783-419F-80CB-556BB4BA55DA}"/>
                </c:ext>
              </c:extLst>
            </c:dLbl>
            <c:dLbl>
              <c:idx val="3"/>
              <c:layout>
                <c:manualLayout>
                  <c:x val="-4.5345053851027245E-2"/>
                  <c:y val="-7.6919551722701325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783-419F-80CB-556BB4BA55DA}"/>
                </c:ext>
              </c:extLst>
            </c:dLbl>
            <c:dLbl>
              <c:idx val="4"/>
              <c:layout>
                <c:manualLayout>
                  <c:x val="1.6064802244547018E-2"/>
                  <c:y val="1.08015664708578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0783-419F-80CB-556BB4BA55DA}"/>
                </c:ext>
              </c:extLst>
            </c:dLbl>
            <c:dLbl>
              <c:idx val="5"/>
              <c:layout>
                <c:manualLayout>
                  <c:x val="8.6206896551724137E-3"/>
                  <c:y val="5.308336457942756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0783-419F-80CB-556BB4BA55DA}"/>
                </c:ext>
              </c:extLst>
            </c:dLbl>
            <c:dLbl>
              <c:idx val="6"/>
              <c:layout>
                <c:manualLayout>
                  <c:x val="0.10057471264367816"/>
                  <c:y val="-3.174603174603174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0783-419F-80CB-556BB4BA55DA}"/>
                </c:ext>
              </c:extLst>
            </c:dLbl>
            <c:spPr>
              <a:noFill/>
              <a:ln w="2532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7"/>
                <c:pt idx="0">
                  <c:v>Policy Area</c:v>
                </c:pt>
                <c:pt idx="1">
                  <c:v>Mobility and transport</c:v>
                </c:pt>
                <c:pt idx="2">
                  <c:v>Environment</c:v>
                </c:pt>
                <c:pt idx="3">
                  <c:v>Justice and consumers</c:v>
                </c:pt>
                <c:pt idx="4">
                  <c:v>Financial stability, financial services and Capital Markets Union</c:v>
                </c:pt>
                <c:pt idx="5">
                  <c:v>Taxation and customs</c:v>
                </c:pt>
                <c:pt idx="6">
                  <c:v>Other</c:v>
                </c:pt>
              </c:strCache>
            </c:strRef>
          </c:cat>
          <c:val>
            <c:numRef>
              <c:f>Blad1!$B$2:$B$8</c:f>
              <c:numCache>
                <c:formatCode>General</c:formatCode>
                <c:ptCount val="7"/>
                <c:pt idx="0">
                  <c:v>0</c:v>
                </c:pt>
                <c:pt idx="1">
                  <c:v>9</c:v>
                </c:pt>
                <c:pt idx="2">
                  <c:v>5</c:v>
                </c:pt>
                <c:pt idx="3">
                  <c:v>3</c:v>
                </c:pt>
                <c:pt idx="4">
                  <c:v>3</c:v>
                </c:pt>
                <c:pt idx="5">
                  <c:v>2</c:v>
                </c:pt>
                <c:pt idx="6">
                  <c:v>7</c:v>
                </c:pt>
              </c:numCache>
            </c:numRef>
          </c:val>
          <c:extLst xmlns:c16r2="http://schemas.microsoft.com/office/drawing/2015/06/chart">
            <c:ext xmlns:c16="http://schemas.microsoft.com/office/drawing/2014/chart" uri="{C3380CC4-5D6E-409C-BE32-E72D297353CC}">
              <c16:uniqueId val="{0000000E-0783-419F-80CB-556BB4BA55DA}"/>
            </c:ext>
          </c:extLst>
        </c:ser>
        <c:dLbls>
          <c:showLegendKey val="0"/>
          <c:showVal val="0"/>
          <c:showCatName val="0"/>
          <c:showSerName val="0"/>
          <c:showPercent val="0"/>
          <c:showBubbleSize val="0"/>
          <c:showLeaderLines val="0"/>
        </c:dLbls>
        <c:firstSliceAng val="215"/>
      </c:pieChart>
      <c:spPr>
        <a:noFill/>
        <a:ln w="25326">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101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Belgium</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3">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817-47DB-A45F-326DE6CDD1E8}"/>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817-47DB-A45F-326DE6CDD1E8}"/>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817-47DB-A45F-326DE6CDD1E8}"/>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817-47DB-A45F-326DE6CDD1E8}"/>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E817-47DB-A45F-326DE6CDD1E8}"/>
              </c:ext>
            </c:extLst>
          </c:dPt>
          <c:dLbls>
            <c:dLbl>
              <c:idx val="0"/>
              <c:layout>
                <c:manualLayout>
                  <c:x val="-0.21160310631274182"/>
                  <c:y val="0.10967544719560657"/>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17-47DB-A45F-326DE6CDD1E8}"/>
                </c:ext>
              </c:extLst>
            </c:dLbl>
            <c:dLbl>
              <c:idx val="1"/>
              <c:layout>
                <c:manualLayout>
                  <c:x val="-0.13175096317243706"/>
                  <c:y val="9.6887290047210556E-2"/>
                </c:manualLayout>
              </c:layout>
              <c:spPr>
                <a:noFill/>
                <a:ln w="25403">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817-47DB-A45F-326DE6CDD1E8}"/>
                </c:ext>
              </c:extLst>
            </c:dLbl>
            <c:dLbl>
              <c:idx val="2"/>
              <c:layout>
                <c:manualLayout>
                  <c:x val="-5.3524713858873075E-3"/>
                  <c:y val="-4.7254157128122566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817-47DB-A45F-326DE6CDD1E8}"/>
                </c:ext>
              </c:extLst>
            </c:dLbl>
            <c:dLbl>
              <c:idx val="3"/>
              <c:layout>
                <c:manualLayout>
                  <c:x val="3.2948929159802305E-2"/>
                  <c:y val="-6.3897763578274758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817-47DB-A45F-326DE6CDD1E8}"/>
                </c:ext>
              </c:extLst>
            </c:dLbl>
            <c:dLbl>
              <c:idx val="4"/>
              <c:layout>
                <c:manualLayout>
                  <c:x val="-8.2327113062568603E-3"/>
                  <c:y val="-4.791056694170890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817-47DB-A45F-326DE6CDD1E8}"/>
                </c:ext>
              </c:extLst>
            </c:dLbl>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Policy Area</c:v>
                </c:pt>
                <c:pt idx="1">
                  <c:v>Taxation and customs</c:v>
                </c:pt>
                <c:pt idx="2">
                  <c:v>Justice and consumers</c:v>
                </c:pt>
                <c:pt idx="3">
                  <c:v>Environment</c:v>
                </c:pt>
                <c:pt idx="4">
                  <c:v>Other</c:v>
                </c:pt>
              </c:strCache>
            </c:strRef>
          </c:cat>
          <c:val>
            <c:numRef>
              <c:f>Blad1!$B$2:$B$6</c:f>
              <c:numCache>
                <c:formatCode>General</c:formatCode>
                <c:ptCount val="5"/>
                <c:pt idx="1">
                  <c:v>31</c:v>
                </c:pt>
                <c:pt idx="2">
                  <c:v>15</c:v>
                </c:pt>
                <c:pt idx="3">
                  <c:v>13</c:v>
                </c:pt>
                <c:pt idx="4">
                  <c:v>42</c:v>
                </c:pt>
              </c:numCache>
            </c:numRef>
          </c:val>
          <c:extLst xmlns:c16r2="http://schemas.microsoft.com/office/drawing/2015/06/chart">
            <c:ext xmlns:c16="http://schemas.microsoft.com/office/drawing/2014/chart" uri="{C3380CC4-5D6E-409C-BE32-E72D297353CC}">
              <c16:uniqueId val="{00000009-E817-47DB-A45F-326DE6CDD1E8}"/>
            </c:ext>
          </c:extLst>
        </c:ser>
        <c:dLbls>
          <c:showLegendKey val="0"/>
          <c:showVal val="0"/>
          <c:showCatName val="0"/>
          <c:showSerName val="0"/>
          <c:showPercent val="0"/>
          <c:showBubbleSize val="0"/>
          <c:showLeaderLines val="0"/>
        </c:dLbls>
        <c:firstSliceAng val="302"/>
      </c:pieChart>
      <c:spPr>
        <a:noFill/>
        <a:ln w="25403">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8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11</c:v>
                </c:pt>
                <c:pt idx="1">
                  <c:v>16</c:v>
                </c:pt>
                <c:pt idx="2">
                  <c:v>18</c:v>
                </c:pt>
                <c:pt idx="3">
                  <c:v>31</c:v>
                </c:pt>
                <c:pt idx="4">
                  <c:v>34</c:v>
                </c:pt>
              </c:numCache>
            </c:numRef>
          </c:val>
          <c:smooth val="0"/>
          <c:extLst xmlns:c16r2="http://schemas.microsoft.com/office/drawing/2015/06/chart">
            <c:ext xmlns:c16="http://schemas.microsoft.com/office/drawing/2014/chart" uri="{C3380CC4-5D6E-409C-BE32-E72D297353CC}">
              <c16:uniqueId val="{00000000-3595-4A6F-BB09-9C5288DCE867}"/>
            </c:ext>
          </c:extLst>
        </c:ser>
        <c:dLbls>
          <c:showLegendKey val="0"/>
          <c:showVal val="0"/>
          <c:showCatName val="0"/>
          <c:showSerName val="0"/>
          <c:showPercent val="0"/>
          <c:showBubbleSize val="0"/>
        </c:dLbls>
        <c:marker val="1"/>
        <c:smooth val="0"/>
        <c:axId val="325247360"/>
        <c:axId val="325248896"/>
      </c:lineChart>
      <c:catAx>
        <c:axId val="325247360"/>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5248896"/>
        <c:crosses val="autoZero"/>
        <c:auto val="1"/>
        <c:lblAlgn val="ctr"/>
        <c:lblOffset val="100"/>
        <c:noMultiLvlLbl val="0"/>
      </c:catAx>
      <c:valAx>
        <c:axId val="325248896"/>
        <c:scaling>
          <c:orientation val="minMax"/>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325247360"/>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1528239202657809E-2"/>
                  <c:y val="6.79007485175464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4FF-42D6-8584-B3B6C3B2F4CF}"/>
                </c:ext>
              </c:extLst>
            </c:dLbl>
            <c:dLbl>
              <c:idx val="1"/>
              <c:layout>
                <c:manualLayout>
                  <c:x val="-4.4305895951747755E-2"/>
                  <c:y val="-6.11814897676535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4FF-42D6-8584-B3B6C3B2F4CF}"/>
                </c:ext>
              </c:extLst>
            </c:dLbl>
            <c:dLbl>
              <c:idx val="2"/>
              <c:layout>
                <c:manualLayout>
                  <c:x val="-3.875968992248062E-2"/>
                  <c:y val="-9.25925925925925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4FF-42D6-8584-B3B6C3B2F4CF}"/>
                </c:ext>
              </c:extLst>
            </c:dLbl>
            <c:dLbl>
              <c:idx val="3"/>
              <c:layout>
                <c:manualLayout>
                  <c:x val="-3.3222591362126248E-2"/>
                  <c:y val="7.4074074074074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4FF-42D6-8584-B3B6C3B2F4CF}"/>
                </c:ext>
              </c:extLst>
            </c:dLbl>
            <c:dLbl>
              <c:idx val="4"/>
              <c:layout>
                <c:manualLayout>
                  <c:x val="-4.4296788482835095E-2"/>
                  <c:y val="-7.4074074074074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4FF-42D6-8584-B3B6C3B2F4CF}"/>
                </c:ext>
              </c:extLst>
            </c:dLbl>
            <c:spPr>
              <a:noFill/>
              <a:ln w="2540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13</c:v>
                </c:pt>
                <c:pt idx="1">
                  <c:v>41</c:v>
                </c:pt>
                <c:pt idx="2">
                  <c:v>20</c:v>
                </c:pt>
                <c:pt idx="3">
                  <c:v>27</c:v>
                </c:pt>
                <c:pt idx="4">
                  <c:v>26</c:v>
                </c:pt>
              </c:numCache>
            </c:numRef>
          </c:val>
          <c:smooth val="0"/>
          <c:extLst xmlns:c16r2="http://schemas.microsoft.com/office/drawing/2015/06/chart">
            <c:ext xmlns:c16="http://schemas.microsoft.com/office/drawing/2014/chart" uri="{C3380CC4-5D6E-409C-BE32-E72D297353CC}">
              <c16:uniqueId val="{00000005-A4FF-42D6-8584-B3B6C3B2F4CF}"/>
            </c:ext>
          </c:extLst>
        </c:ser>
        <c:dLbls>
          <c:showLegendKey val="0"/>
          <c:showVal val="0"/>
          <c:showCatName val="0"/>
          <c:showSerName val="0"/>
          <c:showPercent val="0"/>
          <c:showBubbleSize val="0"/>
        </c:dLbls>
        <c:marker val="1"/>
        <c:smooth val="0"/>
        <c:axId val="325292032"/>
        <c:axId val="325293568"/>
      </c:lineChart>
      <c:catAx>
        <c:axId val="325292032"/>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5293568"/>
        <c:crosses val="autoZero"/>
        <c:auto val="1"/>
        <c:lblAlgn val="ctr"/>
        <c:lblOffset val="100"/>
        <c:noMultiLvlLbl val="0"/>
      </c:catAx>
      <c:valAx>
        <c:axId val="325293568"/>
        <c:scaling>
          <c:orientation val="minMax"/>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325292032"/>
        <c:crosses val="autoZero"/>
        <c:crossBetween val="between"/>
      </c:valAx>
      <c:spPr>
        <a:noFill/>
        <a:ln w="25405">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26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Bulgaria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780429036476446"/>
          <c:y val="2.9411845258473127E-2"/>
        </c:manualLayout>
      </c:layout>
      <c:overlay val="0"/>
      <c:spPr>
        <a:noFill/>
        <a:ln w="25340">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558-4CC9-9E2B-2E5219468A49}"/>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558-4CC9-9E2B-2E5219468A49}"/>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558-4CC9-9E2B-2E5219468A49}"/>
              </c:ext>
            </c:extLst>
          </c:dPt>
          <c:dPt>
            <c:idx val="3"/>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558-4CC9-9E2B-2E5219468A49}"/>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8558-4CC9-9E2B-2E5219468A49}"/>
              </c:ext>
            </c:extLst>
          </c:dPt>
          <c:dLbls>
            <c:dLbl>
              <c:idx val="0"/>
              <c:layout>
                <c:manualLayout>
                  <c:x val="-1.1194815290351601E-2"/>
                  <c:y val="-6.4383518325269581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558-4CC9-9E2B-2E5219468A49}"/>
                </c:ext>
              </c:extLst>
            </c:dLbl>
            <c:dLbl>
              <c:idx val="1"/>
              <c:layout>
                <c:manualLayout>
                  <c:x val="-2.7639411130181108E-2"/>
                  <c:y val="7.004395534895487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558-4CC9-9E2B-2E5219468A49}"/>
                </c:ext>
              </c:extLst>
            </c:dLbl>
            <c:dLbl>
              <c:idx val="2"/>
              <c:layout>
                <c:manualLayout>
                  <c:x val="-5.4915036618758762E-3"/>
                  <c:y val="8.030310217246935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558-4CC9-9E2B-2E5219468A49}"/>
                </c:ext>
              </c:extLst>
            </c:dLbl>
            <c:dLbl>
              <c:idx val="3"/>
              <c:layout>
                <c:manualLayout>
                  <c:x val="8.3107332049384003E-3"/>
                  <c:y val="4.988655409037725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558-4CC9-9E2B-2E5219468A49}"/>
                </c:ext>
              </c:extLst>
            </c:dLbl>
            <c:dLbl>
              <c:idx val="4"/>
              <c:layout>
                <c:manualLayout>
                  <c:x val="-7.7901004886868339E-2"/>
                  <c:y val="-4.95727002498181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558-4CC9-9E2B-2E5219468A49}"/>
                </c:ext>
              </c:extLst>
            </c:dLbl>
            <c:dLbl>
              <c:idx val="5"/>
              <c:layout>
                <c:manualLayout>
                  <c:x val="-5.5370985603543747E-3"/>
                  <c:y val="-2.94117647058823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558-4CC9-9E2B-2E5219468A49}"/>
                </c:ext>
              </c:extLst>
            </c:dLbl>
            <c:dLbl>
              <c:idx val="6"/>
              <c:layout>
                <c:manualLayout>
                  <c:x val="-1.1074197120708749E-2"/>
                  <c:y val="-1.960784313725490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558-4CC9-9E2B-2E5219468A49}"/>
                </c:ext>
              </c:extLst>
            </c:dLbl>
            <c:dLbl>
              <c:idx val="7"/>
              <c:layout>
                <c:manualLayout>
                  <c:x val="1.6611295681063124E-2"/>
                  <c:y val="4.9019607843137254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558-4CC9-9E2B-2E5219468A49}"/>
                </c:ext>
              </c:extLst>
            </c:dLbl>
            <c:dLbl>
              <c:idx val="8"/>
              <c:layout>
                <c:manualLayout>
                  <c:x val="0"/>
                  <c:y val="2.450980392156862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558-4CC9-9E2B-2E5219468A49}"/>
                </c:ext>
              </c:extLst>
            </c:dLbl>
            <c:spPr>
              <a:noFill/>
              <a:ln w="2534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Blad1!$A$3:$A$7</c:f>
              <c:strCache>
                <c:ptCount val="5"/>
                <c:pt idx="0">
                  <c:v>Mobility and transport</c:v>
                </c:pt>
                <c:pt idx="1">
                  <c:v>Environment</c:v>
                </c:pt>
                <c:pt idx="2">
                  <c:v>Financial stability, financial services and Capital Markets Union</c:v>
                </c:pt>
                <c:pt idx="3">
                  <c:v>Justice and consumers</c:v>
                </c:pt>
                <c:pt idx="4">
                  <c:v>Other</c:v>
                </c:pt>
              </c:strCache>
            </c:strRef>
          </c:cat>
          <c:val>
            <c:numRef>
              <c:f>Blad1!$B$3:$B$7</c:f>
              <c:numCache>
                <c:formatCode>General</c:formatCode>
                <c:ptCount val="5"/>
                <c:pt idx="0">
                  <c:v>8</c:v>
                </c:pt>
                <c:pt idx="1">
                  <c:v>4</c:v>
                </c:pt>
                <c:pt idx="2">
                  <c:v>3</c:v>
                </c:pt>
                <c:pt idx="3">
                  <c:v>3</c:v>
                </c:pt>
                <c:pt idx="4">
                  <c:v>8</c:v>
                </c:pt>
              </c:numCache>
            </c:numRef>
          </c:val>
          <c:extLst xmlns:c16r2="http://schemas.microsoft.com/office/drawing/2015/06/chart">
            <c:ext xmlns:c16="http://schemas.microsoft.com/office/drawing/2014/chart" uri="{C3380CC4-5D6E-409C-BE32-E72D297353CC}">
              <c16:uniqueId val="{0000000E-8558-4CC9-9E2B-2E5219468A49}"/>
            </c:ext>
          </c:extLst>
        </c:ser>
        <c:dLbls>
          <c:showLegendKey val="0"/>
          <c:showVal val="0"/>
          <c:showCatName val="0"/>
          <c:showSerName val="0"/>
          <c:showPercent val="0"/>
          <c:showBubbleSize val="0"/>
          <c:showLeaderLines val="0"/>
        </c:dLbls>
        <c:firstSliceAng val="252"/>
      </c:pieChart>
      <c:spPr>
        <a:noFill/>
        <a:ln w="25340">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56</c:v>
                </c:pt>
                <c:pt idx="1">
                  <c:v>57</c:v>
                </c:pt>
                <c:pt idx="2">
                  <c:v>63</c:v>
                </c:pt>
                <c:pt idx="3">
                  <c:v>67</c:v>
                </c:pt>
                <c:pt idx="4">
                  <c:v>70</c:v>
                </c:pt>
              </c:numCache>
            </c:numRef>
          </c:val>
          <c:smooth val="0"/>
          <c:extLst xmlns:c16r2="http://schemas.microsoft.com/office/drawing/2015/06/chart">
            <c:ext xmlns:c16="http://schemas.microsoft.com/office/drawing/2014/chart" uri="{C3380CC4-5D6E-409C-BE32-E72D297353CC}">
              <c16:uniqueId val="{00000000-CC1D-498F-8D0C-171C560AE7AA}"/>
            </c:ext>
          </c:extLst>
        </c:ser>
        <c:dLbls>
          <c:showLegendKey val="0"/>
          <c:showVal val="0"/>
          <c:showCatName val="0"/>
          <c:showSerName val="0"/>
          <c:showPercent val="0"/>
          <c:showBubbleSize val="0"/>
        </c:dLbls>
        <c:marker val="1"/>
        <c:smooth val="0"/>
        <c:axId val="327631616"/>
        <c:axId val="327633152"/>
      </c:lineChart>
      <c:catAx>
        <c:axId val="32763161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7633152"/>
        <c:crosses val="autoZero"/>
        <c:auto val="1"/>
        <c:lblAlgn val="ctr"/>
        <c:lblOffset val="100"/>
        <c:noMultiLvlLbl val="0"/>
      </c:catAx>
      <c:valAx>
        <c:axId val="327633152"/>
        <c:scaling>
          <c:orientation val="minMax"/>
          <c:min val="4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27631616"/>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70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Czech Republic</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olidFill>
              <a:srgbClr val="FFD617"/>
            </a:solidFill>
            <a:scene3d>
              <a:camera prst="orthographicFront"/>
              <a:lightRig rig="threePt" dir="t"/>
            </a:scene3d>
            <a:sp3d>
              <a:bevelT w="63500" h="25400"/>
            </a:sp3d>
          </c:spPr>
          <c:dPt>
            <c:idx val="0"/>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B48-46D4-9CD4-5A1277DD3F96}"/>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B48-46D4-9CD4-5A1277DD3F96}"/>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B48-46D4-9CD4-5A1277DD3F96}"/>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B48-46D4-9CD4-5A1277DD3F96}"/>
              </c:ext>
            </c:extLst>
          </c:dPt>
          <c:dLbls>
            <c:dLbl>
              <c:idx val="0"/>
              <c:layout>
                <c:manualLayout>
                  <c:x val="-2.7518558942508424E-2"/>
                  <c:y val="6.303642249766097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B48-46D4-9CD4-5A1277DD3F96}"/>
                </c:ext>
              </c:extLst>
            </c:dLbl>
            <c:dLbl>
              <c:idx val="1"/>
              <c:layout>
                <c:manualLayout>
                  <c:x val="-2.4752475247524754E-2"/>
                  <c:y val="-2.6267004479329673E-2"/>
                </c:manualLayout>
              </c:layout>
              <c:spPr>
                <a:noFill/>
                <a:ln>
                  <a:noFill/>
                </a:ln>
                <a:effectLst/>
              </c:spPr>
              <c:txPr>
                <a:bodyPr rot="0" spcFirstLastPara="1" vertOverflow="ellipsis" vert="horz" wrap="square" lIns="38100" tIns="19050" rIns="38100" bIns="19050" anchor="ctr" anchorCtr="1">
                  <a:spAutoFit/>
                </a:bodyPr>
                <a:lstStyle/>
                <a:p>
                  <a:pPr>
                    <a:defRPr sz="82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B48-46D4-9CD4-5A1277DD3F96}"/>
                </c:ext>
              </c:extLst>
            </c:dLbl>
            <c:dLbl>
              <c:idx val="2"/>
              <c:layout>
                <c:manualLayout>
                  <c:x val="2.4778462098178321E-2"/>
                  <c:y val="-2.103049421661399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B48-46D4-9CD4-5A1277DD3F96}"/>
                </c:ext>
              </c:extLst>
            </c:dLbl>
            <c:dLbl>
              <c:idx val="3"/>
              <c:layout>
                <c:manualLayout>
                  <c:x val="-0.12376237623762376"/>
                  <c:y val="-0.1997896950578338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B48-46D4-9CD4-5A1277DD3F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Employment</c:v>
                </c:pt>
                <c:pt idx="1">
                  <c:v>Internal market, industry, entrepreneurship and SMEs</c:v>
                </c:pt>
                <c:pt idx="2">
                  <c:v>Environment</c:v>
                </c:pt>
                <c:pt idx="3">
                  <c:v>Other</c:v>
                </c:pt>
              </c:strCache>
            </c:strRef>
          </c:cat>
          <c:val>
            <c:numRef>
              <c:f>Blad1!$B$2:$B$5</c:f>
              <c:numCache>
                <c:formatCode>General</c:formatCode>
                <c:ptCount val="4"/>
                <c:pt idx="0">
                  <c:v>26</c:v>
                </c:pt>
                <c:pt idx="1">
                  <c:v>13</c:v>
                </c:pt>
                <c:pt idx="2">
                  <c:v>6</c:v>
                </c:pt>
                <c:pt idx="3">
                  <c:v>25</c:v>
                </c:pt>
              </c:numCache>
            </c:numRef>
          </c:val>
          <c:extLst xmlns:c16r2="http://schemas.microsoft.com/office/drawing/2015/06/chart">
            <c:ext xmlns:c16="http://schemas.microsoft.com/office/drawing/2014/chart" uri="{C3380CC4-5D6E-409C-BE32-E72D297353CC}">
              <c16:uniqueId val="{00000008-2B48-46D4-9CD4-5A1277DD3F96}"/>
            </c:ext>
          </c:extLst>
        </c:ser>
        <c:dLbls>
          <c:showLegendKey val="0"/>
          <c:showVal val="0"/>
          <c:showCatName val="0"/>
          <c:showSerName val="0"/>
          <c:showPercent val="0"/>
          <c:showBubbleSize val="0"/>
          <c:showLeaderLines val="0"/>
        </c:dLbls>
        <c:firstSliceAng val="26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336128042134268E-2"/>
                  <c:y val="6.52419731780102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3F3-44BC-B24F-940BD9343B59}"/>
                </c:ext>
              </c:extLst>
            </c:dLbl>
            <c:spPr>
              <a:noFill/>
              <a:ln w="25412">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40</c:v>
                </c:pt>
                <c:pt idx="1">
                  <c:v>31</c:v>
                </c:pt>
                <c:pt idx="2">
                  <c:v>21</c:v>
                </c:pt>
                <c:pt idx="3">
                  <c:v>19</c:v>
                </c:pt>
                <c:pt idx="4">
                  <c:v>6</c:v>
                </c:pt>
              </c:numCache>
            </c:numRef>
          </c:val>
          <c:smooth val="0"/>
          <c:extLst xmlns:c16r2="http://schemas.microsoft.com/office/drawing/2015/06/chart">
            <c:ext xmlns:c16="http://schemas.microsoft.com/office/drawing/2014/chart" uri="{C3380CC4-5D6E-409C-BE32-E72D297353CC}">
              <c16:uniqueId val="{00000001-B3F3-44BC-B24F-940BD9343B59}"/>
            </c:ext>
          </c:extLst>
        </c:ser>
        <c:dLbls>
          <c:showLegendKey val="0"/>
          <c:showVal val="0"/>
          <c:showCatName val="0"/>
          <c:showSerName val="0"/>
          <c:showPercent val="0"/>
          <c:showBubbleSize val="0"/>
        </c:dLbls>
        <c:marker val="1"/>
        <c:smooth val="0"/>
        <c:axId val="327704576"/>
        <c:axId val="327706112"/>
      </c:lineChart>
      <c:catAx>
        <c:axId val="327704576"/>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7706112"/>
        <c:crosses val="autoZero"/>
        <c:auto val="1"/>
        <c:lblAlgn val="ctr"/>
        <c:lblOffset val="100"/>
        <c:noMultiLvlLbl val="0"/>
      </c:catAx>
      <c:valAx>
        <c:axId val="327706112"/>
        <c:scaling>
          <c:orientation val="minMax"/>
          <c:min val="0"/>
        </c:scaling>
        <c:delete val="1"/>
        <c:axPos val="l"/>
        <c:majorGridlines>
          <c:spPr>
            <a:ln w="9530" cap="flat" cmpd="sng" algn="ctr">
              <a:solidFill>
                <a:schemeClr val="tx1">
                  <a:lumMod val="15000"/>
                  <a:lumOff val="85000"/>
                </a:schemeClr>
              </a:solidFill>
              <a:round/>
            </a:ln>
            <a:effectLst/>
          </c:spPr>
        </c:majorGridlines>
        <c:numFmt formatCode="General" sourceLinked="1"/>
        <c:majorTickMark val="out"/>
        <c:minorTickMark val="none"/>
        <c:tickLblPos val="nextTo"/>
        <c:crossAx val="327704576"/>
        <c:crosses val="autoZero"/>
        <c:crossBetween val="between"/>
      </c:valAx>
      <c:spPr>
        <a:noFill/>
        <a:ln w="25412">
          <a:noFill/>
        </a:ln>
      </c:spPr>
    </c:plotArea>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2287083300633931E-2"/>
                  <c:y val="8.01620850025325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1C1-4767-AC77-8CE9FD5971C2}"/>
                </c:ext>
              </c:extLst>
            </c:dLbl>
            <c:spPr>
              <a:noFill/>
              <a:ln w="25401">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34</c:v>
                </c:pt>
                <c:pt idx="1">
                  <c:v>41</c:v>
                </c:pt>
                <c:pt idx="2">
                  <c:v>45</c:v>
                </c:pt>
                <c:pt idx="3">
                  <c:v>39</c:v>
                </c:pt>
                <c:pt idx="4">
                  <c:v>24</c:v>
                </c:pt>
              </c:numCache>
            </c:numRef>
          </c:val>
          <c:smooth val="0"/>
          <c:extLst xmlns:c16r2="http://schemas.microsoft.com/office/drawing/2015/06/chart">
            <c:ext xmlns:c16="http://schemas.microsoft.com/office/drawing/2014/chart" uri="{C3380CC4-5D6E-409C-BE32-E72D297353CC}">
              <c16:uniqueId val="{00000001-41C1-4767-AC77-8CE9FD5971C2}"/>
            </c:ext>
          </c:extLst>
        </c:ser>
        <c:dLbls>
          <c:showLegendKey val="0"/>
          <c:showVal val="0"/>
          <c:showCatName val="0"/>
          <c:showSerName val="0"/>
          <c:showPercent val="0"/>
          <c:showBubbleSize val="0"/>
        </c:dLbls>
        <c:marker val="1"/>
        <c:smooth val="0"/>
        <c:axId val="329165056"/>
        <c:axId val="329179136"/>
      </c:lineChart>
      <c:catAx>
        <c:axId val="3291650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9179136"/>
        <c:crosses val="autoZero"/>
        <c:auto val="1"/>
        <c:lblAlgn val="ctr"/>
        <c:lblOffset val="100"/>
        <c:noMultiLvlLbl val="0"/>
      </c:catAx>
      <c:valAx>
        <c:axId val="329179136"/>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29165056"/>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a:latin typeface="Arial" panose="020B0604020202020204" pitchFamily="34" charset="0"/>
                <a:cs typeface="Arial" panose="020B0604020202020204" pitchFamily="34" charset="0"/>
              </a:defRPr>
            </a:pPr>
            <a:r>
              <a:rPr lang="en-US" sz="1098"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6 EU Pilot files opened against the </a:t>
            </a:r>
            <a:r>
              <a:rPr lang="en-US" sz="1098"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Czech Republic</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991486358322858"/>
          <c:y val="2.5367829021372326E-2"/>
        </c:manualLayout>
      </c:layout>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31D-4F28-B697-1418F7294490}"/>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31D-4F28-B697-1418F7294490}"/>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31D-4F28-B697-1418F7294490}"/>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31D-4F28-B697-1418F7294490}"/>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31D-4F28-B697-1418F7294490}"/>
              </c:ext>
            </c:extLst>
          </c:dPt>
          <c:dLbls>
            <c:dLbl>
              <c:idx val="0"/>
              <c:layout>
                <c:manualLayout>
                  <c:x val="2.9950088206187341E-2"/>
                  <c:y val="-4.5502080931472351E-2"/>
                </c:manualLayout>
              </c:layout>
              <c:spPr>
                <a:noFill/>
                <a:ln w="25361">
                  <a:noFill/>
                </a:ln>
              </c:spPr>
              <c:txPr>
                <a:bodyPr/>
                <a:lstStyle/>
                <a:p>
                  <a:pPr>
                    <a:defRPr sz="82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31D-4F28-B697-1418F7294490}"/>
                </c:ext>
              </c:extLst>
            </c:dLbl>
            <c:dLbl>
              <c:idx val="1"/>
              <c:layout>
                <c:manualLayout>
                  <c:x val="1.6542759741239241E-2"/>
                  <c:y val="-0.2231184383202099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31D-4F28-B697-1418F7294490}"/>
                </c:ext>
              </c:extLst>
            </c:dLbl>
            <c:dLbl>
              <c:idx val="2"/>
              <c:layout>
                <c:manualLayout>
                  <c:x val="8.2407359441911861E-3"/>
                  <c:y val="-2.543851225913833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31D-4F28-B697-1418F7294490}"/>
                </c:ext>
              </c:extLst>
            </c:dLbl>
            <c:dLbl>
              <c:idx val="3"/>
              <c:layout>
                <c:manualLayout>
                  <c:x val="2.7400840931067826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31D-4F28-B697-1418F7294490}"/>
                </c:ext>
              </c:extLst>
            </c:dLbl>
            <c:spPr>
              <a:noFill/>
              <a:ln w="25361">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Blad1!$A$3:$A$5</c:f>
              <c:strCache>
                <c:ptCount val="3"/>
                <c:pt idx="0">
                  <c:v>Internal market, industry, entrepreneurship and SMEs</c:v>
                </c:pt>
                <c:pt idx="1">
                  <c:v>Environment</c:v>
                </c:pt>
                <c:pt idx="2">
                  <c:v>Climate action</c:v>
                </c:pt>
              </c:strCache>
            </c:strRef>
          </c:cat>
          <c:val>
            <c:numRef>
              <c:f>Blad1!$B$3:$B$5</c:f>
              <c:numCache>
                <c:formatCode>General</c:formatCode>
                <c:ptCount val="3"/>
                <c:pt idx="0">
                  <c:v>1</c:v>
                </c:pt>
                <c:pt idx="1">
                  <c:v>4</c:v>
                </c:pt>
                <c:pt idx="2">
                  <c:v>1</c:v>
                </c:pt>
              </c:numCache>
            </c:numRef>
          </c:val>
          <c:extLst xmlns:c16r2="http://schemas.microsoft.com/office/drawing/2015/06/chart">
            <c:ext xmlns:c16="http://schemas.microsoft.com/office/drawing/2014/chart" uri="{C3380CC4-5D6E-409C-BE32-E72D297353CC}">
              <c16:uniqueId val="{0000000A-031D-4F28-B697-1418F7294490}"/>
            </c:ext>
          </c:extLst>
        </c:ser>
        <c:dLbls>
          <c:showLegendKey val="0"/>
          <c:showVal val="0"/>
          <c:showCatName val="0"/>
          <c:showSerName val="0"/>
          <c:showPercent val="0"/>
          <c:showBubbleSize val="0"/>
          <c:showLeaderLines val="0"/>
        </c:dLbls>
        <c:firstSliceAng val="92"/>
      </c:pieChart>
      <c:spPr>
        <a:noFill/>
        <a:ln w="25361">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Czech Republic</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7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0.57999999999999996</c:v>
                </c:pt>
                <c:pt idx="1">
                  <c:v>0.64</c:v>
                </c:pt>
                <c:pt idx="2">
                  <c:v>0.7</c:v>
                </c:pt>
                <c:pt idx="3">
                  <c:v>0.44</c:v>
                </c:pt>
                <c:pt idx="4">
                  <c:v>0.6</c:v>
                </c:pt>
              </c:numCache>
            </c:numRef>
          </c:val>
          <c:smooth val="0"/>
          <c:extLst xmlns:c16r2="http://schemas.microsoft.com/office/drawing/2015/06/chart">
            <c:ext xmlns:c16="http://schemas.microsoft.com/office/drawing/2014/chart" uri="{C3380CC4-5D6E-409C-BE32-E72D297353CC}">
              <c16:uniqueId val="{00000000-5994-47F3-BB4D-9BD38EBBE07D}"/>
            </c:ext>
          </c:extLst>
        </c:ser>
        <c:ser>
          <c:idx val="1"/>
          <c:order val="1"/>
          <c:tx>
            <c:strRef>
              <c:f>Blad1!$C$2</c:f>
              <c:strCache>
                <c:ptCount val="1"/>
                <c:pt idx="0">
                  <c:v>General rate for all Member States</c:v>
                </c:pt>
              </c:strCache>
            </c:strRef>
          </c:tx>
          <c:spPr>
            <a:ln w="25373">
              <a:solidFill>
                <a:srgbClr val="92D050"/>
              </a:solidFill>
            </a:ln>
          </c:spPr>
          <c:marker>
            <c:symbol val="square"/>
            <c:size val="4"/>
            <c:spPr>
              <a:solidFill>
                <a:srgbClr val="92D050"/>
              </a:solidFill>
              <a:ln>
                <a:solidFill>
                  <a:srgbClr val="92D050"/>
                </a:solidFill>
              </a:ln>
            </c:spPr>
          </c:marker>
          <c:dLbls>
            <c:spPr>
              <a:noFill/>
              <a:ln w="25373">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1-5994-47F3-BB4D-9BD38EBBE07D}"/>
            </c:ext>
          </c:extLst>
        </c:ser>
        <c:dLbls>
          <c:showLegendKey val="0"/>
          <c:showVal val="0"/>
          <c:showCatName val="0"/>
          <c:showSerName val="0"/>
          <c:showPercent val="0"/>
          <c:showBubbleSize val="0"/>
        </c:dLbls>
        <c:marker val="1"/>
        <c:smooth val="0"/>
        <c:axId val="328981504"/>
        <c:axId val="328983296"/>
      </c:lineChart>
      <c:catAx>
        <c:axId val="328981504"/>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8983296"/>
        <c:crosses val="autoZero"/>
        <c:auto val="1"/>
        <c:lblAlgn val="ctr"/>
        <c:lblOffset val="100"/>
        <c:noMultiLvlLbl val="0"/>
      </c:catAx>
      <c:valAx>
        <c:axId val="328983296"/>
        <c:scaling>
          <c:orientation val="minMax"/>
          <c:min val="0.30000000000000004"/>
        </c:scaling>
        <c:delete val="1"/>
        <c:axPos val="l"/>
        <c:majorGridlines>
          <c:spPr>
            <a:ln w="9515" cap="flat" cmpd="sng" algn="ctr">
              <a:solidFill>
                <a:schemeClr val="tx1">
                  <a:lumMod val="15000"/>
                  <a:lumOff val="85000"/>
                </a:schemeClr>
              </a:solidFill>
              <a:round/>
            </a:ln>
            <a:effectLst/>
          </c:spPr>
        </c:majorGridlines>
        <c:numFmt formatCode="0%" sourceLinked="1"/>
        <c:majorTickMark val="out"/>
        <c:minorTickMark val="none"/>
        <c:tickLblPos val="nextTo"/>
        <c:crossAx val="328981504"/>
        <c:crosses val="autoZero"/>
        <c:crossBetween val="between"/>
      </c:valAx>
      <c:spPr>
        <a:noFill/>
        <a:ln w="25373">
          <a:noFill/>
        </a:ln>
      </c:spPr>
    </c:plotArea>
    <c:legend>
      <c:legendPos val="b"/>
      <c:overlay val="0"/>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0546988614775898E-2"/>
                  <c:y val="7.69127746018049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7A-47D0-A0E1-7FBBC716413E}"/>
                </c:ext>
              </c:extLst>
            </c:dLbl>
            <c:dLbl>
              <c:idx val="4"/>
              <c:layout>
                <c:manualLayout>
                  <c:x val="-3.6661042369703682E-2"/>
                  <c:y val="7.07084822588302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7A-47D0-A0E1-7FBBC716413E}"/>
                </c:ext>
              </c:extLst>
            </c:dLbl>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31</c:v>
                </c:pt>
                <c:pt idx="1">
                  <c:v>38</c:v>
                </c:pt>
                <c:pt idx="2">
                  <c:v>46</c:v>
                </c:pt>
                <c:pt idx="3">
                  <c:v>60</c:v>
                </c:pt>
                <c:pt idx="4">
                  <c:v>73</c:v>
                </c:pt>
              </c:numCache>
            </c:numRef>
          </c:val>
          <c:smooth val="0"/>
          <c:extLst xmlns:c16r2="http://schemas.microsoft.com/office/drawing/2015/06/chart">
            <c:ext xmlns:c16="http://schemas.microsoft.com/office/drawing/2014/chart" uri="{C3380CC4-5D6E-409C-BE32-E72D297353CC}">
              <c16:uniqueId val="{00000002-A57A-47D0-A0E1-7FBBC716413E}"/>
            </c:ext>
          </c:extLst>
        </c:ser>
        <c:dLbls>
          <c:showLegendKey val="0"/>
          <c:showVal val="0"/>
          <c:showCatName val="0"/>
          <c:showSerName val="0"/>
          <c:showPercent val="0"/>
          <c:showBubbleSize val="0"/>
        </c:dLbls>
        <c:marker val="1"/>
        <c:smooth val="0"/>
        <c:axId val="329033600"/>
        <c:axId val="329035136"/>
      </c:lineChart>
      <c:catAx>
        <c:axId val="329033600"/>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9035136"/>
        <c:crosses val="autoZero"/>
        <c:auto val="1"/>
        <c:lblAlgn val="ctr"/>
        <c:lblOffset val="100"/>
        <c:noMultiLvlLbl val="0"/>
      </c:catAx>
      <c:valAx>
        <c:axId val="329035136"/>
        <c:scaling>
          <c:orientation val="minMax"/>
          <c:min val="2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329033600"/>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40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61</c:v>
                </c:pt>
                <c:pt idx="1">
                  <c:v>57</c:v>
                </c:pt>
                <c:pt idx="2">
                  <c:v>30</c:v>
                </c:pt>
                <c:pt idx="3">
                  <c:v>34</c:v>
                </c:pt>
                <c:pt idx="4">
                  <c:v>7</c:v>
                </c:pt>
              </c:numCache>
            </c:numRef>
          </c:val>
          <c:smooth val="0"/>
          <c:extLst xmlns:c16r2="http://schemas.microsoft.com/office/drawing/2015/06/chart">
            <c:ext xmlns:c16="http://schemas.microsoft.com/office/drawing/2014/chart" uri="{C3380CC4-5D6E-409C-BE32-E72D297353CC}">
              <c16:uniqueId val="{00000003-D7DA-4D6A-98E1-397C24D61A80}"/>
            </c:ext>
          </c:extLst>
        </c:ser>
        <c:dLbls>
          <c:showLegendKey val="0"/>
          <c:showVal val="0"/>
          <c:showCatName val="0"/>
          <c:showSerName val="0"/>
          <c:showPercent val="0"/>
          <c:showBubbleSize val="0"/>
        </c:dLbls>
        <c:marker val="1"/>
        <c:smooth val="0"/>
        <c:axId val="284410240"/>
        <c:axId val="284411776"/>
      </c:lineChart>
      <c:catAx>
        <c:axId val="284410240"/>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4411776"/>
        <c:crosses val="autoZero"/>
        <c:auto val="1"/>
        <c:lblAlgn val="ctr"/>
        <c:lblOffset val="100"/>
        <c:noMultiLvlLbl val="0"/>
      </c:catAx>
      <c:valAx>
        <c:axId val="284411776"/>
        <c:scaling>
          <c:orientation val="minMax"/>
          <c:min val="0"/>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284410240"/>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32 new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 the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Czech Republic</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0967896529"/>
          <c:y val="3.2786863180563966E-2"/>
        </c:manualLayout>
      </c:layout>
      <c:overlay val="0"/>
      <c:spPr>
        <a:noFill/>
        <a:ln w="25384">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715-476B-8B37-7446B5D3F302}"/>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715-476B-8B37-7446B5D3F302}"/>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715-476B-8B37-7446B5D3F302}"/>
              </c:ext>
            </c:extLst>
          </c:dPt>
          <c:dPt>
            <c:idx val="3"/>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715-476B-8B37-7446B5D3F302}"/>
              </c:ext>
            </c:extLst>
          </c:dPt>
          <c:dPt>
            <c:idx val="4"/>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715-476B-8B37-7446B5D3F302}"/>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2715-476B-8B37-7446B5D3F30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15-476B-8B37-7446B5D3F302}"/>
                </c:ext>
              </c:extLst>
            </c:dLbl>
            <c:dLbl>
              <c:idx val="1"/>
              <c:layout>
                <c:manualLayout>
                  <c:x val="2.7624453920004188E-3"/>
                  <c:y val="4.9843118144433896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15-476B-8B37-7446B5D3F302}"/>
                </c:ext>
              </c:extLst>
            </c:dLbl>
            <c:dLbl>
              <c:idx val="2"/>
              <c:layout>
                <c:manualLayout>
                  <c:x val="3.8689807372694333E-2"/>
                  <c:y val="4.933399217518347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15-476B-8B37-7446B5D3F302}"/>
                </c:ext>
              </c:extLst>
            </c:dLbl>
            <c:dLbl>
              <c:idx val="3"/>
              <c:layout>
                <c:manualLayout>
                  <c:x val="-1.2823397075365579E-2"/>
                  <c:y val="-3.58960219549104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715-476B-8B37-7446B5D3F302}"/>
                </c:ext>
              </c:extLst>
            </c:dLbl>
            <c:dLbl>
              <c:idx val="4"/>
              <c:layout>
                <c:manualLayout>
                  <c:x val="1.6638716749424624E-2"/>
                  <c:y val="1.4686975603459303E-2"/>
                </c:manualLayout>
              </c:layout>
              <c:spPr>
                <a:noFill/>
                <a:ln w="25384">
                  <a:noFill/>
                </a:ln>
              </c:spPr>
              <c:txPr>
                <a:bodyPr rot="0" spcFirstLastPara="1" vertOverflow="ellipsis" vert="horz" wrap="square" lIns="38100" tIns="19050" rIns="38100" bIns="19050" anchor="ctr" anchorCtr="1">
                  <a:spAutoFit/>
                </a:bodyPr>
                <a:lstStyle/>
                <a:p>
                  <a:pPr>
                    <a:defRPr sz="82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715-476B-8B37-7446B5D3F302}"/>
                </c:ext>
              </c:extLst>
            </c:dLbl>
            <c:dLbl>
              <c:idx val="5"/>
              <c:layout>
                <c:manualLayout>
                  <c:x val="-4.7180092139189882E-2"/>
                  <c:y val="-3.24362849443763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715-476B-8B37-7446B5D3F302}"/>
                </c:ext>
              </c:extLst>
            </c:dLbl>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Policy Area</c:v>
                </c:pt>
                <c:pt idx="1">
                  <c:v>Mobility and transport</c:v>
                </c:pt>
                <c:pt idx="2">
                  <c:v>Environment</c:v>
                </c:pt>
                <c:pt idx="3">
                  <c:v>Health and food safety</c:v>
                </c:pt>
                <c:pt idx="4">
                  <c:v>Internal market, industry, entrepreneurship and SMEs</c:v>
                </c:pt>
                <c:pt idx="5">
                  <c:v>Other</c:v>
                </c:pt>
              </c:strCache>
            </c:strRef>
          </c:cat>
          <c:val>
            <c:numRef>
              <c:f>Blad1!$B$2:$B$7</c:f>
              <c:numCache>
                <c:formatCode>General</c:formatCode>
                <c:ptCount val="6"/>
                <c:pt idx="0">
                  <c:v>0</c:v>
                </c:pt>
                <c:pt idx="1">
                  <c:v>7</c:v>
                </c:pt>
                <c:pt idx="2">
                  <c:v>7</c:v>
                </c:pt>
                <c:pt idx="3">
                  <c:v>5</c:v>
                </c:pt>
                <c:pt idx="4">
                  <c:v>3</c:v>
                </c:pt>
                <c:pt idx="5">
                  <c:v>10</c:v>
                </c:pt>
              </c:numCache>
            </c:numRef>
          </c:val>
          <c:extLst xmlns:c16r2="http://schemas.microsoft.com/office/drawing/2015/06/chart">
            <c:ext xmlns:c16="http://schemas.microsoft.com/office/drawing/2014/chart" uri="{C3380CC4-5D6E-409C-BE32-E72D297353CC}">
              <c16:uniqueId val="{0000000C-2715-476B-8B37-7446B5D3F302}"/>
            </c:ext>
          </c:extLst>
        </c:ser>
        <c:dLbls>
          <c:showLegendKey val="0"/>
          <c:showVal val="0"/>
          <c:showCatName val="0"/>
          <c:showSerName val="0"/>
          <c:showPercent val="0"/>
          <c:showBubbleSize val="0"/>
          <c:showLeaderLines val="0"/>
        </c:dLbls>
        <c:firstSliceAng val="253"/>
      </c:pieChart>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0369978628293351E-2"/>
                  <c:y val="7.54483080554528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14-4DF6-A66A-296EE2658021}"/>
                </c:ext>
              </c:extLst>
            </c:dLbl>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1"/>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7</c:v>
                </c:pt>
                <c:pt idx="1">
                  <c:v>10</c:v>
                </c:pt>
                <c:pt idx="2">
                  <c:v>17</c:v>
                </c:pt>
                <c:pt idx="3">
                  <c:v>29</c:v>
                </c:pt>
                <c:pt idx="4">
                  <c:v>40</c:v>
                </c:pt>
              </c:numCache>
            </c:numRef>
          </c:val>
          <c:smooth val="0"/>
          <c:extLst xmlns:c16r2="http://schemas.microsoft.com/office/drawing/2015/06/chart">
            <c:ext xmlns:c16="http://schemas.microsoft.com/office/drawing/2014/chart" uri="{C3380CC4-5D6E-409C-BE32-E72D297353CC}">
              <c16:uniqueId val="{00000001-9214-4DF6-A66A-296EE2658021}"/>
            </c:ext>
          </c:extLst>
        </c:ser>
        <c:dLbls>
          <c:showLegendKey val="0"/>
          <c:showVal val="0"/>
          <c:showCatName val="0"/>
          <c:showSerName val="0"/>
          <c:showPercent val="0"/>
          <c:showBubbleSize val="0"/>
        </c:dLbls>
        <c:marker val="1"/>
        <c:smooth val="0"/>
        <c:axId val="329566080"/>
        <c:axId val="329567616"/>
      </c:lineChart>
      <c:catAx>
        <c:axId val="329566080"/>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9567616"/>
        <c:crosses val="autoZero"/>
        <c:auto val="1"/>
        <c:lblAlgn val="ctr"/>
        <c:lblOffset val="100"/>
        <c:noMultiLvlLbl val="0"/>
      </c:catAx>
      <c:valAx>
        <c:axId val="329567616"/>
        <c:scaling>
          <c:orientation val="minMax"/>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329566080"/>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4842062652616185E-2"/>
                  <c:y val="7.54483080554528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9C-40DE-A3E7-B7D97F343F73}"/>
                </c:ext>
              </c:extLst>
            </c:dLbl>
            <c:dLbl>
              <c:idx val="3"/>
              <c:layout>
                <c:manualLayout>
                  <c:x val="-4.1955922865013776E-2"/>
                  <c:y val="-6.38148429120778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046-47F5-8E67-BF4FE4FA0D81}"/>
                </c:ext>
              </c:extLst>
            </c:dLbl>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1"/>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12</c:v>
                </c:pt>
                <c:pt idx="1">
                  <c:v>18</c:v>
                </c:pt>
                <c:pt idx="2">
                  <c:v>17</c:v>
                </c:pt>
                <c:pt idx="3">
                  <c:v>33</c:v>
                </c:pt>
                <c:pt idx="4">
                  <c:v>25</c:v>
                </c:pt>
              </c:numCache>
            </c:numRef>
          </c:val>
          <c:smooth val="0"/>
          <c:extLst xmlns:c16r2="http://schemas.microsoft.com/office/drawing/2015/06/chart">
            <c:ext xmlns:c16="http://schemas.microsoft.com/office/drawing/2014/chart" uri="{C3380CC4-5D6E-409C-BE32-E72D297353CC}">
              <c16:uniqueId val="{00000001-AD9C-40DE-A3E7-B7D97F343F73}"/>
            </c:ext>
          </c:extLst>
        </c:ser>
        <c:dLbls>
          <c:showLegendKey val="0"/>
          <c:showVal val="0"/>
          <c:showCatName val="0"/>
          <c:showSerName val="0"/>
          <c:showPercent val="0"/>
          <c:showBubbleSize val="0"/>
        </c:dLbls>
        <c:marker val="1"/>
        <c:smooth val="0"/>
        <c:axId val="329613696"/>
        <c:axId val="329615232"/>
      </c:lineChart>
      <c:catAx>
        <c:axId val="329613696"/>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9615232"/>
        <c:crosses val="autoZero"/>
        <c:auto val="1"/>
        <c:lblAlgn val="ctr"/>
        <c:lblOffset val="100"/>
        <c:noMultiLvlLbl val="0"/>
      </c:catAx>
      <c:valAx>
        <c:axId val="329615232"/>
        <c:scaling>
          <c:orientation val="minMax"/>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329613696"/>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25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the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Czech Republic</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78043952133102"/>
          <c:y val="2.4509852935049786E-2"/>
        </c:manualLayout>
      </c:layout>
      <c:overlay val="0"/>
      <c:spPr>
        <a:noFill/>
        <a:ln w="25396">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9D5-498C-BB9C-34737F1F5065}"/>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9D5-498C-BB9C-34737F1F5065}"/>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9D5-498C-BB9C-34737F1F5065}"/>
              </c:ext>
            </c:extLst>
          </c:dPt>
          <c:dPt>
            <c:idx val="3"/>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9D5-498C-BB9C-34737F1F5065}"/>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59D5-498C-BB9C-34737F1F5065}"/>
              </c:ext>
            </c:extLst>
          </c:dPt>
          <c:dLbls>
            <c:dLbl>
              <c:idx val="0"/>
              <c:layout>
                <c:manualLayout>
                  <c:x val="-6.2678732322638781E-5"/>
                  <c:y val="8.511532649327925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D5-498C-BB9C-34737F1F5065}"/>
                </c:ext>
              </c:extLst>
            </c:dLbl>
            <c:dLbl>
              <c:idx val="1"/>
              <c:layout>
                <c:manualLayout>
                  <c:x val="-1.6517369408425936E-2"/>
                  <c:y val="2.645112542750337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D5-498C-BB9C-34737F1F5065}"/>
                </c:ext>
              </c:extLst>
            </c:dLbl>
            <c:dLbl>
              <c:idx val="2"/>
              <c:layout>
                <c:manualLayout>
                  <c:x val="2.9001971768454317E-3"/>
                  <c:y val="-9.082398791060208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D5-498C-BB9C-34737F1F5065}"/>
                </c:ext>
              </c:extLst>
            </c:dLbl>
            <c:dLbl>
              <c:idx val="3"/>
              <c:layout>
                <c:manualLayout>
                  <c:x val="3.2140261074330885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D5-498C-BB9C-34737F1F5065}"/>
                </c:ext>
              </c:extLst>
            </c:dLbl>
            <c:dLbl>
              <c:idx val="4"/>
              <c:layout>
                <c:manualLayout>
                  <c:x val="-5.245644045738064E-2"/>
                  <c:y val="-0.1472703412073491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D5-498C-BB9C-34737F1F5065}"/>
                </c:ext>
              </c:extLst>
            </c:dLbl>
            <c:dLbl>
              <c:idx val="5"/>
              <c:layout>
                <c:manualLayout>
                  <c:x val="0"/>
                  <c:y val="3.921568627450982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9D5-498C-BB9C-34737F1F5065}"/>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Mobility and transport</c:v>
                </c:pt>
                <c:pt idx="1">
                  <c:v>Environment</c:v>
                </c:pt>
                <c:pt idx="2">
                  <c:v>Health and food safety</c:v>
                </c:pt>
                <c:pt idx="3">
                  <c:v>Taxation and customs</c:v>
                </c:pt>
                <c:pt idx="4">
                  <c:v>Other</c:v>
                </c:pt>
              </c:strCache>
            </c:strRef>
          </c:cat>
          <c:val>
            <c:numRef>
              <c:f>Blad1!$B$4:$B$8</c:f>
              <c:numCache>
                <c:formatCode>General</c:formatCode>
                <c:ptCount val="5"/>
                <c:pt idx="0">
                  <c:v>6</c:v>
                </c:pt>
                <c:pt idx="1">
                  <c:v>5</c:v>
                </c:pt>
                <c:pt idx="2">
                  <c:v>5</c:v>
                </c:pt>
                <c:pt idx="3">
                  <c:v>2</c:v>
                </c:pt>
                <c:pt idx="4">
                  <c:v>7</c:v>
                </c:pt>
              </c:numCache>
            </c:numRef>
          </c:val>
          <c:extLst xmlns:c16r2="http://schemas.microsoft.com/office/drawing/2015/06/chart">
            <c:ext xmlns:c16="http://schemas.microsoft.com/office/drawing/2014/chart" uri="{C3380CC4-5D6E-409C-BE32-E72D297353CC}">
              <c16:uniqueId val="{0000000B-59D5-498C-BB9C-34737F1F5065}"/>
            </c:ext>
          </c:extLst>
        </c:ser>
        <c:dLbls>
          <c:showLegendKey val="0"/>
          <c:showVal val="0"/>
          <c:showCatName val="0"/>
          <c:showSerName val="0"/>
          <c:showPercent val="0"/>
          <c:showBubbleSize val="0"/>
          <c:showLeaderLines val="0"/>
        </c:dLbls>
        <c:firstSliceAng val="265"/>
      </c:pieChart>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57</c:v>
                </c:pt>
                <c:pt idx="1">
                  <c:v>60</c:v>
                </c:pt>
                <c:pt idx="2">
                  <c:v>61</c:v>
                </c:pt>
                <c:pt idx="3">
                  <c:v>68</c:v>
                </c:pt>
                <c:pt idx="4">
                  <c:v>53</c:v>
                </c:pt>
              </c:numCache>
            </c:numRef>
          </c:val>
          <c:smooth val="0"/>
          <c:extLst xmlns:c16r2="http://schemas.microsoft.com/office/drawing/2015/06/chart">
            <c:ext xmlns:c16="http://schemas.microsoft.com/office/drawing/2014/chart" uri="{C3380CC4-5D6E-409C-BE32-E72D297353CC}">
              <c16:uniqueId val="{00000000-2A30-473F-A08C-401F14148F23}"/>
            </c:ext>
          </c:extLst>
        </c:ser>
        <c:dLbls>
          <c:showLegendKey val="0"/>
          <c:showVal val="0"/>
          <c:showCatName val="0"/>
          <c:showSerName val="0"/>
          <c:showPercent val="0"/>
          <c:showBubbleSize val="0"/>
        </c:dLbls>
        <c:marker val="1"/>
        <c:smooth val="0"/>
        <c:axId val="329767168"/>
        <c:axId val="329424896"/>
      </c:lineChart>
      <c:catAx>
        <c:axId val="329767168"/>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9424896"/>
        <c:crosses val="autoZero"/>
        <c:auto val="1"/>
        <c:lblAlgn val="ctr"/>
        <c:lblOffset val="100"/>
        <c:noMultiLvlLbl val="0"/>
      </c:catAx>
      <c:valAx>
        <c:axId val="329424896"/>
        <c:scaling>
          <c:orientation val="minMax"/>
        </c:scaling>
        <c:delete val="1"/>
        <c:axPos val="l"/>
        <c:majorGridlines>
          <c:spPr>
            <a:ln w="9517" cap="flat" cmpd="sng" algn="ctr">
              <a:solidFill>
                <a:schemeClr val="tx1">
                  <a:lumMod val="15000"/>
                  <a:lumOff val="85000"/>
                </a:schemeClr>
              </a:solidFill>
              <a:round/>
            </a:ln>
            <a:effectLst/>
          </c:spPr>
        </c:majorGridlines>
        <c:numFmt formatCode="General" sourceLinked="1"/>
        <c:majorTickMark val="out"/>
        <c:minorTickMark val="none"/>
        <c:tickLblPos val="nextTo"/>
        <c:crossAx val="329767168"/>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53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Denmark</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8BF-4AA2-B9FA-28274159941E}"/>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8BF-4AA2-B9FA-28274159941E}"/>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8BF-4AA2-B9FA-28274159941E}"/>
              </c:ext>
            </c:extLst>
          </c:dPt>
          <c:dPt>
            <c:idx val="3"/>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8BF-4AA2-B9FA-28274159941E}"/>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8BF-4AA2-B9FA-28274159941E}"/>
              </c:ext>
            </c:extLst>
          </c:dPt>
          <c:dLbls>
            <c:dLbl>
              <c:idx val="0"/>
              <c:layout>
                <c:manualLayout>
                  <c:x val="1.3931217360716508E-2"/>
                  <c:y val="-0.11488539641046894"/>
                </c:manualLayout>
              </c:layou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BF-4AA2-B9FA-28274159941E}"/>
                </c:ext>
              </c:extLst>
            </c:dLbl>
            <c:dLbl>
              <c:idx val="1"/>
              <c:layout>
                <c:manualLayout>
                  <c:x val="-0.10721979678282789"/>
                  <c:y val="7.1491731009351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BF-4AA2-B9FA-28274159941E}"/>
                </c:ext>
              </c:extLst>
            </c:dLbl>
            <c:dLbl>
              <c:idx val="2"/>
              <c:layout>
                <c:manualLayout>
                  <c:x val="-2.2915854577583744E-2"/>
                  <c:y val="-1.301251178554137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8BF-4AA2-B9FA-28274159941E}"/>
                </c:ext>
              </c:extLst>
            </c:dLbl>
            <c:dLbl>
              <c:idx val="3"/>
              <c:layout>
                <c:manualLayout>
                  <c:x val="8.1830427137201903E-3"/>
                  <c:y val="-4.31665095261150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8BF-4AA2-B9FA-28274159941E}"/>
                </c:ext>
              </c:extLst>
            </c:dLbl>
            <c:dLbl>
              <c:idx val="4"/>
              <c:layout>
                <c:manualLayout>
                  <c:x val="8.2499770002976439E-2"/>
                  <c:y val="-4.313090418353576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8BF-4AA2-B9FA-2827415994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Blad1!$A$3:$A$7</c:f>
              <c:strCache>
                <c:ptCount val="5"/>
                <c:pt idx="0">
                  <c:v>Taxation and customs</c:v>
                </c:pt>
                <c:pt idx="1">
                  <c:v>Environment</c:v>
                </c:pt>
                <c:pt idx="2">
                  <c:v>Employment</c:v>
                </c:pt>
                <c:pt idx="3">
                  <c:v>Justice and consumers</c:v>
                </c:pt>
                <c:pt idx="4">
                  <c:v>Other</c:v>
                </c:pt>
              </c:strCache>
            </c:strRef>
          </c:cat>
          <c:val>
            <c:numRef>
              <c:f>Blad1!$B$3:$B$7</c:f>
              <c:numCache>
                <c:formatCode>General</c:formatCode>
                <c:ptCount val="5"/>
                <c:pt idx="0">
                  <c:v>15</c:v>
                </c:pt>
                <c:pt idx="1">
                  <c:v>13</c:v>
                </c:pt>
                <c:pt idx="2">
                  <c:v>6</c:v>
                </c:pt>
                <c:pt idx="3">
                  <c:v>6</c:v>
                </c:pt>
                <c:pt idx="4">
                  <c:v>13</c:v>
                </c:pt>
              </c:numCache>
            </c:numRef>
          </c:val>
          <c:extLst xmlns:c16r2="http://schemas.microsoft.com/office/drawing/2015/06/chart">
            <c:ext xmlns:c16="http://schemas.microsoft.com/office/drawing/2014/chart" uri="{C3380CC4-5D6E-409C-BE32-E72D297353CC}">
              <c16:uniqueId val="{0000000A-68BF-4AA2-B9FA-28274159941E}"/>
            </c:ext>
          </c:extLst>
        </c:ser>
        <c:dLbls>
          <c:showLegendKey val="0"/>
          <c:showVal val="0"/>
          <c:showCatName val="0"/>
          <c:showSerName val="0"/>
          <c:showPercent val="0"/>
          <c:showBubbleSize val="0"/>
          <c:showLeaderLines val="0"/>
        </c:dLbls>
        <c:firstSliceAng val="20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3333333333333E-2"/>
          <c:y val="6.375518010838381E-2"/>
          <c:w val="0.93888888888888888"/>
          <c:h val="0.78939974457215834"/>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8886739503582815E-2"/>
                  <c:y val="8.47583513233587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F0-4C1C-8149-38A515F4A3D2}"/>
                </c:ext>
              </c:extLst>
            </c:dLbl>
            <c:dLbl>
              <c:idx val="2"/>
              <c:layout>
                <c:manualLayout>
                  <c:x val="-5.6166666666666663E-2"/>
                  <c:y val="7.96296296296296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F0-4C1C-8149-38A515F4A3D2}"/>
                </c:ext>
              </c:extLst>
            </c:dLbl>
            <c:dLbl>
              <c:idx val="4"/>
              <c:layout>
                <c:manualLayout>
                  <c:x val="-9.882570907010326E-4"/>
                  <c:y val="1.56132622883312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E5-46B6-9383-E5F080C9CD98}"/>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73</c:v>
                </c:pt>
                <c:pt idx="1">
                  <c:v>42</c:v>
                </c:pt>
                <c:pt idx="2">
                  <c:v>18</c:v>
                </c:pt>
                <c:pt idx="3">
                  <c:v>25</c:v>
                </c:pt>
                <c:pt idx="4">
                  <c:v>2</c:v>
                </c:pt>
              </c:numCache>
            </c:numRef>
          </c:val>
          <c:smooth val="0"/>
          <c:extLst xmlns:c16r2="http://schemas.microsoft.com/office/drawing/2015/06/chart">
            <c:ext xmlns:c16="http://schemas.microsoft.com/office/drawing/2014/chart" uri="{C3380CC4-5D6E-409C-BE32-E72D297353CC}">
              <c16:uniqueId val="{00000002-BDF0-4C1C-8149-38A515F4A3D2}"/>
            </c:ext>
          </c:extLst>
        </c:ser>
        <c:dLbls>
          <c:showLegendKey val="0"/>
          <c:showVal val="0"/>
          <c:showCatName val="0"/>
          <c:showSerName val="0"/>
          <c:showPercent val="0"/>
          <c:showBubbleSize val="0"/>
        </c:dLbls>
        <c:marker val="1"/>
        <c:smooth val="0"/>
        <c:axId val="330083328"/>
        <c:axId val="330085120"/>
      </c:lineChart>
      <c:catAx>
        <c:axId val="330083328"/>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0085120"/>
        <c:crosses val="autoZero"/>
        <c:auto val="1"/>
        <c:lblAlgn val="ctr"/>
        <c:lblOffset val="100"/>
        <c:noMultiLvlLbl val="0"/>
      </c:catAx>
      <c:valAx>
        <c:axId val="330085120"/>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330083328"/>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3333333333333E-2"/>
          <c:y val="6.375518010838381E-2"/>
          <c:w val="0.93888888888888888"/>
          <c:h val="0.78939974457215834"/>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3350407323652017E-2"/>
                  <c:y val="7.84192071078278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F4-4203-9A92-05AC7025894D}"/>
                </c:ext>
              </c:extLst>
            </c:dLbl>
            <c:dLbl>
              <c:idx val="2"/>
              <c:layout>
                <c:manualLayout>
                  <c:x val="-5.6166666666666663E-2"/>
                  <c:y val="7.96296296296296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F4-4203-9A92-05AC7025894D}"/>
                </c:ext>
              </c:extLst>
            </c:dLbl>
            <c:dLbl>
              <c:idx val="3"/>
              <c:layout>
                <c:manualLayout>
                  <c:x val="-3.9349589951775059E-2"/>
                  <c:y val="-9.21392116001347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F4-4203-9A92-05AC7025894D}"/>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42</c:v>
                </c:pt>
                <c:pt idx="1">
                  <c:v>28</c:v>
                </c:pt>
                <c:pt idx="2">
                  <c:v>24</c:v>
                </c:pt>
                <c:pt idx="3">
                  <c:v>32</c:v>
                </c:pt>
                <c:pt idx="4">
                  <c:v>16</c:v>
                </c:pt>
              </c:numCache>
            </c:numRef>
          </c:val>
          <c:smooth val="0"/>
          <c:extLst xmlns:c16r2="http://schemas.microsoft.com/office/drawing/2015/06/chart">
            <c:ext xmlns:c16="http://schemas.microsoft.com/office/drawing/2014/chart" uri="{C3380CC4-5D6E-409C-BE32-E72D297353CC}">
              <c16:uniqueId val="{00000002-D8F4-4203-9A92-05AC7025894D}"/>
            </c:ext>
          </c:extLst>
        </c:ser>
        <c:dLbls>
          <c:showLegendKey val="0"/>
          <c:showVal val="0"/>
          <c:showCatName val="0"/>
          <c:showSerName val="0"/>
          <c:showPercent val="0"/>
          <c:showBubbleSize val="0"/>
        </c:dLbls>
        <c:marker val="1"/>
        <c:smooth val="0"/>
        <c:axId val="330168192"/>
        <c:axId val="330169728"/>
      </c:lineChart>
      <c:catAx>
        <c:axId val="330168192"/>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0169728"/>
        <c:crosses val="autoZero"/>
        <c:auto val="1"/>
        <c:lblAlgn val="ctr"/>
        <c:lblOffset val="100"/>
        <c:noMultiLvlLbl val="0"/>
      </c:catAx>
      <c:valAx>
        <c:axId val="330169728"/>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330168192"/>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Denmark</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729221347331583E-2"/>
                  <c:y val="-6.36528757100386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F7-4D28-95AD-F6A74C882F06}"/>
                </c:ext>
              </c:extLst>
            </c:dLbl>
            <c:dLbl>
              <c:idx val="1"/>
              <c:layout>
                <c:manualLayout>
                  <c:x val="-5.8506999125109364E-2"/>
                  <c:y val="-6.36528757100386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F7-4D28-95AD-F6A74C882F06}"/>
                </c:ext>
              </c:extLst>
            </c:dLbl>
            <c:dLbl>
              <c:idx val="2"/>
              <c:layout>
                <c:manualLayout>
                  <c:x val="-5.2951443569553808E-2"/>
                  <c:y val="-5.76079682352011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AF7-4D28-95AD-F6A74C882F06}"/>
                </c:ext>
              </c:extLst>
            </c:dLbl>
            <c:dLbl>
              <c:idx val="3"/>
              <c:layout>
                <c:manualLayout>
                  <c:x val="-5.095801433125368E-2"/>
                  <c:y val="7.21875391514218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F7-4D28-95AD-F6A74C882F06}"/>
                </c:ext>
              </c:extLst>
            </c:dLbl>
            <c:dLbl>
              <c:idx val="4"/>
              <c:layout>
                <c:manualLayout>
                  <c:x val="-4.189550932999047E-2"/>
                  <c:y val="-5.67226533733643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AF7-4D28-95AD-F6A74C882F06}"/>
                </c:ext>
              </c:extLst>
            </c:dLbl>
            <c:spPr>
              <a:noFill/>
              <a:ln w="25396">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0.83</c:v>
                </c:pt>
                <c:pt idx="1">
                  <c:v>0.8</c:v>
                </c:pt>
                <c:pt idx="2">
                  <c:v>0.82</c:v>
                </c:pt>
                <c:pt idx="3">
                  <c:v>0.65</c:v>
                </c:pt>
                <c:pt idx="4">
                  <c:v>0.83</c:v>
                </c:pt>
              </c:numCache>
            </c:numRef>
          </c:val>
          <c:smooth val="0"/>
          <c:extLst xmlns:c16r2="http://schemas.microsoft.com/office/drawing/2015/06/chart">
            <c:ext xmlns:c16="http://schemas.microsoft.com/office/drawing/2014/chart" uri="{C3380CC4-5D6E-409C-BE32-E72D297353CC}">
              <c16:uniqueId val="{00000005-0AF7-4D28-95AD-F6A74C882F06}"/>
            </c:ext>
          </c:extLst>
        </c:ser>
        <c:ser>
          <c:idx val="1"/>
          <c:order val="1"/>
          <c:tx>
            <c:strRef>
              <c:f>Blad1!$C$2</c:f>
              <c:strCache>
                <c:ptCount val="1"/>
                <c:pt idx="0">
                  <c:v>General rate for all Member States</c:v>
                </c:pt>
              </c:strCache>
            </c:strRef>
          </c:tx>
          <c:spPr>
            <a:ln w="25396">
              <a:solidFill>
                <a:srgbClr val="92D050"/>
              </a:solidFill>
            </a:ln>
          </c:spPr>
          <c:marker>
            <c:symbol val="square"/>
            <c:size val="4"/>
            <c:spPr>
              <a:solidFill>
                <a:srgbClr val="92D050"/>
              </a:solidFill>
              <a:ln>
                <a:solidFill>
                  <a:srgbClr val="92D050"/>
                </a:solidFill>
              </a:ln>
            </c:spPr>
          </c:marker>
          <c:dLbls>
            <c:dLbl>
              <c:idx val="0"/>
              <c:layout>
                <c:manualLayout>
                  <c:x val="-4.7395888013998251E-2"/>
                  <c:y val="8.17871221575845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AF7-4D28-95AD-F6A74C882F06}"/>
                </c:ext>
              </c:extLst>
            </c:dLbl>
            <c:dLbl>
              <c:idx val="1"/>
              <c:layout>
                <c:manualLayout>
                  <c:x val="-5.8506999125109364E-2"/>
                  <c:y val="7.57426906597135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AF7-4D28-95AD-F6A74C882F06}"/>
                </c:ext>
              </c:extLst>
            </c:dLbl>
            <c:dLbl>
              <c:idx val="2"/>
              <c:layout>
                <c:manualLayout>
                  <c:x val="-4.7395888013998251E-2"/>
                  <c:y val="6.969778318487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AF7-4D28-95AD-F6A74C882F06}"/>
                </c:ext>
              </c:extLst>
            </c:dLbl>
            <c:dLbl>
              <c:idx val="3"/>
              <c:layout>
                <c:manualLayout>
                  <c:x val="-4.738620821186279E-2"/>
                  <c:y val="4.5762427399967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AF7-4D28-95AD-F6A74C882F06}"/>
                </c:ext>
              </c:extLst>
            </c:dLbl>
            <c:dLbl>
              <c:idx val="4"/>
              <c:layout>
                <c:manualLayout>
                  <c:x val="-3.906255468066492E-2"/>
                  <c:y val="5.15096618357487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AF7-4D28-95AD-F6A74C882F06}"/>
                </c:ext>
              </c:extLst>
            </c:dLbl>
            <c:spPr>
              <a:noFill/>
              <a:ln w="25396">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B-0AF7-4D28-95AD-F6A74C882F06}"/>
            </c:ext>
          </c:extLst>
        </c:ser>
        <c:dLbls>
          <c:showLegendKey val="0"/>
          <c:showVal val="0"/>
          <c:showCatName val="0"/>
          <c:showSerName val="0"/>
          <c:showPercent val="0"/>
          <c:showBubbleSize val="0"/>
        </c:dLbls>
        <c:marker val="1"/>
        <c:smooth val="0"/>
        <c:axId val="330220672"/>
        <c:axId val="330222208"/>
      </c:lineChart>
      <c:catAx>
        <c:axId val="330220672"/>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0222208"/>
        <c:crosses val="autoZero"/>
        <c:auto val="1"/>
        <c:lblAlgn val="ctr"/>
        <c:lblOffset val="100"/>
        <c:noMultiLvlLbl val="0"/>
      </c:catAx>
      <c:valAx>
        <c:axId val="330222208"/>
        <c:scaling>
          <c:orientation val="minMax"/>
          <c:min val="0.5"/>
        </c:scaling>
        <c:delete val="1"/>
        <c:axPos val="l"/>
        <c:majorGridlines>
          <c:spPr>
            <a:ln w="9524" cap="flat" cmpd="sng" algn="ctr">
              <a:solidFill>
                <a:schemeClr val="tx1">
                  <a:lumMod val="15000"/>
                  <a:lumOff val="85000"/>
                </a:schemeClr>
              </a:solidFill>
              <a:round/>
            </a:ln>
            <a:effectLst/>
          </c:spPr>
        </c:majorGridlines>
        <c:numFmt formatCode="0%" sourceLinked="1"/>
        <c:majorTickMark val="out"/>
        <c:minorTickMark val="none"/>
        <c:tickLblPos val="nextTo"/>
        <c:crossAx val="330220672"/>
        <c:crosses val="autoZero"/>
        <c:crossBetween val="between"/>
      </c:valAx>
      <c:spPr>
        <a:noFill/>
        <a:ln w="25396">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0"/>
              <c:layout>
                <c:manualLayout>
                  <c:x val="-3.95E-2"/>
                  <c:y val="7.1810699588477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31-4345-90C5-20720A9F2D34}"/>
                </c:ext>
              </c:extLst>
            </c:dLbl>
            <c:dLbl>
              <c:idx val="1"/>
              <c:layout>
                <c:manualLayout>
                  <c:x val="-4.7617251995749718E-2"/>
                  <c:y val="6.1628683085376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31-4345-90C5-20720A9F2D34}"/>
                </c:ext>
              </c:extLst>
            </c:dLbl>
            <c:dLbl>
              <c:idx val="3"/>
              <c:layout>
                <c:manualLayout>
                  <c:x val="-4.2131487889273456E-2"/>
                  <c:y val="-5.85380835380835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31-4345-90C5-20720A9F2D34}"/>
                </c:ext>
              </c:extLst>
            </c:dLbl>
            <c:dLbl>
              <c:idx val="4"/>
              <c:layout>
                <c:manualLayout>
                  <c:x val="-4.2277777777777775E-2"/>
                  <c:y val="-6.53635116598079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31-4345-90C5-20720A9F2D34}"/>
                </c:ext>
              </c:extLst>
            </c:dLbl>
            <c:spPr>
              <a:noFill/>
              <a:ln w="25410">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30</c:v>
                </c:pt>
                <c:pt idx="1">
                  <c:v>26</c:v>
                </c:pt>
                <c:pt idx="2">
                  <c:v>23</c:v>
                </c:pt>
                <c:pt idx="3">
                  <c:v>34</c:v>
                </c:pt>
                <c:pt idx="4">
                  <c:v>28</c:v>
                </c:pt>
              </c:numCache>
            </c:numRef>
          </c:val>
          <c:smooth val="0"/>
          <c:extLst xmlns:c16r2="http://schemas.microsoft.com/office/drawing/2015/06/chart">
            <c:ext xmlns:c16="http://schemas.microsoft.com/office/drawing/2014/chart" uri="{C3380CC4-5D6E-409C-BE32-E72D297353CC}">
              <c16:uniqueId val="{00000003-4C31-4345-90C5-20720A9F2D34}"/>
            </c:ext>
          </c:extLst>
        </c:ser>
        <c:dLbls>
          <c:showLegendKey val="0"/>
          <c:showVal val="0"/>
          <c:showCatName val="0"/>
          <c:showSerName val="0"/>
          <c:showPercent val="0"/>
          <c:showBubbleSize val="0"/>
        </c:dLbls>
        <c:marker val="1"/>
        <c:smooth val="0"/>
        <c:axId val="329790592"/>
        <c:axId val="329792128"/>
      </c:lineChart>
      <c:catAx>
        <c:axId val="329790592"/>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9792128"/>
        <c:crosses val="autoZero"/>
        <c:auto val="1"/>
        <c:lblAlgn val="ctr"/>
        <c:lblOffset val="100"/>
        <c:noMultiLvlLbl val="0"/>
      </c:catAx>
      <c:valAx>
        <c:axId val="329792128"/>
        <c:scaling>
          <c:orientation val="minMax"/>
          <c:min val="15"/>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329790592"/>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3"/>
              <c:layout>
                <c:manualLayout>
                  <c:x val="-3.9292622271345778E-2"/>
                  <c:y val="-8.50204798127559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7D9-48F5-9215-832DB31C805B}"/>
                </c:ext>
              </c:extLst>
            </c:dLbl>
            <c:spPr>
              <a:noFill/>
              <a:ln w="25396">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46</c:v>
                </c:pt>
                <c:pt idx="1">
                  <c:v>51</c:v>
                </c:pt>
                <c:pt idx="2">
                  <c:v>48</c:v>
                </c:pt>
                <c:pt idx="3">
                  <c:v>52</c:v>
                </c:pt>
                <c:pt idx="4">
                  <c:v>36</c:v>
                </c:pt>
              </c:numCache>
            </c:numRef>
          </c:val>
          <c:smooth val="0"/>
          <c:extLst xmlns:c16r2="http://schemas.microsoft.com/office/drawing/2015/06/chart">
            <c:ext xmlns:c16="http://schemas.microsoft.com/office/drawing/2014/chart" uri="{C3380CC4-5D6E-409C-BE32-E72D297353CC}">
              <c16:uniqueId val="{00000000-8FA1-4C29-B222-DC7120A46057}"/>
            </c:ext>
          </c:extLst>
        </c:ser>
        <c:dLbls>
          <c:showLegendKey val="0"/>
          <c:showVal val="0"/>
          <c:showCatName val="0"/>
          <c:showSerName val="0"/>
          <c:showPercent val="0"/>
          <c:showBubbleSize val="0"/>
        </c:dLbls>
        <c:marker val="1"/>
        <c:smooth val="0"/>
        <c:axId val="285108864"/>
        <c:axId val="285114752"/>
      </c:lineChart>
      <c:catAx>
        <c:axId val="285108864"/>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5114752"/>
        <c:crosses val="autoZero"/>
        <c:auto val="1"/>
        <c:lblAlgn val="ctr"/>
        <c:lblOffset val="100"/>
        <c:noMultiLvlLbl val="0"/>
      </c:catAx>
      <c:valAx>
        <c:axId val="285114752"/>
        <c:scaling>
          <c:orientation val="minMax"/>
          <c:min val="3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85108864"/>
        <c:crosses val="autoZero"/>
        <c:crossBetween val="between"/>
      </c:valAx>
      <c:spPr>
        <a:noFill/>
        <a:ln w="25396">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19 new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Denmark</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5940797209266039"/>
          <c:y val="2.73226103147363E-2"/>
        </c:manualLayout>
      </c:layout>
      <c:overlay val="0"/>
      <c:spPr>
        <a:noFill/>
        <a:ln w="25384">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3A6-4BC4-BDA0-DD1CE83202C6}"/>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3A6-4BC4-BDA0-DD1CE83202C6}"/>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3A6-4BC4-BDA0-DD1CE83202C6}"/>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3A6-4BC4-BDA0-DD1CE83202C6}"/>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53A6-4BC4-BDA0-DD1CE83202C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3A6-4BC4-BDA0-DD1CE83202C6}"/>
                </c:ext>
              </c:extLst>
            </c:dLbl>
            <c:dLbl>
              <c:idx val="1"/>
              <c:layout>
                <c:manualLayout>
                  <c:x val="-2.5003269940094698E-2"/>
                  <c:y val="0.1000359075636718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3A6-4BC4-BDA0-DD1CE83202C6}"/>
                </c:ext>
              </c:extLst>
            </c:dLbl>
            <c:dLbl>
              <c:idx val="2"/>
              <c:layout>
                <c:manualLayout>
                  <c:x val="-8.2180134459936688E-3"/>
                  <c:y val="-5.2029204818453065E-2"/>
                </c:manualLayout>
              </c:layout>
              <c:spPr>
                <a:noFill/>
                <a:ln w="25384">
                  <a:noFill/>
                </a:ln>
              </c:spPr>
              <c:txPr>
                <a:bodyPr rot="0" spcFirstLastPara="1" vertOverflow="ellipsis" vert="horz" wrap="square" lIns="38100" tIns="19050" rIns="38100" bIns="19050" anchor="ctr" anchorCtr="1">
                  <a:spAutoFit/>
                </a:bodyPr>
                <a:lstStyle/>
                <a:p>
                  <a:pPr>
                    <a:defRPr sz="84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3A6-4BC4-BDA0-DD1CE83202C6}"/>
                </c:ext>
              </c:extLst>
            </c:dLbl>
            <c:dLbl>
              <c:idx val="3"/>
              <c:layout>
                <c:manualLayout>
                  <c:x val="3.4186787698049372E-2"/>
                  <c:y val="-0.1126121042687253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3A6-4BC4-BDA0-DD1CE83202C6}"/>
                </c:ext>
              </c:extLst>
            </c:dLbl>
            <c:dLbl>
              <c:idx val="4"/>
              <c:layout>
                <c:manualLayout>
                  <c:x val="-2.2165209861930872E-2"/>
                  <c:y val="-5.441093611539410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3A6-4BC4-BDA0-DD1CE83202C6}"/>
                </c:ext>
              </c:extLst>
            </c:dLbl>
            <c:dLbl>
              <c:idx val="5"/>
              <c:layout>
                <c:manualLayout>
                  <c:x val="0"/>
                  <c:y val="-3.278688524590164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3A6-4BC4-BDA0-DD1CE83202C6}"/>
                </c:ext>
              </c:extLst>
            </c:dLbl>
            <c:dLbl>
              <c:idx val="6"/>
              <c:layout>
                <c:manualLayout>
                  <c:x val="2.7731558513588463E-2"/>
                  <c:y val="3.278688524590164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3A6-4BC4-BDA0-DD1CE83202C6}"/>
                </c:ext>
              </c:extLst>
            </c:dLbl>
            <c:dLbl>
              <c:idx val="7"/>
              <c:layout>
                <c:manualLayout>
                  <c:x val="8.3194675540765387E-3"/>
                  <c:y val="1.639344262295082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3A6-4BC4-BDA0-DD1CE83202C6}"/>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Policy Area</c:v>
                </c:pt>
                <c:pt idx="1">
                  <c:v>Mobility and transport</c:v>
                </c:pt>
                <c:pt idx="2">
                  <c:v>Health and food safety</c:v>
                </c:pt>
                <c:pt idx="3">
                  <c:v>Environment</c:v>
                </c:pt>
                <c:pt idx="4">
                  <c:v>Other</c:v>
                </c:pt>
              </c:strCache>
            </c:strRef>
          </c:cat>
          <c:val>
            <c:numRef>
              <c:f>Blad1!$B$2:$B$6</c:f>
              <c:numCache>
                <c:formatCode>General</c:formatCode>
                <c:ptCount val="5"/>
                <c:pt idx="0">
                  <c:v>0</c:v>
                </c:pt>
                <c:pt idx="1">
                  <c:v>7</c:v>
                </c:pt>
                <c:pt idx="2">
                  <c:v>4</c:v>
                </c:pt>
                <c:pt idx="3">
                  <c:v>4</c:v>
                </c:pt>
                <c:pt idx="4">
                  <c:v>4</c:v>
                </c:pt>
              </c:numCache>
            </c:numRef>
          </c:val>
          <c:extLst xmlns:c16r2="http://schemas.microsoft.com/office/drawing/2015/06/chart">
            <c:ext xmlns:c16="http://schemas.microsoft.com/office/drawing/2014/chart" uri="{C3380CC4-5D6E-409C-BE32-E72D297353CC}">
              <c16:uniqueId val="{0000000D-53A6-4BC4-BDA0-DD1CE83202C6}"/>
            </c:ext>
          </c:extLst>
        </c:ser>
        <c:dLbls>
          <c:showLegendKey val="0"/>
          <c:showVal val="0"/>
          <c:showCatName val="0"/>
          <c:showSerName val="0"/>
          <c:showPercent val="0"/>
          <c:showBubbleSize val="0"/>
          <c:showLeaderLines val="0"/>
        </c:dLbls>
        <c:firstSliceAng val="261"/>
      </c:pieChart>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299651567944251E-2"/>
          <c:y val="0.10624807584936574"/>
          <c:w val="0.93863319386331934"/>
          <c:h val="0.78128256356015202"/>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270534650505373E-2"/>
                  <c:y val="0.1076792650918635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5AD-4CB6-9FA0-B62A0D2F8E4E}"/>
                </c:ext>
              </c:extLst>
            </c:dLbl>
            <c:dLbl>
              <c:idx val="3"/>
              <c:layout>
                <c:manualLayout>
                  <c:x val="-4.5192417419394483E-2"/>
                  <c:y val="-7.659336407650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8D-47CA-9557-C573AA53EC8C}"/>
                </c:ext>
              </c:extLst>
            </c:dLbl>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9</c:v>
                </c:pt>
                <c:pt idx="1">
                  <c:v>7</c:v>
                </c:pt>
                <c:pt idx="2">
                  <c:v>8</c:v>
                </c:pt>
                <c:pt idx="3">
                  <c:v>18</c:v>
                </c:pt>
                <c:pt idx="4">
                  <c:v>14</c:v>
                </c:pt>
              </c:numCache>
            </c:numRef>
          </c:val>
          <c:smooth val="0"/>
          <c:extLst xmlns:c16r2="http://schemas.microsoft.com/office/drawing/2015/06/chart">
            <c:ext xmlns:c16="http://schemas.microsoft.com/office/drawing/2014/chart" uri="{C3380CC4-5D6E-409C-BE32-E72D297353CC}">
              <c16:uniqueId val="{00000001-35AD-4CB6-9FA0-B62A0D2F8E4E}"/>
            </c:ext>
          </c:extLst>
        </c:ser>
        <c:dLbls>
          <c:showLegendKey val="0"/>
          <c:showVal val="0"/>
          <c:showCatName val="0"/>
          <c:showSerName val="0"/>
          <c:showPercent val="0"/>
          <c:showBubbleSize val="0"/>
        </c:dLbls>
        <c:marker val="1"/>
        <c:smooth val="0"/>
        <c:axId val="330004352"/>
        <c:axId val="330005888"/>
      </c:lineChart>
      <c:catAx>
        <c:axId val="330004352"/>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0005888"/>
        <c:crosses val="autoZero"/>
        <c:auto val="1"/>
        <c:lblAlgn val="ctr"/>
        <c:lblOffset val="100"/>
        <c:noMultiLvlLbl val="0"/>
      </c:catAx>
      <c:valAx>
        <c:axId val="330005888"/>
        <c:scaling>
          <c:orientation val="minMax"/>
        </c:scaling>
        <c:delete val="1"/>
        <c:axPos val="l"/>
        <c:majorGridlines>
          <c:spPr>
            <a:ln w="9516" cap="flat" cmpd="sng" algn="ctr">
              <a:solidFill>
                <a:schemeClr val="tx1">
                  <a:lumMod val="15000"/>
                  <a:lumOff val="85000"/>
                </a:schemeClr>
              </a:solidFill>
              <a:round/>
            </a:ln>
            <a:effectLst/>
          </c:spPr>
        </c:majorGridlines>
        <c:numFmt formatCode="General" sourceLinked="1"/>
        <c:majorTickMark val="out"/>
        <c:minorTickMark val="none"/>
        <c:tickLblPos val="nextTo"/>
        <c:crossAx val="330004352"/>
        <c:crosses val="autoZero"/>
        <c:crossBetween val="between"/>
      </c:valAx>
      <c:spPr>
        <a:noFill/>
        <a:ln w="25377">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270534650505373E-2"/>
                  <c:y val="9.43459317585301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22-45EA-B3FC-5EAC7FA1E1ED}"/>
                </c:ext>
              </c:extLst>
            </c:dLbl>
            <c:dLbl>
              <c:idx val="3"/>
              <c:layout>
                <c:manualLayout>
                  <c:x val="-4.2405349414935171E-2"/>
                  <c:y val="-7.659336407650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3F-43F2-A0E4-ABEDB466AA54}"/>
                </c:ext>
              </c:extLst>
            </c:dLbl>
            <c:dLbl>
              <c:idx val="4"/>
              <c:layout>
                <c:manualLayout>
                  <c:x val="-3.9703210175651121E-2"/>
                  <c:y val="8.24957388294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22-45EA-B3FC-5EAC7FA1E1ED}"/>
                </c:ext>
              </c:extLst>
            </c:dLbl>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15</c:v>
                </c:pt>
                <c:pt idx="1">
                  <c:v>20</c:v>
                </c:pt>
                <c:pt idx="2">
                  <c:v>15</c:v>
                </c:pt>
                <c:pt idx="3">
                  <c:v>28</c:v>
                </c:pt>
                <c:pt idx="4">
                  <c:v>15</c:v>
                </c:pt>
              </c:numCache>
            </c:numRef>
          </c:val>
          <c:smooth val="0"/>
          <c:extLst xmlns:c16r2="http://schemas.microsoft.com/office/drawing/2015/06/chart">
            <c:ext xmlns:c16="http://schemas.microsoft.com/office/drawing/2014/chart" uri="{C3380CC4-5D6E-409C-BE32-E72D297353CC}">
              <c16:uniqueId val="{00000002-5522-45EA-B3FC-5EAC7FA1E1ED}"/>
            </c:ext>
          </c:extLst>
        </c:ser>
        <c:dLbls>
          <c:showLegendKey val="0"/>
          <c:showVal val="0"/>
          <c:showCatName val="0"/>
          <c:showSerName val="0"/>
          <c:showPercent val="0"/>
          <c:showBubbleSize val="0"/>
        </c:dLbls>
        <c:marker val="1"/>
        <c:smooth val="0"/>
        <c:axId val="330654080"/>
        <c:axId val="330655616"/>
      </c:lineChart>
      <c:catAx>
        <c:axId val="330654080"/>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0655616"/>
        <c:crosses val="autoZero"/>
        <c:auto val="1"/>
        <c:lblAlgn val="ctr"/>
        <c:lblOffset val="100"/>
        <c:noMultiLvlLbl val="0"/>
      </c:catAx>
      <c:valAx>
        <c:axId val="330655616"/>
        <c:scaling>
          <c:orientation val="minMax"/>
        </c:scaling>
        <c:delete val="1"/>
        <c:axPos val="l"/>
        <c:majorGridlines>
          <c:spPr>
            <a:ln w="9516" cap="flat" cmpd="sng" algn="ctr">
              <a:solidFill>
                <a:schemeClr val="tx1">
                  <a:lumMod val="15000"/>
                  <a:lumOff val="85000"/>
                </a:schemeClr>
              </a:solidFill>
              <a:round/>
            </a:ln>
            <a:effectLst/>
          </c:spPr>
        </c:majorGridlines>
        <c:numFmt formatCode="General" sourceLinked="1"/>
        <c:majorTickMark val="out"/>
        <c:minorTickMark val="none"/>
        <c:tickLblPos val="nextTo"/>
        <c:crossAx val="330654080"/>
        <c:crosses val="autoZero"/>
        <c:crossBetween val="between"/>
      </c:valAx>
      <c:spPr>
        <a:noFill/>
        <a:ln w="25377">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15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Denmark</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40">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46D-4ADF-8660-F27DD11A6A1F}"/>
              </c:ext>
            </c:extLst>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46D-4ADF-8660-F27DD11A6A1F}"/>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46D-4ADF-8660-F27DD11A6A1F}"/>
              </c:ext>
            </c:extLst>
          </c:dPt>
          <c:dPt>
            <c:idx val="3"/>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46D-4ADF-8660-F27DD11A6A1F}"/>
              </c:ext>
            </c:extLst>
          </c:dPt>
          <c:dPt>
            <c:idx val="4"/>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46D-4ADF-8660-F27DD11A6A1F}"/>
              </c:ext>
            </c:extLst>
          </c:dPt>
          <c:dLbls>
            <c:dLbl>
              <c:idx val="0"/>
              <c:layout>
                <c:manualLayout>
                  <c:x val="-8.5745895135201117E-2"/>
                  <c:y val="-0.1536983669548511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6D-4ADF-8660-F27DD11A6A1F}"/>
                </c:ext>
              </c:extLst>
            </c:dLbl>
            <c:dLbl>
              <c:idx val="1"/>
              <c:layout>
                <c:manualLayout>
                  <c:x val="-8.3052144476672158E-3"/>
                  <c:y val="8.103891689797768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46D-4ADF-8660-F27DD11A6A1F}"/>
                </c:ext>
              </c:extLst>
            </c:dLbl>
            <c:dLbl>
              <c:idx val="2"/>
              <c:layout>
                <c:manualLayout>
                  <c:x val="-7.8279420563278183E-3"/>
                  <c:y val="1.8968534105650586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46D-4ADF-8660-F27DD11A6A1F}"/>
                </c:ext>
              </c:extLst>
            </c:dLbl>
            <c:dLbl>
              <c:idx val="3"/>
              <c:layout>
                <c:manualLayout>
                  <c:x val="1.1041279723755461E-2"/>
                  <c:y val="-3.058839547073906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46D-4ADF-8660-F27DD11A6A1F}"/>
                </c:ext>
              </c:extLst>
            </c:dLbl>
            <c:dLbl>
              <c:idx val="4"/>
              <c:layout>
                <c:manualLayout>
                  <c:x val="1.3871521873719274E-2"/>
                  <c:y val="-4.245614831287211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46D-4ADF-8660-F27DD11A6A1F}"/>
                </c:ext>
              </c:extLst>
            </c:dLbl>
            <c:spPr>
              <a:noFill/>
              <a:ln w="2534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Mobility and transport</c:v>
                </c:pt>
                <c:pt idx="1">
                  <c:v>Health and food safety</c:v>
                </c:pt>
                <c:pt idx="2">
                  <c:v>Environment</c:v>
                </c:pt>
                <c:pt idx="3">
                  <c:v>Financial stability, financial services and Capital Markets Union</c:v>
                </c:pt>
                <c:pt idx="4">
                  <c:v>Energy</c:v>
                </c:pt>
              </c:strCache>
            </c:strRef>
          </c:cat>
          <c:val>
            <c:numRef>
              <c:f>Blad1!$B$4:$B$8</c:f>
              <c:numCache>
                <c:formatCode>General</c:formatCode>
                <c:ptCount val="5"/>
                <c:pt idx="0">
                  <c:v>6</c:v>
                </c:pt>
                <c:pt idx="1">
                  <c:v>4</c:v>
                </c:pt>
                <c:pt idx="2">
                  <c:v>2</c:v>
                </c:pt>
                <c:pt idx="3">
                  <c:v>2</c:v>
                </c:pt>
                <c:pt idx="4">
                  <c:v>1</c:v>
                </c:pt>
              </c:numCache>
            </c:numRef>
          </c:val>
          <c:extLst xmlns:c16r2="http://schemas.microsoft.com/office/drawing/2015/06/chart">
            <c:ext xmlns:c16="http://schemas.microsoft.com/office/drawing/2014/chart" uri="{C3380CC4-5D6E-409C-BE32-E72D297353CC}">
              <c16:uniqueId val="{0000000A-B46D-4ADF-8660-F27DD11A6A1F}"/>
            </c:ext>
          </c:extLst>
        </c:ser>
        <c:dLbls>
          <c:showLegendKey val="0"/>
          <c:showVal val="0"/>
          <c:showCatName val="0"/>
          <c:showSerName val="0"/>
          <c:showPercent val="0"/>
          <c:showBubbleSize val="0"/>
          <c:showLeaderLines val="0"/>
        </c:dLbls>
        <c:firstSliceAng val="141"/>
      </c:pieChart>
      <c:spPr>
        <a:noFill/>
        <a:ln w="25340">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846716905294696E-2"/>
          <c:y val="2.7777777777777776E-2"/>
          <c:w val="0.95004227769297989"/>
          <c:h val="0.8439918998368468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569484162738364E-2"/>
                  <c:y val="6.4879112807144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A6-4D7C-A1C9-9F350FF18F71}"/>
                </c:ext>
              </c:extLst>
            </c:dLbl>
            <c:dLbl>
              <c:idx val="2"/>
              <c:layout>
                <c:manualLayout>
                  <c:x val="-5.2866899100299028E-2"/>
                  <c:y val="5.93471464531097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A6-4D7C-A1C9-9F350FF18F71}"/>
                </c:ext>
              </c:extLst>
            </c:dLbl>
            <c:dLbl>
              <c:idx val="3"/>
              <c:layout>
                <c:manualLayout>
                  <c:x val="-4.7187727155996048E-2"/>
                  <c:y val="-7.13023926616681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C15-4DFD-A84B-FFA7A0DDBC82}"/>
                </c:ext>
              </c:extLst>
            </c:dLbl>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297</c:v>
                </c:pt>
                <c:pt idx="1">
                  <c:v>276</c:v>
                </c:pt>
                <c:pt idx="2">
                  <c:v>274</c:v>
                </c:pt>
                <c:pt idx="3">
                  <c:v>308</c:v>
                </c:pt>
                <c:pt idx="4">
                  <c:v>297</c:v>
                </c:pt>
              </c:numCache>
            </c:numRef>
          </c:val>
          <c:smooth val="0"/>
          <c:extLst xmlns:c16r2="http://schemas.microsoft.com/office/drawing/2015/06/chart">
            <c:ext xmlns:c16="http://schemas.microsoft.com/office/drawing/2014/chart" uri="{C3380CC4-5D6E-409C-BE32-E72D297353CC}">
              <c16:uniqueId val="{00000002-D2A6-4D7C-A1C9-9F350FF18F71}"/>
            </c:ext>
          </c:extLst>
        </c:ser>
        <c:dLbls>
          <c:showLegendKey val="0"/>
          <c:showVal val="0"/>
          <c:showCatName val="0"/>
          <c:showSerName val="0"/>
          <c:showPercent val="0"/>
          <c:showBubbleSize val="0"/>
        </c:dLbls>
        <c:marker val="1"/>
        <c:smooth val="0"/>
        <c:axId val="330838400"/>
        <c:axId val="330839936"/>
      </c:lineChart>
      <c:catAx>
        <c:axId val="330838400"/>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0839936"/>
        <c:crosses val="autoZero"/>
        <c:auto val="1"/>
        <c:lblAlgn val="ctr"/>
        <c:lblOffset val="100"/>
        <c:noMultiLvlLbl val="0"/>
      </c:catAx>
      <c:valAx>
        <c:axId val="330839936"/>
        <c:scaling>
          <c:orientation val="minMax"/>
          <c:min val="20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330838400"/>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mn-lt"/>
                <a:ea typeface="+mn-ea"/>
                <a:cs typeface="+mn-cs"/>
              </a:defRPr>
            </a:pPr>
            <a:r>
              <a:rPr lang="en-US" sz="1098" b="0" i="0">
                <a:solidFill>
                  <a:srgbClr val="002060"/>
                </a:solidFill>
                <a:latin typeface="Arial" panose="020B0604020202020204" pitchFamily="34" charset="0"/>
                <a:ea typeface="Verdana" panose="020B0604030504040204" pitchFamily="34" charset="0"/>
                <a:cs typeface="Arial" panose="020B0604020202020204" pitchFamily="34" charset="0"/>
              </a:rPr>
              <a:t>297 complaints made against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Germany</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47">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DF1-4D78-A289-4CA872949345}"/>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DF1-4D78-A289-4CA872949345}"/>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DF1-4D78-A289-4CA872949345}"/>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DF1-4D78-A289-4CA872949345}"/>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DF1-4D78-A289-4CA872949345}"/>
              </c:ext>
            </c:extLst>
          </c:dPt>
          <c:dLbls>
            <c:dLbl>
              <c:idx val="0"/>
              <c:layout>
                <c:manualLayout>
                  <c:x val="-3.879618887764421E-2"/>
                  <c:y val="0.12773577765969438"/>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F1-4D78-A289-4CA872949345}"/>
                </c:ext>
              </c:extLst>
            </c:dLbl>
            <c:dLbl>
              <c:idx val="1"/>
              <c:layout>
                <c:manualLayout>
                  <c:x val="-1.1281975333020677E-2"/>
                  <c:y val="9.9014540360369066E-2"/>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DF1-4D78-A289-4CA872949345}"/>
                </c:ext>
              </c:extLst>
            </c:dLbl>
            <c:dLbl>
              <c:idx val="2"/>
              <c:layout>
                <c:manualLayout>
                  <c:x val="1.0104369790766749E-2"/>
                  <c:y val="-4.1995153213210311E-2"/>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DF1-4D78-A289-4CA872949345}"/>
                </c:ext>
              </c:extLst>
            </c:dLbl>
            <c:dLbl>
              <c:idx val="3"/>
              <c:layout>
                <c:manualLayout>
                  <c:x val="2.9169237857806958E-2"/>
                  <c:y val="-4.2529346408385973E-2"/>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DF1-4D78-A289-4CA872949345}"/>
                </c:ext>
              </c:extLst>
            </c:dLbl>
            <c:dLbl>
              <c:idx val="4"/>
              <c:layout>
                <c:manualLayout>
                  <c:x val="-4.4396654571783545E-2"/>
                  <c:y val="-0.1531008968970903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DF1-4D78-A289-4CA872949345}"/>
                </c:ext>
              </c:extLst>
            </c:dLbl>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Blad1!$A$3:$A$7</c:f>
              <c:strCache>
                <c:ptCount val="5"/>
                <c:pt idx="0">
                  <c:v>Justice and consumers</c:v>
                </c:pt>
                <c:pt idx="1">
                  <c:v>Internal market, industry, entrepreneurship and SMEs</c:v>
                </c:pt>
                <c:pt idx="2">
                  <c:v>Employment</c:v>
                </c:pt>
                <c:pt idx="3">
                  <c:v>Environment</c:v>
                </c:pt>
                <c:pt idx="4">
                  <c:v>Other</c:v>
                </c:pt>
              </c:strCache>
            </c:strRef>
          </c:cat>
          <c:val>
            <c:numRef>
              <c:f>Blad1!$B$3:$B$7</c:f>
              <c:numCache>
                <c:formatCode>General</c:formatCode>
                <c:ptCount val="5"/>
                <c:pt idx="0">
                  <c:v>84</c:v>
                </c:pt>
                <c:pt idx="1">
                  <c:v>43</c:v>
                </c:pt>
                <c:pt idx="2">
                  <c:v>37</c:v>
                </c:pt>
                <c:pt idx="3">
                  <c:v>37</c:v>
                </c:pt>
                <c:pt idx="4">
                  <c:v>96</c:v>
                </c:pt>
              </c:numCache>
            </c:numRef>
          </c:val>
          <c:extLst xmlns:c16r2="http://schemas.microsoft.com/office/drawing/2015/06/chart">
            <c:ext xmlns:c16="http://schemas.microsoft.com/office/drawing/2014/chart" uri="{C3380CC4-5D6E-409C-BE32-E72D297353CC}">
              <c16:uniqueId val="{0000000A-CDF1-4D78-A289-4CA872949345}"/>
            </c:ext>
          </c:extLst>
        </c:ser>
        <c:dLbls>
          <c:showLegendKey val="0"/>
          <c:showVal val="0"/>
          <c:showCatName val="0"/>
          <c:showSerName val="0"/>
          <c:showPercent val="0"/>
          <c:showBubbleSize val="0"/>
          <c:showLeaderLines val="0"/>
        </c:dLbls>
        <c:firstSliceAng val="283"/>
      </c:pieChart>
      <c:spPr>
        <a:noFill/>
        <a:ln w="2534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21642619311874E-2"/>
          <c:y val="5.7191878753217046E-2"/>
          <c:w val="0.93899057127010543"/>
          <c:h val="0.81111111111111112"/>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2.834165280088741E-2"/>
                  <c:y val="5.42382588774341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84-4A49-964D-C8B37020CA5A}"/>
                </c:ext>
              </c:extLst>
            </c:dLbl>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73</c:v>
                </c:pt>
                <c:pt idx="1">
                  <c:v>74</c:v>
                </c:pt>
                <c:pt idx="2">
                  <c:v>49</c:v>
                </c:pt>
                <c:pt idx="3">
                  <c:v>33</c:v>
                </c:pt>
                <c:pt idx="4">
                  <c:v>5</c:v>
                </c:pt>
              </c:numCache>
            </c:numRef>
          </c:val>
          <c:smooth val="0"/>
          <c:extLst xmlns:c16r2="http://schemas.microsoft.com/office/drawing/2015/06/chart">
            <c:ext xmlns:c16="http://schemas.microsoft.com/office/drawing/2014/chart" uri="{C3380CC4-5D6E-409C-BE32-E72D297353CC}">
              <c16:uniqueId val="{00000001-C584-4A49-964D-C8B37020CA5A}"/>
            </c:ext>
          </c:extLst>
        </c:ser>
        <c:dLbls>
          <c:showLegendKey val="0"/>
          <c:showVal val="0"/>
          <c:showCatName val="0"/>
          <c:showSerName val="0"/>
          <c:showPercent val="0"/>
          <c:showBubbleSize val="0"/>
        </c:dLbls>
        <c:marker val="1"/>
        <c:smooth val="0"/>
        <c:axId val="330339072"/>
        <c:axId val="330340608"/>
      </c:lineChart>
      <c:catAx>
        <c:axId val="330339072"/>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0340608"/>
        <c:crosses val="autoZero"/>
        <c:auto val="1"/>
        <c:lblAlgn val="ctr"/>
        <c:lblOffset val="100"/>
        <c:noMultiLvlLbl val="0"/>
      </c:catAx>
      <c:valAx>
        <c:axId val="330340608"/>
        <c:scaling>
          <c:orientation val="minMax"/>
          <c:min val="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0339072"/>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21642619311874E-2"/>
          <c:y val="5.7191878753217046E-2"/>
          <c:w val="0.93899057127010543"/>
          <c:h val="0.81111111111111112"/>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2.834165280088741E-2"/>
                  <c:y val="5.42382588774341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700-4338-A84B-A5C914E0B9B2}"/>
                </c:ext>
              </c:extLst>
            </c:dLbl>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61</c:v>
                </c:pt>
                <c:pt idx="1">
                  <c:v>63</c:v>
                </c:pt>
                <c:pt idx="2">
                  <c:v>68</c:v>
                </c:pt>
                <c:pt idx="3">
                  <c:v>51</c:v>
                </c:pt>
                <c:pt idx="4">
                  <c:v>47</c:v>
                </c:pt>
              </c:numCache>
            </c:numRef>
          </c:val>
          <c:smooth val="0"/>
          <c:extLst xmlns:c16r2="http://schemas.microsoft.com/office/drawing/2015/06/chart">
            <c:ext xmlns:c16="http://schemas.microsoft.com/office/drawing/2014/chart" uri="{C3380CC4-5D6E-409C-BE32-E72D297353CC}">
              <c16:uniqueId val="{00000001-8700-4338-A84B-A5C914E0B9B2}"/>
            </c:ext>
          </c:extLst>
        </c:ser>
        <c:dLbls>
          <c:showLegendKey val="0"/>
          <c:showVal val="0"/>
          <c:showCatName val="0"/>
          <c:showSerName val="0"/>
          <c:showPercent val="0"/>
          <c:showBubbleSize val="0"/>
        </c:dLbls>
        <c:marker val="1"/>
        <c:smooth val="0"/>
        <c:axId val="330439296"/>
        <c:axId val="330457472"/>
      </c:lineChart>
      <c:catAx>
        <c:axId val="33043929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0457472"/>
        <c:crosses val="autoZero"/>
        <c:auto val="1"/>
        <c:lblAlgn val="ctr"/>
        <c:lblOffset val="100"/>
        <c:noMultiLvlLbl val="0"/>
      </c:catAx>
      <c:valAx>
        <c:axId val="330457472"/>
        <c:scaling>
          <c:orientation val="minMax"/>
          <c:min val="3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0439296"/>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5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Germany</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80A-481F-8915-4D8D74F76304}"/>
              </c:ext>
            </c:extLst>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80A-481F-8915-4D8D74F76304}"/>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80A-481F-8915-4D8D74F76304}"/>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80A-481F-8915-4D8D74F76304}"/>
              </c:ext>
            </c:extLst>
          </c:dPt>
          <c:dPt>
            <c:idx val="4"/>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80A-481F-8915-4D8D74F76304}"/>
              </c:ext>
            </c:extLst>
          </c:dPt>
          <c:dPt>
            <c:idx val="5"/>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980A-481F-8915-4D8D74F76304}"/>
              </c:ext>
            </c:extLst>
          </c:dPt>
          <c:dLbls>
            <c:dLbl>
              <c:idx val="0"/>
              <c:layout>
                <c:manualLayout>
                  <c:x val="-1.9179330978689391E-2"/>
                  <c:y val="0.1777481114353091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0A-481F-8915-4D8D74F76304}"/>
                </c:ext>
              </c:extLst>
            </c:dLbl>
            <c:dLbl>
              <c:idx val="1"/>
              <c:layout>
                <c:manualLayout>
                  <c:x val="8.2329655339135246E-3"/>
                  <c:y val="-1.760465038024093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80A-481F-8915-4D8D74F76304}"/>
                </c:ext>
              </c:extLst>
            </c:dLbl>
            <c:dLbl>
              <c:idx val="2"/>
              <c:layout>
                <c:manualLayout>
                  <c:x val="-1.0968149951650781E-2"/>
                  <c:y val="0.1028606400161518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80A-481F-8915-4D8D74F76304}"/>
                </c:ext>
              </c:extLst>
            </c:dLbl>
            <c:dLbl>
              <c:idx val="3"/>
              <c:layout>
                <c:manualLayout>
                  <c:x val="-2.7038869318966709E-3"/>
                  <c:y val="1.672933912107140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80A-481F-8915-4D8D74F76304}"/>
                </c:ext>
              </c:extLst>
            </c:dLbl>
            <c:dLbl>
              <c:idx val="4"/>
              <c:layout>
                <c:manualLayout>
                  <c:x val="2.462054496477414E-2"/>
                  <c:y val="-6.94444444444444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80A-481F-8915-4D8D74F76304}"/>
                </c:ext>
              </c:extLst>
            </c:dLbl>
            <c:spPr>
              <a:noFill/>
              <a:ln>
                <a:noFill/>
              </a:ln>
              <a:effectLst/>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Energy</c:v>
                </c:pt>
                <c:pt idx="1">
                  <c:v>Agriculture and rural development</c:v>
                </c:pt>
                <c:pt idx="2">
                  <c:v>Taxation and customs </c:v>
                </c:pt>
                <c:pt idx="3">
                  <c:v>Mobility and transport</c:v>
                </c:pt>
                <c:pt idx="4">
                  <c:v>Financial stability, financial services and Capital Markets Union</c:v>
                </c:pt>
              </c:strCache>
            </c:strRef>
          </c:cat>
          <c:val>
            <c:numRef>
              <c:f>Blad1!$B$2:$B$6</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C-980A-481F-8915-4D8D74F76304}"/>
            </c:ext>
          </c:extLst>
        </c:ser>
        <c:dLbls>
          <c:showLegendKey val="0"/>
          <c:showVal val="0"/>
          <c:showCatName val="0"/>
          <c:showSerName val="0"/>
          <c:showPercent val="0"/>
          <c:showBubbleSize val="0"/>
          <c:showLeaderLines val="0"/>
        </c:dLbls>
        <c:firstSliceAng val="163"/>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Germany</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1841227405434294E-2"/>
                  <c:y val="7.07939457878324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048-47C8-BD32-640BAABBBE32}"/>
                </c:ext>
              </c:extLst>
            </c:dLbl>
            <c:dLbl>
              <c:idx val="1"/>
              <c:layout>
                <c:manualLayout>
                  <c:x val="-4.9077229774138927E-2"/>
                  <c:y val="6.56917885264341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48-47C8-BD32-640BAABBBE32}"/>
                </c:ext>
              </c:extLst>
            </c:dLbl>
            <c:dLbl>
              <c:idx val="3"/>
              <c:layout>
                <c:manualLayout>
                  <c:x val="-4.8189933969696577E-2"/>
                  <c:y val="8.2951818522684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048-47C8-BD32-640BAABBBE32}"/>
                </c:ext>
              </c:extLst>
            </c:dLbl>
            <c:dLbl>
              <c:idx val="4"/>
              <c:layout>
                <c:manualLayout>
                  <c:x val="-0.12176334183466414"/>
                  <c:y val="-9.141057654853698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48-47C8-BD32-640BAABBBE32}"/>
                </c:ext>
              </c:extLst>
            </c:dLbl>
            <c:spPr>
              <a:noFill/>
              <a:ln w="25411">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0.67</c:v>
                </c:pt>
                <c:pt idx="1">
                  <c:v>0.7</c:v>
                </c:pt>
                <c:pt idx="2">
                  <c:v>0.64</c:v>
                </c:pt>
                <c:pt idx="3">
                  <c:v>0.72</c:v>
                </c:pt>
                <c:pt idx="4">
                  <c:v>0.92</c:v>
                </c:pt>
              </c:numCache>
            </c:numRef>
          </c:val>
          <c:smooth val="0"/>
          <c:extLst xmlns:c16r2="http://schemas.microsoft.com/office/drawing/2015/06/chart">
            <c:ext xmlns:c16="http://schemas.microsoft.com/office/drawing/2014/chart" uri="{C3380CC4-5D6E-409C-BE32-E72D297353CC}">
              <c16:uniqueId val="{00000004-2048-47C8-BD32-640BAABBBE32}"/>
            </c:ext>
          </c:extLst>
        </c:ser>
        <c:ser>
          <c:idx val="1"/>
          <c:order val="1"/>
          <c:tx>
            <c:strRef>
              <c:f>Blad1!$C$2</c:f>
              <c:strCache>
                <c:ptCount val="1"/>
                <c:pt idx="0">
                  <c:v>General rate for all Member States</c:v>
                </c:pt>
              </c:strCache>
            </c:strRef>
          </c:tx>
          <c:spPr>
            <a:ln w="25411">
              <a:solidFill>
                <a:srgbClr val="92D050"/>
              </a:solidFill>
            </a:ln>
          </c:spPr>
          <c:marker>
            <c:symbol val="square"/>
            <c:size val="5"/>
            <c:spPr>
              <a:solidFill>
                <a:srgbClr val="92D050"/>
              </a:solidFill>
              <a:ln>
                <a:solidFill>
                  <a:srgbClr val="92D050"/>
                </a:solidFill>
              </a:ln>
            </c:spPr>
          </c:marker>
          <c:dLbls>
            <c:dLbl>
              <c:idx val="0"/>
              <c:layout>
                <c:manualLayout>
                  <c:x val="-4.6503418795079361E-2"/>
                  <c:y val="-0.11149475880732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048-47C8-BD32-640BAABBBE32}"/>
                </c:ext>
              </c:extLst>
            </c:dLbl>
            <c:dLbl>
              <c:idx val="1"/>
              <c:layout>
                <c:manualLayout>
                  <c:x val="-5.4965113191696807E-2"/>
                  <c:y val="-8.50370266216722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048-47C8-BD32-640BAABBBE32}"/>
                </c:ext>
              </c:extLst>
            </c:dLbl>
            <c:spPr>
              <a:noFill/>
              <a:ln w="25411">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7-2048-47C8-BD32-640BAABBBE32}"/>
            </c:ext>
          </c:extLst>
        </c:ser>
        <c:dLbls>
          <c:showLegendKey val="0"/>
          <c:showVal val="0"/>
          <c:showCatName val="0"/>
          <c:showSerName val="0"/>
          <c:showPercent val="0"/>
          <c:showBubbleSize val="0"/>
        </c:dLbls>
        <c:marker val="1"/>
        <c:smooth val="0"/>
        <c:axId val="331249536"/>
        <c:axId val="331251072"/>
      </c:lineChart>
      <c:catAx>
        <c:axId val="331249536"/>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1251072"/>
        <c:crosses val="autoZero"/>
        <c:auto val="1"/>
        <c:lblAlgn val="ctr"/>
        <c:lblOffset val="100"/>
        <c:noMultiLvlLbl val="0"/>
      </c:catAx>
      <c:valAx>
        <c:axId val="331251072"/>
        <c:scaling>
          <c:orientation val="minMax"/>
          <c:min val="0.5"/>
        </c:scaling>
        <c:delete val="1"/>
        <c:axPos val="l"/>
        <c:majorGridlines>
          <c:spPr>
            <a:ln w="9529" cap="flat" cmpd="sng" algn="ctr">
              <a:solidFill>
                <a:schemeClr val="tx1">
                  <a:lumMod val="15000"/>
                  <a:lumOff val="85000"/>
                </a:schemeClr>
              </a:solidFill>
              <a:round/>
            </a:ln>
            <a:effectLst/>
          </c:spPr>
        </c:majorGridlines>
        <c:numFmt formatCode="0%" sourceLinked="1"/>
        <c:majorTickMark val="out"/>
        <c:minorTickMark val="none"/>
        <c:tickLblPos val="nextTo"/>
        <c:crossAx val="331249536"/>
        <c:crosses val="autoZero"/>
        <c:crossBetween val="between"/>
      </c:valAx>
      <c:spPr>
        <a:noFill/>
        <a:ln w="25411">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7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Belgium</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775-4C13-BAE9-D6E00CB73411}"/>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775-4C13-BAE9-D6E00CB73411}"/>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775-4C13-BAE9-D6E00CB73411}"/>
              </c:ext>
            </c:extLst>
          </c:dPt>
          <c:dPt>
            <c:idx val="3"/>
            <c:bubble3D val="0"/>
            <c:spPr>
              <a:solidFill>
                <a:srgbClr val="A65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775-4C13-BAE9-D6E00CB73411}"/>
              </c:ext>
            </c:extLst>
          </c:dPt>
          <c:dPt>
            <c:idx val="4"/>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8775-4C13-BAE9-D6E00CB73411}"/>
              </c:ext>
            </c:extLst>
          </c:dPt>
          <c:dPt>
            <c:idx val="5"/>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8775-4C13-BAE9-D6E00CB73411}"/>
              </c:ext>
            </c:extLst>
          </c:dPt>
          <c:dLbls>
            <c:dLbl>
              <c:idx val="0"/>
              <c:layout>
                <c:manualLayout>
                  <c:x val="-3.0150918635170602E-2"/>
                  <c:y val="-0.3779380341880342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775-4C13-BAE9-D6E00CB73411}"/>
                </c:ext>
              </c:extLst>
            </c:dLbl>
            <c:dLbl>
              <c:idx val="1"/>
              <c:layout>
                <c:manualLayout>
                  <c:x val="-2.7634600773587511E-3"/>
                  <c:y val="5.769104583080961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775-4C13-BAE9-D6E00CB73411}"/>
                </c:ext>
              </c:extLst>
            </c:dLbl>
            <c:dLbl>
              <c:idx val="2"/>
              <c:layout>
                <c:manualLayout>
                  <c:x val="2.742738983284984E-3"/>
                  <c:y val="7.002490073356215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775-4C13-BAE9-D6E00CB73411}"/>
                </c:ext>
              </c:extLst>
            </c:dLbl>
            <c:dLbl>
              <c:idx val="3"/>
              <c:layout>
                <c:manualLayout>
                  <c:x val="1.1862394667771791E-2"/>
                  <c:y val="-1.1049700518204455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775-4C13-BAE9-D6E00CB73411}"/>
                </c:ext>
              </c:extLst>
            </c:dLbl>
            <c:dLbl>
              <c:idx val="4"/>
              <c:layout>
                <c:manualLayout>
                  <c:x val="3.0153508771929825E-2"/>
                  <c:y val="-8.547008547008547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775-4C13-BAE9-D6E00CB73411}"/>
                </c:ext>
              </c:extLst>
            </c:dLbl>
            <c:dLbl>
              <c:idx val="5"/>
              <c:layout>
                <c:manualLayout>
                  <c:x val="2.7412280701754384E-3"/>
                  <c:y val="-5.0813008130081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775-4C13-BAE9-D6E00CB73411}"/>
                </c:ext>
              </c:extLst>
            </c:dLbl>
            <c:spPr>
              <a:noFill/>
              <a:ln>
                <a:noFill/>
              </a:ln>
              <a:effectLst/>
            </c:spPr>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Blad1!$A$3:$A$7</c:f>
              <c:strCache>
                <c:ptCount val="5"/>
                <c:pt idx="0">
                  <c:v>Environment</c:v>
                </c:pt>
                <c:pt idx="1">
                  <c:v>Migration and home affairs</c:v>
                </c:pt>
                <c:pt idx="2">
                  <c:v>Taxation and customs</c:v>
                </c:pt>
                <c:pt idx="3">
                  <c:v>Economic and financial affairs </c:v>
                </c:pt>
                <c:pt idx="4">
                  <c:v>Climate action</c:v>
                </c:pt>
              </c:strCache>
            </c:strRef>
          </c:cat>
          <c:val>
            <c:numRef>
              <c:f>Blad1!$B$3:$B$7</c:f>
              <c:numCache>
                <c:formatCode>General</c:formatCode>
                <c:ptCount val="5"/>
                <c:pt idx="0">
                  <c:v>3</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C-8775-4C13-BAE9-D6E00CB73411}"/>
            </c:ext>
          </c:extLst>
        </c:ser>
        <c:dLbls>
          <c:showLegendKey val="0"/>
          <c:showVal val="0"/>
          <c:showCatName val="0"/>
          <c:showSerName val="0"/>
          <c:showPercent val="0"/>
          <c:showBubbleSize val="0"/>
          <c:showLeaderLines val="0"/>
        </c:dLbls>
        <c:firstSliceAng val="15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63</c:v>
                </c:pt>
                <c:pt idx="1">
                  <c:v>68</c:v>
                </c:pt>
                <c:pt idx="2">
                  <c:v>88</c:v>
                </c:pt>
                <c:pt idx="3">
                  <c:v>91</c:v>
                </c:pt>
                <c:pt idx="4">
                  <c:v>74</c:v>
                </c:pt>
              </c:numCache>
            </c:numRef>
          </c:val>
          <c:smooth val="0"/>
          <c:extLst xmlns:c16r2="http://schemas.microsoft.com/office/drawing/2015/06/chart">
            <c:ext xmlns:c16="http://schemas.microsoft.com/office/drawing/2014/chart" uri="{C3380CC4-5D6E-409C-BE32-E72D297353CC}">
              <c16:uniqueId val="{00000000-F01A-496B-802B-D2A7F53AABA8}"/>
            </c:ext>
          </c:extLst>
        </c:ser>
        <c:dLbls>
          <c:showLegendKey val="0"/>
          <c:showVal val="0"/>
          <c:showCatName val="0"/>
          <c:showSerName val="0"/>
          <c:showPercent val="0"/>
          <c:showBubbleSize val="0"/>
        </c:dLbls>
        <c:marker val="1"/>
        <c:smooth val="0"/>
        <c:axId val="331014144"/>
        <c:axId val="331015680"/>
      </c:lineChart>
      <c:catAx>
        <c:axId val="331014144"/>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1015680"/>
        <c:crosses val="autoZero"/>
        <c:auto val="1"/>
        <c:lblAlgn val="ctr"/>
        <c:lblOffset val="100"/>
        <c:noMultiLvlLbl val="0"/>
      </c:catAx>
      <c:valAx>
        <c:axId val="331015680"/>
        <c:scaling>
          <c:orientation val="minMax"/>
          <c:min val="55"/>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331014144"/>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23 new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Germany</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0967896529"/>
          <c:y val="3.2786863180563966E-2"/>
        </c:manualLayout>
      </c:layout>
      <c:overlay val="0"/>
      <c:spPr>
        <a:noFill/>
        <a:ln w="25384">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3D7-405D-BFC6-632494879823}"/>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3D7-405D-BFC6-632494879823}"/>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3D7-405D-BFC6-632494879823}"/>
              </c:ext>
            </c:extLst>
          </c:dPt>
          <c:dPt>
            <c:idx val="3"/>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3D7-405D-BFC6-632494879823}"/>
              </c:ext>
            </c:extLst>
          </c:dPt>
          <c:dPt>
            <c:idx val="4"/>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3D7-405D-BFC6-632494879823}"/>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F3D7-405D-BFC6-63249487982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D7-405D-BFC6-632494879823}"/>
                </c:ext>
              </c:extLst>
            </c:dLbl>
            <c:dLbl>
              <c:idx val="1"/>
              <c:layout>
                <c:manualLayout>
                  <c:x val="2.7669143101298383E-2"/>
                  <c:y val="-1.986329477544948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D7-405D-BFC6-632494879823}"/>
                </c:ext>
              </c:extLst>
            </c:dLbl>
            <c:dLbl>
              <c:idx val="2"/>
              <c:layout>
                <c:manualLayout>
                  <c:x val="5.8194033885299222E-2"/>
                  <c:y val="4.359904930450468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D7-405D-BFC6-632494879823}"/>
                </c:ext>
              </c:extLst>
            </c:dLbl>
            <c:dLbl>
              <c:idx val="3"/>
              <c:layout>
                <c:manualLayout>
                  <c:x val="-2.3994384422877373E-2"/>
                  <c:y val="-1.085819077175613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3D7-405D-BFC6-632494879823}"/>
                </c:ext>
              </c:extLst>
            </c:dLbl>
            <c:dLbl>
              <c:idx val="4"/>
              <c:layout>
                <c:manualLayout>
                  <c:x val="1.6606717764930546E-2"/>
                  <c:y val="-2.72867560935989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3D7-405D-BFC6-632494879823}"/>
                </c:ext>
              </c:extLst>
            </c:dLbl>
            <c:dLbl>
              <c:idx val="5"/>
              <c:layout>
                <c:manualLayout>
                  <c:x val="-8.0180239098019704E-2"/>
                  <c:y val="-0.2027315396650337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3D7-405D-BFC6-632494879823}"/>
                </c:ext>
              </c:extLst>
            </c:dLbl>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Policy Area</c:v>
                </c:pt>
                <c:pt idx="1">
                  <c:v>Mobility and transport</c:v>
                </c:pt>
                <c:pt idx="2">
                  <c:v>Environment</c:v>
                </c:pt>
                <c:pt idx="3">
                  <c:v>Health and food safety</c:v>
                </c:pt>
                <c:pt idx="4">
                  <c:v>Taxation and customs</c:v>
                </c:pt>
                <c:pt idx="5">
                  <c:v>Other</c:v>
                </c:pt>
              </c:strCache>
            </c:strRef>
          </c:cat>
          <c:val>
            <c:numRef>
              <c:f>Blad1!$B$2:$B$7</c:f>
              <c:numCache>
                <c:formatCode>General</c:formatCode>
                <c:ptCount val="6"/>
                <c:pt idx="0">
                  <c:v>0</c:v>
                </c:pt>
                <c:pt idx="1">
                  <c:v>4</c:v>
                </c:pt>
                <c:pt idx="2">
                  <c:v>4</c:v>
                </c:pt>
                <c:pt idx="3">
                  <c:v>4</c:v>
                </c:pt>
                <c:pt idx="4">
                  <c:v>3</c:v>
                </c:pt>
                <c:pt idx="5">
                  <c:v>8</c:v>
                </c:pt>
              </c:numCache>
            </c:numRef>
          </c:val>
          <c:extLst xmlns:c16r2="http://schemas.microsoft.com/office/drawing/2015/06/chart">
            <c:ext xmlns:c16="http://schemas.microsoft.com/office/drawing/2014/chart" uri="{C3380CC4-5D6E-409C-BE32-E72D297353CC}">
              <c16:uniqueId val="{0000000C-F3D7-405D-BFC6-632494879823}"/>
            </c:ext>
          </c:extLst>
        </c:ser>
        <c:dLbls>
          <c:showLegendKey val="0"/>
          <c:showVal val="0"/>
          <c:showCatName val="0"/>
          <c:showSerName val="0"/>
          <c:showPercent val="0"/>
          <c:showBubbleSize val="0"/>
          <c:showLeaderLines val="0"/>
        </c:dLbls>
        <c:firstSliceAng val="273"/>
      </c:pieChart>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001987064428928E-2"/>
                  <c:y val="5.6098392505207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8D-4247-BE3B-8A01FB34B20F}"/>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11</c:v>
                </c:pt>
                <c:pt idx="1">
                  <c:v>10</c:v>
                </c:pt>
                <c:pt idx="2">
                  <c:v>24</c:v>
                </c:pt>
                <c:pt idx="3">
                  <c:v>26</c:v>
                </c:pt>
                <c:pt idx="4">
                  <c:v>25</c:v>
                </c:pt>
              </c:numCache>
            </c:numRef>
          </c:val>
          <c:smooth val="0"/>
          <c:extLst xmlns:c16r2="http://schemas.microsoft.com/office/drawing/2015/06/chart">
            <c:ext xmlns:c16="http://schemas.microsoft.com/office/drawing/2014/chart" uri="{C3380CC4-5D6E-409C-BE32-E72D297353CC}">
              <c16:uniqueId val="{00000001-E88D-4247-BE3B-8A01FB34B20F}"/>
            </c:ext>
          </c:extLst>
        </c:ser>
        <c:dLbls>
          <c:showLegendKey val="0"/>
          <c:showVal val="0"/>
          <c:showCatName val="0"/>
          <c:showSerName val="0"/>
          <c:showPercent val="0"/>
          <c:showBubbleSize val="0"/>
        </c:dLbls>
        <c:marker val="1"/>
        <c:smooth val="0"/>
        <c:axId val="331137408"/>
        <c:axId val="331138944"/>
      </c:lineChart>
      <c:catAx>
        <c:axId val="331137408"/>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1138944"/>
        <c:crosses val="autoZero"/>
        <c:auto val="1"/>
        <c:lblAlgn val="ctr"/>
        <c:lblOffset val="100"/>
        <c:noMultiLvlLbl val="0"/>
      </c:catAx>
      <c:valAx>
        <c:axId val="331138944"/>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1137408"/>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7770554843435266E-2"/>
                  <c:y val="-6.74081596690872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C9-4501-8A15-FA98C66ACCD2}"/>
                </c:ext>
              </c:extLst>
            </c:dLbl>
            <c:dLbl>
              <c:idx val="2"/>
              <c:layout>
                <c:manualLayout>
                  <c:x val="-3.9434276206322796E-2"/>
                  <c:y val="-8.02491103202846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C9-4501-8A15-FA98C66ACCD2}"/>
                </c:ext>
              </c:extLst>
            </c:dLbl>
            <c:dLbl>
              <c:idx val="3"/>
              <c:layout>
                <c:manualLayout>
                  <c:x val="-4.4980587909040491E-2"/>
                  <c:y val="7.98932384341636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C9-4501-8A15-FA98C66ACCD2}"/>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18</c:v>
                </c:pt>
                <c:pt idx="1">
                  <c:v>27</c:v>
                </c:pt>
                <c:pt idx="2">
                  <c:v>22</c:v>
                </c:pt>
                <c:pt idx="3">
                  <c:v>21</c:v>
                </c:pt>
                <c:pt idx="4">
                  <c:v>19</c:v>
                </c:pt>
              </c:numCache>
            </c:numRef>
          </c:val>
          <c:smooth val="0"/>
          <c:extLst xmlns:c16r2="http://schemas.microsoft.com/office/drawing/2015/06/chart">
            <c:ext xmlns:c16="http://schemas.microsoft.com/office/drawing/2014/chart" uri="{C3380CC4-5D6E-409C-BE32-E72D297353CC}">
              <c16:uniqueId val="{00000003-4EC9-4501-8A15-FA98C66ACCD2}"/>
            </c:ext>
          </c:extLst>
        </c:ser>
        <c:dLbls>
          <c:showLegendKey val="0"/>
          <c:showVal val="0"/>
          <c:showCatName val="0"/>
          <c:showSerName val="0"/>
          <c:showPercent val="0"/>
          <c:showBubbleSize val="0"/>
        </c:dLbls>
        <c:marker val="1"/>
        <c:smooth val="0"/>
        <c:axId val="331172864"/>
        <c:axId val="331178752"/>
      </c:lineChart>
      <c:catAx>
        <c:axId val="33117286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1178752"/>
        <c:crosses val="autoZero"/>
        <c:auto val="1"/>
        <c:lblAlgn val="ctr"/>
        <c:lblOffset val="100"/>
        <c:noMultiLvlLbl val="0"/>
      </c:catAx>
      <c:valAx>
        <c:axId val="331178752"/>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117286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8" b="0" baseline="0">
                <a:solidFill>
                  <a:srgbClr val="002060"/>
                </a:solidFill>
                <a:latin typeface="Arial" panose="020B0604020202020204" pitchFamily="34" charset="0"/>
                <a:ea typeface="Verdana" panose="020B0604030504040204" pitchFamily="34" charset="0"/>
                <a:cs typeface="Arial" panose="020B0604020202020204" pitchFamily="34" charset="0"/>
              </a:rPr>
              <a:t>19 new </a:t>
            </a:r>
            <a:r>
              <a:rPr lang="nl-BE" sz="1098"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Germany</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49">
          <a:noFill/>
        </a:ln>
      </c:spPr>
    </c:title>
    <c:autoTitleDeleted val="0"/>
    <c:plotArea>
      <c:layout>
        <c:manualLayout>
          <c:layoutTarget val="inner"/>
          <c:xMode val="edge"/>
          <c:yMode val="edge"/>
          <c:x val="0.35992899227845482"/>
          <c:y val="0.2573527043782104"/>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A85D-427E-BE0B-7929313D11DA}"/>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A85D-427E-BE0B-7929313D11DA}"/>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A85D-427E-BE0B-7929313D11DA}"/>
              </c:ext>
            </c:extLst>
          </c:dPt>
          <c:dPt>
            <c:idx val="3"/>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A85D-427E-BE0B-7929313D11DA}"/>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A85D-427E-BE0B-7929313D11DA}"/>
              </c:ext>
            </c:extLst>
          </c:dPt>
          <c:dLbls>
            <c:dLbl>
              <c:idx val="0"/>
              <c:layout>
                <c:manualLayout>
                  <c:x val="-3.1705951941790799E-3"/>
                  <c:y val="1.101041615081133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5D-427E-BE0B-7929313D11DA}"/>
                </c:ext>
              </c:extLst>
            </c:dLbl>
            <c:dLbl>
              <c:idx val="1"/>
              <c:layout>
                <c:manualLayout>
                  <c:x val="-9.447886057861507E-2"/>
                  <c:y val="0.1153039832285115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5D-427E-BE0B-7929313D11DA}"/>
                </c:ext>
              </c:extLst>
            </c:dLbl>
            <c:dLbl>
              <c:idx val="2"/>
              <c:layout>
                <c:manualLayout>
                  <c:x val="-2.7905901907657342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5D-427E-BE0B-7929313D11DA}"/>
                </c:ext>
              </c:extLst>
            </c:dLbl>
            <c:dLbl>
              <c:idx val="3"/>
              <c:layout>
                <c:manualLayout>
                  <c:x val="-3.3561031042363648E-3"/>
                  <c:y val="7.820696941184238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85D-427E-BE0B-7929313D11DA}"/>
                </c:ext>
              </c:extLst>
            </c:dLbl>
            <c:dLbl>
              <c:idx val="4"/>
              <c:layout>
                <c:manualLayout>
                  <c:x val="4.2757135164243405E-2"/>
                  <c:y val="-5.241090146750514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85D-427E-BE0B-7929313D11DA}"/>
                </c:ext>
              </c:extLst>
            </c:dLbl>
            <c:dLbl>
              <c:idx val="5"/>
              <c:layout>
                <c:manualLayout>
                  <c:x val="0"/>
                  <c:y val="7.352941176470588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85D-427E-BE0B-7929313D11DA}"/>
                </c:ext>
              </c:extLst>
            </c:dLbl>
            <c:dLbl>
              <c:idx val="6"/>
              <c:layout>
                <c:manualLayout>
                  <c:x val="1.1074197120708749E-2"/>
                  <c:y val="2.94117647058823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85D-427E-BE0B-7929313D11DA}"/>
                </c:ext>
              </c:extLst>
            </c:dLbl>
            <c:spPr>
              <a:noFill/>
              <a:ln w="2534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Health and food safety</c:v>
                </c:pt>
                <c:pt idx="1">
                  <c:v>Mobility and transport</c:v>
                </c:pt>
                <c:pt idx="2">
                  <c:v>Environment</c:v>
                </c:pt>
                <c:pt idx="3">
                  <c:v>Financial stability, financial services and Capital Markets Union</c:v>
                </c:pt>
                <c:pt idx="4">
                  <c:v>Other</c:v>
                </c:pt>
              </c:strCache>
            </c:strRef>
          </c:cat>
          <c:val>
            <c:numRef>
              <c:f>Blad1!$B$4:$B$8</c:f>
              <c:numCache>
                <c:formatCode>General</c:formatCode>
                <c:ptCount val="5"/>
                <c:pt idx="0">
                  <c:v>4</c:v>
                </c:pt>
                <c:pt idx="1">
                  <c:v>4</c:v>
                </c:pt>
                <c:pt idx="2">
                  <c:v>3</c:v>
                </c:pt>
                <c:pt idx="3">
                  <c:v>2</c:v>
                </c:pt>
                <c:pt idx="4">
                  <c:v>6</c:v>
                </c:pt>
              </c:numCache>
            </c:numRef>
          </c:val>
          <c:extLst xmlns:c16r2="http://schemas.microsoft.com/office/drawing/2015/06/chart">
            <c:ext xmlns:c16="http://schemas.microsoft.com/office/drawing/2014/chart" uri="{C3380CC4-5D6E-409C-BE32-E72D297353CC}">
              <c16:uniqueId val="{0000000C-A85D-427E-BE0B-7929313D11DA}"/>
            </c:ext>
          </c:extLst>
        </c:ser>
        <c:dLbls>
          <c:showLegendKey val="0"/>
          <c:showVal val="0"/>
          <c:showCatName val="0"/>
          <c:showSerName val="0"/>
          <c:showPercent val="0"/>
          <c:showBubbleSize val="0"/>
          <c:showLeaderLines val="0"/>
        </c:dLbls>
        <c:firstSliceAng val="216"/>
      </c:pieChart>
      <c:spPr>
        <a:noFill/>
        <a:ln w="25349">
          <a:noFill/>
        </a:ln>
      </c:spPr>
    </c:plotArea>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14</c:v>
                </c:pt>
                <c:pt idx="1">
                  <c:v>14</c:v>
                </c:pt>
                <c:pt idx="2">
                  <c:v>12</c:v>
                </c:pt>
                <c:pt idx="3">
                  <c:v>22</c:v>
                </c:pt>
                <c:pt idx="4">
                  <c:v>31</c:v>
                </c:pt>
              </c:numCache>
            </c:numRef>
          </c:val>
          <c:smooth val="0"/>
          <c:extLst xmlns:c16r2="http://schemas.microsoft.com/office/drawing/2015/06/chart">
            <c:ext xmlns:c16="http://schemas.microsoft.com/office/drawing/2014/chart" uri="{C3380CC4-5D6E-409C-BE32-E72D297353CC}">
              <c16:uniqueId val="{00000000-4201-402B-B5E7-AA7E577EAB94}"/>
            </c:ext>
          </c:extLst>
        </c:ser>
        <c:dLbls>
          <c:showLegendKey val="0"/>
          <c:showVal val="0"/>
          <c:showCatName val="0"/>
          <c:showSerName val="0"/>
          <c:showPercent val="0"/>
          <c:showBubbleSize val="0"/>
        </c:dLbls>
        <c:marker val="1"/>
        <c:smooth val="0"/>
        <c:axId val="331445376"/>
        <c:axId val="331446912"/>
      </c:lineChart>
      <c:catAx>
        <c:axId val="331445376"/>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1446912"/>
        <c:crosses val="autoZero"/>
        <c:auto val="1"/>
        <c:lblAlgn val="ctr"/>
        <c:lblOffset val="100"/>
        <c:noMultiLvlLbl val="0"/>
      </c:catAx>
      <c:valAx>
        <c:axId val="331446912"/>
        <c:scaling>
          <c:orientation val="minMax"/>
          <c:min val="8"/>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331445376"/>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31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Estonia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98">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854-479C-9DC9-6F182D604A51}"/>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854-479C-9DC9-6F182D604A51}"/>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854-479C-9DC9-6F182D604A51}"/>
              </c:ext>
            </c:extLst>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854-479C-9DC9-6F182D604A51}"/>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854-479C-9DC9-6F182D604A51}"/>
              </c:ext>
            </c:extLst>
          </c:dPt>
          <c:dLbls>
            <c:dLbl>
              <c:idx val="0"/>
              <c:layout>
                <c:manualLayout>
                  <c:x val="-8.9585996139260142E-4"/>
                  <c:y val="-3.2321081322324585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54-479C-9DC9-6F182D604A51}"/>
                </c:ext>
              </c:extLst>
            </c:dLbl>
            <c:dLbl>
              <c:idx val="1"/>
              <c:layout>
                <c:manualLayout>
                  <c:x val="-2.8859613702133389E-2"/>
                  <c:y val="0.14902912621359224"/>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54-479C-9DC9-6F182D604A51}"/>
                </c:ext>
              </c:extLst>
            </c:dLbl>
            <c:dLbl>
              <c:idx val="2"/>
              <c:layout>
                <c:manualLayout>
                  <c:x val="-2.420040043071539E-3"/>
                  <c:y val="5.9763949409236468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854-479C-9DC9-6F182D604A51}"/>
                </c:ext>
              </c:extLst>
            </c:dLbl>
            <c:dLbl>
              <c:idx val="3"/>
              <c:layout>
                <c:manualLayout>
                  <c:x val="4.5061074096507166E-3"/>
                  <c:y val="7.4548327090181686E-3"/>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854-479C-9DC9-6F182D604A51}"/>
                </c:ext>
              </c:extLst>
            </c:dLbl>
            <c:dLbl>
              <c:idx val="4"/>
              <c:layout>
                <c:manualLayout>
                  <c:x val="-0.10111204035367323"/>
                  <c:y val="-1.741336988746852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854-479C-9DC9-6F182D604A51}"/>
                </c:ext>
              </c:extLst>
            </c:dLbl>
            <c:spPr>
              <a:noFill/>
              <a:ln>
                <a:noFill/>
              </a:ln>
              <a:effectLst/>
            </c:spPr>
            <c:txPr>
              <a:bodyPr/>
              <a:lstStyle/>
              <a:p>
                <a:pPr>
                  <a:defRPr sz="900">
                    <a:latin typeface="Arial" panose="020B0604020202020204" pitchFamily="34" charset="0"/>
                    <a:cs typeface="Arial" panose="020B0604020202020204" pitchFamily="34" charset="0"/>
                  </a:defRPr>
                </a:pPr>
                <a:endParaRPr lang="en-US"/>
              </a:p>
            </c:txPr>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Energy</c:v>
                </c:pt>
                <c:pt idx="1">
                  <c:v>Internal market, industry, entrepreneurship and SMEs</c:v>
                </c:pt>
                <c:pt idx="2">
                  <c:v>Justice and consumers</c:v>
                </c:pt>
                <c:pt idx="3">
                  <c:v>Taxation and customs</c:v>
                </c:pt>
                <c:pt idx="4">
                  <c:v>Other</c:v>
                </c:pt>
              </c:strCache>
            </c:strRef>
          </c:cat>
          <c:val>
            <c:numRef>
              <c:f>Blad1!$B$2:$B$6</c:f>
              <c:numCache>
                <c:formatCode>General</c:formatCode>
                <c:ptCount val="5"/>
                <c:pt idx="0">
                  <c:v>13</c:v>
                </c:pt>
                <c:pt idx="1">
                  <c:v>4</c:v>
                </c:pt>
                <c:pt idx="2">
                  <c:v>4</c:v>
                </c:pt>
                <c:pt idx="3">
                  <c:v>3</c:v>
                </c:pt>
                <c:pt idx="4">
                  <c:v>7</c:v>
                </c:pt>
              </c:numCache>
            </c:numRef>
          </c:val>
          <c:extLst xmlns:c16r2="http://schemas.microsoft.com/office/drawing/2015/06/chart">
            <c:ext xmlns:c16="http://schemas.microsoft.com/office/drawing/2014/chart" uri="{C3380CC4-5D6E-409C-BE32-E72D297353CC}">
              <c16:uniqueId val="{0000000A-6854-479C-9DC9-6F182D604A51}"/>
            </c:ext>
          </c:extLst>
        </c:ser>
        <c:dLbls>
          <c:showLegendKey val="0"/>
          <c:showVal val="0"/>
          <c:showCatName val="0"/>
          <c:showSerName val="0"/>
          <c:showPercent val="0"/>
          <c:showBubbleSize val="0"/>
          <c:showLeaderLines val="0"/>
        </c:dLbls>
        <c:firstSliceAng val="228"/>
      </c:pieChart>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1859185918591862E-2"/>
                  <c:y val="-7.3274853801169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2A-49D7-B6BA-EBBF682C1ABB}"/>
                </c:ext>
              </c:extLst>
            </c:dLbl>
            <c:dLbl>
              <c:idx val="1"/>
              <c:layout>
                <c:manualLayout>
                  <c:x val="-3.3608360836083609E-2"/>
                  <c:y val="-8.49707602339181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2A-49D7-B6BA-EBBF682C1ABB}"/>
                </c:ext>
              </c:extLst>
            </c:dLbl>
            <c:dLbl>
              <c:idx val="3"/>
              <c:layout>
                <c:manualLayout>
                  <c:x val="-4.1859185918591862E-2"/>
                  <c:y val="-6.74269005847953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2A-49D7-B6BA-EBBF682C1ABB}"/>
                </c:ext>
              </c:extLst>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27</c:v>
                </c:pt>
                <c:pt idx="1">
                  <c:v>23</c:v>
                </c:pt>
                <c:pt idx="2">
                  <c:v>15</c:v>
                </c:pt>
                <c:pt idx="3">
                  <c:v>22</c:v>
                </c:pt>
                <c:pt idx="4">
                  <c:v>4</c:v>
                </c:pt>
              </c:numCache>
            </c:numRef>
          </c:val>
          <c:smooth val="0"/>
          <c:extLst xmlns:c16r2="http://schemas.microsoft.com/office/drawing/2015/06/chart">
            <c:ext xmlns:c16="http://schemas.microsoft.com/office/drawing/2014/chart" uri="{C3380CC4-5D6E-409C-BE32-E72D297353CC}">
              <c16:uniqueId val="{00000002-871A-4A3E-B86C-4B18248DC02E}"/>
            </c:ext>
          </c:extLst>
        </c:ser>
        <c:dLbls>
          <c:dLblPos val="b"/>
          <c:showLegendKey val="0"/>
          <c:showVal val="1"/>
          <c:showCatName val="0"/>
          <c:showSerName val="0"/>
          <c:showPercent val="0"/>
          <c:showBubbleSize val="0"/>
        </c:dLbls>
        <c:marker val="1"/>
        <c:smooth val="0"/>
        <c:axId val="331705728"/>
        <c:axId val="331716864"/>
      </c:lineChart>
      <c:catAx>
        <c:axId val="331705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1716864"/>
        <c:crosses val="autoZero"/>
        <c:auto val="1"/>
        <c:lblAlgn val="ctr"/>
        <c:lblOffset val="100"/>
        <c:noMultiLvlLbl val="0"/>
      </c:catAx>
      <c:valAx>
        <c:axId val="331716864"/>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31705728"/>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3"/>
              <c:layout>
                <c:manualLayout>
                  <c:x val="-4.1928374655647381E-2"/>
                  <c:y val="-6.74269005847953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67-43B3-8440-99F52AC92202}"/>
                </c:ext>
              </c:extLst>
            </c:dLbl>
            <c:dLbl>
              <c:idx val="4"/>
              <c:layout>
                <c:manualLayout>
                  <c:x val="-3.101160862354882E-2"/>
                  <c:y val="-8.55712603062426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44-44A4-BDE8-75F1E3DF7449}"/>
                </c:ext>
              </c:extLst>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18</c:v>
                </c:pt>
                <c:pt idx="1">
                  <c:v>23</c:v>
                </c:pt>
                <c:pt idx="2">
                  <c:v>21</c:v>
                </c:pt>
                <c:pt idx="3">
                  <c:v>25</c:v>
                </c:pt>
                <c:pt idx="4">
                  <c:v>11</c:v>
                </c:pt>
              </c:numCache>
            </c:numRef>
          </c:val>
          <c:smooth val="0"/>
          <c:extLst xmlns:c16r2="http://schemas.microsoft.com/office/drawing/2015/06/chart">
            <c:ext xmlns:c16="http://schemas.microsoft.com/office/drawing/2014/chart" uri="{C3380CC4-5D6E-409C-BE32-E72D297353CC}">
              <c16:uniqueId val="{00000001-0A44-44A4-BDE8-75F1E3DF7449}"/>
            </c:ext>
          </c:extLst>
        </c:ser>
        <c:dLbls>
          <c:showLegendKey val="0"/>
          <c:showVal val="0"/>
          <c:showCatName val="0"/>
          <c:showSerName val="0"/>
          <c:showPercent val="0"/>
          <c:showBubbleSize val="0"/>
        </c:dLbls>
        <c:marker val="1"/>
        <c:smooth val="0"/>
        <c:axId val="332127232"/>
        <c:axId val="332129024"/>
      </c:lineChart>
      <c:catAx>
        <c:axId val="332127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2129024"/>
        <c:crosses val="autoZero"/>
        <c:auto val="1"/>
        <c:lblAlgn val="ctr"/>
        <c:lblOffset val="100"/>
        <c:noMultiLvlLbl val="0"/>
      </c:catAx>
      <c:valAx>
        <c:axId val="3321290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32127232"/>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4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Estonia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2751494298506805"/>
          <c:y val="3.0441300769607191E-2"/>
        </c:manualLayout>
      </c:layout>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7D1-4B32-9C22-EE3F0778AE3C}"/>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7D1-4B32-9C22-EE3F0778AE3C}"/>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7D1-4B32-9C22-EE3F0778AE3C}"/>
              </c:ext>
            </c:extLst>
          </c:dPt>
          <c:dLbls>
            <c:dLbl>
              <c:idx val="0"/>
              <c:layout>
                <c:manualLayout>
                  <c:x val="2.7707499677294438E-3"/>
                  <c:y val="-0.4512150786976870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D1-4B32-9C22-EE3F0778AE3C}"/>
                </c:ext>
              </c:extLst>
            </c:dLbl>
            <c:dLbl>
              <c:idx val="1"/>
              <c:layout>
                <c:manualLayout>
                  <c:x val="5.7698463921518006E-2"/>
                  <c:y val="8.169779748405235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D1-4B32-9C22-EE3F0778AE3C}"/>
                </c:ext>
              </c:extLst>
            </c:dLbl>
            <c:dLbl>
              <c:idx val="2"/>
              <c:layout>
                <c:manualLayout>
                  <c:x val="2.8996170560647134E-3"/>
                  <c:y val="-0.1534626132898435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D1-4B32-9C22-EE3F0778AE3C}"/>
                </c:ext>
              </c:extLst>
            </c:dLbl>
            <c:dLbl>
              <c:idx val="3"/>
              <c:layout>
                <c:manualLayout>
                  <c:x val="-2.3491245337753833E-2"/>
                  <c:y val="-6.1855835093784011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D1-4B32-9C22-EE3F0778AE3C}"/>
                </c:ext>
              </c:extLst>
            </c:dLbl>
            <c:dLbl>
              <c:idx val="4"/>
              <c:layout>
                <c:manualLayout>
                  <c:x val="1.0964912280701754E-2"/>
                  <c:y val="-3.556910569105700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7D1-4B32-9C22-EE3F0778AE3C}"/>
                </c:ext>
              </c:extLst>
            </c:dLbl>
            <c:spPr>
              <a:noFill/>
              <a:ln w="25390">
                <a:noFill/>
              </a:ln>
            </c:spPr>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Blad1!$A$3:$A$5</c:f>
              <c:strCache>
                <c:ptCount val="3"/>
                <c:pt idx="0">
                  <c:v>Environment</c:v>
                </c:pt>
                <c:pt idx="1">
                  <c:v>Energy</c:v>
                </c:pt>
                <c:pt idx="2">
                  <c:v>Maritime affairs and fisheries</c:v>
                </c:pt>
              </c:strCache>
            </c:strRef>
          </c:cat>
          <c:val>
            <c:numRef>
              <c:f>Blad1!$B$3:$B$5</c:f>
              <c:numCache>
                <c:formatCode>General</c:formatCode>
                <c:ptCount val="3"/>
                <c:pt idx="0">
                  <c:v>2</c:v>
                </c:pt>
                <c:pt idx="1">
                  <c:v>1</c:v>
                </c:pt>
                <c:pt idx="2">
                  <c:v>1</c:v>
                </c:pt>
              </c:numCache>
            </c:numRef>
          </c:val>
          <c:extLst xmlns:c16r2="http://schemas.microsoft.com/office/drawing/2015/06/chart">
            <c:ext xmlns:c16="http://schemas.microsoft.com/office/drawing/2014/chart" uri="{C3380CC4-5D6E-409C-BE32-E72D297353CC}">
              <c16:uniqueId val="{00000008-B7D1-4B32-9C22-EE3F0778AE3C}"/>
            </c:ext>
          </c:extLst>
        </c:ser>
        <c:dLbls>
          <c:showLegendKey val="0"/>
          <c:showVal val="0"/>
          <c:showCatName val="0"/>
          <c:showSerName val="0"/>
          <c:showPercent val="0"/>
          <c:showBubbleSize val="0"/>
          <c:showLeaderLines val="0"/>
        </c:dLbls>
        <c:firstSliceAng val="150"/>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Belgium</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7.2275428965722047E-2"/>
                  <c:y val="5.77814569536423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6B6-4160-93EE-DD66C45F09A7}"/>
                </c:ext>
              </c:extLst>
            </c:dLbl>
            <c:dLbl>
              <c:idx val="3"/>
              <c:layout>
                <c:manualLayout>
                  <c:x val="-4.8189806141120881E-2"/>
                  <c:y val="6.70264726842919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6B6-4160-93EE-DD66C45F09A7}"/>
                </c:ext>
              </c:extLst>
            </c:dLbl>
            <c:dLbl>
              <c:idx val="4"/>
              <c:layout>
                <c:manualLayout>
                  <c:x val="-5.540900714296583E-2"/>
                  <c:y val="-5.7820859659282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45D-4C30-B62F-4FB2A1ED7E6C}"/>
                </c:ext>
              </c:extLst>
            </c:dLbl>
            <c:spPr>
              <a:noFill/>
              <a:ln w="25370">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0.63</c:v>
                </c:pt>
                <c:pt idx="1">
                  <c:v>0.7</c:v>
                </c:pt>
                <c:pt idx="2">
                  <c:v>0.7</c:v>
                </c:pt>
                <c:pt idx="3">
                  <c:v>0.59</c:v>
                </c:pt>
                <c:pt idx="4">
                  <c:v>0.78</c:v>
                </c:pt>
              </c:numCache>
            </c:numRef>
          </c:val>
          <c:smooth val="0"/>
          <c:extLst xmlns:c16r2="http://schemas.microsoft.com/office/drawing/2015/06/chart">
            <c:ext xmlns:c16="http://schemas.microsoft.com/office/drawing/2014/chart" uri="{C3380CC4-5D6E-409C-BE32-E72D297353CC}">
              <c16:uniqueId val="{00000002-D6B6-4160-93EE-DD66C45F09A7}"/>
            </c:ext>
          </c:extLst>
        </c:ser>
        <c:ser>
          <c:idx val="1"/>
          <c:order val="1"/>
          <c:tx>
            <c:strRef>
              <c:f>Blad1!$C$2</c:f>
              <c:strCache>
                <c:ptCount val="1"/>
                <c:pt idx="0">
                  <c:v>General rate for all Member States</c:v>
                </c:pt>
              </c:strCache>
            </c:strRef>
          </c:tx>
          <c:spPr>
            <a:ln w="25370">
              <a:solidFill>
                <a:srgbClr val="92D050"/>
              </a:solidFill>
            </a:ln>
          </c:spPr>
          <c:marker>
            <c:symbol val="square"/>
            <c:size val="4"/>
            <c:spPr>
              <a:solidFill>
                <a:srgbClr val="92D050"/>
              </a:solidFill>
              <a:ln>
                <a:solidFill>
                  <a:srgbClr val="92D050"/>
                </a:solidFill>
              </a:ln>
            </c:spPr>
          </c:marker>
          <c:dLbls>
            <c:dLbl>
              <c:idx val="0"/>
              <c:layout>
                <c:manualLayout>
                  <c:x val="-6.3955961411645501E-2"/>
                  <c:y val="-6.33002207505518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6B6-4160-93EE-DD66C45F09A7}"/>
                </c:ext>
              </c:extLst>
            </c:dLbl>
            <c:dLbl>
              <c:idx val="4"/>
              <c:layout>
                <c:manualLayout>
                  <c:x val="-4.2974633006464133E-2"/>
                  <c:y val="6.60540031288624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45D-4C30-B62F-4FB2A1ED7E6C}"/>
                </c:ext>
              </c:extLst>
            </c:dLbl>
            <c:spPr>
              <a:noFill/>
              <a:ln w="25370">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4-D6B6-4160-93EE-DD66C45F09A7}"/>
            </c:ext>
          </c:extLst>
        </c:ser>
        <c:dLbls>
          <c:showLegendKey val="0"/>
          <c:showVal val="0"/>
          <c:showCatName val="0"/>
          <c:showSerName val="0"/>
          <c:showPercent val="0"/>
          <c:showBubbleSize val="0"/>
        </c:dLbls>
        <c:marker val="1"/>
        <c:smooth val="0"/>
        <c:axId val="284924544"/>
        <c:axId val="284942720"/>
      </c:lineChart>
      <c:catAx>
        <c:axId val="284924544"/>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4942720"/>
        <c:crosses val="autoZero"/>
        <c:auto val="1"/>
        <c:lblAlgn val="ctr"/>
        <c:lblOffset val="100"/>
        <c:noMultiLvlLbl val="0"/>
      </c:catAx>
      <c:valAx>
        <c:axId val="284942720"/>
        <c:scaling>
          <c:orientation val="minMax"/>
          <c:min val="0.5"/>
        </c:scaling>
        <c:delete val="1"/>
        <c:axPos val="l"/>
        <c:majorGridlines>
          <c:spPr>
            <a:ln w="9514" cap="flat" cmpd="sng" algn="ctr">
              <a:solidFill>
                <a:schemeClr val="tx1">
                  <a:lumMod val="15000"/>
                  <a:lumOff val="85000"/>
                </a:schemeClr>
              </a:solidFill>
              <a:round/>
            </a:ln>
            <a:effectLst/>
          </c:spPr>
        </c:majorGridlines>
        <c:numFmt formatCode="0%" sourceLinked="1"/>
        <c:majorTickMark val="out"/>
        <c:minorTickMark val="none"/>
        <c:tickLblPos val="nextTo"/>
        <c:crossAx val="284924544"/>
        <c:crosses val="autoZero"/>
        <c:crossBetween val="between"/>
      </c:valAx>
      <c:spPr>
        <a:noFill/>
        <a:ln w="25370">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Estonia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9678147047268466E-2"/>
                  <c:y val="-6.16149795201872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B13-4695-8115-6B28591B7E7D}"/>
                </c:ext>
              </c:extLst>
            </c:dLbl>
            <c:dLbl>
              <c:idx val="2"/>
              <c:layout>
                <c:manualLayout>
                  <c:x val="-4.4805947479915266E-2"/>
                  <c:y val="-5.60492621277811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13-4695-8115-6B28591B7E7D}"/>
                </c:ext>
              </c:extLst>
            </c:dLbl>
            <c:dLbl>
              <c:idx val="3"/>
              <c:layout>
                <c:manualLayout>
                  <c:x val="-4.8189830837757575E-2"/>
                  <c:y val="-5.9905117372626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13-4695-8115-6B28591B7E7D}"/>
                </c:ext>
              </c:extLst>
            </c:dLbl>
            <c:dLbl>
              <c:idx val="4"/>
              <c:layout>
                <c:manualLayout>
                  <c:x val="-4.2317660379054232E-2"/>
                  <c:y val="0.1084051378123165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13-4695-8115-6B28591B7E7D}"/>
                </c:ext>
              </c:extLst>
            </c:dLbl>
            <c:spPr>
              <a:noFill/>
              <a:ln w="25401">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0.65</c:v>
                </c:pt>
                <c:pt idx="1">
                  <c:v>0.84</c:v>
                </c:pt>
                <c:pt idx="2">
                  <c:v>0.88</c:v>
                </c:pt>
                <c:pt idx="3">
                  <c:v>0.74</c:v>
                </c:pt>
                <c:pt idx="4">
                  <c:v>0.73</c:v>
                </c:pt>
              </c:numCache>
            </c:numRef>
          </c:val>
          <c:smooth val="0"/>
          <c:extLst xmlns:c16r2="http://schemas.microsoft.com/office/drawing/2015/06/chart">
            <c:ext xmlns:c16="http://schemas.microsoft.com/office/drawing/2014/chart" uri="{C3380CC4-5D6E-409C-BE32-E72D297353CC}">
              <c16:uniqueId val="{00000003-1B13-4695-8115-6B28591B7E7D}"/>
            </c:ext>
          </c:extLst>
        </c:ser>
        <c:ser>
          <c:idx val="1"/>
          <c:order val="1"/>
          <c:tx>
            <c:strRef>
              <c:f>Blad1!$C$2</c:f>
              <c:strCache>
                <c:ptCount val="1"/>
                <c:pt idx="0">
                  <c:v>General rate for all Member States</c:v>
                </c:pt>
              </c:strCache>
            </c:strRef>
          </c:tx>
          <c:spPr>
            <a:ln w="25401">
              <a:solidFill>
                <a:srgbClr val="92D050"/>
              </a:solidFill>
            </a:ln>
          </c:spPr>
          <c:marker>
            <c:symbol val="square"/>
            <c:size val="5"/>
            <c:spPr>
              <a:solidFill>
                <a:srgbClr val="92D050"/>
              </a:solidFill>
              <a:ln>
                <a:solidFill>
                  <a:srgbClr val="92D050"/>
                </a:solidFill>
              </a:ln>
            </c:spPr>
          </c:marker>
          <c:dLbls>
            <c:dLbl>
              <c:idx val="1"/>
              <c:layout>
                <c:manualLayout>
                  <c:x val="-4.7201980153619837E-2"/>
                  <c:y val="6.74663545933294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9D-4CA2-80B8-E7B1E501AEA2}"/>
                </c:ext>
              </c:extLst>
            </c:dLbl>
            <c:dLbl>
              <c:idx val="2"/>
              <c:layout>
                <c:manualLayout>
                  <c:x val="-4.2317667200960953E-2"/>
                  <c:y val="7.29663397338490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B13-4695-8115-6B28591B7E7D}"/>
                </c:ext>
              </c:extLst>
            </c:dLbl>
            <c:dLbl>
              <c:idx val="3"/>
              <c:layout>
                <c:manualLayout>
                  <c:x val="-4.7201980153619927E-2"/>
                  <c:y val="6.16149795201872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B13-4695-8115-6B28591B7E7D}"/>
                </c:ext>
              </c:extLst>
            </c:dLbl>
            <c:dLbl>
              <c:idx val="4"/>
              <c:layout>
                <c:manualLayout>
                  <c:x val="-4.2318832651298828E-2"/>
                  <c:y val="-0.1024763233762502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B13-4695-8115-6B28591B7E7D}"/>
                </c:ext>
              </c:extLst>
            </c:dLbl>
            <c:spPr>
              <a:noFill/>
              <a:ln w="25401">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6-1B13-4695-8115-6B28591B7E7D}"/>
            </c:ext>
          </c:extLst>
        </c:ser>
        <c:dLbls>
          <c:showLegendKey val="0"/>
          <c:showVal val="0"/>
          <c:showCatName val="0"/>
          <c:showSerName val="0"/>
          <c:showPercent val="0"/>
          <c:showBubbleSize val="0"/>
        </c:dLbls>
        <c:marker val="1"/>
        <c:smooth val="0"/>
        <c:axId val="332272384"/>
        <c:axId val="332273920"/>
      </c:lineChart>
      <c:catAx>
        <c:axId val="332272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2273920"/>
        <c:crosses val="autoZero"/>
        <c:auto val="1"/>
        <c:lblAlgn val="ctr"/>
        <c:lblOffset val="100"/>
        <c:noMultiLvlLbl val="0"/>
      </c:catAx>
      <c:valAx>
        <c:axId val="332273920"/>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332272384"/>
        <c:crosses val="autoZero"/>
        <c:crossBetween val="between"/>
      </c:valAx>
      <c:spPr>
        <a:noFill/>
        <a:ln w="25401">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418">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25</c:v>
                </c:pt>
                <c:pt idx="1">
                  <c:v>16</c:v>
                </c:pt>
                <c:pt idx="2">
                  <c:v>26</c:v>
                </c:pt>
                <c:pt idx="3">
                  <c:v>30</c:v>
                </c:pt>
                <c:pt idx="4">
                  <c:v>33</c:v>
                </c:pt>
              </c:numCache>
            </c:numRef>
          </c:val>
          <c:smooth val="0"/>
          <c:extLst xmlns:c16r2="http://schemas.microsoft.com/office/drawing/2015/06/chart">
            <c:ext xmlns:c16="http://schemas.microsoft.com/office/drawing/2014/chart" uri="{C3380CC4-5D6E-409C-BE32-E72D297353CC}">
              <c16:uniqueId val="{00000000-8C11-4D04-AAAB-56C2C414F8D3}"/>
            </c:ext>
          </c:extLst>
        </c:ser>
        <c:dLbls>
          <c:showLegendKey val="0"/>
          <c:showVal val="0"/>
          <c:showCatName val="0"/>
          <c:showSerName val="0"/>
          <c:showPercent val="0"/>
          <c:showBubbleSize val="0"/>
        </c:dLbls>
        <c:marker val="1"/>
        <c:smooth val="0"/>
        <c:axId val="332319360"/>
        <c:axId val="332321152"/>
      </c:lineChart>
      <c:catAx>
        <c:axId val="332319360"/>
        <c:scaling>
          <c:orientation val="minMax"/>
        </c:scaling>
        <c:delete val="0"/>
        <c:axPos val="b"/>
        <c:numFmt formatCode="General" sourceLinked="1"/>
        <c:majorTickMark val="none"/>
        <c:minorTickMark val="none"/>
        <c:tickLblPos val="nextTo"/>
        <c:spPr>
          <a:noFill/>
          <a:ln w="12709"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2321152"/>
        <c:crosses val="autoZero"/>
        <c:auto val="1"/>
        <c:lblAlgn val="ctr"/>
        <c:lblOffset val="100"/>
        <c:noMultiLvlLbl val="0"/>
      </c:catAx>
      <c:valAx>
        <c:axId val="332321152"/>
        <c:scaling>
          <c:orientation val="minMax"/>
          <c:min val="10"/>
        </c:scaling>
        <c:delete val="1"/>
        <c:axPos val="l"/>
        <c:majorGridlines>
          <c:spPr>
            <a:ln w="9532" cap="flat" cmpd="sng" algn="ctr">
              <a:solidFill>
                <a:schemeClr val="tx1">
                  <a:lumMod val="15000"/>
                  <a:lumOff val="85000"/>
                </a:schemeClr>
              </a:solidFill>
              <a:round/>
            </a:ln>
            <a:effectLst/>
          </c:spPr>
        </c:majorGridlines>
        <c:numFmt formatCode="General" sourceLinked="1"/>
        <c:majorTickMark val="out"/>
        <c:minorTickMark val="none"/>
        <c:tickLblPos val="nextTo"/>
        <c:crossAx val="332319360"/>
        <c:crosses val="autoZero"/>
        <c:crossBetween val="between"/>
      </c:valAx>
      <c:spPr>
        <a:noFill/>
        <a:ln w="25418">
          <a:noFill/>
        </a:ln>
      </c:spPr>
    </c:plotArea>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17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Estonia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0BF-45F6-9058-704F8FBA1E19}"/>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0BF-45F6-9058-704F8FBA1E19}"/>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0BF-45F6-9058-704F8FBA1E19}"/>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0BF-45F6-9058-704F8FBA1E19}"/>
              </c:ext>
            </c:extLst>
          </c:dPt>
          <c:dPt>
            <c:idx val="4"/>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0BF-45F6-9058-704F8FBA1E19}"/>
              </c:ext>
            </c:extLst>
          </c:dPt>
          <c:dPt>
            <c:idx val="5"/>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F0BF-45F6-9058-704F8FBA1E19}"/>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F0BF-45F6-9058-704F8FBA1E19}"/>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F0BF-45F6-9058-704F8FBA1E1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BF-45F6-9058-704F8FBA1E19}"/>
                </c:ext>
              </c:extLst>
            </c:dLbl>
            <c:dLbl>
              <c:idx val="1"/>
              <c:layout>
                <c:manualLayout>
                  <c:x val="4.9907634257864188E-2"/>
                  <c:y val="0.14954347919624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BF-45F6-9058-704F8FBA1E19}"/>
                </c:ext>
              </c:extLst>
            </c:dLbl>
            <c:dLbl>
              <c:idx val="2"/>
              <c:layout>
                <c:manualLayout>
                  <c:x val="-9.0987814736060657E-2"/>
                  <c:y val="0.1501074044762910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BF-45F6-9058-704F8FBA1E19}"/>
                </c:ext>
              </c:extLst>
            </c:dLbl>
            <c:dLbl>
              <c:idx val="3"/>
              <c:layout>
                <c:manualLayout>
                  <c:x val="2.2808276955374462E-2"/>
                  <c:y val="0.171893164708955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0BF-45F6-9058-704F8FBA1E19}"/>
                </c:ext>
              </c:extLst>
            </c:dLbl>
            <c:dLbl>
              <c:idx val="4"/>
              <c:layout>
                <c:manualLayout>
                  <c:x val="-2.4599619658321153E-3"/>
                  <c:y val="-3.9028578676736039E-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0BF-45F6-9058-704F8FBA1E19}"/>
                </c:ext>
              </c:extLst>
            </c:dLbl>
            <c:dLbl>
              <c:idx val="5"/>
              <c:layout>
                <c:manualLayout>
                  <c:x val="8.3157900480735122E-3"/>
                  <c:y val="6.01092896174863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0BF-45F6-9058-704F8FBA1E19}"/>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7"/>
                <c:pt idx="0">
                  <c:v>Policy Area</c:v>
                </c:pt>
                <c:pt idx="2">
                  <c:v>Mobility and transport</c:v>
                </c:pt>
                <c:pt idx="3">
                  <c:v>Financial stability, financial services and capital markets union</c:v>
                </c:pt>
                <c:pt idx="4">
                  <c:v>Environment</c:v>
                </c:pt>
                <c:pt idx="5">
                  <c:v>Health and food safety</c:v>
                </c:pt>
                <c:pt idx="6">
                  <c:v>Other</c:v>
                </c:pt>
              </c:strCache>
            </c:strRef>
          </c:cat>
          <c:val>
            <c:numRef>
              <c:f>Blad1!$B$2:$B$9</c:f>
              <c:numCache>
                <c:formatCode>General</c:formatCode>
                <c:ptCount val="8"/>
                <c:pt idx="0">
                  <c:v>0</c:v>
                </c:pt>
                <c:pt idx="2">
                  <c:v>4</c:v>
                </c:pt>
                <c:pt idx="3">
                  <c:v>3</c:v>
                </c:pt>
                <c:pt idx="4">
                  <c:v>3</c:v>
                </c:pt>
                <c:pt idx="6">
                  <c:v>7</c:v>
                </c:pt>
              </c:numCache>
            </c:numRef>
          </c:val>
          <c:extLst xmlns:c16r2="http://schemas.microsoft.com/office/drawing/2015/06/chart">
            <c:ext xmlns:c16="http://schemas.microsoft.com/office/drawing/2014/chart" uri="{C3380CC4-5D6E-409C-BE32-E72D297353CC}">
              <c16:uniqueId val="{00000010-F0BF-45F6-9058-704F8FBA1E19}"/>
            </c:ext>
          </c:extLst>
        </c:ser>
        <c:dLbls>
          <c:showLegendKey val="0"/>
          <c:showVal val="0"/>
          <c:showCatName val="1"/>
          <c:showSerName val="0"/>
          <c:showPercent val="0"/>
          <c:showBubbleSize val="0"/>
          <c:showLeaderLines val="0"/>
        </c:dLbls>
        <c:firstSliceAng val="28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5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14</c:v>
                </c:pt>
                <c:pt idx="1">
                  <c:v>7</c:v>
                </c:pt>
                <c:pt idx="2">
                  <c:v>18</c:v>
                </c:pt>
                <c:pt idx="3">
                  <c:v>23</c:v>
                </c:pt>
                <c:pt idx="4">
                  <c:v>27</c:v>
                </c:pt>
              </c:numCache>
            </c:numRef>
          </c:val>
          <c:smooth val="0"/>
          <c:extLst xmlns:c16r2="http://schemas.microsoft.com/office/drawing/2015/06/chart">
            <c:ext xmlns:c16="http://schemas.microsoft.com/office/drawing/2014/chart" uri="{C3380CC4-5D6E-409C-BE32-E72D297353CC}">
              <c16:uniqueId val="{00000000-D51F-435A-AD08-81F5F410D66E}"/>
            </c:ext>
          </c:extLst>
        </c:ser>
        <c:dLbls>
          <c:showLegendKey val="0"/>
          <c:showVal val="0"/>
          <c:showCatName val="0"/>
          <c:showSerName val="0"/>
          <c:showPercent val="0"/>
          <c:showBubbleSize val="0"/>
        </c:dLbls>
        <c:marker val="1"/>
        <c:smooth val="0"/>
        <c:axId val="331936128"/>
        <c:axId val="331937664"/>
      </c:lineChart>
      <c:catAx>
        <c:axId val="331936128"/>
        <c:scaling>
          <c:orientation val="minMax"/>
        </c:scaling>
        <c:delete val="0"/>
        <c:axPos val="b"/>
        <c:numFmt formatCode="General" sourceLinked="1"/>
        <c:majorTickMark val="none"/>
        <c:minorTickMark val="none"/>
        <c:tickLblPos val="nextTo"/>
        <c:spPr>
          <a:noFill/>
          <a:ln w="1267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1937664"/>
        <c:crosses val="autoZero"/>
        <c:auto val="1"/>
        <c:lblAlgn val="ctr"/>
        <c:lblOffset val="100"/>
        <c:noMultiLvlLbl val="0"/>
      </c:catAx>
      <c:valAx>
        <c:axId val="331937664"/>
        <c:scaling>
          <c:orientation val="minMax"/>
        </c:scaling>
        <c:delete val="1"/>
        <c:axPos val="l"/>
        <c:majorGridlines>
          <c:spPr>
            <a:ln w="9508" cap="flat" cmpd="sng" algn="ctr">
              <a:solidFill>
                <a:schemeClr val="tx1">
                  <a:lumMod val="15000"/>
                  <a:lumOff val="85000"/>
                </a:schemeClr>
              </a:solidFill>
              <a:round/>
            </a:ln>
            <a:effectLst/>
          </c:spPr>
        </c:majorGridlines>
        <c:numFmt formatCode="General" sourceLinked="1"/>
        <c:majorTickMark val="out"/>
        <c:minorTickMark val="none"/>
        <c:tickLblPos val="nextTo"/>
        <c:crossAx val="331936128"/>
        <c:crosses val="autoZero"/>
        <c:crossBetween val="between"/>
      </c:valAx>
      <c:spPr>
        <a:noFill/>
        <a:ln w="25354">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11</c:v>
                </c:pt>
                <c:pt idx="1">
                  <c:v>10</c:v>
                </c:pt>
                <c:pt idx="2">
                  <c:v>15</c:v>
                </c:pt>
                <c:pt idx="3">
                  <c:v>18</c:v>
                </c:pt>
                <c:pt idx="4">
                  <c:v>16</c:v>
                </c:pt>
              </c:numCache>
            </c:numRef>
          </c:val>
          <c:smooth val="0"/>
          <c:extLst xmlns:c16r2="http://schemas.microsoft.com/office/drawing/2015/06/chart">
            <c:ext xmlns:c16="http://schemas.microsoft.com/office/drawing/2014/chart" uri="{C3380CC4-5D6E-409C-BE32-E72D297353CC}">
              <c16:uniqueId val="{00000000-37CF-4580-90DE-BC1D09584DEB}"/>
            </c:ext>
          </c:extLst>
        </c:ser>
        <c:dLbls>
          <c:showLegendKey val="0"/>
          <c:showVal val="0"/>
          <c:showCatName val="0"/>
          <c:showSerName val="0"/>
          <c:showPercent val="0"/>
          <c:showBubbleSize val="0"/>
        </c:dLbls>
        <c:marker val="1"/>
        <c:smooth val="0"/>
        <c:axId val="331966336"/>
        <c:axId val="331967872"/>
      </c:lineChart>
      <c:catAx>
        <c:axId val="33196633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1967872"/>
        <c:crosses val="autoZero"/>
        <c:auto val="1"/>
        <c:lblAlgn val="ctr"/>
        <c:lblOffset val="100"/>
        <c:noMultiLvlLbl val="0"/>
      </c:catAx>
      <c:valAx>
        <c:axId val="331967872"/>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1966336"/>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16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Estonia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4087131688044294"/>
          <c:y val="3.4313861930049441E-2"/>
        </c:manualLayout>
      </c:layout>
      <c:overlay val="0"/>
      <c:spPr>
        <a:noFill/>
        <a:ln w="25340">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D2E-4269-A8EB-E2B929757D14}"/>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DD2E-4269-A8EB-E2B929757D14}"/>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DD2E-4269-A8EB-E2B929757D14}"/>
              </c:ext>
            </c:extLst>
          </c:dPt>
          <c:dPt>
            <c:idx val="3"/>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DD2E-4269-A8EB-E2B929757D14}"/>
              </c:ext>
            </c:extLst>
          </c:dPt>
          <c:dLbls>
            <c:dLbl>
              <c:idx val="0"/>
              <c:layout>
                <c:manualLayout>
                  <c:x val="1.9399919408414196E-2"/>
                  <c:y val="4.019067469507488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2E-4269-A8EB-E2B929757D14}"/>
                </c:ext>
              </c:extLst>
            </c:dLbl>
            <c:dLbl>
              <c:idx val="1"/>
              <c:layout>
                <c:manualLayout>
                  <c:x val="-1.37897315850072E-2"/>
                  <c:y val="3.921579059374334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D2E-4269-A8EB-E2B929757D14}"/>
                </c:ext>
              </c:extLst>
            </c:dLbl>
            <c:dLbl>
              <c:idx val="2"/>
              <c:layout>
                <c:manualLayout>
                  <c:x val="2.2306546401034591E-2"/>
                  <c:y val="8.823437610839185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D2E-4269-A8EB-E2B929757D14}"/>
                </c:ext>
              </c:extLst>
            </c:dLbl>
            <c:dLbl>
              <c:idx val="3"/>
              <c:layout>
                <c:manualLayout>
                  <c:x val="0.10248818024323973"/>
                  <c:y val="-0.2469950311329193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D2E-4269-A8EB-E2B929757D14}"/>
                </c:ext>
              </c:extLst>
            </c:dLbl>
            <c:dLbl>
              <c:idx val="4"/>
              <c:layout>
                <c:manualLayout>
                  <c:x val="-5.5370985603543747E-3"/>
                  <c:y val="-1.470588235294108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D2E-4269-A8EB-E2B929757D14}"/>
                </c:ext>
              </c:extLst>
            </c:dLbl>
            <c:dLbl>
              <c:idx val="5"/>
              <c:layout>
                <c:manualLayout>
                  <c:x val="-2.7685492801771874E-3"/>
                  <c:y val="5.392156862745098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D2E-4269-A8EB-E2B929757D14}"/>
                </c:ext>
              </c:extLst>
            </c:dLbl>
            <c:spPr>
              <a:noFill/>
              <a:ln w="2534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Blad1!$A$4:$A$7</c:f>
              <c:strCache>
                <c:ptCount val="4"/>
                <c:pt idx="0">
                  <c:v>Financial stability, financial services and Capital Markets Union</c:v>
                </c:pt>
                <c:pt idx="1">
                  <c:v>Environment</c:v>
                </c:pt>
                <c:pt idx="2">
                  <c:v>Mobility and transport</c:v>
                </c:pt>
                <c:pt idx="3">
                  <c:v>Other</c:v>
                </c:pt>
              </c:strCache>
            </c:strRef>
          </c:cat>
          <c:val>
            <c:numRef>
              <c:f>Blad1!$B$4:$B$7</c:f>
              <c:numCache>
                <c:formatCode>General</c:formatCode>
                <c:ptCount val="4"/>
                <c:pt idx="0">
                  <c:v>3</c:v>
                </c:pt>
                <c:pt idx="1">
                  <c:v>3</c:v>
                </c:pt>
                <c:pt idx="2">
                  <c:v>4</c:v>
                </c:pt>
                <c:pt idx="3">
                  <c:v>6</c:v>
                </c:pt>
              </c:numCache>
            </c:numRef>
          </c:val>
          <c:extLst xmlns:c16r2="http://schemas.microsoft.com/office/drawing/2015/06/chart">
            <c:ext xmlns:c16="http://schemas.microsoft.com/office/drawing/2014/chart" uri="{C3380CC4-5D6E-409C-BE32-E72D297353CC}">
              <c16:uniqueId val="{0000000A-DD2E-4269-A8EB-E2B929757D14}"/>
            </c:ext>
          </c:extLst>
        </c:ser>
        <c:dLbls>
          <c:showLegendKey val="0"/>
          <c:showVal val="0"/>
          <c:showCatName val="0"/>
          <c:showSerName val="0"/>
          <c:showPercent val="0"/>
          <c:showBubbleSize val="0"/>
          <c:showLeaderLines val="0"/>
        </c:dLbls>
        <c:firstSliceAng val="218"/>
      </c:pieChart>
      <c:spPr>
        <a:noFill/>
        <a:ln w="25340">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4497562804649421E-2"/>
                  <c:y val="-6.28265829516408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F90-4A21-AD08-EEA22D02D892}"/>
                </c:ext>
              </c:extLst>
            </c:dLbl>
            <c:dLbl>
              <c:idx val="2"/>
              <c:layout>
                <c:manualLayout>
                  <c:x val="-3.9059870423173847E-2"/>
                  <c:y val="5.91902115176778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D25-43B2-98FE-C162AAB321BD}"/>
                </c:ext>
              </c:extLst>
            </c:dLbl>
            <c:dLbl>
              <c:idx val="3"/>
              <c:layout>
                <c:manualLayout>
                  <c:x val="-4.4586069183212562E-2"/>
                  <c:y val="-6.48396891565024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25-43B2-98FE-C162AAB321BD}"/>
                </c:ext>
              </c:extLst>
            </c:dLbl>
            <c:dLbl>
              <c:idx val="4"/>
              <c:layout>
                <c:manualLayout>
                  <c:x val="-3.6272878535773607E-2"/>
                  <c:y val="6.53559814457155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D25-43B2-98FE-C162AAB321BD}"/>
                </c:ext>
              </c:extLst>
            </c:dLbl>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125</c:v>
                </c:pt>
                <c:pt idx="1">
                  <c:v>170</c:v>
                </c:pt>
                <c:pt idx="2">
                  <c:v>71</c:v>
                </c:pt>
                <c:pt idx="3">
                  <c:v>162</c:v>
                </c:pt>
                <c:pt idx="4">
                  <c:v>130</c:v>
                </c:pt>
              </c:numCache>
            </c:numRef>
          </c:val>
          <c:smooth val="0"/>
          <c:extLst xmlns:c16r2="http://schemas.microsoft.com/office/drawing/2015/06/chart">
            <c:ext xmlns:c16="http://schemas.microsoft.com/office/drawing/2014/chart" uri="{C3380CC4-5D6E-409C-BE32-E72D297353CC}">
              <c16:uniqueId val="{00000003-DD25-43B2-98FE-C162AAB321BD}"/>
            </c:ext>
          </c:extLst>
        </c:ser>
        <c:dLbls>
          <c:showLegendKey val="0"/>
          <c:showVal val="0"/>
          <c:showCatName val="0"/>
          <c:showSerName val="0"/>
          <c:showPercent val="0"/>
          <c:showBubbleSize val="0"/>
        </c:dLbls>
        <c:marker val="1"/>
        <c:smooth val="0"/>
        <c:axId val="332940032"/>
        <c:axId val="332941568"/>
      </c:lineChart>
      <c:catAx>
        <c:axId val="332940032"/>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2941568"/>
        <c:crosses val="autoZero"/>
        <c:auto val="1"/>
        <c:lblAlgn val="ctr"/>
        <c:lblOffset val="100"/>
        <c:noMultiLvlLbl val="0"/>
      </c:catAx>
      <c:valAx>
        <c:axId val="332941568"/>
        <c:scaling>
          <c:orientation val="minMax"/>
          <c:min val="4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2940032"/>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130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Ireland</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3">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6600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747-4E3D-971E-A2F375752967}"/>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747-4E3D-971E-A2F375752967}"/>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747-4E3D-971E-A2F375752967}"/>
              </c:ext>
            </c:extLst>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747-4E3D-971E-A2F375752967}"/>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747-4E3D-971E-A2F375752967}"/>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47-4E3D-971E-A2F375752967}"/>
                </c:ext>
              </c:extLst>
            </c:dLbl>
            <c:dLbl>
              <c:idx val="1"/>
              <c:layout>
                <c:manualLayout>
                  <c:x val="-1.7502614588105135E-5"/>
                  <c:y val="-0.19004416914025701"/>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47-4E3D-971E-A2F375752967}"/>
                </c:ext>
              </c:extLst>
            </c:dLbl>
            <c:dLbl>
              <c:idx val="2"/>
              <c:layout>
                <c:manualLayout>
                  <c:x val="-3.0118488275385331E-2"/>
                  <c:y val="7.7837092397348637E-3"/>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747-4E3D-971E-A2F375752967}"/>
                </c:ext>
              </c:extLst>
            </c:dLbl>
            <c:dLbl>
              <c:idx val="3"/>
              <c:layout>
                <c:manualLayout>
                  <c:x val="1.9138070704124946E-2"/>
                  <c:y val="0.12452555718670759"/>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747-4E3D-971E-A2F375752967}"/>
                </c:ext>
              </c:extLst>
            </c:dLbl>
            <c:dLbl>
              <c:idx val="4"/>
              <c:layout>
                <c:manualLayout>
                  <c:x val="2.1913958286078439E-2"/>
                  <c:y val="-5.061568575114551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747-4E3D-971E-A2F375752967}"/>
                </c:ext>
              </c:extLst>
            </c:dLbl>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Policy Area</c:v>
                </c:pt>
                <c:pt idx="1">
                  <c:v>Justice and consumers</c:v>
                </c:pt>
                <c:pt idx="2">
                  <c:v>Environment</c:v>
                </c:pt>
                <c:pt idx="3">
                  <c:v>Taxation and customs</c:v>
                </c:pt>
                <c:pt idx="4">
                  <c:v>Other</c:v>
                </c:pt>
              </c:strCache>
            </c:strRef>
          </c:cat>
          <c:val>
            <c:numRef>
              <c:f>Blad1!$B$2:$B$6</c:f>
              <c:numCache>
                <c:formatCode>General</c:formatCode>
                <c:ptCount val="5"/>
                <c:pt idx="0">
                  <c:v>0</c:v>
                </c:pt>
                <c:pt idx="1">
                  <c:v>80</c:v>
                </c:pt>
                <c:pt idx="2">
                  <c:v>11</c:v>
                </c:pt>
                <c:pt idx="3">
                  <c:v>7</c:v>
                </c:pt>
                <c:pt idx="4">
                  <c:v>32</c:v>
                </c:pt>
              </c:numCache>
            </c:numRef>
          </c:val>
          <c:extLst xmlns:c16r2="http://schemas.microsoft.com/office/drawing/2015/06/chart">
            <c:ext xmlns:c16="http://schemas.microsoft.com/office/drawing/2014/chart" uri="{C3380CC4-5D6E-409C-BE32-E72D297353CC}">
              <c16:uniqueId val="{0000000A-E747-4E3D-971E-A2F375752967}"/>
            </c:ext>
          </c:extLst>
        </c:ser>
        <c:dLbls>
          <c:showLegendKey val="0"/>
          <c:showVal val="0"/>
          <c:showCatName val="0"/>
          <c:showSerName val="0"/>
          <c:showPercent val="0"/>
          <c:showBubbleSize val="0"/>
          <c:showLeaderLines val="0"/>
        </c:dLbls>
        <c:firstSliceAng val="153"/>
      </c:pieChart>
      <c:spPr>
        <a:noFill/>
        <a:ln w="25403">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212358629589906E-2"/>
                  <c:y val="-5.8920801846077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96-4139-A49B-F59FFFE5F1BD}"/>
                </c:ext>
              </c:extLst>
            </c:dLbl>
            <c:dLbl>
              <c:idx val="1"/>
              <c:layout>
                <c:manualLayout>
                  <c:x val="-5.0514671825191398E-2"/>
                  <c:y val="6.38509895841349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AB-49CE-89C3-43EBE1D732C5}"/>
                </c:ext>
              </c:extLst>
            </c:dLbl>
            <c:dLbl>
              <c:idx val="2"/>
              <c:layout>
                <c:manualLayout>
                  <c:x val="-4.5000676912058203E-2"/>
                  <c:y val="5.5368606795772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DAB-49CE-89C3-43EBE1D732C5}"/>
                </c:ext>
              </c:extLst>
            </c:dLbl>
            <c:dLbl>
              <c:idx val="4"/>
              <c:layout>
                <c:manualLayout>
                  <c:x val="-8.9295618413754857E-3"/>
                  <c:y val="1.9538288288288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DAB-49CE-89C3-43EBE1D732C5}"/>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58</c:v>
                </c:pt>
                <c:pt idx="1">
                  <c:v>32</c:v>
                </c:pt>
                <c:pt idx="2">
                  <c:v>31</c:v>
                </c:pt>
                <c:pt idx="3">
                  <c:v>25</c:v>
                </c:pt>
                <c:pt idx="4">
                  <c:v>6</c:v>
                </c:pt>
              </c:numCache>
            </c:numRef>
          </c:val>
          <c:smooth val="0"/>
          <c:extLst xmlns:c16r2="http://schemas.microsoft.com/office/drawing/2015/06/chart">
            <c:ext xmlns:c16="http://schemas.microsoft.com/office/drawing/2014/chart" uri="{C3380CC4-5D6E-409C-BE32-E72D297353CC}">
              <c16:uniqueId val="{00000003-ADAB-49CE-89C3-43EBE1D732C5}"/>
            </c:ext>
          </c:extLst>
        </c:ser>
        <c:dLbls>
          <c:showLegendKey val="0"/>
          <c:showVal val="0"/>
          <c:showCatName val="0"/>
          <c:showSerName val="0"/>
          <c:showPercent val="0"/>
          <c:showBubbleSize val="0"/>
        </c:dLbls>
        <c:marker val="1"/>
        <c:smooth val="0"/>
        <c:axId val="334047104"/>
        <c:axId val="334048640"/>
      </c:lineChart>
      <c:catAx>
        <c:axId val="33404710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048640"/>
        <c:crosses val="autoZero"/>
        <c:auto val="1"/>
        <c:lblAlgn val="ctr"/>
        <c:lblOffset val="100"/>
        <c:noMultiLvlLbl val="0"/>
      </c:catAx>
      <c:valAx>
        <c:axId val="334048640"/>
        <c:scaling>
          <c:orientation val="minMax"/>
          <c:min val="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404710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0511838269351329E-2"/>
                  <c:y val="5.80865328164613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F0B-42B9-BA9A-F9201F02037E}"/>
                </c:ext>
              </c:extLst>
            </c:dLbl>
            <c:dLbl>
              <c:idx val="2"/>
              <c:layout>
                <c:manualLayout>
                  <c:x val="-4.5000676912058203E-2"/>
                  <c:y val="7.22604986876640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0B-42B9-BA9A-F9201F02037E}"/>
                </c:ext>
              </c:extLst>
            </c:dLbl>
            <c:dLbl>
              <c:idx val="4"/>
              <c:layout>
                <c:manualLayout>
                  <c:x val="-8.9295618413754857E-3"/>
                  <c:y val="1.9538288288288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0B-42B9-BA9A-F9201F02037E}"/>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52</c:v>
                </c:pt>
                <c:pt idx="1">
                  <c:v>36</c:v>
                </c:pt>
                <c:pt idx="2">
                  <c:v>38</c:v>
                </c:pt>
                <c:pt idx="3">
                  <c:v>39</c:v>
                </c:pt>
                <c:pt idx="4">
                  <c:v>26</c:v>
                </c:pt>
              </c:numCache>
            </c:numRef>
          </c:val>
          <c:smooth val="0"/>
          <c:extLst xmlns:c16r2="http://schemas.microsoft.com/office/drawing/2015/06/chart">
            <c:ext xmlns:c16="http://schemas.microsoft.com/office/drawing/2014/chart" uri="{C3380CC4-5D6E-409C-BE32-E72D297353CC}">
              <c16:uniqueId val="{00000003-9F0B-42B9-BA9A-F9201F02037E}"/>
            </c:ext>
          </c:extLst>
        </c:ser>
        <c:dLbls>
          <c:showLegendKey val="0"/>
          <c:showVal val="0"/>
          <c:showCatName val="0"/>
          <c:showSerName val="0"/>
          <c:showPercent val="0"/>
          <c:showBubbleSize val="0"/>
        </c:dLbls>
        <c:marker val="1"/>
        <c:smooth val="0"/>
        <c:axId val="334271232"/>
        <c:axId val="334272768"/>
      </c:lineChart>
      <c:catAx>
        <c:axId val="334271232"/>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272768"/>
        <c:crosses val="autoZero"/>
        <c:auto val="1"/>
        <c:lblAlgn val="ctr"/>
        <c:lblOffset val="100"/>
        <c:noMultiLvlLbl val="0"/>
      </c:catAx>
      <c:valAx>
        <c:axId val="334272768"/>
        <c:scaling>
          <c:orientation val="minMax"/>
          <c:min val="2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4271232"/>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783147459727387E-2"/>
          <c:y val="5.451076587626056E-2"/>
          <c:w val="0.93941897287622189"/>
          <c:h val="0.82022349414009266"/>
        </c:manualLayout>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0"/>
              <c:layout>
                <c:manualLayout>
                  <c:x val="-4.2025386313465786E-2"/>
                  <c:y val="-4.67377227517612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E0E-4116-862A-1C0A0E64E985}"/>
                </c:ext>
              </c:extLst>
            </c:dLbl>
            <c:dLbl>
              <c:idx val="1"/>
              <c:layout>
                <c:manualLayout>
                  <c:x val="-4.2213689872924301E-2"/>
                  <c:y val="-7.37850170689448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E0E-4116-862A-1C0A0E64E985}"/>
                </c:ext>
              </c:extLst>
            </c:dLbl>
            <c:dLbl>
              <c:idx val="2"/>
              <c:layout>
                <c:manualLayout>
                  <c:x val="-3.9265959523654581E-2"/>
                  <c:y val="5.11223474516665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E0E-4116-862A-1C0A0E64E985}"/>
                </c:ext>
              </c:extLst>
            </c:dLbl>
            <c:dLbl>
              <c:idx val="3"/>
              <c:layout>
                <c:manualLayout>
                  <c:x val="-3.9108910891089109E-2"/>
                  <c:y val="-7.91394335511982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F4A-4401-A1F2-DD4B54BFAF9E}"/>
                </c:ext>
              </c:extLst>
            </c:dLbl>
            <c:dLbl>
              <c:idx val="4"/>
              <c:layout>
                <c:manualLayout>
                  <c:x val="-3.0987858719646801E-2"/>
                  <c:y val="-6.31850911728139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E0E-4116-862A-1C0A0E64E985}"/>
                </c:ext>
              </c:extLst>
            </c:dLbl>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75</c:v>
                </c:pt>
                <c:pt idx="1">
                  <c:v>80</c:v>
                </c:pt>
                <c:pt idx="2">
                  <c:v>65</c:v>
                </c:pt>
                <c:pt idx="3">
                  <c:v>87</c:v>
                </c:pt>
                <c:pt idx="4">
                  <c:v>81</c:v>
                </c:pt>
              </c:numCache>
            </c:numRef>
          </c:val>
          <c:smooth val="0"/>
          <c:extLst xmlns:c16r2="http://schemas.microsoft.com/office/drawing/2015/06/chart">
            <c:ext xmlns:c16="http://schemas.microsoft.com/office/drawing/2014/chart" uri="{C3380CC4-5D6E-409C-BE32-E72D297353CC}">
              <c16:uniqueId val="{00000004-CE0E-4116-862A-1C0A0E64E985}"/>
            </c:ext>
          </c:extLst>
        </c:ser>
        <c:dLbls>
          <c:showLegendKey val="0"/>
          <c:showVal val="0"/>
          <c:showCatName val="0"/>
          <c:showSerName val="0"/>
          <c:showPercent val="0"/>
          <c:showBubbleSize val="0"/>
        </c:dLbls>
        <c:marker val="1"/>
        <c:smooth val="0"/>
        <c:axId val="284990080"/>
        <c:axId val="285024640"/>
      </c:lineChart>
      <c:catAx>
        <c:axId val="284990080"/>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5024640"/>
        <c:crosses val="autoZero"/>
        <c:auto val="1"/>
        <c:lblAlgn val="ctr"/>
        <c:lblOffset val="100"/>
        <c:noMultiLvlLbl val="0"/>
      </c:catAx>
      <c:valAx>
        <c:axId val="285024640"/>
        <c:scaling>
          <c:orientation val="minMax"/>
          <c:min val="35"/>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284990080"/>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a:latin typeface="Arial" panose="020B0604020202020204" pitchFamily="34" charset="0"/>
                <a:cs typeface="Arial" panose="020B0604020202020204" pitchFamily="34" charset="0"/>
              </a:defRPr>
            </a:pPr>
            <a:r>
              <a:rPr lang="en-US" sz="1098"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6 EU Pilot files opened against </a:t>
            </a:r>
            <a:r>
              <a:rPr lang="en-US" sz="1098"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Ireland</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E22-4B65-AE70-755F72806A77}"/>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E22-4B65-AE70-755F72806A77}"/>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E22-4B65-AE70-755F72806A77}"/>
              </c:ext>
            </c:extLst>
          </c:dPt>
          <c:dPt>
            <c:idx val="3"/>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E22-4B65-AE70-755F72806A77}"/>
              </c:ext>
            </c:extLst>
          </c:dPt>
          <c:dPt>
            <c:idx val="4"/>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E22-4B65-AE70-755F72806A77}"/>
              </c:ext>
            </c:extLst>
          </c:dPt>
          <c:dLbls>
            <c:dLbl>
              <c:idx val="0"/>
              <c:layout>
                <c:manualLayout>
                  <c:x val="-1.0819456994105246E-2"/>
                  <c:y val="-0.27576877487088308"/>
                </c:manualLayout>
              </c:layout>
              <c:tx>
                <c:rich>
                  <a:bodyPr/>
                  <a:lstStyle/>
                  <a:p>
                    <a:pPr>
                      <a:defRPr sz="849">
                        <a:latin typeface="Arial" panose="020B0604020202020204" pitchFamily="34" charset="0"/>
                        <a:ea typeface="Verdana" panose="020B0604030504040204" pitchFamily="34" charset="0"/>
                        <a:cs typeface="Arial" panose="020B0604020202020204" pitchFamily="34" charset="0"/>
                      </a:defRPr>
                    </a:pPr>
                    <a:r>
                      <a:rPr lang="en-US" sz="899"/>
                      <a:t>Environment
2</a:t>
                    </a:r>
                  </a:p>
                </c:rich>
              </c:tx>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22-4B65-AE70-755F72806A77}"/>
                </c:ext>
              </c:extLst>
            </c:dLbl>
            <c:dLbl>
              <c:idx val="1"/>
              <c:layout>
                <c:manualLayout>
                  <c:x val="0.10380512886708834"/>
                  <c:y val="5.467911269155871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22-4B65-AE70-755F72806A77}"/>
                </c:ext>
              </c:extLst>
            </c:dLbl>
            <c:dLbl>
              <c:idx val="2"/>
              <c:layout>
                <c:manualLayout>
                  <c:x val="2.719977625747601E-3"/>
                  <c:y val="-6.498264329861992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22-4B65-AE70-755F72806A77}"/>
                </c:ext>
              </c:extLst>
            </c:dLbl>
            <c:dLbl>
              <c:idx val="3"/>
              <c:layout>
                <c:manualLayout>
                  <c:x val="6.7038853749838645E-2"/>
                  <c:y val="-1.4046228092456186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22-4B65-AE70-755F72806A77}"/>
                </c:ext>
              </c:extLst>
            </c:dLbl>
            <c:dLbl>
              <c:idx val="4"/>
              <c:layout>
                <c:manualLayout>
                  <c:x val="1.3706140350877192E-2"/>
                  <c:y val="-4.563894523326571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E22-4B65-AE70-755F72806A77}"/>
                </c:ext>
              </c:extLst>
            </c:dLbl>
            <c:spPr>
              <a:noFill/>
              <a:ln w="25358">
                <a:noFill/>
              </a:ln>
            </c:spPr>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Environment</c:v>
                </c:pt>
                <c:pt idx="1">
                  <c:v>Energy</c:v>
                </c:pt>
                <c:pt idx="2">
                  <c:v>Taxation and customs</c:v>
                </c:pt>
                <c:pt idx="3">
                  <c:v>Agriculture and rural development</c:v>
                </c:pt>
              </c:strCache>
            </c:strRef>
          </c:cat>
          <c:val>
            <c:numRef>
              <c:f>Blad1!$B$2:$B$5</c:f>
              <c:numCache>
                <c:formatCode>General</c:formatCode>
                <c:ptCount val="4"/>
                <c:pt idx="0">
                  <c:v>2</c:v>
                </c:pt>
                <c:pt idx="1">
                  <c:v>2</c:v>
                </c:pt>
                <c:pt idx="2">
                  <c:v>1</c:v>
                </c:pt>
                <c:pt idx="3">
                  <c:v>1</c:v>
                </c:pt>
              </c:numCache>
            </c:numRef>
          </c:val>
          <c:extLst xmlns:c16r2="http://schemas.microsoft.com/office/drawing/2015/06/chart">
            <c:ext xmlns:c16="http://schemas.microsoft.com/office/drawing/2014/chart" uri="{C3380CC4-5D6E-409C-BE32-E72D297353CC}">
              <c16:uniqueId val="{0000000A-7E22-4B65-AE70-755F72806A77}"/>
            </c:ext>
          </c:extLst>
        </c:ser>
        <c:dLbls>
          <c:showLegendKey val="0"/>
          <c:showVal val="0"/>
          <c:showCatName val="0"/>
          <c:showSerName val="0"/>
          <c:showPercent val="0"/>
          <c:showBubbleSize val="0"/>
          <c:showLeaderLines val="0"/>
        </c:dLbls>
        <c:firstSliceAng val="183"/>
      </c:pieChart>
      <c:spPr>
        <a:noFill/>
        <a:ln w="25358">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Ireland</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4543777957987807E-2"/>
                  <c:y val="9.09649375223445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ED-4480-9E68-1D8F86C5C00B}"/>
                </c:ext>
              </c:extLst>
            </c:dLbl>
            <c:dLbl>
              <c:idx val="1"/>
              <c:layout>
                <c:manualLayout>
                  <c:x val="-4.4553151786259279E-2"/>
                  <c:y val="5.77789694892790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ED-4480-9E68-1D8F86C5C00B}"/>
                </c:ext>
              </c:extLst>
            </c:dLbl>
            <c:dLbl>
              <c:idx val="2"/>
              <c:layout>
                <c:manualLayout>
                  <c:x val="-5.2740538920524209E-2"/>
                  <c:y val="-5.84301754294024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2ED-4480-9E68-1D8F86C5C00B}"/>
                </c:ext>
              </c:extLst>
            </c:dLbl>
            <c:dLbl>
              <c:idx val="3"/>
              <c:layout>
                <c:manualLayout>
                  <c:x val="-6.192699749740585E-2"/>
                  <c:y val="6.23978688710423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ED-4480-9E68-1D8F86C5C00B}"/>
                </c:ext>
              </c:extLst>
            </c:dLbl>
            <c:dLbl>
              <c:idx val="4"/>
              <c:layout>
                <c:manualLayout>
                  <c:x val="-5.0090182154851275E-2"/>
                  <c:y val="6.92773403324584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ED-4480-9E68-1D8F86C5C00B}"/>
                </c:ext>
              </c:extLst>
            </c:dLbl>
            <c:spPr>
              <a:noFill/>
              <a:ln w="25372">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0.7</c:v>
                </c:pt>
                <c:pt idx="1">
                  <c:v>0.74</c:v>
                </c:pt>
                <c:pt idx="2">
                  <c:v>0.79</c:v>
                </c:pt>
                <c:pt idx="3">
                  <c:v>0.71</c:v>
                </c:pt>
                <c:pt idx="4">
                  <c:v>0.63</c:v>
                </c:pt>
              </c:numCache>
            </c:numRef>
          </c:val>
          <c:smooth val="0"/>
          <c:extLst xmlns:c16r2="http://schemas.microsoft.com/office/drawing/2015/06/chart">
            <c:ext xmlns:c16="http://schemas.microsoft.com/office/drawing/2014/chart" uri="{C3380CC4-5D6E-409C-BE32-E72D297353CC}">
              <c16:uniqueId val="{00000004-42ED-4480-9E68-1D8F86C5C00B}"/>
            </c:ext>
          </c:extLst>
        </c:ser>
        <c:ser>
          <c:idx val="1"/>
          <c:order val="1"/>
          <c:tx>
            <c:strRef>
              <c:f>Blad1!$C$2</c:f>
              <c:strCache>
                <c:ptCount val="1"/>
                <c:pt idx="0">
                  <c:v>General rate for all Member States</c:v>
                </c:pt>
              </c:strCache>
            </c:strRef>
          </c:tx>
          <c:spPr>
            <a:ln w="25372">
              <a:solidFill>
                <a:srgbClr val="92D050"/>
              </a:solidFill>
            </a:ln>
          </c:spPr>
          <c:marker>
            <c:symbol val="square"/>
            <c:size val="4"/>
            <c:spPr>
              <a:solidFill>
                <a:srgbClr val="92D050"/>
              </a:solidFill>
              <a:ln>
                <a:solidFill>
                  <a:srgbClr val="92D050"/>
                </a:solidFill>
              </a:ln>
            </c:spPr>
          </c:marker>
          <c:dLbls>
            <c:dLbl>
              <c:idx val="0"/>
              <c:layout>
                <c:manualLayout>
                  <c:x val="-4.1731847472554304E-2"/>
                  <c:y val="-6.29991018564539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ED-4480-9E68-1D8F86C5C00B}"/>
                </c:ext>
              </c:extLst>
            </c:dLbl>
            <c:dLbl>
              <c:idx val="1"/>
              <c:layout>
                <c:manualLayout>
                  <c:x val="-4.7312545234171312E-2"/>
                  <c:y val="-6.8834854945457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2ED-4480-9E68-1D8F86C5C00B}"/>
                </c:ext>
              </c:extLst>
            </c:dLbl>
            <c:dLbl>
              <c:idx val="2"/>
              <c:layout>
                <c:manualLayout>
                  <c:x val="-5.6892788055472307E-2"/>
                  <c:y val="6.67500797009358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2ED-4480-9E68-1D8F86C5C00B}"/>
                </c:ext>
              </c:extLst>
            </c:dLbl>
            <c:dLbl>
              <c:idx val="3"/>
              <c:layout>
                <c:manualLayout>
                  <c:x val="-4.4543933738386506E-2"/>
                  <c:y val="-8.56673697817723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ED-4480-9E68-1D8F86C5C00B}"/>
                </c:ext>
              </c:extLst>
            </c:dLbl>
            <c:dLbl>
              <c:idx val="4"/>
              <c:layout>
                <c:manualLayout>
                  <c:x val="-4.454387045213358E-2"/>
                  <c:y val="-6.37222222222222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2ED-4480-9E68-1D8F86C5C00B}"/>
                </c:ext>
              </c:extLst>
            </c:dLbl>
            <c:spPr>
              <a:noFill/>
              <a:ln w="25372">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9-42ED-4480-9E68-1D8F86C5C00B}"/>
            </c:ext>
          </c:extLst>
        </c:ser>
        <c:dLbls>
          <c:showLegendKey val="0"/>
          <c:showVal val="0"/>
          <c:showCatName val="0"/>
          <c:showSerName val="0"/>
          <c:showPercent val="0"/>
          <c:showBubbleSize val="0"/>
        </c:dLbls>
        <c:marker val="1"/>
        <c:smooth val="0"/>
        <c:axId val="334365824"/>
        <c:axId val="334367360"/>
      </c:lineChart>
      <c:catAx>
        <c:axId val="334365824"/>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367360"/>
        <c:crosses val="autoZero"/>
        <c:auto val="1"/>
        <c:lblAlgn val="ctr"/>
        <c:lblOffset val="100"/>
        <c:noMultiLvlLbl val="0"/>
      </c:catAx>
      <c:valAx>
        <c:axId val="334367360"/>
        <c:scaling>
          <c:orientation val="minMax"/>
          <c:min val="0.5"/>
        </c:scaling>
        <c:delete val="1"/>
        <c:axPos val="l"/>
        <c:majorGridlines>
          <c:spPr>
            <a:ln w="9515" cap="flat" cmpd="sng" algn="ctr">
              <a:solidFill>
                <a:schemeClr val="tx1">
                  <a:lumMod val="15000"/>
                  <a:lumOff val="85000"/>
                </a:schemeClr>
              </a:solidFill>
              <a:round/>
            </a:ln>
            <a:effectLst/>
          </c:spPr>
        </c:majorGridlines>
        <c:numFmt formatCode="0%" sourceLinked="1"/>
        <c:majorTickMark val="out"/>
        <c:minorTickMark val="none"/>
        <c:tickLblPos val="nextTo"/>
        <c:crossAx val="334365824"/>
        <c:crosses val="autoZero"/>
        <c:crossBetween val="between"/>
      </c:valAx>
      <c:spPr>
        <a:noFill/>
        <a:ln w="25372">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2"/>
              <c:layout>
                <c:manualLayout>
                  <c:x val="-4.2117756041740458E-2"/>
                  <c:y val="5.41788172299870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30-41BF-B3A8-166FC7833896}"/>
                </c:ext>
              </c:extLst>
            </c:dLbl>
            <c:dLbl>
              <c:idx val="4"/>
              <c:layout>
                <c:manualLayout>
                  <c:x val="-3.6665620285836364E-2"/>
                  <c:y val="5.39902228716255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C3D-4FA1-9CE9-74ED627F4242}"/>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38</c:v>
                </c:pt>
                <c:pt idx="1">
                  <c:v>42</c:v>
                </c:pt>
                <c:pt idx="2">
                  <c:v>35</c:v>
                </c:pt>
                <c:pt idx="3">
                  <c:v>53</c:v>
                </c:pt>
                <c:pt idx="4">
                  <c:v>56</c:v>
                </c:pt>
              </c:numCache>
            </c:numRef>
          </c:val>
          <c:smooth val="0"/>
          <c:extLst xmlns:c16r2="http://schemas.microsoft.com/office/drawing/2015/06/chart">
            <c:ext xmlns:c16="http://schemas.microsoft.com/office/drawing/2014/chart" uri="{C3380CC4-5D6E-409C-BE32-E72D297353CC}">
              <c16:uniqueId val="{00000001-3C3D-4FA1-9CE9-74ED627F4242}"/>
            </c:ext>
          </c:extLst>
        </c:ser>
        <c:dLbls>
          <c:showLegendKey val="0"/>
          <c:showVal val="0"/>
          <c:showCatName val="0"/>
          <c:showSerName val="0"/>
          <c:showPercent val="0"/>
          <c:showBubbleSize val="0"/>
        </c:dLbls>
        <c:marker val="1"/>
        <c:smooth val="0"/>
        <c:axId val="334422016"/>
        <c:axId val="334423552"/>
      </c:lineChart>
      <c:catAx>
        <c:axId val="33442201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423552"/>
        <c:crosses val="autoZero"/>
        <c:auto val="1"/>
        <c:lblAlgn val="ctr"/>
        <c:lblOffset val="100"/>
        <c:noMultiLvlLbl val="0"/>
      </c:catAx>
      <c:valAx>
        <c:axId val="334423552"/>
        <c:scaling>
          <c:orientation val="minMax"/>
          <c:min val="32"/>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4422016"/>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29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Ireland</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2596373014348817"/>
          <c:y val="3.2786488645441064E-2"/>
        </c:manualLayout>
      </c:layout>
      <c:overlay val="0"/>
      <c:spPr>
        <a:noFill/>
        <a:ln w="25357">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840-4471-85E0-C75C10232FB0}"/>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840-4471-85E0-C75C10232FB0}"/>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840-4471-85E0-C75C10232FB0}"/>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840-4471-85E0-C75C10232FB0}"/>
              </c:ext>
            </c:extLst>
          </c:dPt>
          <c:dPt>
            <c:idx val="4"/>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840-4471-85E0-C75C10232FB0}"/>
              </c:ext>
            </c:extLst>
          </c:dPt>
          <c:dPt>
            <c:idx val="5"/>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1840-4471-85E0-C75C10232FB0}"/>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1840-4471-85E0-C75C10232FB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40-4471-85E0-C75C10232FB0}"/>
                </c:ext>
              </c:extLst>
            </c:dLbl>
            <c:dLbl>
              <c:idx val="1"/>
              <c:layout>
                <c:manualLayout>
                  <c:x val="1.6623431638432884E-2"/>
                  <c:y val="-4.171335140484488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40-4471-85E0-C75C10232FB0}"/>
                </c:ext>
              </c:extLst>
            </c:dLbl>
            <c:dLbl>
              <c:idx val="2"/>
              <c:layout>
                <c:manualLayout>
                  <c:x val="-6.5934985585818159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840-4471-85E0-C75C10232FB0}"/>
                </c:ext>
              </c:extLst>
            </c:dLbl>
            <c:dLbl>
              <c:idx val="3"/>
              <c:layout>
                <c:manualLayout>
                  <c:x val="2.5303302604415854E-2"/>
                  <c:y val="-0.1102603604315346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840-4471-85E0-C75C10232FB0}"/>
                </c:ext>
              </c:extLst>
            </c:dLbl>
            <c:dLbl>
              <c:idx val="4"/>
              <c:layout>
                <c:manualLayout>
                  <c:x val="-2.0957790112301537E-2"/>
                  <c:y val="3.152493438320212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840-4471-85E0-C75C10232FB0}"/>
                </c:ext>
              </c:extLst>
            </c:dLbl>
            <c:dLbl>
              <c:idx val="5"/>
              <c:layout>
                <c:manualLayout>
                  <c:x val="3.2541629017684265E-3"/>
                  <c:y val="4.756036745406824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840-4471-85E0-C75C10232FB0}"/>
                </c:ext>
              </c:extLst>
            </c:dLbl>
            <c:spPr>
              <a:noFill/>
              <a:ln w="2535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7"/>
                <c:pt idx="0">
                  <c:v>Policy Area</c:v>
                </c:pt>
                <c:pt idx="2">
                  <c:v>Health and food safety</c:v>
                </c:pt>
                <c:pt idx="3">
                  <c:v>Mobility and transport</c:v>
                </c:pt>
                <c:pt idx="4">
                  <c:v>Environment</c:v>
                </c:pt>
                <c:pt idx="5">
                  <c:v>Financial stability, financial services and Capital Markets Union</c:v>
                </c:pt>
                <c:pt idx="6">
                  <c:v>Other</c:v>
                </c:pt>
              </c:strCache>
            </c:strRef>
          </c:cat>
          <c:val>
            <c:numRef>
              <c:f>Blad1!$B$2:$B$8</c:f>
              <c:numCache>
                <c:formatCode>General</c:formatCode>
                <c:ptCount val="7"/>
                <c:pt idx="0">
                  <c:v>0</c:v>
                </c:pt>
                <c:pt idx="2">
                  <c:v>5</c:v>
                </c:pt>
                <c:pt idx="3">
                  <c:v>9</c:v>
                </c:pt>
                <c:pt idx="4">
                  <c:v>8</c:v>
                </c:pt>
                <c:pt idx="5">
                  <c:v>2</c:v>
                </c:pt>
                <c:pt idx="6">
                  <c:v>5</c:v>
                </c:pt>
              </c:numCache>
            </c:numRef>
          </c:val>
          <c:extLst xmlns:c16r2="http://schemas.microsoft.com/office/drawing/2015/06/chart">
            <c:ext xmlns:c16="http://schemas.microsoft.com/office/drawing/2014/chart" uri="{C3380CC4-5D6E-409C-BE32-E72D297353CC}">
              <c16:uniqueId val="{0000000D-1840-4471-85E0-C75C10232FB0}"/>
            </c:ext>
          </c:extLst>
        </c:ser>
        <c:ser>
          <c:idx val="1"/>
          <c:order val="1"/>
          <c:tx>
            <c:strRef>
              <c:f>Blad1!$C$1</c:f>
              <c:strCache>
                <c:ptCount val="1"/>
                <c:pt idx="0">
                  <c:v>Column1</c:v>
                </c:pt>
              </c:strCache>
            </c:strRef>
          </c:tx>
          <c:dPt>
            <c:idx val="0"/>
            <c:bubble3D val="0"/>
            <c:extLst xmlns:c16r2="http://schemas.microsoft.com/office/drawing/2015/06/chart">
              <c:ext xmlns:c16="http://schemas.microsoft.com/office/drawing/2014/chart" uri="{C3380CC4-5D6E-409C-BE32-E72D297353CC}">
                <c16:uniqueId val="{0000000E-1840-4471-85E0-C75C10232FB0}"/>
              </c:ext>
            </c:extLst>
          </c:dPt>
          <c:dPt>
            <c:idx val="1"/>
            <c:bubble3D val="0"/>
            <c:extLst xmlns:c16r2="http://schemas.microsoft.com/office/drawing/2015/06/chart">
              <c:ext xmlns:c16="http://schemas.microsoft.com/office/drawing/2014/chart" uri="{C3380CC4-5D6E-409C-BE32-E72D297353CC}">
                <c16:uniqueId val="{0000000F-1840-4471-85E0-C75C10232FB0}"/>
              </c:ext>
            </c:extLst>
          </c:dPt>
          <c:dPt>
            <c:idx val="2"/>
            <c:bubble3D val="0"/>
            <c:extLst xmlns:c16r2="http://schemas.microsoft.com/office/drawing/2015/06/chart">
              <c:ext xmlns:c16="http://schemas.microsoft.com/office/drawing/2014/chart" uri="{C3380CC4-5D6E-409C-BE32-E72D297353CC}">
                <c16:uniqueId val="{00000010-1840-4471-85E0-C75C10232FB0}"/>
              </c:ext>
            </c:extLst>
          </c:dPt>
          <c:dPt>
            <c:idx val="3"/>
            <c:bubble3D val="0"/>
            <c:extLst xmlns:c16r2="http://schemas.microsoft.com/office/drawing/2015/06/chart">
              <c:ext xmlns:c16="http://schemas.microsoft.com/office/drawing/2014/chart" uri="{C3380CC4-5D6E-409C-BE32-E72D297353CC}">
                <c16:uniqueId val="{00000011-1840-4471-85E0-C75C10232FB0}"/>
              </c:ext>
            </c:extLst>
          </c:dPt>
          <c:dPt>
            <c:idx val="4"/>
            <c:bubble3D val="0"/>
            <c:extLst xmlns:c16r2="http://schemas.microsoft.com/office/drawing/2015/06/chart">
              <c:ext xmlns:c16="http://schemas.microsoft.com/office/drawing/2014/chart" uri="{C3380CC4-5D6E-409C-BE32-E72D297353CC}">
                <c16:uniqueId val="{00000012-1840-4471-85E0-C75C10232FB0}"/>
              </c:ext>
            </c:extLst>
          </c:dPt>
          <c:dPt>
            <c:idx val="5"/>
            <c:bubble3D val="0"/>
            <c:extLst xmlns:c16r2="http://schemas.microsoft.com/office/drawing/2015/06/chart">
              <c:ext xmlns:c16="http://schemas.microsoft.com/office/drawing/2014/chart" uri="{C3380CC4-5D6E-409C-BE32-E72D297353CC}">
                <c16:uniqueId val="{00000013-1840-4471-85E0-C75C10232FB0}"/>
              </c:ext>
            </c:extLst>
          </c:dPt>
          <c:dPt>
            <c:idx val="6"/>
            <c:bubble3D val="0"/>
            <c:extLst xmlns:c16r2="http://schemas.microsoft.com/office/drawing/2015/06/chart">
              <c:ext xmlns:c16="http://schemas.microsoft.com/office/drawing/2014/chart" uri="{C3380CC4-5D6E-409C-BE32-E72D297353CC}">
                <c16:uniqueId val="{00000014-1840-4471-85E0-C75C10232FB0}"/>
              </c:ext>
            </c:extLst>
          </c:dPt>
          <c:dLbls>
            <c:spPr>
              <a:noFill/>
              <a:ln w="25357">
                <a:noFill/>
              </a:ln>
            </c:sp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Blad1!$A$2:$A$8</c:f>
              <c:strCache>
                <c:ptCount val="7"/>
                <c:pt idx="0">
                  <c:v>Policy Area</c:v>
                </c:pt>
                <c:pt idx="2">
                  <c:v>Health and food safety</c:v>
                </c:pt>
                <c:pt idx="3">
                  <c:v>Mobility and transport</c:v>
                </c:pt>
                <c:pt idx="4">
                  <c:v>Environment</c:v>
                </c:pt>
                <c:pt idx="5">
                  <c:v>Financial stability, financial services and Capital Markets Union</c:v>
                </c:pt>
                <c:pt idx="6">
                  <c:v>Other</c:v>
                </c:pt>
              </c:strCache>
            </c:strRef>
          </c:cat>
          <c:val>
            <c:numRef>
              <c:f>Blad1!$C$2:$C$8</c:f>
              <c:numCache>
                <c:formatCode>General</c:formatCode>
                <c:ptCount val="7"/>
              </c:numCache>
            </c:numRef>
          </c:val>
          <c:extLst xmlns:c16r2="http://schemas.microsoft.com/office/drawing/2015/06/chart">
            <c:ext xmlns:c16="http://schemas.microsoft.com/office/drawing/2014/chart" uri="{C3380CC4-5D6E-409C-BE32-E72D297353CC}">
              <c16:uniqueId val="{00000015-1840-4471-85E0-C75C10232FB0}"/>
            </c:ext>
          </c:extLst>
        </c:ser>
        <c:dLbls>
          <c:showLegendKey val="0"/>
          <c:showVal val="0"/>
          <c:showCatName val="0"/>
          <c:showSerName val="0"/>
          <c:showPercent val="0"/>
          <c:showBubbleSize val="0"/>
          <c:showLeaderLines val="0"/>
        </c:dLbls>
        <c:firstSliceAng val="166"/>
      </c:pieChart>
      <c:spPr>
        <a:noFill/>
        <a:ln w="25357">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3908053506622821E-2"/>
                  <c:y val="7.85015919401827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3B-4EE4-ACAE-7B1CA673A788}"/>
                </c:ext>
              </c:extLst>
            </c:dLbl>
            <c:dLbl>
              <c:idx val="2"/>
              <c:layout>
                <c:manualLayout>
                  <c:x val="-4.220743205768164E-2"/>
                  <c:y val="6.56930126002291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3B-4EE4-ACAE-7B1CA673A788}"/>
                </c:ext>
              </c:extLst>
            </c:dLbl>
            <c:dLbl>
              <c:idx val="3"/>
              <c:layout>
                <c:manualLayout>
                  <c:x val="-4.212358629589906E-2"/>
                  <c:y val="-7.72543414949843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32-4DF0-947A-BA442F1B334E}"/>
                </c:ext>
              </c:extLst>
            </c:dLbl>
            <c:dLbl>
              <c:idx val="4"/>
              <c:layout>
                <c:manualLayout>
                  <c:x val="-3.9429365446966187E-2"/>
                  <c:y val="7.08486239562325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3B-4EE4-ACAE-7B1CA673A788}"/>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12</c:v>
                </c:pt>
                <c:pt idx="1">
                  <c:v>10</c:v>
                </c:pt>
                <c:pt idx="2">
                  <c:v>14</c:v>
                </c:pt>
                <c:pt idx="3">
                  <c:v>30</c:v>
                </c:pt>
                <c:pt idx="4">
                  <c:v>28</c:v>
                </c:pt>
              </c:numCache>
            </c:numRef>
          </c:val>
          <c:smooth val="0"/>
          <c:extLst xmlns:c16r2="http://schemas.microsoft.com/office/drawing/2015/06/chart">
            <c:ext xmlns:c16="http://schemas.microsoft.com/office/drawing/2014/chart" uri="{C3380CC4-5D6E-409C-BE32-E72D297353CC}">
              <c16:uniqueId val="{00000003-D13B-4EE4-ACAE-7B1CA673A788}"/>
            </c:ext>
          </c:extLst>
        </c:ser>
        <c:dLbls>
          <c:showLegendKey val="0"/>
          <c:showVal val="0"/>
          <c:showCatName val="0"/>
          <c:showSerName val="0"/>
          <c:showPercent val="0"/>
          <c:showBubbleSize val="0"/>
        </c:dLbls>
        <c:marker val="1"/>
        <c:smooth val="0"/>
        <c:axId val="334641408"/>
        <c:axId val="334659584"/>
      </c:lineChart>
      <c:catAx>
        <c:axId val="334641408"/>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659584"/>
        <c:crosses val="autoZero"/>
        <c:auto val="1"/>
        <c:lblAlgn val="ctr"/>
        <c:lblOffset val="100"/>
        <c:noMultiLvlLbl val="0"/>
      </c:catAx>
      <c:valAx>
        <c:axId val="334659584"/>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4641408"/>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000676912058203E-2"/>
                  <c:y val="7.2773764104229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54-4CFF-9665-8FD1BDB0F114}"/>
                </c:ext>
              </c:extLst>
            </c:dLbl>
            <c:dLbl>
              <c:idx val="3"/>
              <c:layout>
                <c:manualLayout>
                  <c:x val="-4.4892135576076249E-2"/>
                  <c:y val="-7.91518165492471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56-4344-8B6D-25B6926BAF0C}"/>
                </c:ext>
              </c:extLst>
            </c:dLbl>
            <c:dLbl>
              <c:idx val="4"/>
              <c:layout>
                <c:manualLayout>
                  <c:x val="-3.9434169566013554E-2"/>
                  <c:y val="8.01620850025325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54-4CFF-9665-8FD1BDB0F114}"/>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10</c:v>
                </c:pt>
                <c:pt idx="1">
                  <c:v>9</c:v>
                </c:pt>
                <c:pt idx="2">
                  <c:v>15</c:v>
                </c:pt>
                <c:pt idx="3">
                  <c:v>36</c:v>
                </c:pt>
                <c:pt idx="4">
                  <c:v>21</c:v>
                </c:pt>
              </c:numCache>
            </c:numRef>
          </c:val>
          <c:smooth val="0"/>
          <c:extLst xmlns:c16r2="http://schemas.microsoft.com/office/drawing/2015/06/chart">
            <c:ext xmlns:c16="http://schemas.microsoft.com/office/drawing/2014/chart" uri="{C3380CC4-5D6E-409C-BE32-E72D297353CC}">
              <c16:uniqueId val="{00000002-BA54-4CFF-9665-8FD1BDB0F114}"/>
            </c:ext>
          </c:extLst>
        </c:ser>
        <c:dLbls>
          <c:showLegendKey val="0"/>
          <c:showVal val="0"/>
          <c:showCatName val="0"/>
          <c:showSerName val="0"/>
          <c:showPercent val="0"/>
          <c:showBubbleSize val="0"/>
        </c:dLbls>
        <c:marker val="1"/>
        <c:smooth val="0"/>
        <c:axId val="334788864"/>
        <c:axId val="334794752"/>
      </c:lineChart>
      <c:catAx>
        <c:axId val="33478886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794752"/>
        <c:crosses val="autoZero"/>
        <c:auto val="1"/>
        <c:lblAlgn val="ctr"/>
        <c:lblOffset val="100"/>
        <c:noMultiLvlLbl val="0"/>
      </c:catAx>
      <c:valAx>
        <c:axId val="334794752"/>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478886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8" b="0" baseline="0">
                <a:solidFill>
                  <a:srgbClr val="002060"/>
                </a:solidFill>
                <a:latin typeface="Arial" panose="020B0604020202020204" pitchFamily="34" charset="0"/>
                <a:ea typeface="Verdana" panose="020B0604030504040204" pitchFamily="34" charset="0"/>
                <a:cs typeface="Arial" panose="020B0604020202020204" pitchFamily="34" charset="0"/>
              </a:rPr>
              <a:t>21 new </a:t>
            </a:r>
            <a:r>
              <a:rPr lang="nl-BE" sz="1098"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Ireland</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780456124601495"/>
          <c:y val="2.9411731817546475E-2"/>
        </c:manualLayout>
      </c:layout>
      <c:overlay val="0"/>
      <c:spPr>
        <a:noFill/>
        <a:ln w="25342">
          <a:noFill/>
        </a:ln>
      </c:spPr>
    </c:title>
    <c:autoTitleDeleted val="0"/>
    <c:plotArea>
      <c:layout>
        <c:manualLayout>
          <c:layoutTarget val="inner"/>
          <c:xMode val="edge"/>
          <c:yMode val="edge"/>
          <c:x val="0.32081796227084519"/>
          <c:y val="0.26286419575127479"/>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B0E-493F-8B6C-F77A5BD63F98}"/>
              </c:ext>
            </c:extLst>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B0E-493F-8B6C-F77A5BD63F98}"/>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B0E-493F-8B6C-F77A5BD63F98}"/>
              </c:ext>
            </c:extLst>
          </c:dPt>
          <c:dPt>
            <c:idx val="3"/>
            <c:bubble3D val="0"/>
            <c:spPr>
              <a:solidFill>
                <a:srgbClr val="F7964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B0E-493F-8B6C-F77A5BD63F98}"/>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B0E-493F-8B6C-F77A5BD63F98}"/>
              </c:ext>
            </c:extLst>
          </c:dPt>
          <c:dLbls>
            <c:dLbl>
              <c:idx val="0"/>
              <c:layout>
                <c:manualLayout>
                  <c:x val="3.9634158633396633E-3"/>
                  <c:y val="3.0751806709092872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sz="900" baseline="0"/>
                      <a:t>Environment
4</a:t>
                    </a:r>
                    <a:endParaRPr lang="en-US" sz="900" baseline="-25000"/>
                  </a:p>
                </c:rich>
              </c:tx>
              <c:spPr>
                <a:noFill/>
                <a:ln w="25342">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0E-493F-8B6C-F77A5BD63F98}"/>
                </c:ext>
              </c:extLst>
            </c:dLbl>
            <c:dLbl>
              <c:idx val="1"/>
              <c:layout>
                <c:manualLayout>
                  <c:x val="-2.4451580649193044E-2"/>
                  <c:y val="3.915255456081688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0E-493F-8B6C-F77A5BD63F98}"/>
                </c:ext>
              </c:extLst>
            </c:dLbl>
            <c:dLbl>
              <c:idx val="2"/>
              <c:layout>
                <c:manualLayout>
                  <c:x val="-1.0191871177393149E-2"/>
                  <c:y val="9.41538129651601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0E-493F-8B6C-F77A5BD63F98}"/>
                </c:ext>
              </c:extLst>
            </c:dLbl>
            <c:dLbl>
              <c:idx val="3"/>
              <c:layout>
                <c:manualLayout>
                  <c:x val="2.3714777588285337E-3"/>
                  <c:y val="2.256498759572861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B0E-493F-8B6C-F77A5BD63F98}"/>
                </c:ext>
              </c:extLst>
            </c:dLbl>
            <c:dLbl>
              <c:idx val="4"/>
              <c:layout>
                <c:manualLayout>
                  <c:x val="-6.2082562260362614E-2"/>
                  <c:y val="-0.206810843849998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B0E-493F-8B6C-F77A5BD63F98}"/>
                </c:ext>
              </c:extLst>
            </c:dLbl>
            <c:spPr>
              <a:noFill/>
              <a:ln w="25342">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Environment</c:v>
                </c:pt>
                <c:pt idx="1">
                  <c:v>Health and food safety</c:v>
                </c:pt>
                <c:pt idx="2">
                  <c:v>Financial stability, financial services and Capital Markets Union</c:v>
                </c:pt>
                <c:pt idx="3">
                  <c:v>Mobility and transport</c:v>
                </c:pt>
                <c:pt idx="4">
                  <c:v>Other</c:v>
                </c:pt>
              </c:strCache>
            </c:strRef>
          </c:cat>
          <c:val>
            <c:numRef>
              <c:f>Blad1!$B$4:$B$8</c:f>
              <c:numCache>
                <c:formatCode>General</c:formatCode>
                <c:ptCount val="5"/>
                <c:pt idx="0">
                  <c:v>4</c:v>
                </c:pt>
                <c:pt idx="1">
                  <c:v>5</c:v>
                </c:pt>
                <c:pt idx="2">
                  <c:v>2</c:v>
                </c:pt>
                <c:pt idx="3">
                  <c:v>3</c:v>
                </c:pt>
                <c:pt idx="4">
                  <c:v>7</c:v>
                </c:pt>
              </c:numCache>
            </c:numRef>
          </c:val>
          <c:extLst xmlns:c16r2="http://schemas.microsoft.com/office/drawing/2015/06/chart">
            <c:ext xmlns:c16="http://schemas.microsoft.com/office/drawing/2014/chart" uri="{C3380CC4-5D6E-409C-BE32-E72D297353CC}">
              <c16:uniqueId val="{0000000A-0B0E-493F-8B6C-F77A5BD63F98}"/>
            </c:ext>
          </c:extLst>
        </c:ser>
        <c:dLbls>
          <c:showLegendKey val="0"/>
          <c:showVal val="0"/>
          <c:showCatName val="0"/>
          <c:showSerName val="0"/>
          <c:showPercent val="0"/>
          <c:showBubbleSize val="0"/>
          <c:showLeaderLines val="0"/>
        </c:dLbls>
        <c:firstSliceAng val="281"/>
      </c:pieChart>
      <c:spPr>
        <a:noFill/>
        <a:ln w="25342">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68166089965398E-2"/>
          <c:y val="7.4753652735304113E-2"/>
          <c:w val="0.93909191583610185"/>
          <c:h val="0.77661481339222838"/>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4695419992916097E-2"/>
                  <c:y val="7.75811280470675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361-4514-A615-2CF2B83CDD98}"/>
                </c:ext>
              </c:extLst>
            </c:dLbl>
            <c:dLbl>
              <c:idx val="1"/>
              <c:layout>
                <c:manualLayout>
                  <c:x val="-4.1729013524472232E-2"/>
                  <c:y val="-7.84691199314371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65-4308-8B0E-485A4E801762}"/>
                </c:ext>
              </c:extLst>
            </c:dLbl>
            <c:dLbl>
              <c:idx val="2"/>
              <c:layout>
                <c:manualLayout>
                  <c:x val="-4.7407591492923846E-2"/>
                  <c:y val="5.6855621705823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61-4514-A615-2CF2B83CDD98}"/>
                </c:ext>
              </c:extLst>
            </c:dLbl>
            <c:spPr>
              <a:noFill/>
              <a:ln w="25362">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177</c:v>
                </c:pt>
                <c:pt idx="1">
                  <c:v>184</c:v>
                </c:pt>
                <c:pt idx="2">
                  <c:v>144</c:v>
                </c:pt>
                <c:pt idx="3">
                  <c:v>136</c:v>
                </c:pt>
                <c:pt idx="4">
                  <c:v>166</c:v>
                </c:pt>
              </c:numCache>
            </c:numRef>
          </c:val>
          <c:smooth val="0"/>
          <c:extLst xmlns:c16r2="http://schemas.microsoft.com/office/drawing/2015/06/chart">
            <c:ext xmlns:c16="http://schemas.microsoft.com/office/drawing/2014/chart" uri="{C3380CC4-5D6E-409C-BE32-E72D297353CC}">
              <c16:uniqueId val="{00000002-1361-4514-A615-2CF2B83CDD98}"/>
            </c:ext>
          </c:extLst>
        </c:ser>
        <c:dLbls>
          <c:showLegendKey val="0"/>
          <c:showVal val="0"/>
          <c:showCatName val="0"/>
          <c:showSerName val="0"/>
          <c:showPercent val="0"/>
          <c:showBubbleSize val="0"/>
        </c:dLbls>
        <c:marker val="1"/>
        <c:smooth val="0"/>
        <c:axId val="334960512"/>
        <c:axId val="334962048"/>
      </c:lineChart>
      <c:catAx>
        <c:axId val="334960512"/>
        <c:scaling>
          <c:orientation val="minMax"/>
        </c:scaling>
        <c:delete val="0"/>
        <c:axPos val="b"/>
        <c:numFmt formatCode="General" sourceLinked="1"/>
        <c:majorTickMark val="none"/>
        <c:minorTickMark val="none"/>
        <c:tickLblPos val="nextTo"/>
        <c:spPr>
          <a:noFill/>
          <a:ln w="1268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962048"/>
        <c:crosses val="autoZero"/>
        <c:auto val="1"/>
        <c:lblAlgn val="ctr"/>
        <c:lblOffset val="100"/>
        <c:noMultiLvlLbl val="0"/>
      </c:catAx>
      <c:valAx>
        <c:axId val="334962048"/>
        <c:scaling>
          <c:orientation val="minMax"/>
          <c:min val="100"/>
        </c:scaling>
        <c:delete val="1"/>
        <c:axPos val="l"/>
        <c:majorGridlines>
          <c:spPr>
            <a:ln w="9511" cap="flat" cmpd="sng" algn="ctr">
              <a:solidFill>
                <a:schemeClr val="tx1">
                  <a:lumMod val="15000"/>
                  <a:lumOff val="85000"/>
                </a:schemeClr>
              </a:solidFill>
              <a:round/>
            </a:ln>
            <a:effectLst/>
          </c:spPr>
        </c:majorGridlines>
        <c:numFmt formatCode="General" sourceLinked="1"/>
        <c:majorTickMark val="out"/>
        <c:minorTickMark val="none"/>
        <c:tickLblPos val="nextTo"/>
        <c:crossAx val="334960512"/>
        <c:crosses val="autoZero"/>
        <c:crossBetween val="between"/>
      </c:valAx>
      <c:spPr>
        <a:noFill/>
        <a:ln w="25362">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mn-lt"/>
                <a:ea typeface="+mn-ea"/>
                <a:cs typeface="+mn-cs"/>
              </a:defRPr>
            </a:pPr>
            <a:r>
              <a:rPr lang="en-US" sz="1098" b="0" i="0">
                <a:solidFill>
                  <a:srgbClr val="002060"/>
                </a:solidFill>
                <a:latin typeface="Arial" panose="020B0604020202020204" pitchFamily="34" charset="0"/>
                <a:ea typeface="Verdana" panose="020B0604030504040204" pitchFamily="34" charset="0"/>
                <a:cs typeface="Arial" panose="020B0604020202020204" pitchFamily="34" charset="0"/>
              </a:rPr>
              <a:t>166 complaints made against Greece</a:t>
            </a:r>
          </a:p>
        </c:rich>
      </c:tx>
      <c:overlay val="0"/>
      <c:spPr>
        <a:noFill/>
        <a:ln w="25347">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146-4DF8-992B-F817CE9706EF}"/>
              </c:ext>
            </c:extLst>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146-4DF8-992B-F817CE9706EF}"/>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146-4DF8-992B-F817CE9706EF}"/>
              </c:ext>
            </c:extLst>
          </c:dPt>
          <c:dPt>
            <c:idx val="3"/>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146-4DF8-992B-F817CE9706EF}"/>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6146-4DF8-992B-F817CE9706EF}"/>
              </c:ext>
            </c:extLst>
          </c:dPt>
          <c:dLbls>
            <c:dLbl>
              <c:idx val="0"/>
              <c:layout>
                <c:manualLayout>
                  <c:x val="-8.2477257353140154E-2"/>
                  <c:y val="0.14186827040320749"/>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46-4DF8-992B-F817CE9706EF}"/>
                </c:ext>
              </c:extLst>
            </c:dLbl>
            <c:dLbl>
              <c:idx val="1"/>
              <c:layout>
                <c:manualLayout>
                  <c:x val="-4.1830065359477121E-2"/>
                  <c:y val="0.13089884918231376"/>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46-4DF8-992B-F817CE9706EF}"/>
                </c:ext>
              </c:extLst>
            </c:dLbl>
            <c:dLbl>
              <c:idx val="2"/>
              <c:layout>
                <c:manualLayout>
                  <c:x val="-2.1956977027356116E-2"/>
                  <c:y val="5.4131068262136525E-2"/>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46-4DF8-992B-F817CE9706EF}"/>
                </c:ext>
              </c:extLst>
            </c:dLbl>
            <c:dLbl>
              <c:idx val="3"/>
              <c:layout>
                <c:manualLayout>
                  <c:x val="4.2282949925376975E-3"/>
                  <c:y val="-2.8879466989703211E-2"/>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46-4DF8-992B-F817CE9706EF}"/>
                </c:ext>
              </c:extLst>
            </c:dLbl>
            <c:dLbl>
              <c:idx val="4"/>
              <c:layout>
                <c:manualLayout>
                  <c:x val="-9.1503267973856203E-2"/>
                  <c:y val="-0.2205128205128205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146-4DF8-992B-F817CE9706EF}"/>
                </c:ext>
              </c:extLst>
            </c:dLbl>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1">
                  <c:v>Health and food safety</c:v>
                </c:pt>
                <c:pt idx="2">
                  <c:v>Internal market, industry, entrepreneurship and SMEs</c:v>
                </c:pt>
                <c:pt idx="3">
                  <c:v>Employment</c:v>
                </c:pt>
                <c:pt idx="4">
                  <c:v>Other</c:v>
                </c:pt>
              </c:strCache>
            </c:strRef>
          </c:cat>
          <c:val>
            <c:numRef>
              <c:f>Blad1!$B$2:$B$6</c:f>
              <c:numCache>
                <c:formatCode>General</c:formatCode>
                <c:ptCount val="5"/>
                <c:pt idx="1">
                  <c:v>48</c:v>
                </c:pt>
                <c:pt idx="2">
                  <c:v>24</c:v>
                </c:pt>
                <c:pt idx="3">
                  <c:v>21</c:v>
                </c:pt>
                <c:pt idx="4">
                  <c:v>73</c:v>
                </c:pt>
              </c:numCache>
            </c:numRef>
          </c:val>
          <c:extLst xmlns:c16r2="http://schemas.microsoft.com/office/drawing/2015/06/chart">
            <c:ext xmlns:c16="http://schemas.microsoft.com/office/drawing/2014/chart" uri="{C3380CC4-5D6E-409C-BE32-E72D297353CC}">
              <c16:uniqueId val="{00000009-6146-4DF8-992B-F817CE9706EF}"/>
            </c:ext>
          </c:extLst>
        </c:ser>
        <c:dLbls>
          <c:showLegendKey val="0"/>
          <c:showVal val="0"/>
          <c:showCatName val="0"/>
          <c:showSerName val="0"/>
          <c:showPercent val="0"/>
          <c:showBubbleSize val="0"/>
          <c:showLeaderLines val="0"/>
        </c:dLbls>
        <c:firstSliceAng val="289"/>
      </c:pieChart>
      <c:spPr>
        <a:noFill/>
        <a:ln w="2534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220743205768164E-2"/>
                  <c:y val="-4.9708624708624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FE-46B1-A614-52042A2670DA}"/>
                </c:ext>
              </c:extLst>
            </c:dLbl>
            <c:dLbl>
              <c:idx val="1"/>
              <c:layout>
                <c:manualLayout>
                  <c:x val="-5.1357099497338209E-2"/>
                  <c:y val="6.65115724170842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FE-46B1-A614-52042A2670DA}"/>
                </c:ext>
              </c:extLst>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84</c:v>
                </c:pt>
                <c:pt idx="1">
                  <c:v>58</c:v>
                </c:pt>
                <c:pt idx="2">
                  <c:v>42</c:v>
                </c:pt>
                <c:pt idx="3">
                  <c:v>37</c:v>
                </c:pt>
                <c:pt idx="4">
                  <c:v>9</c:v>
                </c:pt>
              </c:numCache>
            </c:numRef>
          </c:val>
          <c:smooth val="0"/>
          <c:extLst xmlns:c16r2="http://schemas.microsoft.com/office/drawing/2015/06/chart">
            <c:ext xmlns:c16="http://schemas.microsoft.com/office/drawing/2014/chart" uri="{C3380CC4-5D6E-409C-BE32-E72D297353CC}">
              <c16:uniqueId val="{00000002-64FE-46B1-A614-52042A2670DA}"/>
            </c:ext>
          </c:extLst>
        </c:ser>
        <c:dLbls>
          <c:showLegendKey val="0"/>
          <c:showVal val="0"/>
          <c:showCatName val="0"/>
          <c:showSerName val="0"/>
          <c:showPercent val="0"/>
          <c:showBubbleSize val="0"/>
        </c:dLbls>
        <c:marker val="1"/>
        <c:smooth val="0"/>
        <c:axId val="332479104"/>
        <c:axId val="332489088"/>
      </c:lineChart>
      <c:catAx>
        <c:axId val="332479104"/>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2489088"/>
        <c:crosses val="autoZero"/>
        <c:auto val="1"/>
        <c:lblAlgn val="ctr"/>
        <c:lblOffset val="100"/>
        <c:noMultiLvlLbl val="0"/>
      </c:catAx>
      <c:valAx>
        <c:axId val="332489088"/>
        <c:scaling>
          <c:orientation val="minMax"/>
          <c:min val="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332479104"/>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30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Belgium</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849513805512E-2"/>
        </c:manualLayout>
      </c:layout>
      <c:overlay val="0"/>
      <c:spPr>
        <a:noFill/>
        <a:ln w="2534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1C4-46CD-A220-D17A851FB9FF}"/>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1C4-46CD-A220-D17A851FB9FF}"/>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1C4-46CD-A220-D17A851FB9FF}"/>
              </c:ext>
            </c:extLst>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1C4-46CD-A220-D17A851FB9FF}"/>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1C4-46CD-A220-D17A851FB9FF}"/>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71C4-46CD-A220-D17A851FB9FF}"/>
              </c:ext>
            </c:extLst>
          </c:dPt>
          <c:dLbls>
            <c:dLbl>
              <c:idx val="1"/>
              <c:layout>
                <c:manualLayout>
                  <c:x val="-2.9643938224299504E-2"/>
                  <c:y val="6.1165337559642104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1C4-46CD-A220-D17A851FB9FF}"/>
                </c:ext>
              </c:extLst>
            </c:dLbl>
            <c:dLbl>
              <c:idx val="4"/>
              <c:layout>
                <c:manualLayout>
                  <c:x val="-5.0835005918377849E-2"/>
                  <c:y val="-0.14323622885797421"/>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1C4-46CD-A220-D17A851FB9FF}"/>
                </c:ext>
              </c:extLst>
            </c:dLbl>
            <c:spPr>
              <a:noFill/>
              <a:ln>
                <a:noFill/>
              </a:ln>
              <a:effectLst/>
            </c:spPr>
            <c:txPr>
              <a:bodyPr/>
              <a:lstStyle/>
              <a:p>
                <a:pPr>
                  <a:defRPr sz="900">
                    <a:latin typeface="Arial" panose="020B0604020202020204" pitchFamily="34" charset="0"/>
                    <a:cs typeface="Arial" panose="020B0604020202020204" pitchFamily="34" charset="0"/>
                  </a:defRPr>
                </a:pPr>
                <a:endParaRPr lang="en-US"/>
              </a:p>
            </c:txPr>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layout/>
              </c:ext>
            </c:extLst>
          </c:dLbls>
          <c:cat>
            <c:strRef>
              <c:f>Blad1!$A$2:$A$6</c:f>
              <c:strCache>
                <c:ptCount val="5"/>
                <c:pt idx="0">
                  <c:v>Environment</c:v>
                </c:pt>
                <c:pt idx="1">
                  <c:v>Mobility and transport</c:v>
                </c:pt>
                <c:pt idx="2">
                  <c:v>Financial stability, financial services and Capital Markets Union</c:v>
                </c:pt>
                <c:pt idx="3">
                  <c:v>Taxation and customs</c:v>
                </c:pt>
                <c:pt idx="4">
                  <c:v>Other</c:v>
                </c:pt>
              </c:strCache>
            </c:strRef>
          </c:cat>
          <c:val>
            <c:numRef>
              <c:f>Blad1!$B$2:$B$6</c:f>
              <c:numCache>
                <c:formatCode>General</c:formatCode>
                <c:ptCount val="5"/>
                <c:pt idx="0">
                  <c:v>7</c:v>
                </c:pt>
                <c:pt idx="1">
                  <c:v>7</c:v>
                </c:pt>
                <c:pt idx="2">
                  <c:v>4</c:v>
                </c:pt>
                <c:pt idx="3">
                  <c:v>4</c:v>
                </c:pt>
                <c:pt idx="4">
                  <c:v>8</c:v>
                </c:pt>
              </c:numCache>
            </c:numRef>
          </c:val>
          <c:extLst xmlns:c16r2="http://schemas.microsoft.com/office/drawing/2015/06/chart">
            <c:ext xmlns:c16="http://schemas.microsoft.com/office/drawing/2014/chart" uri="{C3380CC4-5D6E-409C-BE32-E72D297353CC}">
              <c16:uniqueId val="{0000000B-71C4-46CD-A220-D17A851FB9FF}"/>
            </c:ext>
          </c:extLst>
        </c:ser>
        <c:dLbls>
          <c:showLegendKey val="0"/>
          <c:showVal val="0"/>
          <c:showCatName val="0"/>
          <c:showSerName val="0"/>
          <c:showPercent val="0"/>
          <c:showBubbleSize val="0"/>
          <c:showLeaderLines val="0"/>
        </c:dLbls>
        <c:firstSliceAng val="270"/>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220743205768164E-2"/>
                  <c:y val="6.68414918414918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2AD-4AC3-A62C-EE2526F58E13}"/>
                </c:ext>
              </c:extLst>
            </c:dLbl>
            <c:dLbl>
              <c:idx val="1"/>
              <c:layout>
                <c:manualLayout>
                  <c:x val="-5.1357099497338209E-2"/>
                  <c:y val="6.65115724170842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AD-4AC3-A62C-EE2526F58E13}"/>
                </c:ext>
              </c:extLst>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77</c:v>
                </c:pt>
                <c:pt idx="1">
                  <c:v>73</c:v>
                </c:pt>
                <c:pt idx="2">
                  <c:v>65</c:v>
                </c:pt>
                <c:pt idx="3">
                  <c:v>65</c:v>
                </c:pt>
                <c:pt idx="4">
                  <c:v>39</c:v>
                </c:pt>
              </c:numCache>
            </c:numRef>
          </c:val>
          <c:smooth val="0"/>
          <c:extLst xmlns:c16r2="http://schemas.microsoft.com/office/drawing/2015/06/chart">
            <c:ext xmlns:c16="http://schemas.microsoft.com/office/drawing/2014/chart" uri="{C3380CC4-5D6E-409C-BE32-E72D297353CC}">
              <c16:uniqueId val="{00000002-C2AD-4AC3-A62C-EE2526F58E13}"/>
            </c:ext>
          </c:extLst>
        </c:ser>
        <c:dLbls>
          <c:showLegendKey val="0"/>
          <c:showVal val="0"/>
          <c:showCatName val="0"/>
          <c:showSerName val="0"/>
          <c:showPercent val="0"/>
          <c:showBubbleSize val="0"/>
        </c:dLbls>
        <c:marker val="1"/>
        <c:smooth val="0"/>
        <c:axId val="332616832"/>
        <c:axId val="332618368"/>
      </c:lineChart>
      <c:catAx>
        <c:axId val="332616832"/>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2618368"/>
        <c:crosses val="autoZero"/>
        <c:auto val="1"/>
        <c:lblAlgn val="ctr"/>
        <c:lblOffset val="100"/>
        <c:noMultiLvlLbl val="0"/>
      </c:catAx>
      <c:valAx>
        <c:axId val="332618368"/>
        <c:scaling>
          <c:orientation val="minMax"/>
          <c:min val="3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332616832"/>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a:latin typeface="Arial" panose="020B0604020202020204" pitchFamily="34" charset="0"/>
                <a:cs typeface="Arial" panose="020B0604020202020204" pitchFamily="34" charset="0"/>
              </a:defRPr>
            </a:pPr>
            <a:r>
              <a:rPr lang="en-US" sz="1098"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9 EU Pilot files opened against </a:t>
            </a:r>
            <a:r>
              <a:rPr lang="en-US" sz="1098"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Greece</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E26-4224-A436-71FFF31F646D}"/>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E26-4224-A436-71FFF31F646D}"/>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E26-4224-A436-71FFF31F646D}"/>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E26-4224-A436-71FFF31F646D}"/>
              </c:ext>
            </c:extLst>
          </c:dPt>
          <c:dPt>
            <c:idx val="4"/>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E26-4224-A436-71FFF31F646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26-4224-A436-71FFF31F646D}"/>
                </c:ext>
              </c:extLst>
            </c:dLbl>
            <c:dLbl>
              <c:idx val="1"/>
              <c:layout>
                <c:manualLayout>
                  <c:x val="8.2217416079568995E-3"/>
                  <c:y val="5.585909992958197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26-4224-A436-71FFF31F646D}"/>
                </c:ext>
              </c:extLst>
            </c:dLbl>
            <c:dLbl>
              <c:idx val="2"/>
              <c:layout>
                <c:manualLayout>
                  <c:x val="1.6000345635807871E-2"/>
                  <c:y val="-4.191323143430600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26-4224-A436-71FFF31F646D}"/>
                </c:ext>
              </c:extLst>
            </c:dLbl>
            <c:dLbl>
              <c:idx val="3"/>
              <c:layout>
                <c:manualLayout>
                  <c:x val="9.066606829669531E-2"/>
                  <c:y val="-6.893781134501043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26-4224-A436-71FFF31F646D}"/>
                </c:ext>
              </c:extLst>
            </c:dLbl>
            <c:dLbl>
              <c:idx val="4"/>
              <c:layout>
                <c:manualLayout>
                  <c:x val="-6.3124286949379202E-2"/>
                  <c:y val="-7.03800671613537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E26-4224-A436-71FFF31F646D}"/>
                </c:ext>
              </c:extLst>
            </c:dLbl>
            <c:spPr>
              <a:noFill/>
              <a:ln w="25360">
                <a:noFill/>
              </a:ln>
            </c:spPr>
            <c:txPr>
              <a:bodyPr/>
              <a:lstStyle/>
              <a:p>
                <a:pPr>
                  <a:defRPr sz="880" baseline="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Policy Area</c:v>
                </c:pt>
                <c:pt idx="1">
                  <c:v>Environment</c:v>
                </c:pt>
                <c:pt idx="2">
                  <c:v>Energy</c:v>
                </c:pt>
                <c:pt idx="3">
                  <c:v>Internal market, industry, entrepreneurship and SMEs</c:v>
                </c:pt>
                <c:pt idx="4">
                  <c:v>Taxation and customs</c:v>
                </c:pt>
              </c:strCache>
            </c:strRef>
          </c:cat>
          <c:val>
            <c:numRef>
              <c:f>Blad1!$B$2:$B$6</c:f>
              <c:numCache>
                <c:formatCode>General</c:formatCode>
                <c:ptCount val="5"/>
                <c:pt idx="0">
                  <c:v>0</c:v>
                </c:pt>
                <c:pt idx="1">
                  <c:v>3</c:v>
                </c:pt>
                <c:pt idx="2">
                  <c:v>2</c:v>
                </c:pt>
                <c:pt idx="3">
                  <c:v>2</c:v>
                </c:pt>
                <c:pt idx="4">
                  <c:v>1</c:v>
                </c:pt>
              </c:numCache>
            </c:numRef>
          </c:val>
          <c:extLst xmlns:c16r2="http://schemas.microsoft.com/office/drawing/2015/06/chart">
            <c:ext xmlns:c16="http://schemas.microsoft.com/office/drawing/2014/chart" uri="{C3380CC4-5D6E-409C-BE32-E72D297353CC}">
              <c16:uniqueId val="{0000000A-9E26-4224-A436-71FFF31F646D}"/>
            </c:ext>
          </c:extLst>
        </c:ser>
        <c:dLbls>
          <c:showLegendKey val="0"/>
          <c:showVal val="0"/>
          <c:showCatName val="0"/>
          <c:showSerName val="0"/>
          <c:showPercent val="0"/>
          <c:showBubbleSize val="0"/>
          <c:showLeaderLines val="0"/>
        </c:dLbls>
        <c:firstSliceAng val="242"/>
      </c:pieChart>
      <c:spPr>
        <a:noFill/>
        <a:ln w="25360">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Greece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287234077152997E-2"/>
                  <c:y val="-5.35712071424142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607-42AD-B328-14E8579ACA52}"/>
                </c:ext>
              </c:extLst>
            </c:dLbl>
            <c:dLbl>
              <c:idx val="1"/>
              <c:layout>
                <c:manualLayout>
                  <c:x val="-4.9934247686201555E-2"/>
                  <c:y val="5.86189029520916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909-49EB-8B8C-9B8F32E5BD31}"/>
                </c:ext>
              </c:extLst>
            </c:dLbl>
            <c:dLbl>
              <c:idx val="2"/>
              <c:layout>
                <c:manualLayout>
                  <c:x val="-5.0352503954353908E-2"/>
                  <c:y val="-6.50647015579745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909-49EB-8B8C-9B8F32E5BD31}"/>
                </c:ext>
              </c:extLst>
            </c:dLbl>
            <c:dLbl>
              <c:idx val="3"/>
              <c:layout>
                <c:manualLayout>
                  <c:x val="-5.0953760891412736E-2"/>
                  <c:y val="5.4155779740130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909-49EB-8B8C-9B8F32E5BD31}"/>
                </c:ext>
              </c:extLst>
            </c:dLbl>
            <c:dLbl>
              <c:idx val="4"/>
              <c:layout>
                <c:manualLayout>
                  <c:x val="-6.0979877515310588E-2"/>
                  <c:y val="6.4802259887005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909-49EB-8B8C-9B8F32E5BD31}"/>
                </c:ext>
              </c:extLst>
            </c:dLbl>
            <c:spPr>
              <a:noFill/>
              <a:ln w="25417">
                <a:noFill/>
              </a:ln>
            </c:spPr>
            <c:txPr>
              <a:bodyPr/>
              <a:lstStyle/>
              <a:p>
                <a:pPr>
                  <a:defRPr sz="901">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0.71</c:v>
                </c:pt>
                <c:pt idx="1">
                  <c:v>0.73</c:v>
                </c:pt>
                <c:pt idx="2">
                  <c:v>0.86</c:v>
                </c:pt>
                <c:pt idx="3">
                  <c:v>0.68</c:v>
                </c:pt>
                <c:pt idx="4">
                  <c:v>0.77</c:v>
                </c:pt>
              </c:numCache>
            </c:numRef>
          </c:val>
          <c:smooth val="0"/>
          <c:extLst xmlns:c16r2="http://schemas.microsoft.com/office/drawing/2015/06/chart">
            <c:ext xmlns:c16="http://schemas.microsoft.com/office/drawing/2014/chart" uri="{C3380CC4-5D6E-409C-BE32-E72D297353CC}">
              <c16:uniqueId val="{00000004-1909-49EB-8B8C-9B8F32E5BD31}"/>
            </c:ext>
          </c:extLst>
        </c:ser>
        <c:ser>
          <c:idx val="1"/>
          <c:order val="1"/>
          <c:tx>
            <c:strRef>
              <c:f>Blad1!$C$2</c:f>
              <c:strCache>
                <c:ptCount val="1"/>
                <c:pt idx="0">
                  <c:v>General rate for all Member States</c:v>
                </c:pt>
              </c:strCache>
            </c:strRef>
          </c:tx>
          <c:spPr>
            <a:ln w="25417">
              <a:solidFill>
                <a:srgbClr val="92D050"/>
              </a:solidFill>
            </a:ln>
          </c:spPr>
          <c:marker>
            <c:symbol val="square"/>
            <c:size val="5"/>
            <c:spPr>
              <a:solidFill>
                <a:srgbClr val="92D050"/>
              </a:solidFill>
              <a:ln>
                <a:solidFill>
                  <a:srgbClr val="92D050"/>
                </a:solidFill>
              </a:ln>
            </c:spPr>
          </c:marker>
          <c:dLbls>
            <c:dLbl>
              <c:idx val="0"/>
              <c:layout>
                <c:manualLayout>
                  <c:x val="-4.1467434144989303E-2"/>
                  <c:y val="6.98694757749875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607-42AD-B328-14E8579ACA52}"/>
                </c:ext>
              </c:extLst>
            </c:dLbl>
            <c:dLbl>
              <c:idx val="1"/>
              <c:layout>
                <c:manualLayout>
                  <c:x val="-5.5431422992819827E-2"/>
                  <c:y val="-5.8593217186434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909-49EB-8B8C-9B8F32E5BD31}"/>
                </c:ext>
              </c:extLst>
            </c:dLbl>
            <c:dLbl>
              <c:idx val="2"/>
              <c:layout>
                <c:manualLayout>
                  <c:x val="-4.5183531163082227E-2"/>
                  <c:y val="-8.1598380710885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909-49EB-8B8C-9B8F32E5BD31}"/>
                </c:ext>
              </c:extLst>
            </c:dLbl>
            <c:dLbl>
              <c:idx val="4"/>
              <c:layout>
                <c:manualLayout>
                  <c:x val="-4.4396129588279078E-2"/>
                  <c:y val="-7.04519774011299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909-49EB-8B8C-9B8F32E5BD31}"/>
                </c:ext>
              </c:extLst>
            </c:dLbl>
            <c:spPr>
              <a:noFill/>
              <a:ln w="25417">
                <a:noFill/>
              </a:ln>
            </c:spPr>
            <c:txPr>
              <a:bodyPr/>
              <a:lstStyle/>
              <a:p>
                <a:pPr>
                  <a:defRPr sz="901">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8-1909-49EB-8B8C-9B8F32E5BD31}"/>
            </c:ext>
          </c:extLst>
        </c:ser>
        <c:dLbls>
          <c:showLegendKey val="0"/>
          <c:showVal val="0"/>
          <c:showCatName val="0"/>
          <c:showSerName val="0"/>
          <c:showPercent val="0"/>
          <c:showBubbleSize val="0"/>
        </c:dLbls>
        <c:marker val="1"/>
        <c:smooth val="0"/>
        <c:axId val="335344768"/>
        <c:axId val="335346304"/>
      </c:lineChart>
      <c:catAx>
        <c:axId val="335344768"/>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346304"/>
        <c:crosses val="autoZero"/>
        <c:auto val="1"/>
        <c:lblAlgn val="ctr"/>
        <c:lblOffset val="100"/>
        <c:noMultiLvlLbl val="0"/>
      </c:catAx>
      <c:valAx>
        <c:axId val="335346304"/>
        <c:scaling>
          <c:orientation val="minMax"/>
          <c:min val="0.5"/>
        </c:scaling>
        <c:delete val="1"/>
        <c:axPos val="l"/>
        <c:majorGridlines>
          <c:spPr>
            <a:ln w="9531" cap="flat" cmpd="sng" algn="ctr">
              <a:solidFill>
                <a:schemeClr val="tx1">
                  <a:lumMod val="15000"/>
                  <a:lumOff val="85000"/>
                </a:schemeClr>
              </a:solidFill>
              <a:round/>
            </a:ln>
            <a:effectLst/>
          </c:spPr>
        </c:majorGridlines>
        <c:numFmt formatCode="0%" sourceLinked="1"/>
        <c:majorTickMark val="out"/>
        <c:minorTickMark val="none"/>
        <c:tickLblPos val="nextTo"/>
        <c:crossAx val="335344768"/>
        <c:crosses val="autoZero"/>
        <c:crossBetween val="between"/>
      </c:valAx>
      <c:spPr>
        <a:noFill/>
        <a:ln w="25417">
          <a:noFill/>
        </a:ln>
      </c:spPr>
    </c:plotArea>
    <c:legend>
      <c:legendPos val="b"/>
      <c:layout>
        <c:manualLayout>
          <c:xMode val="edge"/>
          <c:yMode val="edge"/>
          <c:x val="8.0150932507643741E-2"/>
          <c:y val="0.86983913677456981"/>
          <c:w val="0.84522626003673429"/>
          <c:h val="9.5087780694079971E-2"/>
        </c:manualLayout>
      </c:layout>
      <c:overlay val="0"/>
      <c:txPr>
        <a:bodyPr/>
        <a:lstStyle/>
        <a:p>
          <a:pPr>
            <a:defRPr sz="901">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21642619311874E-2"/>
          <c:y val="6.4641241111829353E-2"/>
          <c:w val="0.93896155561085082"/>
          <c:h val="0.77718130096072469"/>
        </c:manualLayout>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4.4871972318339101E-2"/>
                  <c:y val="-7.43474456997223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E9C-471F-B388-CFF1B1549971}"/>
                </c:ext>
              </c:extLst>
            </c:dLbl>
            <c:dLbl>
              <c:idx val="2"/>
              <c:layout>
                <c:manualLayout>
                  <c:x val="-4.220751475832963E-2"/>
                  <c:y val="7.34720659917510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E3B-4754-9CF8-E6AFB5286E64}"/>
                </c:ext>
              </c:extLst>
            </c:dLbl>
            <c:dLbl>
              <c:idx val="3"/>
              <c:layout>
                <c:manualLayout>
                  <c:x val="-3.9341085271317827E-2"/>
                  <c:y val="-6.78406753209903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E9C-471F-B388-CFF1B1549971}"/>
                </c:ext>
              </c:extLst>
            </c:dLbl>
            <c:spPr>
              <a:noFill/>
              <a:ln w="2535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79</c:v>
                </c:pt>
                <c:pt idx="1">
                  <c:v>89</c:v>
                </c:pt>
                <c:pt idx="2">
                  <c:v>82</c:v>
                </c:pt>
                <c:pt idx="3">
                  <c:v>86</c:v>
                </c:pt>
                <c:pt idx="4">
                  <c:v>78</c:v>
                </c:pt>
              </c:numCache>
            </c:numRef>
          </c:val>
          <c:smooth val="0"/>
          <c:extLst xmlns:c16r2="http://schemas.microsoft.com/office/drawing/2015/06/chart">
            <c:ext xmlns:c16="http://schemas.microsoft.com/office/drawing/2014/chart" uri="{C3380CC4-5D6E-409C-BE32-E72D297353CC}">
              <c16:uniqueId val="{00000001-BE3B-4754-9CF8-E6AFB5286E64}"/>
            </c:ext>
          </c:extLst>
        </c:ser>
        <c:dLbls>
          <c:showLegendKey val="0"/>
          <c:showVal val="0"/>
          <c:showCatName val="0"/>
          <c:showSerName val="0"/>
          <c:showPercent val="0"/>
          <c:showBubbleSize val="0"/>
        </c:dLbls>
        <c:marker val="1"/>
        <c:smooth val="0"/>
        <c:axId val="335389440"/>
        <c:axId val="335390976"/>
      </c:lineChart>
      <c:catAx>
        <c:axId val="335389440"/>
        <c:scaling>
          <c:orientation val="minMax"/>
        </c:scaling>
        <c:delete val="0"/>
        <c:axPos val="b"/>
        <c:numFmt formatCode="General" sourceLinked="1"/>
        <c:majorTickMark val="none"/>
        <c:minorTickMark val="none"/>
        <c:tickLblPos val="nextTo"/>
        <c:spPr>
          <a:noFill/>
          <a:ln w="1267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390976"/>
        <c:crosses val="autoZero"/>
        <c:auto val="1"/>
        <c:lblAlgn val="ctr"/>
        <c:lblOffset val="100"/>
        <c:noMultiLvlLbl val="0"/>
      </c:catAx>
      <c:valAx>
        <c:axId val="335390976"/>
        <c:scaling>
          <c:orientation val="minMax"/>
          <c:min val="60"/>
        </c:scaling>
        <c:delete val="1"/>
        <c:axPos val="l"/>
        <c:majorGridlines>
          <c:spPr>
            <a:ln w="9508" cap="flat" cmpd="sng" algn="ctr">
              <a:solidFill>
                <a:schemeClr val="tx1">
                  <a:lumMod val="15000"/>
                  <a:lumOff val="85000"/>
                </a:schemeClr>
              </a:solidFill>
              <a:round/>
            </a:ln>
            <a:effectLst/>
          </c:spPr>
        </c:majorGridlines>
        <c:numFmt formatCode="General" sourceLinked="1"/>
        <c:majorTickMark val="out"/>
        <c:minorTickMark val="none"/>
        <c:tickLblPos val="nextTo"/>
        <c:crossAx val="335389440"/>
        <c:crosses val="autoZero"/>
        <c:crossBetween val="between"/>
      </c:valAx>
      <c:spPr>
        <a:noFill/>
        <a:ln w="25354">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30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Greece</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3099498926"/>
          <c:y val="3.2786749932120551E-2"/>
        </c:manualLayout>
      </c:layout>
      <c:overlay val="0"/>
      <c:spPr>
        <a:noFill/>
        <a:ln w="25326">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FAF-44E5-9A37-AB3E5127795C}"/>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FAF-44E5-9A37-AB3E5127795C}"/>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FAF-44E5-9A37-AB3E5127795C}"/>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FAF-44E5-9A37-AB3E5127795C}"/>
              </c:ext>
            </c:extLst>
          </c:dPt>
          <c:dPt>
            <c:idx val="4"/>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FAF-44E5-9A37-AB3E5127795C}"/>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7FAF-44E5-9A37-AB3E5127795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FAF-44E5-9A37-AB3E5127795C}"/>
                </c:ext>
              </c:extLst>
            </c:dLbl>
            <c:dLbl>
              <c:idx val="1"/>
              <c:layout>
                <c:manualLayout>
                  <c:x val="1.4284530559959869E-2"/>
                  <c:y val="-3.26550847810690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FAF-44E5-9A37-AB3E5127795C}"/>
                </c:ext>
              </c:extLst>
            </c:dLbl>
            <c:dLbl>
              <c:idx val="2"/>
              <c:layout>
                <c:manualLayout>
                  <c:x val="-2.898627645946987E-2"/>
                  <c:y val="2.834312377619464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FAF-44E5-9A37-AB3E5127795C}"/>
                </c:ext>
              </c:extLst>
            </c:dLbl>
            <c:dLbl>
              <c:idx val="3"/>
              <c:layout>
                <c:manualLayout>
                  <c:x val="-3.8989366943466535E-4"/>
                  <c:y val="5.04828563096280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FAF-44E5-9A37-AB3E5127795C}"/>
                </c:ext>
              </c:extLst>
            </c:dLbl>
            <c:dLbl>
              <c:idx val="4"/>
              <c:layout>
                <c:manualLayout>
                  <c:x val="-5.5437811894957865E-3"/>
                  <c:y val="7.676073946026430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FAF-44E5-9A37-AB3E5127795C}"/>
                </c:ext>
              </c:extLst>
            </c:dLbl>
            <c:dLbl>
              <c:idx val="5"/>
              <c:layout>
                <c:manualLayout>
                  <c:x val="-0.10528472089662126"/>
                  <c:y val="-4.377530834235502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7FAF-44E5-9A37-AB3E5127795C}"/>
                </c:ext>
              </c:extLst>
            </c:dLbl>
            <c:dLbl>
              <c:idx val="6"/>
              <c:layout>
                <c:manualLayout>
                  <c:x val="-5.546311702717693E-3"/>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FAF-44E5-9A37-AB3E5127795C}"/>
                </c:ext>
              </c:extLst>
            </c:dLbl>
            <c:spPr>
              <a:noFill/>
              <a:ln w="25326">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Policy Area</c:v>
                </c:pt>
                <c:pt idx="1">
                  <c:v>Environment</c:v>
                </c:pt>
                <c:pt idx="2">
                  <c:v>Mobility and transport</c:v>
                </c:pt>
                <c:pt idx="3">
                  <c:v>Financial stability, financial services and Capital Markets Union</c:v>
                </c:pt>
                <c:pt idx="4">
                  <c:v>Justice and consumers</c:v>
                </c:pt>
                <c:pt idx="5">
                  <c:v>Other</c:v>
                </c:pt>
              </c:strCache>
            </c:strRef>
          </c:cat>
          <c:val>
            <c:numRef>
              <c:f>Blad1!$B$2:$B$7</c:f>
              <c:numCache>
                <c:formatCode>General</c:formatCode>
                <c:ptCount val="6"/>
                <c:pt idx="0">
                  <c:v>0</c:v>
                </c:pt>
                <c:pt idx="1">
                  <c:v>10</c:v>
                </c:pt>
                <c:pt idx="2">
                  <c:v>5</c:v>
                </c:pt>
                <c:pt idx="3">
                  <c:v>3</c:v>
                </c:pt>
                <c:pt idx="4">
                  <c:v>3</c:v>
                </c:pt>
                <c:pt idx="5">
                  <c:v>9</c:v>
                </c:pt>
              </c:numCache>
            </c:numRef>
          </c:val>
          <c:extLst xmlns:c16r2="http://schemas.microsoft.com/office/drawing/2015/06/chart">
            <c:ext xmlns:c16="http://schemas.microsoft.com/office/drawing/2014/chart" uri="{C3380CC4-5D6E-409C-BE32-E72D297353CC}">
              <c16:uniqueId val="{0000000D-7FAF-44E5-9A37-AB3E5127795C}"/>
            </c:ext>
          </c:extLst>
        </c:ser>
        <c:dLbls>
          <c:showLegendKey val="0"/>
          <c:showVal val="0"/>
          <c:showCatName val="0"/>
          <c:showSerName val="0"/>
          <c:showPercent val="0"/>
          <c:showBubbleSize val="0"/>
          <c:showLeaderLines val="0"/>
        </c:dLbls>
        <c:firstSliceAng val="248"/>
      </c:pieChart>
      <c:spPr>
        <a:noFill/>
        <a:ln w="25326">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3711594874170143E-2"/>
                  <c:y val="8.6427116386571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229-4C0C-866F-178AACF2994D}"/>
                </c:ext>
              </c:extLst>
            </c:dLbl>
            <c:spPr>
              <a:noFill/>
              <a:ln w="25365">
                <a:noFill/>
              </a:ln>
            </c:spPr>
            <c:txPr>
              <a:bodyPr/>
              <a:lstStyle/>
              <a:p>
                <a:pPr>
                  <a:defRPr>
                    <a:solidFill>
                      <a:srgbClr val="0070C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7</c:v>
                </c:pt>
                <c:pt idx="1">
                  <c:v>20</c:v>
                </c:pt>
                <c:pt idx="2">
                  <c:v>24</c:v>
                </c:pt>
                <c:pt idx="3">
                  <c:v>32</c:v>
                </c:pt>
                <c:pt idx="4">
                  <c:v>33</c:v>
                </c:pt>
              </c:numCache>
            </c:numRef>
          </c:val>
          <c:smooth val="0"/>
          <c:extLst xmlns:c16r2="http://schemas.microsoft.com/office/drawing/2015/06/chart">
            <c:ext xmlns:c16="http://schemas.microsoft.com/office/drawing/2014/chart" uri="{C3380CC4-5D6E-409C-BE32-E72D297353CC}">
              <c16:uniqueId val="{00000001-2229-4C0C-866F-178AACF2994D}"/>
            </c:ext>
          </c:extLst>
        </c:ser>
        <c:dLbls>
          <c:showLegendKey val="0"/>
          <c:showVal val="0"/>
          <c:showCatName val="0"/>
          <c:showSerName val="0"/>
          <c:showPercent val="0"/>
          <c:showBubbleSize val="0"/>
        </c:dLbls>
        <c:marker val="1"/>
        <c:smooth val="0"/>
        <c:axId val="335468032"/>
        <c:axId val="335469568"/>
      </c:lineChart>
      <c:catAx>
        <c:axId val="335468032"/>
        <c:scaling>
          <c:orientation val="minMax"/>
        </c:scaling>
        <c:delete val="0"/>
        <c:axPos val="b"/>
        <c:numFmt formatCode="General" sourceLinked="1"/>
        <c:majorTickMark val="none"/>
        <c:minorTickMark val="none"/>
        <c:tickLblPos val="nextTo"/>
        <c:spPr>
          <a:noFill/>
          <a:ln w="1268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469568"/>
        <c:crosses val="autoZero"/>
        <c:auto val="1"/>
        <c:lblAlgn val="ctr"/>
        <c:lblOffset val="100"/>
        <c:noMultiLvlLbl val="0"/>
      </c:catAx>
      <c:valAx>
        <c:axId val="335469568"/>
        <c:scaling>
          <c:orientation val="minMax"/>
        </c:scaling>
        <c:delete val="1"/>
        <c:axPos val="l"/>
        <c:majorGridlines>
          <c:spPr>
            <a:ln w="9512" cap="flat" cmpd="sng" algn="ctr">
              <a:solidFill>
                <a:schemeClr val="tx1">
                  <a:lumMod val="15000"/>
                  <a:lumOff val="85000"/>
                </a:schemeClr>
              </a:solidFill>
              <a:round/>
            </a:ln>
            <a:effectLst/>
          </c:spPr>
        </c:majorGridlines>
        <c:numFmt formatCode="General" sourceLinked="1"/>
        <c:majorTickMark val="out"/>
        <c:minorTickMark val="none"/>
        <c:tickLblPos val="nextTo"/>
        <c:crossAx val="335468032"/>
        <c:crosses val="autoZero"/>
        <c:crossBetween val="between"/>
      </c:valAx>
      <c:spPr>
        <a:noFill/>
        <a:ln w="25365">
          <a:noFill/>
        </a:ln>
      </c:spPr>
    </c:plotArea>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8235327746835331E-2"/>
                  <c:y val="-6.47979587509778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A39-44AE-8916-D483B6BB558F}"/>
                </c:ext>
              </c:extLst>
            </c:dLbl>
            <c:dLbl>
              <c:idx val="2"/>
              <c:layout>
                <c:manualLayout>
                  <c:x val="-4.5434082046276879E-2"/>
                  <c:y val="5.84077315614358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A39-44AE-8916-D483B6BB558F}"/>
                </c:ext>
              </c:extLst>
            </c:dLbl>
            <c:dLbl>
              <c:idx val="3"/>
              <c:layout>
                <c:manualLayout>
                  <c:x val="-4.2476380150973589E-2"/>
                  <c:y val="-8.35491396908719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DCD-4634-B0E0-23A46299EB9A}"/>
                </c:ext>
              </c:extLst>
            </c:dLbl>
            <c:spPr>
              <a:noFill/>
              <a:ln w="2536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22</c:v>
                </c:pt>
                <c:pt idx="1">
                  <c:v>34</c:v>
                </c:pt>
                <c:pt idx="2">
                  <c:v>32</c:v>
                </c:pt>
                <c:pt idx="3">
                  <c:v>36</c:v>
                </c:pt>
                <c:pt idx="4">
                  <c:v>22</c:v>
                </c:pt>
              </c:numCache>
            </c:numRef>
          </c:val>
          <c:smooth val="0"/>
          <c:extLst xmlns:c16r2="http://schemas.microsoft.com/office/drawing/2015/06/chart">
            <c:ext xmlns:c16="http://schemas.microsoft.com/office/drawing/2014/chart" uri="{C3380CC4-5D6E-409C-BE32-E72D297353CC}">
              <c16:uniqueId val="{00000002-FA39-44AE-8916-D483B6BB558F}"/>
            </c:ext>
          </c:extLst>
        </c:ser>
        <c:dLbls>
          <c:showLegendKey val="0"/>
          <c:showVal val="0"/>
          <c:showCatName val="0"/>
          <c:showSerName val="0"/>
          <c:showPercent val="0"/>
          <c:showBubbleSize val="0"/>
        </c:dLbls>
        <c:marker val="1"/>
        <c:smooth val="0"/>
        <c:axId val="335614720"/>
        <c:axId val="335616256"/>
      </c:lineChart>
      <c:catAx>
        <c:axId val="335614720"/>
        <c:scaling>
          <c:orientation val="minMax"/>
        </c:scaling>
        <c:delete val="0"/>
        <c:axPos val="b"/>
        <c:numFmt formatCode="General" sourceLinked="1"/>
        <c:majorTickMark val="none"/>
        <c:minorTickMark val="none"/>
        <c:tickLblPos val="nextTo"/>
        <c:spPr>
          <a:noFill/>
          <a:ln w="1268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616256"/>
        <c:crosses val="autoZero"/>
        <c:auto val="1"/>
        <c:lblAlgn val="ctr"/>
        <c:lblOffset val="100"/>
        <c:noMultiLvlLbl val="0"/>
      </c:catAx>
      <c:valAx>
        <c:axId val="335616256"/>
        <c:scaling>
          <c:orientation val="minMax"/>
          <c:min val="15"/>
        </c:scaling>
        <c:delete val="1"/>
        <c:axPos val="l"/>
        <c:majorGridlines>
          <c:spPr>
            <a:ln w="9512" cap="flat" cmpd="sng" algn="ctr">
              <a:solidFill>
                <a:schemeClr val="tx1">
                  <a:lumMod val="15000"/>
                  <a:lumOff val="85000"/>
                </a:schemeClr>
              </a:solidFill>
              <a:round/>
            </a:ln>
            <a:effectLst/>
          </c:spPr>
        </c:majorGridlines>
        <c:numFmt formatCode="General" sourceLinked="1"/>
        <c:majorTickMark val="out"/>
        <c:minorTickMark val="none"/>
        <c:tickLblPos val="nextTo"/>
        <c:crossAx val="335614720"/>
        <c:crosses val="autoZero"/>
        <c:crossBetween val="between"/>
      </c:valAx>
      <c:spPr>
        <a:noFill/>
        <a:ln w="25365">
          <a:noFill/>
        </a:ln>
      </c:spPr>
    </c:plotArea>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22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Greece</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1">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36F-4C62-AA24-CC7A206BCC5E}"/>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36F-4C62-AA24-CC7A206BCC5E}"/>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36F-4C62-AA24-CC7A206BCC5E}"/>
              </c:ext>
            </c:extLst>
          </c:dPt>
          <c:dPt>
            <c:idx val="3"/>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36F-4C62-AA24-CC7A206BCC5E}"/>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36F-4C62-AA24-CC7A206BCC5E}"/>
              </c:ext>
            </c:extLst>
          </c:dPt>
          <c:dLbls>
            <c:dLbl>
              <c:idx val="0"/>
              <c:layout>
                <c:manualLayout>
                  <c:x val="3.6054141488127939E-2"/>
                  <c:y val="-2.94117647058823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36F-4C62-AA24-CC7A206BCC5E}"/>
                </c:ext>
              </c:extLst>
            </c:dLbl>
            <c:dLbl>
              <c:idx val="1"/>
              <c:layout>
                <c:manualLayout>
                  <c:x val="-3.6682187982316164E-2"/>
                  <c:y val="6.372549019607845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36F-4C62-AA24-CC7A206BCC5E}"/>
                </c:ext>
              </c:extLst>
            </c:dLbl>
            <c:dLbl>
              <c:idx val="2"/>
              <c:layout>
                <c:manualLayout>
                  <c:x val="2.2847364343774209E-4"/>
                  <c:y val="-2.526784871315546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36F-4C62-AA24-CC7A206BCC5E}"/>
                </c:ext>
              </c:extLst>
            </c:dLbl>
            <c:dLbl>
              <c:idx val="3"/>
              <c:layout>
                <c:manualLayout>
                  <c:x val="3.9056274353371029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36F-4C62-AA24-CC7A206BCC5E}"/>
                </c:ext>
              </c:extLst>
            </c:dLbl>
            <c:dLbl>
              <c:idx val="4"/>
              <c:layout>
                <c:manualLayout>
                  <c:x val="-7.7049730017228021E-2"/>
                  <c:y val="-0.1294964028776977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36F-4C62-AA24-CC7A206BCC5E}"/>
                </c:ext>
              </c:extLst>
            </c:dLbl>
            <c:dLbl>
              <c:idx val="5"/>
              <c:layout>
                <c:manualLayout>
                  <c:x val="-7.1994707056966714E-2"/>
                  <c:y val="-0.1176470588235295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36F-4C62-AA24-CC7A206BCC5E}"/>
                </c:ext>
              </c:extLst>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Environment</c:v>
                </c:pt>
                <c:pt idx="1">
                  <c:v>Mobility and transport</c:v>
                </c:pt>
                <c:pt idx="2">
                  <c:v>Justice and consumers</c:v>
                </c:pt>
                <c:pt idx="3">
                  <c:v>Financial stability, financial services and Capital Markets Union</c:v>
                </c:pt>
                <c:pt idx="4">
                  <c:v>Other</c:v>
                </c:pt>
              </c:strCache>
            </c:strRef>
          </c:cat>
          <c:val>
            <c:numRef>
              <c:f>Blad1!$B$4:$B$8</c:f>
              <c:numCache>
                <c:formatCode>General</c:formatCode>
                <c:ptCount val="5"/>
                <c:pt idx="0">
                  <c:v>5</c:v>
                </c:pt>
                <c:pt idx="1">
                  <c:v>4</c:v>
                </c:pt>
                <c:pt idx="2">
                  <c:v>3</c:v>
                </c:pt>
                <c:pt idx="3">
                  <c:v>3</c:v>
                </c:pt>
                <c:pt idx="4">
                  <c:v>7</c:v>
                </c:pt>
              </c:numCache>
            </c:numRef>
          </c:val>
          <c:extLst xmlns:c16r2="http://schemas.microsoft.com/office/drawing/2015/06/chart">
            <c:ext xmlns:c16="http://schemas.microsoft.com/office/drawing/2014/chart" uri="{C3380CC4-5D6E-409C-BE32-E72D297353CC}">
              <c16:uniqueId val="{0000000B-C36F-4C62-AA24-CC7A206BCC5E}"/>
            </c:ext>
          </c:extLst>
        </c:ser>
        <c:dLbls>
          <c:showLegendKey val="0"/>
          <c:showVal val="0"/>
          <c:showCatName val="0"/>
          <c:showSerName val="0"/>
          <c:showPercent val="0"/>
          <c:showBubbleSize val="0"/>
          <c:showLeaderLines val="0"/>
        </c:dLbls>
        <c:firstSliceAng val="266"/>
      </c:pieChart>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5474932171196201E-2"/>
                  <c:y val="-6.1182222974379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916-4BE2-8FC2-D8E01CFDD281}"/>
                </c:ext>
              </c:extLst>
            </c:dLbl>
            <c:dLbl>
              <c:idx val="2"/>
              <c:layout>
                <c:manualLayout>
                  <c:x val="-5.0138633168366392E-2"/>
                  <c:y val="7.21816785096984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EC7-4D87-8852-05388C2C21D5}"/>
                </c:ext>
              </c:extLst>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439</c:v>
                </c:pt>
                <c:pt idx="1">
                  <c:v>553</c:v>
                </c:pt>
                <c:pt idx="2">
                  <c:v>342</c:v>
                </c:pt>
                <c:pt idx="3">
                  <c:v>424</c:v>
                </c:pt>
                <c:pt idx="4">
                  <c:v>437</c:v>
                </c:pt>
              </c:numCache>
            </c:numRef>
          </c:val>
          <c:smooth val="0"/>
          <c:extLst xmlns:c16r2="http://schemas.microsoft.com/office/drawing/2015/06/chart">
            <c:ext xmlns:c16="http://schemas.microsoft.com/office/drawing/2014/chart" uri="{C3380CC4-5D6E-409C-BE32-E72D297353CC}">
              <c16:uniqueId val="{00000001-AEC7-4D87-8852-05388C2C21D5}"/>
            </c:ext>
          </c:extLst>
        </c:ser>
        <c:dLbls>
          <c:showLegendKey val="0"/>
          <c:showVal val="0"/>
          <c:showCatName val="0"/>
          <c:showSerName val="0"/>
          <c:showPercent val="0"/>
          <c:showBubbleSize val="0"/>
        </c:dLbls>
        <c:marker val="1"/>
        <c:smooth val="0"/>
        <c:axId val="335868672"/>
        <c:axId val="335870208"/>
      </c:lineChart>
      <c:catAx>
        <c:axId val="335868672"/>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870208"/>
        <c:crosses val="autoZero"/>
        <c:auto val="1"/>
        <c:lblAlgn val="ctr"/>
        <c:lblOffset val="100"/>
        <c:noMultiLvlLbl val="0"/>
      </c:catAx>
      <c:valAx>
        <c:axId val="335870208"/>
        <c:scaling>
          <c:orientation val="minMax"/>
          <c:min val="25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335868672"/>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mn-lt"/>
                <a:ea typeface="+mn-ea"/>
                <a:cs typeface="+mn-cs"/>
              </a:defRPr>
            </a:pPr>
            <a:r>
              <a:rPr lang="en-US" sz="1099" b="0" i="0">
                <a:solidFill>
                  <a:srgbClr val="002060"/>
                </a:solidFill>
                <a:latin typeface="Arial" panose="020B0604020202020204" pitchFamily="34" charset="0"/>
                <a:ea typeface="Verdana" panose="020B0604030504040204" pitchFamily="34" charset="0"/>
                <a:cs typeface="Arial" panose="020B0604020202020204" pitchFamily="34" charset="0"/>
              </a:rPr>
              <a:t>437 complaints made against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Spain</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87">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E5F-4B61-84C8-4195C101718C}"/>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E5F-4B61-84C8-4195C101718C}"/>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E5F-4B61-84C8-4195C101718C}"/>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E5F-4B61-84C8-4195C101718C}"/>
              </c:ext>
            </c:extLst>
          </c:dPt>
          <c:dPt>
            <c:idx val="4"/>
            <c:bubble3D val="0"/>
            <c:extLst xmlns:c16r2="http://schemas.microsoft.com/office/drawing/2015/06/chart">
              <c:ext xmlns:c16="http://schemas.microsoft.com/office/drawing/2014/chart" uri="{C3380CC4-5D6E-409C-BE32-E72D297353CC}">
                <c16:uniqueId val="{00000008-EE5F-4B61-84C8-4195C101718C}"/>
              </c:ext>
            </c:extLst>
          </c:dPt>
          <c:dLbls>
            <c:dLbl>
              <c:idx val="0"/>
              <c:layout>
                <c:manualLayout>
                  <c:x val="-3.0270315263310373E-2"/>
                  <c:y val="9.9546491114840152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a:t>Justice and consumers 
109</a:t>
                    </a:r>
                  </a:p>
                </c:rich>
              </c:tx>
              <c:spPr>
                <a:noFill/>
                <a:ln w="25387">
                  <a:noFill/>
                </a:ln>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E5F-4B61-84C8-4195C101718C}"/>
                </c:ext>
              </c:extLst>
            </c:dLbl>
            <c:dLbl>
              <c:idx val="1"/>
              <c:layout>
                <c:manualLayout>
                  <c:x val="-2.856568382000026E-2"/>
                  <c:y val="-9.8412288627855952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a:t>Environment </a:t>
                    </a:r>
                    <a:br>
                      <a:rPr lang="en-US"/>
                    </a:br>
                    <a:r>
                      <a:rPr lang="en-US"/>
                      <a:t>89</a:t>
                    </a:r>
                  </a:p>
                </c:rich>
              </c:tx>
              <c:spPr>
                <a:noFill/>
                <a:ln w="25387">
                  <a:noFill/>
                </a:ln>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E5F-4B61-84C8-4195C101718C}"/>
                </c:ext>
              </c:extLst>
            </c:dLbl>
            <c:dLbl>
              <c:idx val="2"/>
              <c:layout>
                <c:manualLayout>
                  <c:x val="1.5999364371051643E-2"/>
                  <c:y val="-9.64158168753496E-2"/>
                </c:manualLayout>
              </c:layout>
              <c:tx>
                <c:rich>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a:t>Employment
63</a:t>
                    </a:r>
                  </a:p>
                </c:rich>
              </c:tx>
              <c:spPr>
                <a:noFill/>
                <a:ln w="25387">
                  <a:noFill/>
                </a:ln>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E5F-4B61-84C8-4195C101718C}"/>
                </c:ext>
              </c:extLst>
            </c:dLbl>
            <c:dLbl>
              <c:idx val="3"/>
              <c:layout>
                <c:manualLayout>
                  <c:x val="-9.1154596202657534E-2"/>
                  <c:y val="-0.22251107955767824"/>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a:t>Other
176</a:t>
                    </a:r>
                  </a:p>
                </c:rich>
              </c:tx>
              <c:spPr>
                <a:noFill/>
                <a:ln w="25387">
                  <a:noFill/>
                </a:ln>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E5F-4B61-84C8-4195C101718C}"/>
                </c:ext>
              </c:extLst>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multiLvlStrRef>
              <c:f>Blad1!$A$2:$B$5</c:f>
              <c:multiLvlStrCache>
                <c:ptCount val="4"/>
                <c:lvl>
                  <c:pt idx="0">
                    <c:v>109</c:v>
                  </c:pt>
                  <c:pt idx="1">
                    <c:v>89</c:v>
                  </c:pt>
                  <c:pt idx="2">
                    <c:v>63</c:v>
                  </c:pt>
                  <c:pt idx="3">
                    <c:v>176</c:v>
                  </c:pt>
                </c:lvl>
                <c:lvl>
                  <c:pt idx="0">
                    <c:v>Justice and consumers</c:v>
                  </c:pt>
                  <c:pt idx="1">
                    <c:v>Environment</c:v>
                  </c:pt>
                  <c:pt idx="2">
                    <c:v>Employment</c:v>
                  </c:pt>
                  <c:pt idx="3">
                    <c:v>Other</c:v>
                  </c:pt>
                </c:lvl>
              </c:multiLvlStrCache>
            </c:multiLvlStrRef>
          </c:cat>
          <c:val>
            <c:numRef>
              <c:f>Blad1!$B$2:$B$5</c:f>
              <c:numCache>
                <c:formatCode>General</c:formatCode>
                <c:ptCount val="4"/>
                <c:pt idx="0">
                  <c:v>109</c:v>
                </c:pt>
                <c:pt idx="1">
                  <c:v>89</c:v>
                </c:pt>
                <c:pt idx="2">
                  <c:v>63</c:v>
                </c:pt>
                <c:pt idx="3">
                  <c:v>176</c:v>
                </c:pt>
              </c:numCache>
            </c:numRef>
          </c:val>
          <c:extLst xmlns:c16r2="http://schemas.microsoft.com/office/drawing/2015/06/chart">
            <c:ext xmlns:c16="http://schemas.microsoft.com/office/drawing/2014/chart" uri="{C3380CC4-5D6E-409C-BE32-E72D297353CC}">
              <c16:uniqueId val="{00000009-EE5F-4B61-84C8-4195C101718C}"/>
            </c:ext>
          </c:extLst>
        </c:ser>
        <c:dLbls>
          <c:showLegendKey val="0"/>
          <c:showVal val="0"/>
          <c:showCatName val="0"/>
          <c:showSerName val="0"/>
          <c:showPercent val="0"/>
          <c:showBubbleSize val="0"/>
          <c:showLeaderLines val="0"/>
        </c:dLbls>
        <c:firstSliceAng val="283"/>
      </c:pieChart>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0"/>
              <c:layout>
                <c:manualLayout>
                  <c:x val="-5.0158445188155695E-2"/>
                  <c:y val="6.6503542058684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170-43FB-AEB9-9388BA54A117}"/>
                </c:ext>
              </c:extLst>
            </c:dLbl>
            <c:dLbl>
              <c:idx val="1"/>
              <c:layout>
                <c:manualLayout>
                  <c:x val="-3.9247507427908147E-2"/>
                  <c:y val="-7.09738437867679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96C-49F6-8ADC-0F52D9ECDDFB}"/>
                </c:ext>
              </c:extLst>
            </c:dLbl>
            <c:dLbl>
              <c:idx val="2"/>
              <c:layout>
                <c:manualLayout>
                  <c:x val="-4.1914709008481377E-2"/>
                  <c:y val="6.07557057097966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170-43FB-AEB9-9388BA54A117}"/>
                </c:ext>
              </c:extLst>
            </c:dLbl>
            <c:dLbl>
              <c:idx val="3"/>
              <c:layout>
                <c:manualLayout>
                  <c:x val="-4.1988687057682147E-2"/>
                  <c:y val="-6.52267173499864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96C-49F6-8ADC-0F52D9ECDDFB}"/>
                </c:ext>
              </c:extLst>
            </c:dLbl>
            <c:spPr>
              <a:noFill/>
              <a:ln w="2538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23</c:v>
                </c:pt>
                <c:pt idx="1">
                  <c:v>36</c:v>
                </c:pt>
                <c:pt idx="2">
                  <c:v>23</c:v>
                </c:pt>
                <c:pt idx="3">
                  <c:v>48</c:v>
                </c:pt>
                <c:pt idx="4">
                  <c:v>46</c:v>
                </c:pt>
              </c:numCache>
            </c:numRef>
          </c:val>
          <c:smooth val="0"/>
          <c:extLst xmlns:c16r2="http://schemas.microsoft.com/office/drawing/2015/06/chart">
            <c:ext xmlns:c16="http://schemas.microsoft.com/office/drawing/2014/chart" uri="{C3380CC4-5D6E-409C-BE32-E72D297353CC}">
              <c16:uniqueId val="{00000002-C96C-49F6-8ADC-0F52D9ECDDFB}"/>
            </c:ext>
          </c:extLst>
        </c:ser>
        <c:dLbls>
          <c:showLegendKey val="0"/>
          <c:showVal val="0"/>
          <c:showCatName val="0"/>
          <c:showSerName val="0"/>
          <c:showPercent val="0"/>
          <c:showBubbleSize val="0"/>
        </c:dLbls>
        <c:marker val="1"/>
        <c:smooth val="0"/>
        <c:axId val="324803584"/>
        <c:axId val="324805376"/>
      </c:lineChart>
      <c:catAx>
        <c:axId val="324803584"/>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4805376"/>
        <c:crosses val="autoZero"/>
        <c:auto val="1"/>
        <c:lblAlgn val="ctr"/>
        <c:lblOffset val="100"/>
        <c:noMultiLvlLbl val="0"/>
      </c:catAx>
      <c:valAx>
        <c:axId val="324805376"/>
        <c:scaling>
          <c:orientation val="minMax"/>
          <c:min val="15"/>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324803584"/>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99</c:v>
                </c:pt>
                <c:pt idx="1">
                  <c:v>84</c:v>
                </c:pt>
                <c:pt idx="2">
                  <c:v>49</c:v>
                </c:pt>
                <c:pt idx="3">
                  <c:v>53</c:v>
                </c:pt>
                <c:pt idx="4">
                  <c:v>11</c:v>
                </c:pt>
              </c:numCache>
            </c:numRef>
          </c:val>
          <c:smooth val="0"/>
          <c:extLst xmlns:c16r2="http://schemas.microsoft.com/office/drawing/2015/06/chart">
            <c:ext xmlns:c16="http://schemas.microsoft.com/office/drawing/2014/chart" uri="{C3380CC4-5D6E-409C-BE32-E72D297353CC}">
              <c16:uniqueId val="{00000000-B466-4B60-8E0E-59A7BCA77C0C}"/>
            </c:ext>
          </c:extLst>
        </c:ser>
        <c:dLbls>
          <c:showLegendKey val="0"/>
          <c:showVal val="0"/>
          <c:showCatName val="0"/>
          <c:showSerName val="0"/>
          <c:showPercent val="0"/>
          <c:showBubbleSize val="0"/>
        </c:dLbls>
        <c:marker val="1"/>
        <c:smooth val="0"/>
        <c:axId val="335172352"/>
        <c:axId val="335173888"/>
      </c:lineChart>
      <c:catAx>
        <c:axId val="335172352"/>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173888"/>
        <c:crosses val="autoZero"/>
        <c:auto val="1"/>
        <c:lblAlgn val="ctr"/>
        <c:lblOffset val="100"/>
        <c:noMultiLvlLbl val="0"/>
      </c:catAx>
      <c:valAx>
        <c:axId val="335173888"/>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5172352"/>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107</c:v>
                </c:pt>
                <c:pt idx="1">
                  <c:v>91</c:v>
                </c:pt>
                <c:pt idx="2">
                  <c:v>78</c:v>
                </c:pt>
                <c:pt idx="3">
                  <c:v>74</c:v>
                </c:pt>
                <c:pt idx="4">
                  <c:v>55</c:v>
                </c:pt>
              </c:numCache>
            </c:numRef>
          </c:val>
          <c:smooth val="0"/>
          <c:extLst xmlns:c16r2="http://schemas.microsoft.com/office/drawing/2015/06/chart">
            <c:ext xmlns:c16="http://schemas.microsoft.com/office/drawing/2014/chart" uri="{C3380CC4-5D6E-409C-BE32-E72D297353CC}">
              <c16:uniqueId val="{00000000-DA03-4A46-99EE-EE65B2EC5034}"/>
            </c:ext>
          </c:extLst>
        </c:ser>
        <c:dLbls>
          <c:showLegendKey val="0"/>
          <c:showVal val="0"/>
          <c:showCatName val="0"/>
          <c:showSerName val="0"/>
          <c:showPercent val="0"/>
          <c:showBubbleSize val="0"/>
        </c:dLbls>
        <c:marker val="1"/>
        <c:smooth val="0"/>
        <c:axId val="335215232"/>
        <c:axId val="335217024"/>
      </c:lineChart>
      <c:catAx>
        <c:axId val="335215232"/>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217024"/>
        <c:crosses val="autoZero"/>
        <c:auto val="1"/>
        <c:lblAlgn val="ctr"/>
        <c:lblOffset val="100"/>
        <c:noMultiLvlLbl val="0"/>
      </c:catAx>
      <c:valAx>
        <c:axId val="335217024"/>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5215232"/>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11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Spain</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3791062881845651"/>
          <c:y val="3.1847180928110126E-2"/>
        </c:manualLayout>
      </c:layout>
      <c:overlay val="0"/>
    </c:title>
    <c:autoTitleDeleted val="0"/>
    <c:plotArea>
      <c:layout/>
      <c:pieChart>
        <c:varyColors val="1"/>
        <c:ser>
          <c:idx val="0"/>
          <c:order val="0"/>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3C70-412C-A939-5CD934296A1C}"/>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3C70-412C-A939-5CD934296A1C}"/>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3C70-412C-A939-5CD934296A1C}"/>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3C70-412C-A939-5CD934296A1C}"/>
              </c:ext>
            </c:extLst>
          </c:dPt>
          <c:dPt>
            <c:idx val="4"/>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3C70-412C-A939-5CD934296A1C}"/>
              </c:ext>
            </c:extLst>
          </c:dPt>
          <c:dPt>
            <c:idx val="5"/>
            <c:bubble3D val="0"/>
            <c:spPr>
              <a:solidFill>
                <a:srgbClr val="A65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3C70-412C-A939-5CD934296A1C}"/>
              </c:ext>
            </c:extLst>
          </c:dPt>
          <c:dPt>
            <c:idx val="6"/>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3C70-412C-A939-5CD934296A1C}"/>
              </c:ext>
            </c:extLst>
          </c:dPt>
          <c:dLbls>
            <c:dLbl>
              <c:idx val="0"/>
              <c:layout>
                <c:manualLayout>
                  <c:x val="-6.5244825954132779E-2"/>
                  <c:y val="-2.917676957047035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C70-412C-A939-5CD934296A1C}"/>
                </c:ext>
              </c:extLst>
            </c:dLbl>
            <c:dLbl>
              <c:idx val="1"/>
              <c:layout>
                <c:manualLayout>
                  <c:x val="6.8024181403554063E-3"/>
                  <c:y val="-5.5859684206140897E-3"/>
                </c:manualLayout>
              </c:layout>
              <c:spPr>
                <a:noFill/>
                <a:ln w="25390">
                  <a:noFill/>
                </a:ln>
              </c:spPr>
              <c:txPr>
                <a:bodyPr/>
                <a:lstStyle/>
                <a:p>
                  <a:pPr>
                    <a:defRPr sz="82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C70-412C-A939-5CD934296A1C}"/>
                </c:ext>
              </c:extLst>
            </c:dLbl>
            <c:dLbl>
              <c:idx val="2"/>
              <c:layout>
                <c:manualLayout>
                  <c:x val="-7.4222279592100163E-2"/>
                  <c:y val="4.58501020705745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C70-412C-A939-5CD934296A1C}"/>
                </c:ext>
              </c:extLst>
            </c:dLbl>
            <c:dLbl>
              <c:idx val="3"/>
              <c:layout>
                <c:manualLayout>
                  <c:x val="-1.6224990318833097E-2"/>
                  <c:y val="5.189392992542599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3C70-412C-A939-5CD934296A1C}"/>
                </c:ext>
              </c:extLst>
            </c:dLbl>
            <c:dLbl>
              <c:idx val="4"/>
              <c:layout>
                <c:manualLayout>
                  <c:x val="2.2019921690116705E-2"/>
                  <c:y val="2.121651460234137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3C70-412C-A939-5CD934296A1C}"/>
                </c:ext>
              </c:extLst>
            </c:dLbl>
            <c:dLbl>
              <c:idx val="5"/>
              <c:layout>
                <c:manualLayout>
                  <c:x val="2.4910287853362592E-2"/>
                  <c:y val="-7.6694579844186145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3C70-412C-A939-5CD934296A1C}"/>
                </c:ext>
              </c:extLst>
            </c:dLbl>
            <c:dLbl>
              <c:idx val="6"/>
              <c:layout>
                <c:manualLayout>
                  <c:x val="2.0076588787057356E-3"/>
                  <c:y val="-4.2494688163882504E-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3C70-412C-A939-5CD934296A1C}"/>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Blad1!$A$3:$A$9</c:f>
              <c:strCache>
                <c:ptCount val="7"/>
                <c:pt idx="0">
                  <c:v>Taxation and customs</c:v>
                </c:pt>
                <c:pt idx="1">
                  <c:v>Internal market, industry, entrepreneurship and SMEs</c:v>
                </c:pt>
                <c:pt idx="2">
                  <c:v>Environment</c:v>
                </c:pt>
                <c:pt idx="3">
                  <c:v>Economic and financial affairs</c:v>
                </c:pt>
                <c:pt idx="4">
                  <c:v>Energy</c:v>
                </c:pt>
                <c:pt idx="5">
                  <c:v>Competition</c:v>
                </c:pt>
                <c:pt idx="6">
                  <c:v>Agriculture and rural development</c:v>
                </c:pt>
              </c:strCache>
            </c:strRef>
          </c:cat>
          <c:val>
            <c:numRef>
              <c:f>Blad1!$B$3:$B$9</c:f>
              <c:numCache>
                <c:formatCode>General</c:formatCode>
                <c:ptCount val="7"/>
                <c:pt idx="0">
                  <c:v>3</c:v>
                </c:pt>
                <c:pt idx="1">
                  <c:v>2</c:v>
                </c:pt>
                <c:pt idx="2">
                  <c:v>2</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E-3C70-412C-A939-5CD934296A1C}"/>
            </c:ext>
          </c:extLst>
        </c:ser>
        <c:dLbls>
          <c:showLegendKey val="0"/>
          <c:showVal val="0"/>
          <c:showCatName val="0"/>
          <c:showSerName val="0"/>
          <c:showPercent val="0"/>
          <c:showBubbleSize val="0"/>
          <c:showLeaderLines val="0"/>
        </c:dLbls>
        <c:firstSliceAng val="153"/>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Spain</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6.1313571097730446E-2"/>
                  <c:y val="6.68279997110452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0B1-4FCA-94E9-49A4C4DE4C5E}"/>
                </c:ext>
              </c:extLst>
            </c:dLbl>
            <c:dLbl>
              <c:idx val="1"/>
              <c:layout>
                <c:manualLayout>
                  <c:x val="-5.8506999125109364E-2"/>
                  <c:y val="6.76981541802388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0B1-4FCA-94E9-49A4C4DE4C5E}"/>
                </c:ext>
              </c:extLst>
            </c:dLbl>
            <c:dLbl>
              <c:idx val="3"/>
              <c:layout>
                <c:manualLayout>
                  <c:x val="-5.3735770917908619E-2"/>
                  <c:y val="-8.06540574764905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0B1-4FCA-94E9-49A4C4DE4C5E}"/>
                </c:ext>
              </c:extLst>
            </c:dLbl>
            <c:dLbl>
              <c:idx val="4"/>
              <c:layout>
                <c:manualLayout>
                  <c:x val="-4.7395888013998251E-2"/>
                  <c:y val="-7.34527687296417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0B1-4FCA-94E9-49A4C4DE4C5E}"/>
                </c:ext>
              </c:extLst>
            </c:dLbl>
            <c:spPr>
              <a:noFill/>
              <a:ln w="25401">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0.65</c:v>
                </c:pt>
                <c:pt idx="1">
                  <c:v>0.69</c:v>
                </c:pt>
                <c:pt idx="2">
                  <c:v>0.69</c:v>
                </c:pt>
                <c:pt idx="3">
                  <c:v>0.75</c:v>
                </c:pt>
                <c:pt idx="4">
                  <c:v>0.8</c:v>
                </c:pt>
              </c:numCache>
            </c:numRef>
          </c:val>
          <c:smooth val="0"/>
          <c:extLst xmlns:c16r2="http://schemas.microsoft.com/office/drawing/2015/06/chart">
            <c:ext xmlns:c16="http://schemas.microsoft.com/office/drawing/2014/chart" uri="{C3380CC4-5D6E-409C-BE32-E72D297353CC}">
              <c16:uniqueId val="{00000004-40B1-4FCA-94E9-49A4C4DE4C5E}"/>
            </c:ext>
          </c:extLst>
        </c:ser>
        <c:ser>
          <c:idx val="1"/>
          <c:order val="1"/>
          <c:tx>
            <c:strRef>
              <c:f>Blad1!$C$2</c:f>
              <c:strCache>
                <c:ptCount val="1"/>
                <c:pt idx="0">
                  <c:v>General rate for all Member States</c:v>
                </c:pt>
              </c:strCache>
            </c:strRef>
          </c:tx>
          <c:spPr>
            <a:ln w="25401">
              <a:solidFill>
                <a:srgbClr val="92D050"/>
              </a:solidFill>
            </a:ln>
          </c:spPr>
          <c:marker>
            <c:symbol val="square"/>
            <c:size val="5"/>
            <c:spPr>
              <a:solidFill>
                <a:srgbClr val="92D050"/>
              </a:solidFill>
              <a:ln>
                <a:solidFill>
                  <a:srgbClr val="92D050"/>
                </a:solidFill>
              </a:ln>
            </c:spPr>
          </c:marker>
          <c:dLbls>
            <c:dLbl>
              <c:idx val="0"/>
              <c:layout>
                <c:manualLayout>
                  <c:x val="-6.1275209110971854E-2"/>
                  <c:y val="-7.22769205926970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0B1-4FCA-94E9-49A4C4DE4C5E}"/>
                </c:ext>
              </c:extLst>
            </c:dLbl>
            <c:dLbl>
              <c:idx val="3"/>
              <c:layout>
                <c:manualLayout>
                  <c:x val="-4.169555622156227E-2"/>
                  <c:y val="6.76200755531570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40B1-4FCA-94E9-49A4C4DE4C5E}"/>
                </c:ext>
              </c:extLst>
            </c:dLbl>
            <c:dLbl>
              <c:idx val="4"/>
              <c:layout>
                <c:manualLayout>
                  <c:x val="-4.4618110236220469E-2"/>
                  <c:y val="6.80238870792616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0B1-4FCA-94E9-49A4C4DE4C5E}"/>
                </c:ext>
              </c:extLst>
            </c:dLbl>
            <c:spPr>
              <a:noFill/>
              <a:ln w="25401">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7-40B1-4FCA-94E9-49A4C4DE4C5E}"/>
            </c:ext>
          </c:extLst>
        </c:ser>
        <c:dLbls>
          <c:showLegendKey val="0"/>
          <c:showVal val="0"/>
          <c:showCatName val="0"/>
          <c:showSerName val="0"/>
          <c:showPercent val="0"/>
          <c:showBubbleSize val="0"/>
        </c:dLbls>
        <c:marker val="1"/>
        <c:smooth val="0"/>
        <c:axId val="336290944"/>
        <c:axId val="336292480"/>
      </c:lineChart>
      <c:catAx>
        <c:axId val="336290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6292480"/>
        <c:crosses val="autoZero"/>
        <c:auto val="1"/>
        <c:lblAlgn val="ctr"/>
        <c:lblOffset val="100"/>
        <c:noMultiLvlLbl val="0"/>
      </c:catAx>
      <c:valAx>
        <c:axId val="336292480"/>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336290944"/>
        <c:crosses val="autoZero"/>
        <c:crossBetween val="between"/>
      </c:valAx>
      <c:spPr>
        <a:noFill/>
        <a:ln w="25401">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90</c:v>
                </c:pt>
                <c:pt idx="1">
                  <c:v>86</c:v>
                </c:pt>
                <c:pt idx="2">
                  <c:v>83</c:v>
                </c:pt>
                <c:pt idx="3">
                  <c:v>91</c:v>
                </c:pt>
                <c:pt idx="4">
                  <c:v>93</c:v>
                </c:pt>
              </c:numCache>
            </c:numRef>
          </c:val>
          <c:smooth val="0"/>
          <c:extLst xmlns:c16r2="http://schemas.microsoft.com/office/drawing/2015/06/chart">
            <c:ext xmlns:c16="http://schemas.microsoft.com/office/drawing/2014/chart" uri="{C3380CC4-5D6E-409C-BE32-E72D297353CC}">
              <c16:uniqueId val="{00000000-F250-46F1-9106-B6E81666D781}"/>
            </c:ext>
          </c:extLst>
        </c:ser>
        <c:dLbls>
          <c:showLegendKey val="0"/>
          <c:showVal val="0"/>
          <c:showCatName val="0"/>
          <c:showSerName val="0"/>
          <c:showPercent val="0"/>
          <c:showBubbleSize val="0"/>
        </c:dLbls>
        <c:marker val="1"/>
        <c:smooth val="0"/>
        <c:axId val="336235136"/>
        <c:axId val="336241024"/>
      </c:lineChart>
      <c:catAx>
        <c:axId val="336235136"/>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6241024"/>
        <c:crosses val="autoZero"/>
        <c:auto val="1"/>
        <c:lblAlgn val="ctr"/>
        <c:lblOffset val="100"/>
        <c:noMultiLvlLbl val="0"/>
      </c:catAx>
      <c:valAx>
        <c:axId val="336241024"/>
        <c:scaling>
          <c:orientation val="minMax"/>
          <c:min val="75"/>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336235136"/>
        <c:crosses val="autoZero"/>
        <c:crossBetween val="between"/>
      </c:valAx>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27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Spain</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03911327819"/>
          <c:y val="3.2786749932120551E-2"/>
        </c:manualLayout>
      </c:layout>
      <c:overlay val="0"/>
      <c:spPr>
        <a:noFill/>
        <a:ln w="25326">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869-4929-9C5E-A450DC1303F3}"/>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869-4929-9C5E-A450DC1303F3}"/>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869-4929-9C5E-A450DC1303F3}"/>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869-4929-9C5E-A450DC1303F3}"/>
              </c:ext>
            </c:extLst>
          </c:dPt>
          <c:dPt>
            <c:idx val="4"/>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869-4929-9C5E-A450DC1303F3}"/>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E869-4929-9C5E-A450DC1303F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69-4929-9C5E-A450DC1303F3}"/>
                </c:ext>
              </c:extLst>
            </c:dLbl>
            <c:dLbl>
              <c:idx val="1"/>
              <c:layout>
                <c:manualLayout>
                  <c:x val="1.1326380255099692E-2"/>
                  <c:y val="1.7422822147231596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869-4929-9C5E-A450DC1303F3}"/>
                </c:ext>
              </c:extLst>
            </c:dLbl>
            <c:dLbl>
              <c:idx val="2"/>
              <c:layout>
                <c:manualLayout>
                  <c:x val="3.0462843187059316E-2"/>
                  <c:y val="6.57630318504092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869-4929-9C5E-A450DC1303F3}"/>
                </c:ext>
              </c:extLst>
            </c:dLbl>
            <c:dLbl>
              <c:idx val="3"/>
              <c:layout>
                <c:manualLayout>
                  <c:x val="5.36117672115064E-2"/>
                  <c:y val="5.630705061223579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869-4929-9C5E-A450DC1303F3}"/>
                </c:ext>
              </c:extLst>
            </c:dLbl>
            <c:dLbl>
              <c:idx val="4"/>
              <c:layout>
                <c:manualLayout>
                  <c:x val="-8.3576425076244392E-3"/>
                  <c:y val="4.42564772047777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869-4929-9C5E-A450DC1303F3}"/>
                </c:ext>
              </c:extLst>
            </c:dLbl>
            <c:spPr>
              <a:noFill/>
              <a:ln w="25326">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layout/>
              </c:ext>
            </c:extLst>
          </c:dLbls>
          <c:cat>
            <c:strRef>
              <c:f>Blad1!$A$2:$A$7</c:f>
              <c:strCache>
                <c:ptCount val="6"/>
                <c:pt idx="0">
                  <c:v>Policy Area</c:v>
                </c:pt>
                <c:pt idx="1">
                  <c:v>Environment</c:v>
                </c:pt>
                <c:pt idx="2">
                  <c:v>Justice and consumers</c:v>
                </c:pt>
                <c:pt idx="3">
                  <c:v>Financial stability, financial services and Capital Markets Union</c:v>
                </c:pt>
                <c:pt idx="4">
                  <c:v>Mobility and transport</c:v>
                </c:pt>
                <c:pt idx="5">
                  <c:v>Other</c:v>
                </c:pt>
              </c:strCache>
            </c:strRef>
          </c:cat>
          <c:val>
            <c:numRef>
              <c:f>Blad1!$B$2:$B$7</c:f>
              <c:numCache>
                <c:formatCode>General</c:formatCode>
                <c:ptCount val="6"/>
                <c:pt idx="0">
                  <c:v>0</c:v>
                </c:pt>
                <c:pt idx="1">
                  <c:v>10</c:v>
                </c:pt>
                <c:pt idx="2">
                  <c:v>3</c:v>
                </c:pt>
                <c:pt idx="3">
                  <c:v>4</c:v>
                </c:pt>
                <c:pt idx="4">
                  <c:v>3</c:v>
                </c:pt>
                <c:pt idx="5">
                  <c:v>7</c:v>
                </c:pt>
              </c:numCache>
            </c:numRef>
          </c:val>
          <c:extLst xmlns:c16r2="http://schemas.microsoft.com/office/drawing/2015/06/chart">
            <c:ext xmlns:c16="http://schemas.microsoft.com/office/drawing/2014/chart" uri="{C3380CC4-5D6E-409C-BE32-E72D297353CC}">
              <c16:uniqueId val="{0000000C-E869-4929-9C5E-A450DC1303F3}"/>
            </c:ext>
          </c:extLst>
        </c:ser>
        <c:dLbls>
          <c:showLegendKey val="0"/>
          <c:showVal val="0"/>
          <c:showCatName val="0"/>
          <c:showSerName val="0"/>
          <c:showPercent val="0"/>
          <c:showBubbleSize val="0"/>
          <c:showLeaderLines val="0"/>
        </c:dLbls>
        <c:firstSliceAng val="245"/>
      </c:pieChart>
      <c:spPr>
        <a:noFill/>
        <a:ln w="25326">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2177298553155051E-2"/>
                  <c:y val="5.25499134589600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46D-4895-A13F-37397A189182}"/>
                </c:ext>
              </c:extLst>
            </c:dLbl>
            <c:dLbl>
              <c:idx val="1"/>
              <c:layout>
                <c:manualLayout>
                  <c:x val="-4.7729505941541003E-2"/>
                  <c:y val="4.66785305087639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46D-4895-A13F-37397A189182}"/>
                </c:ext>
              </c:extLst>
            </c:dLbl>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13</c:v>
                </c:pt>
                <c:pt idx="1">
                  <c:v>19</c:v>
                </c:pt>
                <c:pt idx="2">
                  <c:v>21</c:v>
                </c:pt>
                <c:pt idx="3">
                  <c:v>32</c:v>
                </c:pt>
                <c:pt idx="4">
                  <c:v>32</c:v>
                </c:pt>
              </c:numCache>
            </c:numRef>
          </c:val>
          <c:smooth val="0"/>
          <c:extLst xmlns:c16r2="http://schemas.microsoft.com/office/drawing/2015/06/chart">
            <c:ext xmlns:c16="http://schemas.microsoft.com/office/drawing/2014/chart" uri="{C3380CC4-5D6E-409C-BE32-E72D297353CC}">
              <c16:uniqueId val="{00000002-A46D-4895-A13F-37397A189182}"/>
            </c:ext>
          </c:extLst>
        </c:ser>
        <c:dLbls>
          <c:showLegendKey val="0"/>
          <c:showVal val="0"/>
          <c:showCatName val="0"/>
          <c:showSerName val="0"/>
          <c:showPercent val="0"/>
          <c:showBubbleSize val="0"/>
        </c:dLbls>
        <c:marker val="1"/>
        <c:smooth val="0"/>
        <c:axId val="336075776"/>
        <c:axId val="336077568"/>
      </c:lineChart>
      <c:catAx>
        <c:axId val="336075776"/>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6077568"/>
        <c:crosses val="autoZero"/>
        <c:auto val="1"/>
        <c:lblAlgn val="ctr"/>
        <c:lblOffset val="100"/>
        <c:noMultiLvlLbl val="0"/>
      </c:catAx>
      <c:valAx>
        <c:axId val="336077568"/>
        <c:scaling>
          <c:orientation val="minMax"/>
          <c:min val="1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336075776"/>
        <c:crosses val="autoZero"/>
        <c:crossBetween val="between"/>
      </c:valAx>
      <c:spPr>
        <a:noFill/>
        <a:ln w="25374">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2177336528586101E-2"/>
                  <c:y val="7.73975368463557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0CA-405A-87C6-01F7DB68F152}"/>
                </c:ext>
              </c:extLst>
            </c:dLbl>
            <c:dLbl>
              <c:idx val="1"/>
              <c:layout>
                <c:manualLayout>
                  <c:x val="-3.3903523181459186E-2"/>
                  <c:y val="-6.10129049739352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0CA-405A-87C6-01F7DB68F152}"/>
                </c:ext>
              </c:extLst>
            </c:dLbl>
            <c:dLbl>
              <c:idx val="2"/>
              <c:layout>
                <c:manualLayout>
                  <c:x val="-3.6631252814868162E-2"/>
                  <c:y val="6.89083548685842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0CA-405A-87C6-01F7DB68F152}"/>
                </c:ext>
              </c:extLst>
            </c:dLbl>
            <c:dLbl>
              <c:idx val="3"/>
              <c:layout>
                <c:manualLayout>
                  <c:x val="-4.204210933981415E-2"/>
                  <c:y val="-5.41086832558873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0CA-405A-87C6-01F7DB68F152}"/>
                </c:ext>
              </c:extLst>
            </c:dLbl>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20</c:v>
                </c:pt>
                <c:pt idx="1">
                  <c:v>24</c:v>
                </c:pt>
                <c:pt idx="2">
                  <c:v>16</c:v>
                </c:pt>
                <c:pt idx="3">
                  <c:v>34</c:v>
                </c:pt>
                <c:pt idx="4">
                  <c:v>32</c:v>
                </c:pt>
              </c:numCache>
            </c:numRef>
          </c:val>
          <c:smooth val="0"/>
          <c:extLst xmlns:c16r2="http://schemas.microsoft.com/office/drawing/2015/06/chart">
            <c:ext xmlns:c16="http://schemas.microsoft.com/office/drawing/2014/chart" uri="{C3380CC4-5D6E-409C-BE32-E72D297353CC}">
              <c16:uniqueId val="{00000003-40CA-405A-87C6-01F7DB68F152}"/>
            </c:ext>
          </c:extLst>
        </c:ser>
        <c:dLbls>
          <c:showLegendKey val="0"/>
          <c:showVal val="0"/>
          <c:showCatName val="0"/>
          <c:showSerName val="0"/>
          <c:showPercent val="0"/>
          <c:showBubbleSize val="0"/>
        </c:dLbls>
        <c:marker val="1"/>
        <c:smooth val="0"/>
        <c:axId val="336616064"/>
        <c:axId val="336634240"/>
      </c:lineChart>
      <c:catAx>
        <c:axId val="336616064"/>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6634240"/>
        <c:crosses val="autoZero"/>
        <c:auto val="1"/>
        <c:lblAlgn val="ctr"/>
        <c:lblOffset val="100"/>
        <c:noMultiLvlLbl val="0"/>
      </c:catAx>
      <c:valAx>
        <c:axId val="336634240"/>
        <c:scaling>
          <c:orientation val="minMax"/>
          <c:min val="1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336616064"/>
        <c:crosses val="autoZero"/>
        <c:crossBetween val="between"/>
      </c:valAx>
      <c:spPr>
        <a:noFill/>
        <a:ln w="25374">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32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Spain</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26">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C6F-4589-B564-B8B184499D84}"/>
              </c:ext>
            </c:extLst>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C6F-4589-B564-B8B184499D84}"/>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C6F-4589-B564-B8B184499D84}"/>
              </c:ext>
            </c:extLst>
          </c:dPt>
          <c:dPt>
            <c:idx val="3"/>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C6F-4589-B564-B8B184499D84}"/>
              </c:ext>
            </c:extLst>
          </c:dPt>
          <c:dLbls>
            <c:dLbl>
              <c:idx val="0"/>
              <c:layout>
                <c:manualLayout>
                  <c:x val="-2.7218011469979974E-3"/>
                  <c:y val="9.0695694910646135E-2"/>
                </c:manualLayout>
              </c:layout>
              <c:spPr>
                <a:noFill/>
                <a:ln w="25326">
                  <a:noFill/>
                </a:ln>
              </c:spPr>
              <c:txPr>
                <a:bodyPr rot="0" spcFirstLastPara="1" vertOverflow="ellipsis" vert="horz" wrap="square" lIns="38100" tIns="19050" rIns="38100" bIns="19050" anchor="ctr" anchorCtr="1">
                  <a:spAutoFit/>
                </a:bodyPr>
                <a:lstStyle/>
                <a:p>
                  <a:pPr>
                    <a:defRPr sz="82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C6F-4589-B564-B8B184499D84}"/>
                </c:ext>
              </c:extLst>
            </c:dLbl>
            <c:dLbl>
              <c:idx val="1"/>
              <c:layout>
                <c:manualLayout>
                  <c:x val="-3.0578464594212627E-2"/>
                  <c:y val="1.472535056623898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C6F-4589-B564-B8B184499D84}"/>
                </c:ext>
              </c:extLst>
            </c:dLbl>
            <c:dLbl>
              <c:idx val="2"/>
              <c:layout>
                <c:manualLayout>
                  <c:x val="3.0651802620306558E-2"/>
                  <c:y val="-5.312084993359893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C6F-4589-B564-B8B184499D84}"/>
                </c:ext>
              </c:extLst>
            </c:dLbl>
            <c:dLbl>
              <c:idx val="3"/>
              <c:layout>
                <c:manualLayout>
                  <c:x val="-7.76470716628197E-2"/>
                  <c:y val="-8.499335989375829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C6F-4589-B564-B8B184499D84}"/>
                </c:ext>
              </c:extLst>
            </c:dLbl>
            <c:spPr>
              <a:noFill/>
              <a:ln w="2532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Blad1!$A$4:$A$7</c:f>
              <c:strCache>
                <c:ptCount val="4"/>
                <c:pt idx="0">
                  <c:v>Internal market, industry, entrepreneurship and SMEs</c:v>
                </c:pt>
                <c:pt idx="1">
                  <c:v>Health and food safety</c:v>
                </c:pt>
                <c:pt idx="2">
                  <c:v>Financial stability, financial services and Capital Markets Union</c:v>
                </c:pt>
                <c:pt idx="3">
                  <c:v>Other</c:v>
                </c:pt>
              </c:strCache>
            </c:strRef>
          </c:cat>
          <c:val>
            <c:numRef>
              <c:f>Blad1!$B$4:$B$7</c:f>
              <c:numCache>
                <c:formatCode>General</c:formatCode>
                <c:ptCount val="4"/>
                <c:pt idx="0">
                  <c:v>11</c:v>
                </c:pt>
                <c:pt idx="1">
                  <c:v>8</c:v>
                </c:pt>
                <c:pt idx="2">
                  <c:v>6</c:v>
                </c:pt>
                <c:pt idx="3">
                  <c:v>9</c:v>
                </c:pt>
              </c:numCache>
            </c:numRef>
          </c:val>
          <c:extLst xmlns:c16r2="http://schemas.microsoft.com/office/drawing/2015/06/chart">
            <c:ext xmlns:c16="http://schemas.microsoft.com/office/drawing/2014/chart" uri="{C3380CC4-5D6E-409C-BE32-E72D297353CC}">
              <c16:uniqueId val="{00000008-1C6F-4589-B564-B8B184499D84}"/>
            </c:ext>
          </c:extLst>
        </c:ser>
        <c:dLbls>
          <c:showLegendKey val="0"/>
          <c:showVal val="0"/>
          <c:showCatName val="0"/>
          <c:showSerName val="0"/>
          <c:showPercent val="0"/>
          <c:showBubbleSize val="0"/>
          <c:showLeaderLines val="0"/>
        </c:dLbls>
        <c:firstSliceAng val="250"/>
      </c:pieChart>
      <c:spPr>
        <a:noFill/>
        <a:ln w="25326">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75052148518984E-2"/>
          <c:y val="8.6660476632621483E-2"/>
          <c:w val="0.93878241420773845"/>
          <c:h val="0.79582789811624632"/>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7444547800909245E-2"/>
                  <c:y val="7.02332180802122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D1A-4712-80DD-FAED81736DD8}"/>
                </c:ext>
              </c:extLst>
            </c:dLbl>
            <c:dLbl>
              <c:idx val="2"/>
              <c:layout>
                <c:manualLayout>
                  <c:x val="-4.7504374453193353E-2"/>
                  <c:y val="8.90993486925245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D1A-4712-80DD-FAED81736DD8}"/>
                </c:ext>
              </c:extLst>
            </c:dLbl>
            <c:dLbl>
              <c:idx val="4"/>
              <c:layout>
                <c:manualLayout>
                  <c:x val="-4.1900458908332924E-2"/>
                  <c:y val="9.47257399276703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D1A-4712-80DD-FAED81736DD8}"/>
                </c:ext>
              </c:extLst>
            </c:dLbl>
            <c:spPr>
              <a:noFill/>
              <a:ln w="2541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277</c:v>
                </c:pt>
                <c:pt idx="1">
                  <c:v>245</c:v>
                </c:pt>
                <c:pt idx="2">
                  <c:v>267</c:v>
                </c:pt>
                <c:pt idx="3">
                  <c:v>325</c:v>
                </c:pt>
                <c:pt idx="4">
                  <c:v>383</c:v>
                </c:pt>
              </c:numCache>
            </c:numRef>
          </c:val>
          <c:smooth val="0"/>
          <c:extLst xmlns:c16r2="http://schemas.microsoft.com/office/drawing/2015/06/chart">
            <c:ext xmlns:c16="http://schemas.microsoft.com/office/drawing/2014/chart" uri="{C3380CC4-5D6E-409C-BE32-E72D297353CC}">
              <c16:uniqueId val="{00000003-CD1A-4712-80DD-FAED81736DD8}"/>
            </c:ext>
          </c:extLst>
        </c:ser>
        <c:dLbls>
          <c:showLegendKey val="0"/>
          <c:showVal val="0"/>
          <c:showCatName val="0"/>
          <c:showSerName val="0"/>
          <c:showPercent val="0"/>
          <c:showBubbleSize val="0"/>
        </c:dLbls>
        <c:marker val="1"/>
        <c:smooth val="0"/>
        <c:axId val="336712832"/>
        <c:axId val="336714368"/>
      </c:lineChart>
      <c:catAx>
        <c:axId val="336712832"/>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6714368"/>
        <c:crosses val="autoZero"/>
        <c:auto val="1"/>
        <c:lblAlgn val="ctr"/>
        <c:lblOffset val="100"/>
        <c:noMultiLvlLbl val="0"/>
      </c:catAx>
      <c:valAx>
        <c:axId val="336714368"/>
        <c:scaling>
          <c:orientation val="minMax"/>
          <c:min val="19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336712832"/>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9F0726229EA944A351C92A661F0C83" ma:contentTypeVersion="0" ma:contentTypeDescription="Create a new document." ma:contentTypeScope="" ma:versionID="b625dcb4e6da45aea454c11ff38d33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F350C-6027-496B-BE79-2CBA36BB8BB7}">
  <ds:schemaRefs>
    <ds:schemaRef ds:uri="http://schemas.microsoft.com/sharepoint/v3/contenttype/forms"/>
  </ds:schemaRefs>
</ds:datastoreItem>
</file>

<file path=customXml/itemProps2.xml><?xml version="1.0" encoding="utf-8"?>
<ds:datastoreItem xmlns:ds="http://schemas.openxmlformats.org/officeDocument/2006/customXml" ds:itemID="{EA750E3E-D606-426B-B4EE-421BF2CB8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2D6B955-0A19-4693-B439-4B24E1E10DCF}">
  <ds:schemaRefs>
    <ds:schemaRef ds:uri="http://purl.org/dc/dcmitype/"/>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69B38C5F-4BDA-481B-A00E-31E228BE0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106</Pages>
  <Words>12908</Words>
  <Characters>70565</Characters>
  <Application>Microsoft Office Word</Application>
  <DocSecurity>0</DocSecurity>
  <Lines>1857</Lines>
  <Paragraphs>1116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82285</CharactersWithSpaces>
  <SharedDoc>false</SharedDoc>
  <HLinks>
    <vt:vector size="222" baseType="variant">
      <vt:variant>
        <vt:i4>7995420</vt:i4>
      </vt:variant>
      <vt:variant>
        <vt:i4>618</vt:i4>
      </vt:variant>
      <vt:variant>
        <vt:i4>0</vt:i4>
      </vt:variant>
      <vt:variant>
        <vt:i4>5</vt:i4>
      </vt:variant>
      <vt:variant>
        <vt:lpwstr>https://ec.europa.eu/info/law/settlement-finality-directive-98-26-ec_en</vt:lpwstr>
      </vt:variant>
      <vt:variant>
        <vt:lpwstr/>
      </vt:variant>
      <vt:variant>
        <vt:i4>3014687</vt:i4>
      </vt:variant>
      <vt:variant>
        <vt:i4>615</vt:i4>
      </vt:variant>
      <vt:variant>
        <vt:i4>0</vt:i4>
      </vt:variant>
      <vt:variant>
        <vt:i4>5</vt:i4>
      </vt:variant>
      <vt:variant>
        <vt:lpwstr>http://ec.europa.eu/finance/general-policy/banking-union/european-deposit-insurance-scheme/index_en.htm</vt:lpwstr>
      </vt:variant>
      <vt:variant>
        <vt:lpwstr/>
      </vt:variant>
      <vt:variant>
        <vt:i4>3014687</vt:i4>
      </vt:variant>
      <vt:variant>
        <vt:i4>579</vt:i4>
      </vt:variant>
      <vt:variant>
        <vt:i4>0</vt:i4>
      </vt:variant>
      <vt:variant>
        <vt:i4>5</vt:i4>
      </vt:variant>
      <vt:variant>
        <vt:lpwstr>http://ec.europa.eu/finance/general-policy/banking-union/european-deposit-insurance-scheme/index_en.htm</vt:lpwstr>
      </vt:variant>
      <vt:variant>
        <vt:lpwstr/>
      </vt:variant>
      <vt:variant>
        <vt:i4>7995420</vt:i4>
      </vt:variant>
      <vt:variant>
        <vt:i4>477</vt:i4>
      </vt:variant>
      <vt:variant>
        <vt:i4>0</vt:i4>
      </vt:variant>
      <vt:variant>
        <vt:i4>5</vt:i4>
      </vt:variant>
      <vt:variant>
        <vt:lpwstr>https://ec.europa.eu/info/law/settlement-finality-directive-98-26-ec_en</vt:lpwstr>
      </vt:variant>
      <vt:variant>
        <vt:lpwstr/>
      </vt:variant>
      <vt:variant>
        <vt:i4>6094874</vt:i4>
      </vt:variant>
      <vt:variant>
        <vt:i4>441</vt:i4>
      </vt:variant>
      <vt:variant>
        <vt:i4>0</vt:i4>
      </vt:variant>
      <vt:variant>
        <vt:i4>5</vt:i4>
      </vt:variant>
      <vt:variant>
        <vt:lpwstr>http://eur-lex.europa.eu/LexUriServ/LexUriServ.do?uri=OJ:L:2006:409:0011:0085:EN:PDF</vt:lpwstr>
      </vt:variant>
      <vt:variant>
        <vt:lpwstr/>
      </vt:variant>
      <vt:variant>
        <vt:i4>2031665</vt:i4>
      </vt:variant>
      <vt:variant>
        <vt:i4>170</vt:i4>
      </vt:variant>
      <vt:variant>
        <vt:i4>0</vt:i4>
      </vt:variant>
      <vt:variant>
        <vt:i4>5</vt:i4>
      </vt:variant>
      <vt:variant>
        <vt:lpwstr/>
      </vt:variant>
      <vt:variant>
        <vt:lpwstr>_Toc484622345</vt:lpwstr>
      </vt:variant>
      <vt:variant>
        <vt:i4>2031665</vt:i4>
      </vt:variant>
      <vt:variant>
        <vt:i4>164</vt:i4>
      </vt:variant>
      <vt:variant>
        <vt:i4>0</vt:i4>
      </vt:variant>
      <vt:variant>
        <vt:i4>5</vt:i4>
      </vt:variant>
      <vt:variant>
        <vt:lpwstr/>
      </vt:variant>
      <vt:variant>
        <vt:lpwstr>_Toc484622344</vt:lpwstr>
      </vt:variant>
      <vt:variant>
        <vt:i4>2031665</vt:i4>
      </vt:variant>
      <vt:variant>
        <vt:i4>158</vt:i4>
      </vt:variant>
      <vt:variant>
        <vt:i4>0</vt:i4>
      </vt:variant>
      <vt:variant>
        <vt:i4>5</vt:i4>
      </vt:variant>
      <vt:variant>
        <vt:lpwstr/>
      </vt:variant>
      <vt:variant>
        <vt:lpwstr>_Toc484622343</vt:lpwstr>
      </vt:variant>
      <vt:variant>
        <vt:i4>2031665</vt:i4>
      </vt:variant>
      <vt:variant>
        <vt:i4>152</vt:i4>
      </vt:variant>
      <vt:variant>
        <vt:i4>0</vt:i4>
      </vt:variant>
      <vt:variant>
        <vt:i4>5</vt:i4>
      </vt:variant>
      <vt:variant>
        <vt:lpwstr/>
      </vt:variant>
      <vt:variant>
        <vt:lpwstr>_Toc484622342</vt:lpwstr>
      </vt:variant>
      <vt:variant>
        <vt:i4>2031665</vt:i4>
      </vt:variant>
      <vt:variant>
        <vt:i4>146</vt:i4>
      </vt:variant>
      <vt:variant>
        <vt:i4>0</vt:i4>
      </vt:variant>
      <vt:variant>
        <vt:i4>5</vt:i4>
      </vt:variant>
      <vt:variant>
        <vt:lpwstr/>
      </vt:variant>
      <vt:variant>
        <vt:lpwstr>_Toc484622341</vt:lpwstr>
      </vt:variant>
      <vt:variant>
        <vt:i4>2031665</vt:i4>
      </vt:variant>
      <vt:variant>
        <vt:i4>140</vt:i4>
      </vt:variant>
      <vt:variant>
        <vt:i4>0</vt:i4>
      </vt:variant>
      <vt:variant>
        <vt:i4>5</vt:i4>
      </vt:variant>
      <vt:variant>
        <vt:lpwstr/>
      </vt:variant>
      <vt:variant>
        <vt:lpwstr>_Toc484622340</vt:lpwstr>
      </vt:variant>
      <vt:variant>
        <vt:i4>1572913</vt:i4>
      </vt:variant>
      <vt:variant>
        <vt:i4>134</vt:i4>
      </vt:variant>
      <vt:variant>
        <vt:i4>0</vt:i4>
      </vt:variant>
      <vt:variant>
        <vt:i4>5</vt:i4>
      </vt:variant>
      <vt:variant>
        <vt:lpwstr/>
      </vt:variant>
      <vt:variant>
        <vt:lpwstr>_Toc484622339</vt:lpwstr>
      </vt:variant>
      <vt:variant>
        <vt:i4>1572913</vt:i4>
      </vt:variant>
      <vt:variant>
        <vt:i4>128</vt:i4>
      </vt:variant>
      <vt:variant>
        <vt:i4>0</vt:i4>
      </vt:variant>
      <vt:variant>
        <vt:i4>5</vt:i4>
      </vt:variant>
      <vt:variant>
        <vt:lpwstr/>
      </vt:variant>
      <vt:variant>
        <vt:lpwstr>_Toc484622338</vt:lpwstr>
      </vt:variant>
      <vt:variant>
        <vt:i4>1572913</vt:i4>
      </vt:variant>
      <vt:variant>
        <vt:i4>122</vt:i4>
      </vt:variant>
      <vt:variant>
        <vt:i4>0</vt:i4>
      </vt:variant>
      <vt:variant>
        <vt:i4>5</vt:i4>
      </vt:variant>
      <vt:variant>
        <vt:lpwstr/>
      </vt:variant>
      <vt:variant>
        <vt:lpwstr>_Toc484622337</vt:lpwstr>
      </vt:variant>
      <vt:variant>
        <vt:i4>1572913</vt:i4>
      </vt:variant>
      <vt:variant>
        <vt:i4>116</vt:i4>
      </vt:variant>
      <vt:variant>
        <vt:i4>0</vt:i4>
      </vt:variant>
      <vt:variant>
        <vt:i4>5</vt:i4>
      </vt:variant>
      <vt:variant>
        <vt:lpwstr/>
      </vt:variant>
      <vt:variant>
        <vt:lpwstr>_Toc484622336</vt:lpwstr>
      </vt:variant>
      <vt:variant>
        <vt:i4>1572913</vt:i4>
      </vt:variant>
      <vt:variant>
        <vt:i4>110</vt:i4>
      </vt:variant>
      <vt:variant>
        <vt:i4>0</vt:i4>
      </vt:variant>
      <vt:variant>
        <vt:i4>5</vt:i4>
      </vt:variant>
      <vt:variant>
        <vt:lpwstr/>
      </vt:variant>
      <vt:variant>
        <vt:lpwstr>_Toc484622335</vt:lpwstr>
      </vt:variant>
      <vt:variant>
        <vt:i4>1572913</vt:i4>
      </vt:variant>
      <vt:variant>
        <vt:i4>104</vt:i4>
      </vt:variant>
      <vt:variant>
        <vt:i4>0</vt:i4>
      </vt:variant>
      <vt:variant>
        <vt:i4>5</vt:i4>
      </vt:variant>
      <vt:variant>
        <vt:lpwstr/>
      </vt:variant>
      <vt:variant>
        <vt:lpwstr>_Toc484622334</vt:lpwstr>
      </vt:variant>
      <vt:variant>
        <vt:i4>1572913</vt:i4>
      </vt:variant>
      <vt:variant>
        <vt:i4>98</vt:i4>
      </vt:variant>
      <vt:variant>
        <vt:i4>0</vt:i4>
      </vt:variant>
      <vt:variant>
        <vt:i4>5</vt:i4>
      </vt:variant>
      <vt:variant>
        <vt:lpwstr/>
      </vt:variant>
      <vt:variant>
        <vt:lpwstr>_Toc484622333</vt:lpwstr>
      </vt:variant>
      <vt:variant>
        <vt:i4>1572913</vt:i4>
      </vt:variant>
      <vt:variant>
        <vt:i4>92</vt:i4>
      </vt:variant>
      <vt:variant>
        <vt:i4>0</vt:i4>
      </vt:variant>
      <vt:variant>
        <vt:i4>5</vt:i4>
      </vt:variant>
      <vt:variant>
        <vt:lpwstr/>
      </vt:variant>
      <vt:variant>
        <vt:lpwstr>_Toc484622332</vt:lpwstr>
      </vt:variant>
      <vt:variant>
        <vt:i4>1572913</vt:i4>
      </vt:variant>
      <vt:variant>
        <vt:i4>86</vt:i4>
      </vt:variant>
      <vt:variant>
        <vt:i4>0</vt:i4>
      </vt:variant>
      <vt:variant>
        <vt:i4>5</vt:i4>
      </vt:variant>
      <vt:variant>
        <vt:lpwstr/>
      </vt:variant>
      <vt:variant>
        <vt:lpwstr>_Toc484622331</vt:lpwstr>
      </vt:variant>
      <vt:variant>
        <vt:i4>1572913</vt:i4>
      </vt:variant>
      <vt:variant>
        <vt:i4>80</vt:i4>
      </vt:variant>
      <vt:variant>
        <vt:i4>0</vt:i4>
      </vt:variant>
      <vt:variant>
        <vt:i4>5</vt:i4>
      </vt:variant>
      <vt:variant>
        <vt:lpwstr/>
      </vt:variant>
      <vt:variant>
        <vt:lpwstr>_Toc484622330</vt:lpwstr>
      </vt:variant>
      <vt:variant>
        <vt:i4>1638449</vt:i4>
      </vt:variant>
      <vt:variant>
        <vt:i4>74</vt:i4>
      </vt:variant>
      <vt:variant>
        <vt:i4>0</vt:i4>
      </vt:variant>
      <vt:variant>
        <vt:i4>5</vt:i4>
      </vt:variant>
      <vt:variant>
        <vt:lpwstr/>
      </vt:variant>
      <vt:variant>
        <vt:lpwstr>_Toc484622329</vt:lpwstr>
      </vt:variant>
      <vt:variant>
        <vt:i4>1638449</vt:i4>
      </vt:variant>
      <vt:variant>
        <vt:i4>68</vt:i4>
      </vt:variant>
      <vt:variant>
        <vt:i4>0</vt:i4>
      </vt:variant>
      <vt:variant>
        <vt:i4>5</vt:i4>
      </vt:variant>
      <vt:variant>
        <vt:lpwstr/>
      </vt:variant>
      <vt:variant>
        <vt:lpwstr>_Toc484622328</vt:lpwstr>
      </vt:variant>
      <vt:variant>
        <vt:i4>1638449</vt:i4>
      </vt:variant>
      <vt:variant>
        <vt:i4>62</vt:i4>
      </vt:variant>
      <vt:variant>
        <vt:i4>0</vt:i4>
      </vt:variant>
      <vt:variant>
        <vt:i4>5</vt:i4>
      </vt:variant>
      <vt:variant>
        <vt:lpwstr/>
      </vt:variant>
      <vt:variant>
        <vt:lpwstr>_Toc484622327</vt:lpwstr>
      </vt:variant>
      <vt:variant>
        <vt:i4>1638449</vt:i4>
      </vt:variant>
      <vt:variant>
        <vt:i4>56</vt:i4>
      </vt:variant>
      <vt:variant>
        <vt:i4>0</vt:i4>
      </vt:variant>
      <vt:variant>
        <vt:i4>5</vt:i4>
      </vt:variant>
      <vt:variant>
        <vt:lpwstr/>
      </vt:variant>
      <vt:variant>
        <vt:lpwstr>_Toc484622326</vt:lpwstr>
      </vt:variant>
      <vt:variant>
        <vt:i4>1638449</vt:i4>
      </vt:variant>
      <vt:variant>
        <vt:i4>50</vt:i4>
      </vt:variant>
      <vt:variant>
        <vt:i4>0</vt:i4>
      </vt:variant>
      <vt:variant>
        <vt:i4>5</vt:i4>
      </vt:variant>
      <vt:variant>
        <vt:lpwstr/>
      </vt:variant>
      <vt:variant>
        <vt:lpwstr>_Toc484622325</vt:lpwstr>
      </vt:variant>
      <vt:variant>
        <vt:i4>1638449</vt:i4>
      </vt:variant>
      <vt:variant>
        <vt:i4>44</vt:i4>
      </vt:variant>
      <vt:variant>
        <vt:i4>0</vt:i4>
      </vt:variant>
      <vt:variant>
        <vt:i4>5</vt:i4>
      </vt:variant>
      <vt:variant>
        <vt:lpwstr/>
      </vt:variant>
      <vt:variant>
        <vt:lpwstr>_Toc484622324</vt:lpwstr>
      </vt:variant>
      <vt:variant>
        <vt:i4>1638449</vt:i4>
      </vt:variant>
      <vt:variant>
        <vt:i4>38</vt:i4>
      </vt:variant>
      <vt:variant>
        <vt:i4>0</vt:i4>
      </vt:variant>
      <vt:variant>
        <vt:i4>5</vt:i4>
      </vt:variant>
      <vt:variant>
        <vt:lpwstr/>
      </vt:variant>
      <vt:variant>
        <vt:lpwstr>_Toc484622323</vt:lpwstr>
      </vt:variant>
      <vt:variant>
        <vt:i4>1638449</vt:i4>
      </vt:variant>
      <vt:variant>
        <vt:i4>32</vt:i4>
      </vt:variant>
      <vt:variant>
        <vt:i4>0</vt:i4>
      </vt:variant>
      <vt:variant>
        <vt:i4>5</vt:i4>
      </vt:variant>
      <vt:variant>
        <vt:lpwstr/>
      </vt:variant>
      <vt:variant>
        <vt:lpwstr>_Toc484622322</vt:lpwstr>
      </vt:variant>
      <vt:variant>
        <vt:i4>1638449</vt:i4>
      </vt:variant>
      <vt:variant>
        <vt:i4>26</vt:i4>
      </vt:variant>
      <vt:variant>
        <vt:i4>0</vt:i4>
      </vt:variant>
      <vt:variant>
        <vt:i4>5</vt:i4>
      </vt:variant>
      <vt:variant>
        <vt:lpwstr/>
      </vt:variant>
      <vt:variant>
        <vt:lpwstr>_Toc484622321</vt:lpwstr>
      </vt:variant>
      <vt:variant>
        <vt:i4>1638449</vt:i4>
      </vt:variant>
      <vt:variant>
        <vt:i4>20</vt:i4>
      </vt:variant>
      <vt:variant>
        <vt:i4>0</vt:i4>
      </vt:variant>
      <vt:variant>
        <vt:i4>5</vt:i4>
      </vt:variant>
      <vt:variant>
        <vt:lpwstr/>
      </vt:variant>
      <vt:variant>
        <vt:lpwstr>_Toc484622320</vt:lpwstr>
      </vt:variant>
      <vt:variant>
        <vt:i4>1703985</vt:i4>
      </vt:variant>
      <vt:variant>
        <vt:i4>14</vt:i4>
      </vt:variant>
      <vt:variant>
        <vt:i4>0</vt:i4>
      </vt:variant>
      <vt:variant>
        <vt:i4>5</vt:i4>
      </vt:variant>
      <vt:variant>
        <vt:lpwstr/>
      </vt:variant>
      <vt:variant>
        <vt:lpwstr>_Toc484622319</vt:lpwstr>
      </vt:variant>
      <vt:variant>
        <vt:i4>1703985</vt:i4>
      </vt:variant>
      <vt:variant>
        <vt:i4>8</vt:i4>
      </vt:variant>
      <vt:variant>
        <vt:i4>0</vt:i4>
      </vt:variant>
      <vt:variant>
        <vt:i4>5</vt:i4>
      </vt:variant>
      <vt:variant>
        <vt:lpwstr/>
      </vt:variant>
      <vt:variant>
        <vt:lpwstr>_Toc484622318</vt:lpwstr>
      </vt:variant>
      <vt:variant>
        <vt:i4>1703985</vt:i4>
      </vt:variant>
      <vt:variant>
        <vt:i4>2</vt:i4>
      </vt:variant>
      <vt:variant>
        <vt:i4>0</vt:i4>
      </vt:variant>
      <vt:variant>
        <vt:i4>5</vt:i4>
      </vt:variant>
      <vt:variant>
        <vt:lpwstr/>
      </vt:variant>
      <vt:variant>
        <vt:lpwstr>_Toc484622317</vt:lpwstr>
      </vt:variant>
      <vt:variant>
        <vt:i4>2162742</vt:i4>
      </vt:variant>
      <vt:variant>
        <vt:i4>6</vt:i4>
      </vt:variant>
      <vt:variant>
        <vt:i4>0</vt:i4>
      </vt:variant>
      <vt:variant>
        <vt:i4>5</vt:i4>
      </vt:variant>
      <vt:variant>
        <vt:lpwstr>http://europa.eu/rapid/press-release_MEMO-17-4767_EN.htm</vt:lpwstr>
      </vt:variant>
      <vt:variant>
        <vt:lpwstr/>
      </vt:variant>
      <vt:variant>
        <vt:i4>917584</vt:i4>
      </vt:variant>
      <vt:variant>
        <vt:i4>3</vt:i4>
      </vt:variant>
      <vt:variant>
        <vt:i4>0</vt:i4>
      </vt:variant>
      <vt:variant>
        <vt:i4>5</vt:i4>
      </vt:variant>
      <vt:variant>
        <vt:lpwstr>http://eur-lex.europa.eu/legal-content/AUTO/?uri=CELEX:32014L0035&amp;qid=1461336551167&amp;rid=1</vt:lpwstr>
      </vt:variant>
      <vt:variant>
        <vt:lpwstr/>
      </vt:variant>
      <vt:variant>
        <vt:i4>3014755</vt:i4>
      </vt:variant>
      <vt:variant>
        <vt:i4>0</vt:i4>
      </vt:variant>
      <vt:variant>
        <vt:i4>0</vt:i4>
      </vt:variant>
      <vt:variant>
        <vt:i4>5</vt:i4>
      </vt:variant>
      <vt:variant>
        <vt:lpwstr>http://europa.eu/rapid/press-release_MEMO-17-234_EN.htm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18</cp:revision>
  <cp:lastPrinted>2018-03-20T08:04:00Z</cp:lastPrinted>
  <dcterms:created xsi:type="dcterms:W3CDTF">2018-07-10T06:51:00Z</dcterms:created>
  <dcterms:modified xsi:type="dcterms:W3CDTF">2018-07-10T14:14:00Z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0x010100429F0726229EA944A351C92A661F0C83</vt:lpwstr>
  </property>
  <property fmtid="{D5CDD505-2E9C-101B-9397-08002B2CF9AE}" pid="3" name="Part">
    <vt:lpwstr>1</vt:lpwstr>
  </property>
  <property fmtid="{D5CDD505-2E9C-101B-9397-08002B2CF9AE}" pid="4" name="Total parts">
    <vt:lpwstr>2</vt:lpwstr>
  </property>
  <property fmtid="{D5CDD505-2E9C-101B-9397-08002B2CF9AE}" pid="5" name="DocStatus">
    <vt:lpwstr>Green</vt:lpwstr>
  </property>
  <property fmtid="{D5CDD505-2E9C-101B-9397-08002B2CF9AE}" pid="6" name="Level of sensitivity">
    <vt:lpwstr>Standard treatment</vt:lpwstr>
  </property>
</Properties>
</file>