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D3" w:rsidRDefault="00D97484" w:rsidP="00D9748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F551CB8-A77C-4CFF-9BA0-A4E32C830C3F" style="width:450.75pt;height:351.75pt">
            <v:imagedata r:id="rId9" o:title=""/>
          </v:shape>
        </w:pict>
      </w:r>
    </w:p>
    <w:p w:rsidR="00AF59D3" w:rsidRDefault="00AF59D3">
      <w:pPr>
        <w:pStyle w:val="Pagedecouverture"/>
        <w:rPr>
          <w:noProof/>
        </w:rPr>
        <w:sectPr w:rsidR="00AF59D3" w:rsidSect="00D9748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F59D3" w:rsidRDefault="00D97484">
      <w:pPr>
        <w:pStyle w:val="Exposdesmotifstitre"/>
        <w:rPr>
          <w:noProof/>
        </w:rPr>
      </w:pPr>
      <w:r>
        <w:rPr>
          <w:noProof/>
        </w:rPr>
        <w:lastRenderedPageBreak/>
        <w:t>ОБЯСНИТЕЛЕН МЕМОРАНДУМ</w:t>
      </w:r>
    </w:p>
    <w:p w:rsidR="00AF59D3" w:rsidRDefault="00D97484">
      <w:pPr>
        <w:pStyle w:val="ManualHeading1"/>
        <w:ind w:left="0" w:firstLine="0"/>
        <w:rPr>
          <w:noProof/>
        </w:rPr>
      </w:pPr>
      <w:r>
        <w:rPr>
          <w:noProof/>
        </w:rPr>
        <w:t>1.</w:t>
      </w:r>
      <w:r>
        <w:rPr>
          <w:noProof/>
        </w:rPr>
        <w:tab/>
        <w:t>КОНТЕКСТ НА ПРЕДЛОЖЕНИЕТО</w:t>
      </w:r>
    </w:p>
    <w:p w:rsidR="00AF59D3" w:rsidRDefault="00D97484">
      <w:pPr>
        <w:pStyle w:val="ManualHeading2"/>
        <w:ind w:left="851" w:hanging="851"/>
        <w:rPr>
          <w:rFonts w:eastAsia="Arial Unicode MS"/>
          <w:noProof/>
        </w:rPr>
      </w:pPr>
      <w:r>
        <w:rPr>
          <w:noProof/>
          <w:color w:val="000000"/>
          <w:u w:color="000000"/>
          <w:bdr w:val="nil"/>
        </w:rPr>
        <w:t>•</w:t>
      </w:r>
      <w:r>
        <w:rPr>
          <w:noProof/>
        </w:rPr>
        <w:tab/>
        <w:t>Основания и цели на предложението</w:t>
      </w:r>
    </w:p>
    <w:p w:rsidR="00AF59D3" w:rsidRDefault="00D97484">
      <w:pPr>
        <w:rPr>
          <w:noProof/>
        </w:rPr>
      </w:pPr>
      <w:r>
        <w:rPr>
          <w:noProof/>
        </w:rPr>
        <w:t xml:space="preserve">Комисията предлага да се започнат преговори за споразумение за </w:t>
      </w:r>
      <w:r>
        <w:rPr>
          <w:noProof/>
        </w:rPr>
        <w:t xml:space="preserve">партньорство в областта на устойчивото рибарство с Република Гамбия, което да отговаря на нуждите на риболовния флот на Съюза и е в съответствие с Регламент (ЕС) № 1380/2013 относно общата политика в областта на рибарството и със заключенията на Съвета от </w:t>
      </w:r>
      <w:r>
        <w:rPr>
          <w:noProof/>
        </w:rPr>
        <w:t>19 март 2012 г. във връзка със съобщението на Комисията относно външното измерение на общата политика в областта на рибарството.</w:t>
      </w:r>
    </w:p>
    <w:p w:rsidR="00AF59D3" w:rsidRDefault="00D97484">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AF59D3" w:rsidRDefault="00D97484">
      <w:pPr>
        <w:rPr>
          <w:noProof/>
        </w:rPr>
      </w:pPr>
      <w:r>
        <w:rPr>
          <w:noProof/>
        </w:rPr>
        <w:t>През 1987 г. Европейският съюз и Република Гамбия сключиха</w:t>
      </w:r>
      <w:r>
        <w:rPr>
          <w:noProof/>
        </w:rPr>
        <w:t xml:space="preserve"> споразумение в областта на рибарството, одобрено с Регламент (ЕИО) № 1580/87 на Съвета от 2 юни 1987 г. относно сключване на Споразумение между Европейската икономическа общност и правителството на Република Гамбия за риболов в крайбрежните води на Гамбия</w:t>
      </w:r>
      <w:r>
        <w:rPr>
          <w:noProof/>
        </w:rPr>
        <w:t>. Това споразумение беше приложено чрез три последователни протокола, които позволяваха на кораби на Съюза достъп до риболовната зона на Гамбия до юни 1996 г., когато изтече последният протокол за изпълнение. От тази дата споразумението не се използва.</w:t>
      </w:r>
    </w:p>
    <w:p w:rsidR="00AF59D3" w:rsidRDefault="00D97484">
      <w:pPr>
        <w:rPr>
          <w:noProof/>
        </w:rPr>
      </w:pPr>
      <w:r>
        <w:rPr>
          <w:noProof/>
        </w:rPr>
        <w:t>Евр</w:t>
      </w:r>
      <w:r>
        <w:rPr>
          <w:noProof/>
        </w:rPr>
        <w:t>опейският съюз вече разполага с добре развита мрежа от двустранни СПОУР в Западна и Централна Африка, подписани по-специално с Мароко, Мавритания, Сенегал, Кабо Верде, Либерия, Кот д’Ивоар и Сао Томе и Принсипи.</w:t>
      </w:r>
    </w:p>
    <w:p w:rsidR="00AF59D3" w:rsidRDefault="00D97484">
      <w:pPr>
        <w:rPr>
          <w:noProof/>
        </w:rPr>
      </w:pPr>
      <w:r>
        <w:rPr>
          <w:noProof/>
        </w:rPr>
        <w:t>СПОУР допринасят за утвърждаването в междуна</w:t>
      </w:r>
      <w:r>
        <w:rPr>
          <w:noProof/>
        </w:rPr>
        <w:t>роден аспект на целта на ОПОР, като гарантират, че риболовните дейности на Съюза извън неговите води се основават на същите принципи и стандарти като принципите и стандартите, прилагани съгласно правото на Съюза. Освен това СПОУР стимулират научното сътруд</w:t>
      </w:r>
      <w:r>
        <w:rPr>
          <w:noProof/>
        </w:rPr>
        <w:t xml:space="preserve">ничество между ЕС и неговите партньори, насърчават прозрачността и устойчивостта за по-добро управление на рибните ресурси, както и управлението чрез подкрепа за наблюдението, контрола и надзора на дейностите на националните и чуждестранните флотове, като </w:t>
      </w:r>
      <w:r>
        <w:rPr>
          <w:noProof/>
        </w:rPr>
        <w:t xml:space="preserve">същевременно се осигурява финансиране за борбата с незаконния, недеклариран и нерегулиран (ННН) риболов, за да се допринесе за устойчивото развитие на местната риболовна промишленост. </w:t>
      </w:r>
    </w:p>
    <w:p w:rsidR="00AF59D3" w:rsidRDefault="00D97484">
      <w:pPr>
        <w:rPr>
          <w:noProof/>
        </w:rPr>
      </w:pPr>
      <w:r>
        <w:rPr>
          <w:noProof/>
        </w:rPr>
        <w:t>С помощта на СПОУР се укрепва позицията на Европейския съюз като член н</w:t>
      </w:r>
      <w:r>
        <w:rPr>
          <w:noProof/>
        </w:rPr>
        <w:t>а Международната комисия за опазване на рибата тон в Атлантическия океан (ICCAT) — създаден по силата на международното право орган за опазване и управление на далекомигриращите видове в региона.</w:t>
      </w:r>
    </w:p>
    <w:p w:rsidR="00AF59D3" w:rsidRDefault="00D97484">
      <w:pPr>
        <w:pStyle w:val="ManualHeading2"/>
        <w:rPr>
          <w:noProof/>
        </w:rPr>
      </w:pPr>
      <w:r>
        <w:rPr>
          <w:noProof/>
        </w:rPr>
        <w:t>•</w:t>
      </w:r>
      <w:r>
        <w:rPr>
          <w:noProof/>
        </w:rPr>
        <w:tab/>
        <w:t>Съгласуваност с другите политики на ЕС</w:t>
      </w:r>
    </w:p>
    <w:p w:rsidR="00AF59D3" w:rsidRDefault="00D97484">
      <w:pPr>
        <w:rPr>
          <w:noProof/>
        </w:rPr>
      </w:pPr>
      <w:r>
        <w:rPr>
          <w:noProof/>
        </w:rPr>
        <w:t xml:space="preserve">Преговорите за </w:t>
      </w:r>
      <w:r>
        <w:rPr>
          <w:noProof/>
        </w:rPr>
        <w:t>СПОУР с Република Гамбия и за съответен протокол са в съответствие с външната дейност на ЕС, насочена към държавите от Африка, Карибите и Тихоокеанския басейн (АКТБ).</w:t>
      </w:r>
    </w:p>
    <w:p w:rsidR="00AF59D3" w:rsidRDefault="00D97484">
      <w:pPr>
        <w:pStyle w:val="ManualHeading1"/>
        <w:rPr>
          <w:noProof/>
        </w:rPr>
      </w:pPr>
      <w:r>
        <w:rPr>
          <w:noProof/>
        </w:rPr>
        <w:t>2.</w:t>
      </w:r>
      <w:r>
        <w:rPr>
          <w:noProof/>
        </w:rPr>
        <w:tab/>
        <w:t>ПРАВНО ОСНОВАНИЕ, СУБСИДИАРНОСТ И ПРОПОРЦИОНАЛНОСТ</w:t>
      </w:r>
    </w:p>
    <w:p w:rsidR="00AF59D3" w:rsidRDefault="00D97484">
      <w:pPr>
        <w:pStyle w:val="ManualHeading2"/>
        <w:rPr>
          <w:noProof/>
        </w:rPr>
      </w:pPr>
      <w:r>
        <w:rPr>
          <w:noProof/>
        </w:rPr>
        <w:t>•</w:t>
      </w:r>
      <w:r>
        <w:rPr>
          <w:noProof/>
        </w:rPr>
        <w:tab/>
        <w:t>Правно основание</w:t>
      </w:r>
    </w:p>
    <w:p w:rsidR="00AF59D3" w:rsidRDefault="00D97484">
      <w:pPr>
        <w:rPr>
          <w:noProof/>
        </w:rPr>
      </w:pPr>
      <w:r>
        <w:rPr>
          <w:noProof/>
        </w:rPr>
        <w:t>Правното основан</w:t>
      </w:r>
      <w:r>
        <w:rPr>
          <w:noProof/>
        </w:rPr>
        <w:t xml:space="preserve">ие за решението се съдържа в част пета — „Външна дейност на Съюза“, дял V — „Международни споразумения“, в член 218 от Договора за </w:t>
      </w:r>
      <w:r>
        <w:rPr>
          <w:noProof/>
        </w:rPr>
        <w:lastRenderedPageBreak/>
        <w:t xml:space="preserve">функционирането на Европейския съюз (ДФЕС), в който се описва процедурата за водене на преговори и сключване на споразумения </w:t>
      </w:r>
      <w:r>
        <w:rPr>
          <w:noProof/>
        </w:rPr>
        <w:t>между ЕС и трети държави.</w:t>
      </w:r>
    </w:p>
    <w:p w:rsidR="00AF59D3" w:rsidRDefault="00D97484">
      <w:pPr>
        <w:pStyle w:val="ManualHeading2"/>
        <w:rPr>
          <w:noProof/>
        </w:rPr>
      </w:pPr>
      <w:r>
        <w:rPr>
          <w:noProof/>
        </w:rPr>
        <w:t>•</w:t>
      </w:r>
      <w:r>
        <w:rPr>
          <w:noProof/>
        </w:rPr>
        <w:tab/>
        <w:t>Субсидиарност (при неизключителна компетентност)</w:t>
      </w:r>
    </w:p>
    <w:p w:rsidR="00AF59D3" w:rsidRDefault="00D97484">
      <w:pPr>
        <w:rPr>
          <w:noProof/>
        </w:rPr>
      </w:pPr>
      <w:r>
        <w:rPr>
          <w:noProof/>
        </w:rPr>
        <w:t>Не е приложимо — изключителна компетентност.</w:t>
      </w:r>
    </w:p>
    <w:p w:rsidR="00AF59D3" w:rsidRDefault="00D97484">
      <w:pPr>
        <w:pStyle w:val="ManualHeading2"/>
        <w:rPr>
          <w:noProof/>
        </w:rPr>
      </w:pPr>
      <w:r>
        <w:rPr>
          <w:noProof/>
        </w:rPr>
        <w:t>•</w:t>
      </w:r>
      <w:r>
        <w:rPr>
          <w:noProof/>
        </w:rPr>
        <w:tab/>
        <w:t>Пропорционалност</w:t>
      </w:r>
    </w:p>
    <w:p w:rsidR="00AF59D3" w:rsidRDefault="00D97484">
      <w:pPr>
        <w:rPr>
          <w:noProof/>
        </w:rPr>
      </w:pPr>
      <w:r>
        <w:rPr>
          <w:noProof/>
        </w:rPr>
        <w:t>Решението е пропорционално на заложената цел.</w:t>
      </w:r>
    </w:p>
    <w:p w:rsidR="00AF59D3" w:rsidRDefault="00D97484">
      <w:pPr>
        <w:pStyle w:val="ManualHeading2"/>
        <w:rPr>
          <w:noProof/>
        </w:rPr>
      </w:pPr>
      <w:r>
        <w:rPr>
          <w:noProof/>
        </w:rPr>
        <w:t>•</w:t>
      </w:r>
      <w:r>
        <w:rPr>
          <w:noProof/>
        </w:rPr>
        <w:tab/>
        <w:t>Избор на инструмент</w:t>
      </w:r>
    </w:p>
    <w:p w:rsidR="00AF59D3" w:rsidRDefault="00D97484">
      <w:pPr>
        <w:rPr>
          <w:noProof/>
        </w:rPr>
      </w:pPr>
      <w:r>
        <w:rPr>
          <w:noProof/>
        </w:rPr>
        <w:t>Инструментът е предвиден по силата на член 218,</w:t>
      </w:r>
      <w:r>
        <w:rPr>
          <w:noProof/>
        </w:rPr>
        <w:t xml:space="preserve"> параграфи 3 и 4 от ДФЕС.</w:t>
      </w:r>
    </w:p>
    <w:p w:rsidR="00AF59D3" w:rsidRDefault="00D97484">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AF59D3" w:rsidRDefault="00D97484">
      <w:pPr>
        <w:pStyle w:val="ManualHeading2"/>
        <w:rPr>
          <w:noProof/>
        </w:rPr>
      </w:pPr>
      <w:r>
        <w:rPr>
          <w:noProof/>
        </w:rPr>
        <w:t>•</w:t>
      </w:r>
      <w:r>
        <w:rPr>
          <w:noProof/>
        </w:rPr>
        <w:tab/>
        <w:t>Последваща оценка/проверка за пригодност на действащото законодателство</w:t>
      </w:r>
    </w:p>
    <w:p w:rsidR="00AF59D3" w:rsidRDefault="00D97484">
      <w:pPr>
        <w:rPr>
          <w:noProof/>
        </w:rPr>
      </w:pPr>
      <w:r>
        <w:rPr>
          <w:noProof/>
        </w:rPr>
        <w:t xml:space="preserve">През 2017 г. Комисията извърши предварителна оценка на евентуално СПОУР с Република Гамбия. В доклада за оценка бе направен изводът, че секторите на рибарството на ЕС проявяват силен интерес към риболов в Гамбия в рамките на регионалната си стратегия и че </w:t>
      </w:r>
      <w:r>
        <w:rPr>
          <w:noProof/>
        </w:rPr>
        <w:t xml:space="preserve">СПОУР с Гамбия ще съдейства за по-засилено наблюдение, контрол и надзор и ще допринесе за по-добро управление на рибарството в региона. Гамбия изрази своя интерес към започването на преговори с ЕС относно възможно СПОУР. </w:t>
      </w:r>
    </w:p>
    <w:p w:rsidR="00AF59D3" w:rsidRDefault="00D97484">
      <w:pPr>
        <w:pStyle w:val="ManualHeading2"/>
        <w:rPr>
          <w:noProof/>
        </w:rPr>
      </w:pPr>
      <w:r>
        <w:rPr>
          <w:noProof/>
        </w:rPr>
        <w:t>•</w:t>
      </w:r>
      <w:r>
        <w:rPr>
          <w:noProof/>
        </w:rPr>
        <w:tab/>
        <w:t>Консултации със заинтересованите</w:t>
      </w:r>
      <w:r>
        <w:rPr>
          <w:noProof/>
        </w:rPr>
        <w:t xml:space="preserve"> страни </w:t>
      </w:r>
    </w:p>
    <w:p w:rsidR="00AF59D3" w:rsidRDefault="00D97484">
      <w:pPr>
        <w:rPr>
          <w:noProof/>
        </w:rPr>
      </w:pPr>
      <w:r>
        <w:rPr>
          <w:noProof/>
        </w:rPr>
        <w:t>Предстои да бъдат проведени консултации в рамките на Консултативния съвет по далечно плаване. Предвидени са също така аd hoc срещи с държави членки, представители на сектора и евентуално с НПО.</w:t>
      </w:r>
    </w:p>
    <w:p w:rsidR="00AF59D3" w:rsidRDefault="00D97484">
      <w:pPr>
        <w:pStyle w:val="ManualHeading2"/>
        <w:rPr>
          <w:noProof/>
        </w:rPr>
      </w:pPr>
      <w:r>
        <w:rPr>
          <w:noProof/>
        </w:rPr>
        <w:t>•</w:t>
      </w:r>
      <w:r>
        <w:rPr>
          <w:noProof/>
        </w:rPr>
        <w:tab/>
        <w:t>Събиране и използване на експертни становища</w:t>
      </w:r>
    </w:p>
    <w:p w:rsidR="00AF59D3" w:rsidRDefault="00D97484">
      <w:pPr>
        <w:rPr>
          <w:noProof/>
        </w:rPr>
      </w:pPr>
      <w:r>
        <w:rPr>
          <w:noProof/>
        </w:rPr>
        <w:t>Не е п</w:t>
      </w:r>
      <w:r>
        <w:rPr>
          <w:noProof/>
        </w:rPr>
        <w:t>риложимо.</w:t>
      </w:r>
    </w:p>
    <w:p w:rsidR="00AF59D3" w:rsidRDefault="00D97484">
      <w:pPr>
        <w:pStyle w:val="ManualHeading2"/>
        <w:rPr>
          <w:noProof/>
        </w:rPr>
      </w:pPr>
      <w:r>
        <w:rPr>
          <w:noProof/>
        </w:rPr>
        <w:t>•</w:t>
      </w:r>
      <w:r>
        <w:rPr>
          <w:noProof/>
        </w:rPr>
        <w:tab/>
        <w:t>Оценка на въздействието</w:t>
      </w:r>
    </w:p>
    <w:p w:rsidR="00AF59D3" w:rsidRDefault="00D97484">
      <w:pPr>
        <w:rPr>
          <w:noProof/>
        </w:rPr>
      </w:pPr>
      <w:r>
        <w:rPr>
          <w:noProof/>
        </w:rPr>
        <w:t>Не е приложимо.</w:t>
      </w:r>
    </w:p>
    <w:p w:rsidR="00AF59D3" w:rsidRDefault="00D97484">
      <w:pPr>
        <w:pStyle w:val="ManualHeading2"/>
        <w:rPr>
          <w:noProof/>
        </w:rPr>
      </w:pPr>
      <w:r>
        <w:rPr>
          <w:noProof/>
        </w:rPr>
        <w:t>•</w:t>
      </w:r>
      <w:r>
        <w:rPr>
          <w:noProof/>
        </w:rPr>
        <w:tab/>
        <w:t>Пригодност и опростяване на законодателството</w:t>
      </w:r>
    </w:p>
    <w:p w:rsidR="00AF59D3" w:rsidRDefault="00D97484">
      <w:pPr>
        <w:rPr>
          <w:noProof/>
        </w:rPr>
      </w:pPr>
      <w:r>
        <w:rPr>
          <w:noProof/>
        </w:rPr>
        <w:t>Не е приложимо.</w:t>
      </w:r>
    </w:p>
    <w:p w:rsidR="00AF59D3" w:rsidRDefault="00D97484">
      <w:pPr>
        <w:pStyle w:val="ManualHeading2"/>
        <w:rPr>
          <w:noProof/>
        </w:rPr>
      </w:pPr>
      <w:r>
        <w:rPr>
          <w:noProof/>
        </w:rPr>
        <w:t>•</w:t>
      </w:r>
      <w:r>
        <w:rPr>
          <w:noProof/>
        </w:rPr>
        <w:tab/>
        <w:t>Основни права</w:t>
      </w:r>
    </w:p>
    <w:p w:rsidR="00AF59D3" w:rsidRDefault="00D97484">
      <w:pPr>
        <w:rPr>
          <w:noProof/>
        </w:rPr>
      </w:pPr>
      <w:r>
        <w:rPr>
          <w:noProof/>
        </w:rPr>
        <w:t>В указанията за водене на преговори, предложени като приложение към решението, се препоръчва да се разреши започването на пр</w:t>
      </w:r>
      <w:r>
        <w:rPr>
          <w:noProof/>
        </w:rPr>
        <w:t>еговори, като се включи клауза, която позволява суспендиране на споразумението и протокола в случай на нарушаване на правата на човека и на демократичните принципи.</w:t>
      </w:r>
    </w:p>
    <w:p w:rsidR="00AF59D3" w:rsidRDefault="00D97484">
      <w:pPr>
        <w:pStyle w:val="ManualHeading1"/>
        <w:rPr>
          <w:noProof/>
        </w:rPr>
      </w:pPr>
      <w:r>
        <w:rPr>
          <w:noProof/>
        </w:rPr>
        <w:t>4.</w:t>
      </w:r>
      <w:r>
        <w:rPr>
          <w:noProof/>
        </w:rPr>
        <w:tab/>
        <w:t>ОТРАЖЕНИЕ ВЪРХУ БЮДЖЕТА</w:t>
      </w:r>
    </w:p>
    <w:p w:rsidR="00AF59D3" w:rsidRDefault="00D97484">
      <w:pPr>
        <w:rPr>
          <w:noProof/>
        </w:rPr>
      </w:pPr>
      <w:r>
        <w:rPr>
          <w:noProof/>
        </w:rPr>
        <w:t>Отражението върху бюджета, свързано с новото споразумение и прот</w:t>
      </w:r>
      <w:r>
        <w:rPr>
          <w:noProof/>
        </w:rPr>
        <w:t>окол, ще изисква на Република Гамбия да се изплати финансово участие, което е съвместимо с многогодишната финансова рамка за периода 2014—2020 г., и по-конкретно средства по бюджетния ред за споразуменията за партньорство в областта на устойчивото рибарств</w:t>
      </w:r>
      <w:r>
        <w:rPr>
          <w:noProof/>
        </w:rPr>
        <w:t xml:space="preserve">о. Годишните суми за поетите задължения и плащанията са установени в </w:t>
      </w:r>
      <w:r>
        <w:rPr>
          <w:noProof/>
        </w:rPr>
        <w:lastRenderedPageBreak/>
        <w:t>годишната бюджетна процедура, включително в бюджетен ред „Резерви“ по отношение на протоколите, които не са влезли в сила към началото на годината</w:t>
      </w:r>
      <w:r>
        <w:rPr>
          <w:rStyle w:val="FootnoteReference"/>
          <w:noProof/>
        </w:rPr>
        <w:footnoteReference w:id="1"/>
      </w:r>
      <w:r>
        <w:rPr>
          <w:noProof/>
        </w:rPr>
        <w:t>.</w:t>
      </w:r>
    </w:p>
    <w:p w:rsidR="00AF59D3" w:rsidRDefault="00D97484">
      <w:pPr>
        <w:pStyle w:val="ManualHeading1"/>
        <w:rPr>
          <w:noProof/>
        </w:rPr>
      </w:pPr>
      <w:r>
        <w:rPr>
          <w:noProof/>
        </w:rPr>
        <w:t>5.</w:t>
      </w:r>
      <w:r>
        <w:rPr>
          <w:noProof/>
        </w:rPr>
        <w:tab/>
        <w:t>ДРУГИ ЕЛЕМЕНТИ</w:t>
      </w:r>
    </w:p>
    <w:p w:rsidR="00AF59D3" w:rsidRDefault="00D97484">
      <w:pPr>
        <w:pStyle w:val="ManualHeading2"/>
        <w:rPr>
          <w:noProof/>
        </w:rPr>
      </w:pPr>
      <w:r>
        <w:rPr>
          <w:noProof/>
        </w:rPr>
        <w:t>•</w:t>
      </w:r>
      <w:r>
        <w:rPr>
          <w:noProof/>
        </w:rPr>
        <w:tab/>
        <w:t>Планове за изпълне</w:t>
      </w:r>
      <w:r>
        <w:rPr>
          <w:noProof/>
        </w:rPr>
        <w:t>ние и механизъм за мониторинг, оценка и докладване</w:t>
      </w:r>
    </w:p>
    <w:p w:rsidR="00AF59D3" w:rsidRDefault="00D97484">
      <w:pPr>
        <w:rPr>
          <w:noProof/>
        </w:rPr>
      </w:pPr>
      <w:r>
        <w:rPr>
          <w:noProof/>
        </w:rPr>
        <w:t xml:space="preserve">Очаква се преговорите да започнат през 3-тото или 4-тото тримесечие на 2018 г. </w:t>
      </w:r>
    </w:p>
    <w:p w:rsidR="00AF59D3" w:rsidRDefault="00D97484">
      <w:pPr>
        <w:pStyle w:val="ManualHeading2"/>
        <w:rPr>
          <w:noProof/>
        </w:rPr>
      </w:pPr>
      <w:r>
        <w:rPr>
          <w:noProof/>
        </w:rPr>
        <w:t>•</w:t>
      </w:r>
      <w:r>
        <w:rPr>
          <w:noProof/>
        </w:rPr>
        <w:tab/>
        <w:t>Подробно разяснение на отделните разпоредби на предложението</w:t>
      </w:r>
    </w:p>
    <w:p w:rsidR="00AF59D3" w:rsidRDefault="00D97484">
      <w:pPr>
        <w:rPr>
          <w:noProof/>
        </w:rPr>
      </w:pPr>
      <w:r>
        <w:rPr>
          <w:noProof/>
        </w:rPr>
        <w:t>Комисията препоръчва следното:</w:t>
      </w:r>
    </w:p>
    <w:p w:rsidR="00AF59D3" w:rsidRDefault="00D97484">
      <w:pPr>
        <w:rPr>
          <w:noProof/>
        </w:rPr>
      </w:pPr>
      <w:r>
        <w:rPr>
          <w:noProof/>
        </w:rPr>
        <w:t xml:space="preserve">— Съветът да упълномощи </w:t>
      </w:r>
      <w:r>
        <w:rPr>
          <w:noProof/>
        </w:rPr>
        <w:t>Комисията да започне и проведе преговори за сключването на споразумение за партньорство в областта на устойчивото рибарство с Република Гамбия и на съответен протокол;</w:t>
      </w:r>
    </w:p>
    <w:p w:rsidR="00AF59D3" w:rsidRDefault="00D97484">
      <w:pPr>
        <w:rPr>
          <w:noProof/>
        </w:rPr>
      </w:pPr>
      <w:r>
        <w:rPr>
          <w:noProof/>
        </w:rPr>
        <w:t xml:space="preserve">— Комисията да бъде определена за преговарящ на ЕС по този въпрос; </w:t>
      </w:r>
    </w:p>
    <w:p w:rsidR="00AF59D3" w:rsidRDefault="00D97484">
      <w:pPr>
        <w:rPr>
          <w:noProof/>
        </w:rPr>
      </w:pPr>
      <w:r>
        <w:rPr>
          <w:noProof/>
        </w:rPr>
        <w:t xml:space="preserve">— Комисията да води </w:t>
      </w:r>
      <w:r>
        <w:rPr>
          <w:noProof/>
        </w:rPr>
        <w:t>преговорите, като се консултира със специалния комитет, създаден в съответствие с Договора за функционирането на Европейския съюз;</w:t>
      </w:r>
    </w:p>
    <w:p w:rsidR="00D97484" w:rsidRDefault="00D97484">
      <w:pPr>
        <w:rPr>
          <w:noProof/>
        </w:rPr>
      </w:pPr>
      <w:r>
        <w:rPr>
          <w:noProof/>
        </w:rPr>
        <w:t xml:space="preserve">— Съветът да одобри указанията за водене на преговори, приложени към настоящата препоръка. </w:t>
      </w:r>
    </w:p>
    <w:p w:rsidR="00D97484" w:rsidRDefault="00D97484" w:rsidP="00D97484">
      <w:pPr>
        <w:rPr>
          <w:noProof/>
        </w:rPr>
      </w:pPr>
      <w:r>
        <w:rPr>
          <w:noProof/>
        </w:rPr>
        <w:br w:type="page"/>
      </w:r>
    </w:p>
    <w:p w:rsidR="00AF59D3" w:rsidRDefault="00AF59D3">
      <w:pPr>
        <w:rPr>
          <w:noProof/>
        </w:rPr>
      </w:pPr>
      <w:bookmarkStart w:id="0" w:name="_GoBack"/>
      <w:bookmarkEnd w:id="0"/>
    </w:p>
    <w:p w:rsidR="00AF59D3" w:rsidRDefault="00D97484" w:rsidP="00D97484">
      <w:pPr>
        <w:pStyle w:val="Statut"/>
        <w:rPr>
          <w:noProof/>
        </w:rPr>
      </w:pPr>
      <w:r w:rsidRPr="00D97484">
        <w:t>Препоръка за</w:t>
      </w:r>
    </w:p>
    <w:p w:rsidR="00AF59D3" w:rsidRDefault="00D97484" w:rsidP="00D97484">
      <w:pPr>
        <w:pStyle w:val="Typedudocument"/>
        <w:rPr>
          <w:noProof/>
        </w:rPr>
      </w:pPr>
      <w:r w:rsidRPr="00D97484">
        <w:t>РЕШЕНИЕ НА СЪВЕТА</w:t>
      </w:r>
    </w:p>
    <w:p w:rsidR="00AF59D3" w:rsidRDefault="00D97484" w:rsidP="00D97484">
      <w:pPr>
        <w:pStyle w:val="Titreobjet"/>
        <w:rPr>
          <w:noProof/>
        </w:rPr>
      </w:pPr>
      <w:r w:rsidRPr="00D97484">
        <w:t>за упълномощаване на Комисията да започне преговори от името на Европейския съюз за сключване на споразумение за партньорство в областта на устойчивото рибарство с Република Гамбия и на съответен протокол</w:t>
      </w:r>
    </w:p>
    <w:p w:rsidR="00AF59D3" w:rsidRDefault="00D97484">
      <w:pPr>
        <w:pStyle w:val="Institutionquiagit"/>
        <w:rPr>
          <w:noProof/>
        </w:rPr>
      </w:pPr>
      <w:r>
        <w:rPr>
          <w:noProof/>
        </w:rPr>
        <w:t>СЪВЕТЪТ НА ЕВРОПЕЙСКИЯ СЪЮЗ,</w:t>
      </w:r>
    </w:p>
    <w:p w:rsidR="00AF59D3" w:rsidRDefault="00D97484">
      <w:pPr>
        <w:rPr>
          <w:noProof/>
        </w:rPr>
      </w:pPr>
      <w:r>
        <w:rPr>
          <w:noProof/>
        </w:rPr>
        <w:t>като взе предвид Договор</w:t>
      </w:r>
      <w:r>
        <w:rPr>
          <w:noProof/>
        </w:rPr>
        <w:t>а за функционирането на Европейския съюз, и по-специално член 218, параграфи 3 и 4 от него,</w:t>
      </w:r>
    </w:p>
    <w:p w:rsidR="00AF59D3" w:rsidRDefault="00D97484">
      <w:pPr>
        <w:rPr>
          <w:noProof/>
        </w:rPr>
      </w:pPr>
      <w:r>
        <w:rPr>
          <w:noProof/>
        </w:rPr>
        <w:t>като взе предвид препоръката на Комисията,</w:t>
      </w:r>
    </w:p>
    <w:p w:rsidR="00AF59D3" w:rsidRDefault="00D97484">
      <w:pPr>
        <w:rPr>
          <w:noProof/>
        </w:rPr>
      </w:pPr>
      <w:r>
        <w:rPr>
          <w:noProof/>
        </w:rPr>
        <w:t>като има предвид, че следва да започнат преговори с цел сключване на споразумение за партньорство в областта на устойчиво</w:t>
      </w:r>
      <w:r>
        <w:rPr>
          <w:noProof/>
        </w:rPr>
        <w:t>то рибарство и съответен протокол с Република Гамбия,</w:t>
      </w:r>
      <w:r>
        <w:t xml:space="preserve"> </w:t>
      </w:r>
    </w:p>
    <w:p w:rsidR="00AF59D3" w:rsidRDefault="00D97484">
      <w:pPr>
        <w:pStyle w:val="Formuledadoption"/>
        <w:rPr>
          <w:noProof/>
        </w:rPr>
      </w:pPr>
      <w:r>
        <w:rPr>
          <w:noProof/>
        </w:rPr>
        <w:t xml:space="preserve">ПРИЕ НАСТОЯЩОТО РЕШЕНИЕ: </w:t>
      </w:r>
    </w:p>
    <w:p w:rsidR="00AF59D3" w:rsidRDefault="00D97484">
      <w:pPr>
        <w:pStyle w:val="Titrearticle"/>
        <w:rPr>
          <w:noProof/>
        </w:rPr>
      </w:pPr>
      <w:r>
        <w:rPr>
          <w:noProof/>
        </w:rPr>
        <w:t>Член 1</w:t>
      </w:r>
    </w:p>
    <w:p w:rsidR="00AF59D3" w:rsidRDefault="00D97484">
      <w:pPr>
        <w:rPr>
          <w:noProof/>
        </w:rPr>
      </w:pPr>
      <w:r>
        <w:rPr>
          <w:noProof/>
        </w:rPr>
        <w:t>Комисията се упълномощава да преговаря от името на Европейския съюз с цел сключването на споразумение за партньорство в областта на устойчивото рибарство и на съответен</w:t>
      </w:r>
      <w:r>
        <w:rPr>
          <w:noProof/>
        </w:rPr>
        <w:t xml:space="preserve"> протокол с Република Гамбия.</w:t>
      </w:r>
    </w:p>
    <w:p w:rsidR="00AF59D3" w:rsidRDefault="00D97484">
      <w:pPr>
        <w:pStyle w:val="Titrearticle"/>
        <w:rPr>
          <w:noProof/>
        </w:rPr>
      </w:pPr>
      <w:r>
        <w:rPr>
          <w:noProof/>
        </w:rPr>
        <w:t>Член 2</w:t>
      </w:r>
    </w:p>
    <w:p w:rsidR="00AF59D3" w:rsidRDefault="00D97484">
      <w:pPr>
        <w:rPr>
          <w:noProof/>
        </w:rPr>
      </w:pPr>
      <w:r>
        <w:rPr>
          <w:noProof/>
        </w:rPr>
        <w:t>Тези преговори се провеждат в консултация със специалния комитет, определен от Съвета, и в съответствие с указанията за водене на преговори, съдържащи се в приложението.</w:t>
      </w:r>
    </w:p>
    <w:p w:rsidR="00AF59D3" w:rsidRDefault="00D97484">
      <w:pPr>
        <w:pStyle w:val="Titrearticle"/>
        <w:rPr>
          <w:noProof/>
        </w:rPr>
      </w:pPr>
      <w:r>
        <w:rPr>
          <w:noProof/>
        </w:rPr>
        <w:t>Член 3</w:t>
      </w:r>
    </w:p>
    <w:p w:rsidR="00AF59D3" w:rsidRDefault="00D97484">
      <w:pPr>
        <w:rPr>
          <w:noProof/>
        </w:rPr>
      </w:pPr>
      <w:r>
        <w:rPr>
          <w:noProof/>
        </w:rPr>
        <w:t>Адресат на настоящото решение е Европейска</w:t>
      </w:r>
      <w:r>
        <w:rPr>
          <w:noProof/>
        </w:rPr>
        <w:t>та комисия.</w:t>
      </w:r>
    </w:p>
    <w:p w:rsidR="00AF59D3" w:rsidRDefault="00D97484" w:rsidP="00D97484">
      <w:pPr>
        <w:pStyle w:val="Fait"/>
        <w:rPr>
          <w:noProof/>
        </w:rPr>
      </w:pPr>
      <w:r w:rsidRPr="00D97484">
        <w:t xml:space="preserve">Съставено в Брюксел на </w:t>
      </w:r>
      <w:r w:rsidRPr="00D97484">
        <w:rPr>
          <w:rStyle w:val="Marker"/>
        </w:rPr>
        <w:t>[…]</w:t>
      </w:r>
      <w:r w:rsidRPr="00D97484">
        <w:t xml:space="preserve"> година.</w:t>
      </w:r>
    </w:p>
    <w:p w:rsidR="00AF59D3" w:rsidRDefault="00D97484">
      <w:pPr>
        <w:pStyle w:val="Institutionquisigne"/>
        <w:rPr>
          <w:noProof/>
        </w:rPr>
      </w:pPr>
      <w:r>
        <w:rPr>
          <w:noProof/>
        </w:rPr>
        <w:tab/>
        <w:t>За Съвета</w:t>
      </w:r>
    </w:p>
    <w:p w:rsidR="00AF59D3" w:rsidRDefault="00D97484">
      <w:pPr>
        <w:pStyle w:val="Personnequisigne"/>
        <w:rPr>
          <w:noProof/>
        </w:rPr>
      </w:pPr>
      <w:r>
        <w:rPr>
          <w:noProof/>
        </w:rPr>
        <w:tab/>
        <w:t>Председател</w:t>
      </w:r>
    </w:p>
    <w:sectPr w:rsidR="00AF59D3" w:rsidSect="00D97484">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D3" w:rsidRDefault="00D97484">
      <w:pPr>
        <w:spacing w:before="0" w:after="0"/>
      </w:pPr>
      <w:r>
        <w:separator/>
      </w:r>
    </w:p>
  </w:endnote>
  <w:endnote w:type="continuationSeparator" w:id="0">
    <w:p w:rsidR="00AF59D3" w:rsidRDefault="00D974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D3" w:rsidRPr="00D97484" w:rsidRDefault="00D97484" w:rsidP="00D97484">
    <w:pPr>
      <w:pStyle w:val="Footer"/>
      <w:rPr>
        <w:rFonts w:ascii="Arial" w:hAnsi="Arial" w:cs="Arial"/>
        <w:b/>
        <w:sz w:val="48"/>
      </w:rPr>
    </w:pPr>
    <w:r w:rsidRPr="00D97484">
      <w:rPr>
        <w:rFonts w:ascii="Arial" w:hAnsi="Arial" w:cs="Arial"/>
        <w:b/>
        <w:sz w:val="48"/>
      </w:rPr>
      <w:t>BG</w:t>
    </w:r>
    <w:r w:rsidRPr="00D97484">
      <w:rPr>
        <w:rFonts w:ascii="Arial" w:hAnsi="Arial" w:cs="Arial"/>
        <w:b/>
        <w:sz w:val="48"/>
      </w:rPr>
      <w:tab/>
    </w:r>
    <w:r w:rsidRPr="00D97484">
      <w:rPr>
        <w:rFonts w:ascii="Arial" w:hAnsi="Arial" w:cs="Arial"/>
        <w:b/>
        <w:sz w:val="48"/>
      </w:rPr>
      <w:tab/>
    </w:r>
    <w:r w:rsidRPr="00D97484">
      <w:tab/>
    </w:r>
    <w:proofErr w:type="spellStart"/>
    <w:r w:rsidRPr="00D97484">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Footer"/>
      <w:rPr>
        <w:rFonts w:ascii="Arial" w:hAnsi="Arial" w:cs="Arial"/>
        <w:b/>
        <w:sz w:val="48"/>
      </w:rPr>
    </w:pPr>
    <w:r w:rsidRPr="00D97484">
      <w:rPr>
        <w:rFonts w:ascii="Arial" w:hAnsi="Arial" w:cs="Arial"/>
        <w:b/>
        <w:sz w:val="48"/>
      </w:rPr>
      <w:t>BG</w:t>
    </w:r>
    <w:r w:rsidRPr="00D97484">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D97484">
      <w:tab/>
    </w:r>
    <w:r w:rsidRPr="00D97484">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D3" w:rsidRDefault="00D97484">
      <w:pPr>
        <w:spacing w:before="0" w:after="0"/>
      </w:pPr>
      <w:r>
        <w:separator/>
      </w:r>
    </w:p>
  </w:footnote>
  <w:footnote w:type="continuationSeparator" w:id="0">
    <w:p w:rsidR="00AF59D3" w:rsidRDefault="00D97484">
      <w:pPr>
        <w:spacing w:before="0" w:after="0"/>
      </w:pPr>
      <w:r>
        <w:continuationSeparator/>
      </w:r>
    </w:p>
  </w:footnote>
  <w:footnote w:id="1">
    <w:p w:rsidR="00AF59D3" w:rsidRDefault="00D97484">
      <w:pPr>
        <w:pStyle w:val="FootnoteText"/>
      </w:pPr>
      <w:r>
        <w:rPr>
          <w:rStyle w:val="FootnoteReference"/>
        </w:rPr>
        <w:footnoteRef/>
      </w:r>
      <w:r>
        <w:tab/>
        <w:t xml:space="preserve">Глава 40 (бюджетен ред 40 02 41 — „Резерви“) в съответствие с </w:t>
      </w:r>
      <w:proofErr w:type="spellStart"/>
      <w:r>
        <w:t>междуинституционалното</w:t>
      </w:r>
      <w:proofErr w:type="spellEnd"/>
      <w:r>
        <w:t xml:space="preserve"> споразумение относно многогодишната финансова рамка (2013/C</w:t>
      </w:r>
      <w:r>
        <w:t xml:space="preserve">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84" w:rsidRPr="00D97484" w:rsidRDefault="00D97484" w:rsidP="00D97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F189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647C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1A9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54D5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846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73697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4B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63869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12 16:01: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F551CB8-A77C-4CFF-9BA0-A4E32C830C3F"/>
    <w:docVar w:name="LW_COVERPAGE_TYPE" w:val="1"/>
    <w:docVar w:name="LW_CROSSREFERENCE" w:val="&lt;UNUSED&gt;"/>
    <w:docVar w:name="LW_DocType" w:val="COM"/>
    <w:docVar w:name="LW_EMISSION" w:val="17.7.2018"/>
    <w:docVar w:name="LW_EMISSION_ISODATE" w:val="2018-07-17"/>
    <w:docVar w:name="LW_EMISSION_LOCATION" w:val="BRX"/>
    <w:docVar w:name="LW_EMISSION_PREFIX" w:val="\u1041?\u1088?\u1102?\u1082?\u1089?\u1077?\u1083?,"/>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5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91?\u1087?\u1098?\u1083?\u1085?\u1086?\u1084?\u1086?\u1097?\u1072?\u1074?\u1072?\u1085?\u1077? \u1085?\u1072? \u1050?\u1086?\u1084?\u1080?\u1089?\u1080?\u1103?\u1090?\u1072? \u1076?\u1072? \u1079?\u1072?\u1087?\u1086?\u1095?\u1085?\u1077? \u1087?\u1088?\u1077?\u1075?\u1086?\u1074?\u1086?\u1088?\u1080? \u1086?\u1090? \u1080?\u1084?\u1077?\u1090?\u1086? \u1085?\u1072? \u1045?\u1074?\u1088?\u1086?\u1087?\u1077?\u1081?\u1089?\u1082?\u1080?\u1103? \u1089?\u1098?\u1102?\u1079? \u1079?\u1072? \u1089?\u1082?\u1083?\u1102?\u1095?\u1074?\u1072?\u1085?\u1077? \u1085?\u1072? \u1089?\u1087?\u1086?\u1088?\u1072?\u1079?\u1091?\u1084?\u1077?\u1085?\u1080?\u1077? \u1079?\u1072? \u1087?\u1072?\u1088?\u1090?\u1085?\u1100?\u1086?\u1088?\u1089?\u1090?\u1074?\u1086? \u1074? \u1086?\u1073?\u1083?\u1072?\u1089?\u1090?\u1090?\u1072? \u1085?\u1072? \u1091?\u1089?\u1090?\u1086?\u1081?\u1095?\u1080?\u1074?\u1086?\u1090?\u1086? \u1088?\u1080?\u1073?\u1072?\u1088?\u1089?\u1090?\u1074?\u1086? \u1089? \u1056?\u1077?\u1087?\u1091?\u1073?\u1083?\u1080?\u1082?\u1072? \u1043?\u1072?\u1084?\u1073?\u1080?\u1103? \u1080? \u1085?\u1072? \u1089?\u1098?\u1086?\u1090?\u1074?\u1077?\u1090?\u1077?\u1085? \u1087?\u1088?\u1086?\u1090?\u1086?\u1082?\u1086?\u1083?"/>
    <w:docVar w:name="LW_TYPE.DOC.CP" w:val="\u1056?\u1045?\u1064?\u1045?\u1053?\u1048?\u1045? \u1053?\u1040? \u1057?\u1066?\u1042?\u1045?\u1058?\u1040?"/>
  </w:docVars>
  <w:rsids>
    <w:rsidRoot w:val="00AF59D3"/>
    <w:rsid w:val="00AF59D3"/>
    <w:rsid w:val="00D9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9748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97484"/>
    <w:rPr>
      <w:rFonts w:ascii="Times New Roman" w:hAnsi="Times New Roman" w:cs="Times New Roman"/>
      <w:sz w:val="24"/>
      <w:lang w:eastAsia="en-US" w:bidi="ar-SA"/>
    </w:rPr>
  </w:style>
  <w:style w:type="paragraph" w:styleId="Footer">
    <w:name w:val="footer"/>
    <w:basedOn w:val="Normal"/>
    <w:link w:val="FooterChar"/>
    <w:uiPriority w:val="99"/>
    <w:unhideWhenUsed/>
    <w:rsid w:val="00D9748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9748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7484"/>
    <w:pPr>
      <w:tabs>
        <w:tab w:val="center" w:pos="7285"/>
        <w:tab w:val="right" w:pos="14003"/>
      </w:tabs>
      <w:spacing w:before="0"/>
    </w:pPr>
    <w:rPr>
      <w:lang w:eastAsia="en-US" w:bidi="ar-SA"/>
    </w:rPr>
  </w:style>
  <w:style w:type="paragraph" w:customStyle="1" w:styleId="FooterLandscape">
    <w:name w:val="FooterLandscape"/>
    <w:basedOn w:val="Normal"/>
    <w:rsid w:val="00D9748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9748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9748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PlaceholderText">
    <w:name w:val="Placeholder Text"/>
    <w:basedOn w:val="DefaultParagraphFont"/>
    <w:uiPriority w:val="99"/>
    <w:semiHidden/>
    <w:rPr>
      <w:color w:val="80808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D9748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97484"/>
    <w:rPr>
      <w:rFonts w:ascii="Times New Roman" w:hAnsi="Times New Roman" w:cs="Times New Roman"/>
      <w:sz w:val="24"/>
      <w:lang w:eastAsia="en-US" w:bidi="ar-SA"/>
    </w:rPr>
  </w:style>
  <w:style w:type="paragraph" w:styleId="Footer">
    <w:name w:val="footer"/>
    <w:basedOn w:val="Normal"/>
    <w:link w:val="FooterChar"/>
    <w:uiPriority w:val="99"/>
    <w:unhideWhenUsed/>
    <w:rsid w:val="00D9748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D9748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97484"/>
    <w:pPr>
      <w:tabs>
        <w:tab w:val="center" w:pos="7285"/>
        <w:tab w:val="right" w:pos="14003"/>
      </w:tabs>
      <w:spacing w:before="0"/>
    </w:pPr>
    <w:rPr>
      <w:lang w:eastAsia="en-US" w:bidi="ar-SA"/>
    </w:rPr>
  </w:style>
  <w:style w:type="paragraph" w:customStyle="1" w:styleId="FooterLandscape">
    <w:name w:val="FooterLandscape"/>
    <w:basedOn w:val="Normal"/>
    <w:rsid w:val="00D9748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9748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D9748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3456">
      <w:bodyDiv w:val="1"/>
      <w:marLeft w:val="0"/>
      <w:marRight w:val="0"/>
      <w:marTop w:val="0"/>
      <w:marBottom w:val="0"/>
      <w:divBdr>
        <w:top w:val="none" w:sz="0" w:space="0" w:color="auto"/>
        <w:left w:val="none" w:sz="0" w:space="0" w:color="auto"/>
        <w:bottom w:val="none" w:sz="0" w:space="0" w:color="auto"/>
        <w:right w:val="none" w:sz="0" w:space="0" w:color="auto"/>
      </w:divBdr>
    </w:div>
    <w:div w:id="1844314648">
      <w:bodyDiv w:val="1"/>
      <w:marLeft w:val="0"/>
      <w:marRight w:val="0"/>
      <w:marTop w:val="0"/>
      <w:marBottom w:val="0"/>
      <w:divBdr>
        <w:top w:val="none" w:sz="0" w:space="0" w:color="auto"/>
        <w:left w:val="none" w:sz="0" w:space="0" w:color="auto"/>
        <w:bottom w:val="none" w:sz="0" w:space="0" w:color="auto"/>
        <w:right w:val="none" w:sz="0" w:space="0" w:color="auto"/>
      </w:divBdr>
    </w:div>
    <w:div w:id="21066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1C00-5113-418E-8607-2C75A10A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1027</Words>
  <Characters>6053</Characters>
  <Application>Microsoft Office Word</Application>
  <DocSecurity>0</DocSecurity>
  <Lines>128</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cp:lastPrinted>2018-03-12T08:50:00Z</cp:lastPrinted>
  <dcterms:created xsi:type="dcterms:W3CDTF">2018-06-25T08:11:00Z</dcterms:created>
  <dcterms:modified xsi:type="dcterms:W3CDTF">2018-07-16T15:05:00Z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Yellow (DQC version 03)</vt:lpwstr>
  </property>
</Properties>
</file>