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675DBC21-1940-47B4-BAB9-5DA8BF66495F" style="width:450.75pt;height:351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noProof/>
        </w:rPr>
      </w:pPr>
      <w:r>
        <w:rPr>
          <w:noProof/>
        </w:rPr>
        <w:t>Настоящото предложение касае решението за позицията, която да се заеме от името на Съюза на срещата на участниците в Споразумението за официално подкрепяните експортни кредити („срещата на участниците“) във връзка с предвиденото приемане на решение за разширение на обхвата на приложение V към посоченото споразумение (отрасловата договореност относно експортните кредити за железопътна инфраструктура (RSU), за да се включат въжените линии и тролейбусите.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 xml:space="preserve">Споразумението за официално подкрепяните експортни кредити </w:t>
      </w:r>
    </w:p>
    <w:p>
      <w:pPr>
        <w:rPr>
          <w:noProof/>
        </w:rPr>
      </w:pPr>
      <w:r>
        <w:rPr>
          <w:noProof/>
        </w:rPr>
        <w:t>Споразумението, което няма задължителен характер („джентълменско споразумение“), е между ЕС, САЩ, Канада, Япония, Корея, Норвегия, Швейцария, Австралия и Нова Зеландия и неговата цел е да осигури рамка за реда за ползване на официално подкрепяните експортни кредити. На практика това означава, че с него се цели осигуряване на еднакви условия на конкуренция (при които конкуренцията се основава на цената и качеството на изнасяните стоки, а не на осигурените финансови условия) и премахване на субсидиите и изкривяванията на търговията във връзка с официално подкрепяните експортни кредити. Споразумението влезе в сила през април 1978 г. То е с неограничен срок на действие и въпреки че се ползва с административната подкрепа от секретариата на ОИСР, то не е акт на ОИСР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. </w:t>
      </w:r>
    </w:p>
    <w:p>
      <w:pPr>
        <w:rPr>
          <w:noProof/>
        </w:rPr>
      </w:pPr>
      <w:r>
        <w:rPr>
          <w:noProof/>
        </w:rPr>
        <w:t>Споразумението подлежи на редовни актуализации, за да се вземат предвид новите аспекти от развитието на техниката и политиката, които засягат експортните кредити в различни сектори. Съдържащите се в Споразумението насоки бяха включени в законодателството на Съюза и поради това придобиха правно задължителен характер в ЕС с Регламент (ЕС) № 1233/2011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  <w:vertAlign w:val="superscript"/>
        </w:rPr>
        <w:t>,</w:t>
      </w:r>
      <w:r>
        <w:rPr>
          <w:noProof/>
        </w:rPr>
        <w:t xml:space="preserve"> 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. Актуализациите се включват редовно в законодателството на ЕС чрез делегирани актове съгласно член 2 от посочения регламент. 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Срещата на участниците в Споразумението за официално подкрепяните експортни кредити</w:t>
      </w:r>
    </w:p>
    <w:p>
      <w:pPr>
        <w:rPr>
          <w:noProof/>
        </w:rPr>
      </w:pPr>
      <w:r>
        <w:rPr>
          <w:noProof/>
        </w:rPr>
        <w:t>Европейската комисия представлява Съюза на срещата на участниците, където се взимат решенията по всички изменения на Споразумението с консенсус между 9-та участници. Позицията на Съюза се изготвя чрез консултации с държавите членки, представени в работната група за експортно кредитиране към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Член 67 от Споразумението предвижда: „Участниците преразглеждат редовно функционирането на Споразумението. При преразглеждането участниците проучват, наред с другото, процедурите за уведомяване, въвеждането и функционирането на системата на диференцирани сконтови проценти, правилата и процедурите в областта на обвързаната помощ, въпросите по приравняването, предходните ангажименти и евентуалното разширение на кръга на участниците в Споразумението“.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Предвиденият акт на срещата на участниците в Споразумението за официално подкрепяните експортни кредити</w:t>
      </w:r>
    </w:p>
    <w:p>
      <w:pPr>
        <w:rPr>
          <w:noProof/>
        </w:rPr>
      </w:pPr>
      <w:r>
        <w:rPr>
          <w:noProof/>
        </w:rPr>
        <w:t>По време на 136-та и 137-та среща на участниците на 16 ноември 2017 г. участниците обсъдиха предложението на Съюза да се разшири обхватът на RSU, за да се включат въжените линии и тролейбусите. На 137-та среща на участниците към Съюза бе отправено искане да представи допълнителна информация за финансовата обосновка за разширението на обхвата на RSU с оглед на включването на тези инфраструктури. Делегатите от ЕС представиха тази информация на 138-та среща на участниците, която се проведе на 14 и 15 март 2018 г. По време на тази среща нито един участник не възрази срещу предлаганото разширение на обхвата.</w:t>
      </w:r>
    </w:p>
    <w:p>
      <w:pPr>
        <w:rPr>
          <w:noProof/>
        </w:rPr>
      </w:pPr>
      <w:r>
        <w:rPr>
          <w:noProof/>
        </w:rPr>
        <w:t>По време на 140-та сесия (седмицата на 14 ноември 2018 г.) на срещата на участниците трябва да се приеме решение, изготвено от Секретариата на базата на предложението на Съюза („предвидения акт“).</w:t>
      </w:r>
    </w:p>
    <w:p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>Позиция, която да се заеме от името на Съюза</w:t>
      </w:r>
    </w:p>
    <w:p>
      <w:pPr>
        <w:rPr>
          <w:noProof/>
        </w:rPr>
      </w:pPr>
      <w:r>
        <w:rPr>
          <w:noProof/>
        </w:rPr>
        <w:t xml:space="preserve">Настоящият обхват на RSU е ограничен до проектите във връзка с железопътната инфраструктура. Има обаче други системи за транспорт, които не са базирани на железопътната инфраструктура, но които са неразделна част от системите за обществен транспорт, особено в градските зони. Въжените линии и тролейбусите са такива примери за системи за обществен транспорт, които не са на базата на железопътния път и към които интересът непрекъснато се увеличава в градската транспортна инфраструктура на големите градове, по-конкретно в държавите с бързо развиваща се икономика. Понастоящем тези проекти не могат обаче да се ползват от условията по RSU, които са по-добре адаптирани към естеството на тези проекти. Производителите от ЕС на този вид инфраструктура биха се възползвали от разширението на обхвата, тъй като ще са в състояние да предоставят по-добри условия на клиентите си. </w:t>
      </w:r>
    </w:p>
    <w:p>
      <w:pPr>
        <w:rPr>
          <w:noProof/>
        </w:rPr>
      </w:pPr>
      <w:r>
        <w:rPr>
          <w:noProof/>
        </w:rPr>
        <w:t xml:space="preserve">Обикновено по проектите във връзка с въжените линии и тролейбусите разходите по изграждането са над минималната обща договорна стойност по RSU от 10 млн. СПТ, а по принцип експлоатационният срок на тяхната инфраструктура надхвърля 20 години. Поради това те са подобни на други железопътни инфраструктурни проекти, които понастоящем са в обхвата на RSU и съответно се ползват от по-дълги срокове на погасяване. </w:t>
      </w:r>
    </w:p>
    <w:p>
      <w:pPr>
        <w:rPr>
          <w:noProof/>
        </w:rPr>
      </w:pPr>
      <w:r>
        <w:rPr>
          <w:noProof/>
        </w:rPr>
        <w:t>Проектите във връзка с въжените линии и тролейбусите основно се възлагат от публични субекти, които често са с ограничен достъп до финансовите търговски пазари. Разширението на обхвата на RSU, за да се включат въжените линии и тролейбусите, би дало възможност да се използват официално подкрепяните експортни кредити за тези проекти при специалните условия по RSU, като така се осигурят по-дълги срокове на погасяване, които биха улеснили изпълнението на тези проекти.</w:t>
      </w:r>
    </w:p>
    <w:p>
      <w:pPr>
        <w:rPr>
          <w:noProof/>
        </w:rPr>
      </w:pPr>
      <w:r>
        <w:rPr>
          <w:noProof/>
        </w:rPr>
        <w:t xml:space="preserve">Поради това се препоръчва ЕС да подкрепи разширението на обхвата на RSU, за да се включат въжените линии и тролейбусите. 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5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Прилагане в конкретния случай</w:t>
      </w:r>
    </w:p>
    <w:p>
      <w:pPr>
        <w:rPr>
          <w:noProof/>
        </w:rPr>
      </w:pPr>
      <w:r>
        <w:rPr>
          <w:noProof/>
        </w:rPr>
        <w:t>Актът, който срещата на участниците трябва да приеме, представлява акт с правно действие. Предвиденият акт има правно действие, тъй като по силата на член 2 от Регламент (ЕС) № 1233/2011 Комисията е длъжна да приема делегирани актове в законодателството на Съюза в резултат на измененията на насоките, договорени от участниците в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 218, параграф 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Прилагане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съдържанието на предвидения акт са свързани с уредбата на официално подкрепяните експортни кредити, които са в обхвата на общата търговска политика. Поради това материалноправното основание за предложеното решение е член 207.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 207 във връзка с член 218, параграф 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</w:rPr>
      </w:pPr>
      <w:r>
        <w:rPr>
          <w:noProof/>
        </w:rPr>
        <w:t>Тъй като с акта на срещата на участниците ще се внесат изменения в Споразумението за официално подкрепяните експортни кредити, е целесъобразно след приемането му този акт да се публикува в Официален вестник на Европейския съюз.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2018/0289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се заеме от името на Европейския съюз на срещата на участниците в Споразумението за официално подкрепяните експортни кредити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Насоките, съдържащи се в Споразумението за официално подкрепяните експортни кредити („Споразумението“), се прилагат в Съюза по силата на Регламент (ЕС) № 1233/2011 на Европейския парламент и на Съвета</w:t>
      </w:r>
      <w:r>
        <w:rPr>
          <w:rStyle w:val="FootnoteReference"/>
          <w:noProof/>
        </w:rPr>
        <w:footnoteReference w:id="6"/>
      </w:r>
      <w:r>
        <w:rPr>
          <w:noProof/>
          <w:vertAlign w:val="superscript"/>
        </w:rPr>
        <w:t>,</w:t>
      </w:r>
      <w:r>
        <w:rPr>
          <w:noProof/>
        </w:rPr>
        <w:t xml:space="preserve"> 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На 140-та сесия на срещата на участниците в Споразумението, която ще се проведе през седмицата на 14 ноември 2018 г., трябва да се приеме решение за разширение на обхвата на приложение V към Споразумението за официално подкрепяните експортни кредити (отрасловата договореност относно експортните кредити за железопътна инфраструктура), за да се включат въжените линии и тролейбусите, както предлага Съюзът.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Целесъобразно е да се определи позицията, която да се заеме от името на Съюза на срещата на участниците в Споразумението във връзка с това предложение.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Въжените линии и тролейбусите понастоящем не са в обхвата на приложение V към Споразумението. За да се улесни финансирането на тези видове инфраструктура, особено в държавите с бързо развиваща се икономика, би било удачно да се разшири обхватът на приложение V, като се вземат предвид трудностите, които изпитват публичните субекти, обичайно изпълняващи тези проекти, с оглед на достъпа до финансиране, експлоатационният срок на тези инфраструктури и екологичните предимства, които осигуряват.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 на Съюза е да подкрепи разширението на обхвата на приложение V към Споразумението за официално подкрепяните експортни кредити (отрасловата договореност относно експортните кредити за железопътна инфраструктура), за да се включат въжените линии и тролейбусите.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Както е определено в член 5 от Конвенцията на ОИСР.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1233/2011 на Европейския парламент и на Съвета от 16 ноември 2011 г. за прилагането на определени насоки в областта на официално подкрепяните експортни кредити и за отмяна на решения 2001/76/ЕО и 2001/77/ЕО на Съвета (ОВ L 326, 8.12.2011 г., стр. 45).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 xml:space="preserve">В миналото предишните редакции на Споразумението на ОИСР са били транспонирани в правото на ЕС с решения на Съвета. 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относно създаване на Група за координиране на политиките за кредитно застраховане, кредитни гаранции и финансови кредити, OВ 66, 27.10.1960 г., стр. 1339/60.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от 7 октомври 2014 г., Германия/Съвет, C-399/12, ECLI:EU:C:2014:2258, т. 61 — 64. 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1233/2011 на Европейския парламент и на Съвета от 16 ноември 2011 г. за прилагането на определени насоки в областта на официално подкрепяните експортни кредити и за отмяна на решения 2001/76/ЕО и 2001/77/ЕО на Съвета (ОВ L 326, 8.12.2011 г., стр. 45).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В миналото предишните редакции на Споразумението на ОИСР са били транспонирани в правото на ЕС с решения на Съвета.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506DA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460EF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E0235C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FE88C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D8C44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C9E7F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C5624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DF407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12 10:51:2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675DBC21-1940-47B4-BAB9-5DA8BF66495F"/>
    <w:docVar w:name="LW_COVERPAGE_TYPE" w:val="1"/>
    <w:docVar w:name="LW_CROSSREFERENCE" w:val="&lt;UNUSED&gt;"/>
    <w:docVar w:name="LW_DocType" w:val="COM"/>
    <w:docVar w:name="LW_EMISSION" w:val="19.7.2018"/>
    <w:docVar w:name="LW_EMISSION_ISODATE" w:val="2018-07-19"/>
    <w:docVar w:name="LW_EMISSION_LOCATION" w:val="BRX"/>
    <w:docVar w:name="LW_EMISSION_PREFIX" w:val="Брюксел, "/>
    <w:docVar w:name="LW_EMISSION_SUFFIX" w:val="&lt;EMPTY&gt;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89"/>
    <w:docVar w:name="LW_REF.II.NEW.CP_YEAR" w:val="2018"/>
    <w:docVar w:name="LW_REF.INST.NEW" w:val="COM"/>
    <w:docVar w:name="LW_REF.INST.NEW_ADOPTED" w:val="final"/>
    <w:docVar w:name="LW_REF.INST.NEW_TEXT" w:val="(2018) 54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85?\u1072? \u1089?\u1088?\u1077?\u1097?\u1072?\u1090?\u1072? \u1085?\u1072? \u1091?\u1095?\u1072?\u1089?\u1090?\u1085?\u1080?\u1094?\u1080?\u1090?\u1077? \u1074? \u1057?\u1087?\u1086?\u1088?\u1072?\u1079?\u1091?\u1084?\u1077?\u1085?\u1080?\u1077?\u1090?\u1086? \u1079?\u1072? \u1086?\u1092?\u1080?\u1094?\u1080?\u1072?\u1083?\u1085?\u1086? \u1087?\u1086?\u1076?\u1082?\u1088?\u1077?\u1087?\u1103?\u1085?\u1080?\u1090?\u1077? \u1077?\u1082?\u1089?\u1087?\u1086?\u1088?\u1090?\u1085?\u1080? \u1082?\u1088?\u1077?\u1076?\u1080?\u1090?\u108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AF00-7628-4266-9815-178658ED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7</Pages>
  <Words>1513</Words>
  <Characters>8793</Characters>
  <Application>Microsoft Office Word</Application>
  <DocSecurity>0</DocSecurity>
  <Lines>162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2018-03-19T16:58:00Z</cp:lastPrinted>
  <dcterms:created xsi:type="dcterms:W3CDTF">2018-07-02T13:49:00Z</dcterms:created>
  <dcterms:modified xsi:type="dcterms:W3CDTF">2018-07-12T08:51:00Z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