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241" w:rsidRDefault="00DE62F9">
      <w:pPr>
        <w:pStyle w:val="Pagedecouverture"/>
        <w:rPr>
          <w:rStyle w:val="Hyperlink"/>
          <w:rFonts w:ascii="Arial" w:hAnsi="Arial" w:cs="Arial"/>
          <w:noProof/>
          <w:color w:val="4F81BD"/>
          <w:u w:val="none"/>
          <w:lang w:val="bg-BG" w:eastAsia="en-US"/>
        </w:rPr>
      </w:pPr>
      <w:bookmarkStart w:id="0" w:name="LW_BM_COVERPAGE"/>
      <w:bookmarkStart w:id="1" w:name="_Toc444796643"/>
      <w:r>
        <w:rPr>
          <w:rStyle w:val="Hyperlink"/>
          <w:rFonts w:ascii="Arial" w:hAnsi="Arial" w:cs="Arial"/>
          <w:noProof/>
          <w:color w:val="4F81BD"/>
          <w:u w:val="none"/>
          <w:lang w:val="bg-B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90548E2-47D0-401E-9B10-E95B29D9D9BF" style="width:450.75pt;height:321pt">
            <v:imagedata r:id="rId13" o:title=""/>
          </v:shape>
        </w:pict>
      </w:r>
    </w:p>
    <w:bookmarkEnd w:id="0"/>
    <w:p w:rsidR="00286241" w:rsidRDefault="00286241">
      <w:pPr>
        <w:rPr>
          <w:rStyle w:val="Hyperlink"/>
          <w:rFonts w:ascii="Arial" w:hAnsi="Arial" w:cs="Arial"/>
          <w:noProof/>
          <w:color w:val="4F81BD"/>
          <w:u w:val="none"/>
          <w:lang w:val="bg-BG" w:eastAsia="en-US"/>
        </w:rPr>
        <w:sectPr w:rsidR="00286241">
          <w:headerReference w:type="even" r:id="rId14"/>
          <w:headerReference w:type="default" r:id="rId15"/>
          <w:footerReference w:type="even" r:id="rId16"/>
          <w:footerReference w:type="default" r:id="rId17"/>
          <w:headerReference w:type="first" r:id="rId18"/>
          <w:footerReference w:type="first" r:id="rId19"/>
          <w:pgSz w:w="11906" w:h="16838" w:code="9"/>
          <w:pgMar w:top="1134" w:right="1417" w:bottom="1134" w:left="1417" w:header="709" w:footer="709" w:gutter="0"/>
          <w:pgNumType w:start="2"/>
          <w:cols w:space="720"/>
          <w:docGrid w:linePitch="360"/>
        </w:sectPr>
      </w:pPr>
    </w:p>
    <w:p w:rsidR="00286241" w:rsidRDefault="00FC31FA">
      <w:pPr>
        <w:pStyle w:val="TOC2"/>
        <w:widowControl/>
        <w:adjustRightInd/>
        <w:ind w:left="240"/>
        <w:jc w:val="left"/>
        <w:textAlignment w:val="auto"/>
        <w:rPr>
          <w:rStyle w:val="Hyperlink"/>
          <w:rFonts w:ascii="Arial" w:hAnsi="Arial"/>
          <w:color w:val="4F81BD"/>
          <w:u w:val="none"/>
          <w:lang w:val="bg-BG" w:eastAsia="en-US"/>
        </w:rPr>
      </w:pPr>
      <w:r>
        <w:rPr>
          <w:rStyle w:val="Hyperlink"/>
          <w:rFonts w:ascii="Arial" w:hAnsi="Arial"/>
          <w:color w:val="4F81BD"/>
          <w:u w:val="none"/>
          <w:lang w:val="bg-BG" w:eastAsia="en-US"/>
        </w:rPr>
        <w:lastRenderedPageBreak/>
        <w:fldChar w:fldCharType="begin"/>
      </w:r>
      <w:r>
        <w:rPr>
          <w:rStyle w:val="Hyperlink"/>
          <w:rFonts w:ascii="Arial" w:hAnsi="Arial"/>
          <w:color w:val="4F81BD"/>
          <w:u w:val="none"/>
          <w:lang w:val="bg-BG" w:eastAsia="en-US"/>
        </w:rPr>
        <w:instrText xml:space="preserve"> TOC \o "1-2" \h \z \u </w:instrText>
      </w:r>
      <w:r>
        <w:rPr>
          <w:rStyle w:val="Hyperlink"/>
          <w:rFonts w:ascii="Arial" w:hAnsi="Arial"/>
          <w:color w:val="4F81BD"/>
          <w:u w:val="none"/>
          <w:lang w:val="bg-BG" w:eastAsia="en-US"/>
        </w:rPr>
        <w:fldChar w:fldCharType="separate"/>
      </w:r>
      <w:hyperlink w:anchor="_Toc519698061" w:history="1">
        <w:r>
          <w:rPr>
            <w:rStyle w:val="Hyperlink"/>
            <w:rFonts w:ascii="Arial" w:hAnsi="Arial"/>
            <w:color w:val="4F81BD"/>
            <w:u w:val="none"/>
            <w:lang w:val="bg-BG" w:eastAsia="en-US"/>
          </w:rPr>
          <w:t>Въведение</w:t>
        </w:r>
        <w:r>
          <w:rPr>
            <w:rStyle w:val="Hyperlink"/>
            <w:rFonts w:ascii="Arial" w:hAnsi="Arial"/>
            <w:webHidden/>
            <w:color w:val="4F81BD"/>
            <w:u w:val="none"/>
            <w:lang w:val="bg-BG" w:eastAsia="en-US"/>
          </w:rPr>
          <w:tab/>
        </w:r>
        <w:r>
          <w:rPr>
            <w:rStyle w:val="Hyperlink"/>
            <w:rFonts w:ascii="Arial" w:hAnsi="Arial"/>
            <w:webHidden/>
            <w:color w:val="4F81BD"/>
            <w:u w:val="none"/>
            <w:lang w:val="bg-BG" w:eastAsia="en-US"/>
          </w:rPr>
          <w:fldChar w:fldCharType="begin"/>
        </w:r>
        <w:r>
          <w:rPr>
            <w:rStyle w:val="Hyperlink"/>
            <w:rFonts w:ascii="Arial" w:hAnsi="Arial"/>
            <w:webHidden/>
            <w:color w:val="4F81BD"/>
            <w:u w:val="none"/>
            <w:lang w:val="bg-BG" w:eastAsia="en-US"/>
          </w:rPr>
          <w:instrText xml:space="preserve"> PAGEREF _Toc519698061 \h </w:instrText>
        </w:r>
        <w:r>
          <w:rPr>
            <w:rStyle w:val="Hyperlink"/>
            <w:rFonts w:ascii="Arial" w:hAnsi="Arial"/>
            <w:webHidden/>
            <w:color w:val="4F81BD"/>
            <w:u w:val="none"/>
            <w:lang w:val="bg-BG" w:eastAsia="en-US"/>
          </w:rPr>
        </w:r>
        <w:r>
          <w:rPr>
            <w:rStyle w:val="Hyperlink"/>
            <w:rFonts w:ascii="Arial" w:hAnsi="Arial"/>
            <w:webHidden/>
            <w:color w:val="4F81BD"/>
            <w:u w:val="none"/>
            <w:lang w:val="bg-BG" w:eastAsia="en-US"/>
          </w:rPr>
          <w:fldChar w:fldCharType="separate"/>
        </w:r>
        <w:r>
          <w:rPr>
            <w:rStyle w:val="Hyperlink"/>
            <w:rFonts w:ascii="Arial" w:hAnsi="Arial"/>
            <w:webHidden/>
            <w:color w:val="4F81BD"/>
            <w:u w:val="none"/>
            <w:lang w:val="bg-BG" w:eastAsia="en-US"/>
          </w:rPr>
          <w:t>2</w:t>
        </w:r>
        <w:r>
          <w:rPr>
            <w:rStyle w:val="Hyperlink"/>
            <w:rFonts w:ascii="Arial" w:hAnsi="Arial"/>
            <w:webHidden/>
            <w:color w:val="4F81BD"/>
            <w:u w:val="none"/>
            <w:lang w:val="bg-BG" w:eastAsia="en-US"/>
          </w:rPr>
          <w:fldChar w:fldCharType="end"/>
        </w:r>
      </w:hyperlink>
    </w:p>
    <w:p w:rsidR="00286241" w:rsidRDefault="00DE62F9">
      <w:pPr>
        <w:pStyle w:val="TOC2"/>
        <w:widowControl/>
        <w:adjustRightInd/>
        <w:ind w:left="240"/>
        <w:jc w:val="left"/>
        <w:textAlignment w:val="auto"/>
        <w:rPr>
          <w:rStyle w:val="Hyperlink"/>
          <w:rFonts w:ascii="Arial" w:hAnsi="Arial"/>
          <w:color w:val="4F81BD"/>
          <w:u w:val="none"/>
          <w:lang w:val="bg-BG" w:eastAsia="en-US"/>
        </w:rPr>
      </w:pPr>
      <w:hyperlink w:anchor="_Toc519698062" w:history="1">
        <w:r w:rsidR="00FC31FA">
          <w:rPr>
            <w:rStyle w:val="Hyperlink"/>
            <w:rFonts w:ascii="Arial" w:hAnsi="Arial"/>
            <w:color w:val="4F81BD"/>
            <w:u w:val="none"/>
            <w:lang w:val="bg-BG" w:eastAsia="en-US"/>
          </w:rPr>
          <w:t>Правоприлагането е от ключово значение за правилното изпълнение на политиката на ЕС</w:t>
        </w:r>
        <w:r w:rsidR="00FC31FA">
          <w:rPr>
            <w:rStyle w:val="Hyperlink"/>
            <w:rFonts w:ascii="Arial" w:hAnsi="Arial"/>
            <w:webHidden/>
            <w:color w:val="4F81BD"/>
            <w:u w:val="none"/>
            <w:lang w:val="bg-BG" w:eastAsia="en-US"/>
          </w:rPr>
          <w:tab/>
        </w:r>
        <w:r w:rsidR="00FC31FA">
          <w:rPr>
            <w:rStyle w:val="Hyperlink"/>
            <w:rFonts w:ascii="Arial" w:hAnsi="Arial"/>
            <w:webHidden/>
            <w:color w:val="4F81BD"/>
            <w:u w:val="none"/>
            <w:lang w:val="bg-BG" w:eastAsia="en-US"/>
          </w:rPr>
          <w:fldChar w:fldCharType="begin"/>
        </w:r>
        <w:r w:rsidR="00FC31FA">
          <w:rPr>
            <w:rStyle w:val="Hyperlink"/>
            <w:rFonts w:ascii="Arial" w:hAnsi="Arial"/>
            <w:webHidden/>
            <w:color w:val="4F81BD"/>
            <w:u w:val="none"/>
            <w:lang w:val="bg-BG" w:eastAsia="en-US"/>
          </w:rPr>
          <w:instrText xml:space="preserve"> PAGEREF _Toc519698062 \h </w:instrText>
        </w:r>
        <w:r w:rsidR="00FC31FA">
          <w:rPr>
            <w:rStyle w:val="Hyperlink"/>
            <w:rFonts w:ascii="Arial" w:hAnsi="Arial"/>
            <w:webHidden/>
            <w:color w:val="4F81BD"/>
            <w:u w:val="none"/>
            <w:lang w:val="bg-BG" w:eastAsia="en-US"/>
          </w:rPr>
        </w:r>
        <w:r w:rsidR="00FC31FA">
          <w:rPr>
            <w:rStyle w:val="Hyperlink"/>
            <w:rFonts w:ascii="Arial" w:hAnsi="Arial"/>
            <w:webHidden/>
            <w:color w:val="4F81BD"/>
            <w:u w:val="none"/>
            <w:lang w:val="bg-BG" w:eastAsia="en-US"/>
          </w:rPr>
          <w:fldChar w:fldCharType="separate"/>
        </w:r>
        <w:r w:rsidR="00FC31FA">
          <w:rPr>
            <w:rStyle w:val="Hyperlink"/>
            <w:rFonts w:ascii="Arial" w:hAnsi="Arial"/>
            <w:webHidden/>
            <w:color w:val="4F81BD"/>
            <w:u w:val="none"/>
            <w:lang w:val="bg-BG" w:eastAsia="en-US"/>
          </w:rPr>
          <w:t>4</w:t>
        </w:r>
        <w:r w:rsidR="00FC31FA">
          <w:rPr>
            <w:rStyle w:val="Hyperlink"/>
            <w:rFonts w:ascii="Arial" w:hAnsi="Arial"/>
            <w:webHidden/>
            <w:color w:val="4F81BD"/>
            <w:u w:val="none"/>
            <w:lang w:val="bg-BG" w:eastAsia="en-US"/>
          </w:rPr>
          <w:fldChar w:fldCharType="end"/>
        </w:r>
      </w:hyperlink>
    </w:p>
    <w:p w:rsidR="00286241" w:rsidRDefault="00DE62F9">
      <w:pPr>
        <w:pStyle w:val="TOC2"/>
        <w:widowControl/>
        <w:adjustRightInd/>
        <w:ind w:left="240"/>
        <w:jc w:val="left"/>
        <w:textAlignment w:val="auto"/>
        <w:rPr>
          <w:rStyle w:val="Hyperlink"/>
          <w:rFonts w:ascii="Arial" w:hAnsi="Arial"/>
          <w:color w:val="4F81BD"/>
          <w:u w:val="none"/>
          <w:lang w:val="bg-BG" w:eastAsia="en-US"/>
        </w:rPr>
      </w:pPr>
      <w:hyperlink w:anchor="_Toc519698063" w:history="1">
        <w:r w:rsidR="00FC31FA">
          <w:rPr>
            <w:rStyle w:val="Hyperlink"/>
            <w:rFonts w:ascii="Arial" w:hAnsi="Arial"/>
            <w:color w:val="4F81BD"/>
            <w:u w:val="none"/>
            <w:lang w:val="bg-BG" w:eastAsia="en-US"/>
          </w:rPr>
          <w:t>1.</w:t>
        </w:r>
        <w:r w:rsidR="00FC31FA">
          <w:rPr>
            <w:rStyle w:val="Hyperlink"/>
            <w:rFonts w:ascii="Arial" w:hAnsi="Arial"/>
            <w:color w:val="4F81BD"/>
            <w:u w:val="none"/>
            <w:lang w:val="bg-BG" w:eastAsia="en-US"/>
          </w:rPr>
          <w:tab/>
          <w:t>Нови стимули за работните места, растежа и инвестициите</w:t>
        </w:r>
        <w:r w:rsidR="00FC31FA">
          <w:rPr>
            <w:rStyle w:val="Hyperlink"/>
            <w:rFonts w:ascii="Arial" w:hAnsi="Arial"/>
            <w:webHidden/>
            <w:color w:val="4F81BD"/>
            <w:u w:val="none"/>
            <w:lang w:val="bg-BG" w:eastAsia="en-US"/>
          </w:rPr>
          <w:tab/>
        </w:r>
        <w:r w:rsidR="00FC31FA">
          <w:rPr>
            <w:rStyle w:val="Hyperlink"/>
            <w:rFonts w:ascii="Arial" w:hAnsi="Arial"/>
            <w:webHidden/>
            <w:color w:val="4F81BD"/>
            <w:u w:val="none"/>
            <w:lang w:val="bg-BG" w:eastAsia="en-US"/>
          </w:rPr>
          <w:fldChar w:fldCharType="begin"/>
        </w:r>
        <w:r w:rsidR="00FC31FA">
          <w:rPr>
            <w:rStyle w:val="Hyperlink"/>
            <w:rFonts w:ascii="Arial" w:hAnsi="Arial"/>
            <w:webHidden/>
            <w:color w:val="4F81BD"/>
            <w:u w:val="none"/>
            <w:lang w:val="bg-BG" w:eastAsia="en-US"/>
          </w:rPr>
          <w:instrText xml:space="preserve"> PAGEREF _Toc519698063 \h </w:instrText>
        </w:r>
        <w:r w:rsidR="00FC31FA">
          <w:rPr>
            <w:rStyle w:val="Hyperlink"/>
            <w:rFonts w:ascii="Arial" w:hAnsi="Arial"/>
            <w:webHidden/>
            <w:color w:val="4F81BD"/>
            <w:u w:val="none"/>
            <w:lang w:val="bg-BG" w:eastAsia="en-US"/>
          </w:rPr>
        </w:r>
        <w:r w:rsidR="00FC31FA">
          <w:rPr>
            <w:rStyle w:val="Hyperlink"/>
            <w:rFonts w:ascii="Arial" w:hAnsi="Arial"/>
            <w:webHidden/>
            <w:color w:val="4F81BD"/>
            <w:u w:val="none"/>
            <w:lang w:val="bg-BG" w:eastAsia="en-US"/>
          </w:rPr>
          <w:fldChar w:fldCharType="separate"/>
        </w:r>
        <w:r w:rsidR="00FC31FA">
          <w:rPr>
            <w:rStyle w:val="Hyperlink"/>
            <w:rFonts w:ascii="Arial" w:hAnsi="Arial"/>
            <w:webHidden/>
            <w:color w:val="4F81BD"/>
            <w:u w:val="none"/>
            <w:lang w:val="bg-BG" w:eastAsia="en-US"/>
          </w:rPr>
          <w:t>7</w:t>
        </w:r>
        <w:r w:rsidR="00FC31FA">
          <w:rPr>
            <w:rStyle w:val="Hyperlink"/>
            <w:rFonts w:ascii="Arial" w:hAnsi="Arial"/>
            <w:webHidden/>
            <w:color w:val="4F81BD"/>
            <w:u w:val="none"/>
            <w:lang w:val="bg-BG" w:eastAsia="en-US"/>
          </w:rPr>
          <w:fldChar w:fldCharType="end"/>
        </w:r>
      </w:hyperlink>
    </w:p>
    <w:p w:rsidR="00286241" w:rsidRDefault="00DE62F9">
      <w:pPr>
        <w:pStyle w:val="TOC2"/>
        <w:widowControl/>
        <w:adjustRightInd/>
        <w:ind w:left="240"/>
        <w:jc w:val="left"/>
        <w:textAlignment w:val="auto"/>
        <w:rPr>
          <w:rStyle w:val="Hyperlink"/>
          <w:rFonts w:ascii="Arial" w:hAnsi="Arial"/>
          <w:color w:val="4F81BD"/>
          <w:u w:val="none"/>
          <w:lang w:val="bg-BG" w:eastAsia="en-US"/>
        </w:rPr>
      </w:pPr>
      <w:hyperlink w:anchor="_Toc519698064" w:history="1">
        <w:r w:rsidR="00FC31FA">
          <w:rPr>
            <w:rStyle w:val="Hyperlink"/>
            <w:rFonts w:ascii="Arial" w:hAnsi="Arial"/>
            <w:color w:val="4F81BD"/>
            <w:u w:val="none"/>
            <w:lang w:val="bg-BG" w:eastAsia="en-US"/>
          </w:rPr>
          <w:t>2.</w:t>
        </w:r>
        <w:r w:rsidR="00FC31FA">
          <w:rPr>
            <w:rStyle w:val="Hyperlink"/>
            <w:rFonts w:ascii="Arial" w:hAnsi="Arial"/>
            <w:color w:val="4F81BD"/>
            <w:u w:val="none"/>
            <w:lang w:val="bg-BG" w:eastAsia="en-US"/>
          </w:rPr>
          <w:tab/>
          <w:t>Свързан цифров единен пазар</w:t>
        </w:r>
        <w:r w:rsidR="00FC31FA">
          <w:rPr>
            <w:rStyle w:val="Hyperlink"/>
            <w:rFonts w:ascii="Arial" w:hAnsi="Arial"/>
            <w:webHidden/>
            <w:color w:val="4F81BD"/>
            <w:u w:val="none"/>
            <w:lang w:val="bg-BG" w:eastAsia="en-US"/>
          </w:rPr>
          <w:tab/>
        </w:r>
        <w:r w:rsidR="00FC31FA">
          <w:rPr>
            <w:rStyle w:val="Hyperlink"/>
            <w:rFonts w:ascii="Arial" w:hAnsi="Arial"/>
            <w:webHidden/>
            <w:color w:val="4F81BD"/>
            <w:u w:val="none"/>
            <w:lang w:val="bg-BG" w:eastAsia="en-US"/>
          </w:rPr>
          <w:fldChar w:fldCharType="begin"/>
        </w:r>
        <w:r w:rsidR="00FC31FA">
          <w:rPr>
            <w:rStyle w:val="Hyperlink"/>
            <w:rFonts w:ascii="Arial" w:hAnsi="Arial"/>
            <w:webHidden/>
            <w:color w:val="4F81BD"/>
            <w:u w:val="none"/>
            <w:lang w:val="bg-BG" w:eastAsia="en-US"/>
          </w:rPr>
          <w:instrText xml:space="preserve"> PAGEREF _Toc519698064 \h </w:instrText>
        </w:r>
        <w:r w:rsidR="00FC31FA">
          <w:rPr>
            <w:rStyle w:val="Hyperlink"/>
            <w:rFonts w:ascii="Arial" w:hAnsi="Arial"/>
            <w:webHidden/>
            <w:color w:val="4F81BD"/>
            <w:u w:val="none"/>
            <w:lang w:val="bg-BG" w:eastAsia="en-US"/>
          </w:rPr>
        </w:r>
        <w:r w:rsidR="00FC31FA">
          <w:rPr>
            <w:rStyle w:val="Hyperlink"/>
            <w:rFonts w:ascii="Arial" w:hAnsi="Arial"/>
            <w:webHidden/>
            <w:color w:val="4F81BD"/>
            <w:u w:val="none"/>
            <w:lang w:val="bg-BG" w:eastAsia="en-US"/>
          </w:rPr>
          <w:fldChar w:fldCharType="separate"/>
        </w:r>
        <w:r w:rsidR="00FC31FA">
          <w:rPr>
            <w:rStyle w:val="Hyperlink"/>
            <w:rFonts w:ascii="Arial" w:hAnsi="Arial"/>
            <w:webHidden/>
            <w:color w:val="4F81BD"/>
            <w:u w:val="none"/>
            <w:lang w:val="bg-BG" w:eastAsia="en-US"/>
          </w:rPr>
          <w:t>14</w:t>
        </w:r>
        <w:r w:rsidR="00FC31FA">
          <w:rPr>
            <w:rStyle w:val="Hyperlink"/>
            <w:rFonts w:ascii="Arial" w:hAnsi="Arial"/>
            <w:webHidden/>
            <w:color w:val="4F81BD"/>
            <w:u w:val="none"/>
            <w:lang w:val="bg-BG" w:eastAsia="en-US"/>
          </w:rPr>
          <w:fldChar w:fldCharType="end"/>
        </w:r>
      </w:hyperlink>
    </w:p>
    <w:p w:rsidR="00286241" w:rsidRDefault="00DE62F9">
      <w:pPr>
        <w:pStyle w:val="TOC2"/>
        <w:widowControl/>
        <w:adjustRightInd/>
        <w:ind w:left="720" w:hanging="480"/>
        <w:jc w:val="left"/>
        <w:textAlignment w:val="auto"/>
        <w:rPr>
          <w:rStyle w:val="Hyperlink"/>
          <w:rFonts w:ascii="Arial" w:hAnsi="Arial"/>
          <w:color w:val="4F81BD"/>
          <w:u w:val="none"/>
          <w:lang w:val="bg-BG" w:eastAsia="en-US"/>
        </w:rPr>
      </w:pPr>
      <w:hyperlink w:anchor="_Toc519698065" w:history="1">
        <w:r w:rsidR="00FC31FA">
          <w:rPr>
            <w:rStyle w:val="Hyperlink"/>
            <w:rFonts w:ascii="Arial" w:hAnsi="Arial"/>
            <w:color w:val="4F81BD"/>
            <w:u w:val="none"/>
            <w:lang w:val="bg-BG" w:eastAsia="en-US"/>
          </w:rPr>
          <w:t>3.</w:t>
        </w:r>
        <w:r w:rsidR="00FC31FA">
          <w:rPr>
            <w:rStyle w:val="Hyperlink"/>
            <w:rFonts w:ascii="Arial" w:hAnsi="Arial"/>
            <w:color w:val="4F81BD"/>
            <w:u w:val="none"/>
            <w:lang w:val="bg-BG" w:eastAsia="en-US"/>
          </w:rPr>
          <w:tab/>
          <w:t>Устойчив енергиен съюз с ориентирана към бъдещето политика по въпросите на изменението на климата</w:t>
        </w:r>
        <w:r w:rsidR="00FC31FA">
          <w:rPr>
            <w:rStyle w:val="Hyperlink"/>
            <w:rFonts w:ascii="Arial" w:hAnsi="Arial"/>
            <w:webHidden/>
            <w:color w:val="4F81BD"/>
            <w:u w:val="none"/>
            <w:lang w:val="bg-BG" w:eastAsia="en-US"/>
          </w:rPr>
          <w:tab/>
        </w:r>
        <w:r w:rsidR="00FC31FA">
          <w:rPr>
            <w:rStyle w:val="Hyperlink"/>
            <w:rFonts w:ascii="Arial" w:hAnsi="Arial"/>
            <w:webHidden/>
            <w:color w:val="4F81BD"/>
            <w:u w:val="none"/>
            <w:lang w:val="bg-BG" w:eastAsia="en-US"/>
          </w:rPr>
          <w:fldChar w:fldCharType="begin"/>
        </w:r>
        <w:r w:rsidR="00FC31FA">
          <w:rPr>
            <w:rStyle w:val="Hyperlink"/>
            <w:rFonts w:ascii="Arial" w:hAnsi="Arial"/>
            <w:webHidden/>
            <w:color w:val="4F81BD"/>
            <w:u w:val="none"/>
            <w:lang w:val="bg-BG" w:eastAsia="en-US"/>
          </w:rPr>
          <w:instrText xml:space="preserve"> PAGEREF _Toc519698065 \h </w:instrText>
        </w:r>
        <w:r w:rsidR="00FC31FA">
          <w:rPr>
            <w:rStyle w:val="Hyperlink"/>
            <w:rFonts w:ascii="Arial" w:hAnsi="Arial"/>
            <w:webHidden/>
            <w:color w:val="4F81BD"/>
            <w:u w:val="none"/>
            <w:lang w:val="bg-BG" w:eastAsia="en-US"/>
          </w:rPr>
        </w:r>
        <w:r w:rsidR="00FC31FA">
          <w:rPr>
            <w:rStyle w:val="Hyperlink"/>
            <w:rFonts w:ascii="Arial" w:hAnsi="Arial"/>
            <w:webHidden/>
            <w:color w:val="4F81BD"/>
            <w:u w:val="none"/>
            <w:lang w:val="bg-BG" w:eastAsia="en-US"/>
          </w:rPr>
          <w:fldChar w:fldCharType="separate"/>
        </w:r>
        <w:r w:rsidR="00FC31FA">
          <w:rPr>
            <w:rStyle w:val="Hyperlink"/>
            <w:rFonts w:ascii="Arial" w:hAnsi="Arial"/>
            <w:webHidden/>
            <w:color w:val="4F81BD"/>
            <w:u w:val="none"/>
            <w:lang w:val="bg-BG" w:eastAsia="en-US"/>
          </w:rPr>
          <w:t>17</w:t>
        </w:r>
        <w:r w:rsidR="00FC31FA">
          <w:rPr>
            <w:rStyle w:val="Hyperlink"/>
            <w:rFonts w:ascii="Arial" w:hAnsi="Arial"/>
            <w:webHidden/>
            <w:color w:val="4F81BD"/>
            <w:u w:val="none"/>
            <w:lang w:val="bg-BG" w:eastAsia="en-US"/>
          </w:rPr>
          <w:fldChar w:fldCharType="end"/>
        </w:r>
      </w:hyperlink>
    </w:p>
    <w:p w:rsidR="00286241" w:rsidRDefault="00DE62F9">
      <w:pPr>
        <w:pStyle w:val="TOC2"/>
        <w:widowControl/>
        <w:adjustRightInd/>
        <w:ind w:left="240"/>
        <w:jc w:val="left"/>
        <w:textAlignment w:val="auto"/>
        <w:rPr>
          <w:rStyle w:val="Hyperlink"/>
          <w:rFonts w:ascii="Arial" w:hAnsi="Arial"/>
          <w:color w:val="4F81BD"/>
          <w:u w:val="none"/>
          <w:lang w:val="bg-BG" w:eastAsia="en-US"/>
        </w:rPr>
      </w:pPr>
      <w:hyperlink w:anchor="_Toc519698066" w:history="1">
        <w:r w:rsidR="00FC31FA">
          <w:rPr>
            <w:rStyle w:val="Hyperlink"/>
            <w:rFonts w:ascii="Arial" w:hAnsi="Arial"/>
            <w:color w:val="4F81BD"/>
            <w:u w:val="none"/>
            <w:lang w:val="bg-BG" w:eastAsia="en-US"/>
          </w:rPr>
          <w:t>4.</w:t>
        </w:r>
        <w:r w:rsidR="00FC31FA">
          <w:rPr>
            <w:rStyle w:val="Hyperlink"/>
            <w:rFonts w:ascii="Arial" w:hAnsi="Arial"/>
            <w:color w:val="4F81BD"/>
            <w:u w:val="none"/>
            <w:lang w:val="bg-BG" w:eastAsia="en-US"/>
          </w:rPr>
          <w:tab/>
          <w:t>По-задълбочен и по-справедлив вътрешен пазар със засилена промишлена база</w:t>
        </w:r>
        <w:r w:rsidR="00FC31FA">
          <w:rPr>
            <w:rStyle w:val="Hyperlink"/>
            <w:rFonts w:ascii="Arial" w:hAnsi="Arial"/>
            <w:webHidden/>
            <w:color w:val="4F81BD"/>
            <w:u w:val="none"/>
            <w:lang w:val="bg-BG" w:eastAsia="en-US"/>
          </w:rPr>
          <w:tab/>
        </w:r>
        <w:r w:rsidR="00FC31FA">
          <w:rPr>
            <w:rStyle w:val="Hyperlink"/>
            <w:rFonts w:ascii="Arial" w:hAnsi="Arial"/>
            <w:webHidden/>
            <w:color w:val="4F81BD"/>
            <w:u w:val="none"/>
            <w:lang w:val="bg-BG" w:eastAsia="en-US"/>
          </w:rPr>
          <w:fldChar w:fldCharType="begin"/>
        </w:r>
        <w:r w:rsidR="00FC31FA">
          <w:rPr>
            <w:rStyle w:val="Hyperlink"/>
            <w:rFonts w:ascii="Arial" w:hAnsi="Arial"/>
            <w:webHidden/>
            <w:color w:val="4F81BD"/>
            <w:u w:val="none"/>
            <w:lang w:val="bg-BG" w:eastAsia="en-US"/>
          </w:rPr>
          <w:instrText xml:space="preserve"> PAGEREF _Toc519698066 \h </w:instrText>
        </w:r>
        <w:r w:rsidR="00FC31FA">
          <w:rPr>
            <w:rStyle w:val="Hyperlink"/>
            <w:rFonts w:ascii="Arial" w:hAnsi="Arial"/>
            <w:webHidden/>
            <w:color w:val="4F81BD"/>
            <w:u w:val="none"/>
            <w:lang w:val="bg-BG" w:eastAsia="en-US"/>
          </w:rPr>
        </w:r>
        <w:r w:rsidR="00FC31FA">
          <w:rPr>
            <w:rStyle w:val="Hyperlink"/>
            <w:rFonts w:ascii="Arial" w:hAnsi="Arial"/>
            <w:webHidden/>
            <w:color w:val="4F81BD"/>
            <w:u w:val="none"/>
            <w:lang w:val="bg-BG" w:eastAsia="en-US"/>
          </w:rPr>
          <w:fldChar w:fldCharType="separate"/>
        </w:r>
        <w:r w:rsidR="00FC31FA">
          <w:rPr>
            <w:rStyle w:val="Hyperlink"/>
            <w:rFonts w:ascii="Arial" w:hAnsi="Arial"/>
            <w:webHidden/>
            <w:color w:val="4F81BD"/>
            <w:u w:val="none"/>
            <w:lang w:val="bg-BG" w:eastAsia="en-US"/>
          </w:rPr>
          <w:t>20</w:t>
        </w:r>
        <w:r w:rsidR="00FC31FA">
          <w:rPr>
            <w:rStyle w:val="Hyperlink"/>
            <w:rFonts w:ascii="Arial" w:hAnsi="Arial"/>
            <w:webHidden/>
            <w:color w:val="4F81BD"/>
            <w:u w:val="none"/>
            <w:lang w:val="bg-BG" w:eastAsia="en-US"/>
          </w:rPr>
          <w:fldChar w:fldCharType="end"/>
        </w:r>
      </w:hyperlink>
    </w:p>
    <w:p w:rsidR="00286241" w:rsidRDefault="00DE62F9">
      <w:pPr>
        <w:pStyle w:val="TOC2"/>
        <w:widowControl/>
        <w:adjustRightInd/>
        <w:ind w:left="240"/>
        <w:jc w:val="left"/>
        <w:textAlignment w:val="auto"/>
        <w:rPr>
          <w:rStyle w:val="Hyperlink"/>
          <w:rFonts w:ascii="Arial" w:hAnsi="Arial"/>
          <w:color w:val="4F81BD"/>
          <w:u w:val="none"/>
          <w:lang w:val="bg-BG" w:eastAsia="en-US"/>
        </w:rPr>
      </w:pPr>
      <w:hyperlink w:anchor="_Toc519698067" w:history="1">
        <w:r w:rsidR="00FC31FA">
          <w:rPr>
            <w:rStyle w:val="Hyperlink"/>
            <w:rFonts w:ascii="Arial" w:hAnsi="Arial"/>
            <w:color w:val="4F81BD"/>
            <w:u w:val="none"/>
            <w:lang w:val="bg-BG" w:eastAsia="en-US"/>
          </w:rPr>
          <w:t>5.</w:t>
        </w:r>
        <w:r w:rsidR="00FC31FA">
          <w:rPr>
            <w:rStyle w:val="Hyperlink"/>
            <w:rFonts w:ascii="Arial" w:hAnsi="Arial"/>
            <w:color w:val="4F81BD"/>
            <w:u w:val="none"/>
            <w:lang w:val="bg-BG" w:eastAsia="en-US"/>
          </w:rPr>
          <w:tab/>
          <w:t>По-задълбочен и по-справедлив икономически и паричен съюз</w:t>
        </w:r>
        <w:r w:rsidR="00FC31FA">
          <w:rPr>
            <w:rStyle w:val="Hyperlink"/>
            <w:rFonts w:ascii="Arial" w:hAnsi="Arial"/>
            <w:webHidden/>
            <w:color w:val="4F81BD"/>
            <w:u w:val="none"/>
            <w:lang w:val="bg-BG" w:eastAsia="en-US"/>
          </w:rPr>
          <w:tab/>
        </w:r>
        <w:r w:rsidR="00FC31FA">
          <w:rPr>
            <w:rStyle w:val="Hyperlink"/>
            <w:rFonts w:ascii="Arial" w:hAnsi="Arial"/>
            <w:webHidden/>
            <w:color w:val="4F81BD"/>
            <w:u w:val="none"/>
            <w:lang w:val="bg-BG" w:eastAsia="en-US"/>
          </w:rPr>
          <w:fldChar w:fldCharType="begin"/>
        </w:r>
        <w:r w:rsidR="00FC31FA">
          <w:rPr>
            <w:rStyle w:val="Hyperlink"/>
            <w:rFonts w:ascii="Arial" w:hAnsi="Arial"/>
            <w:webHidden/>
            <w:color w:val="4F81BD"/>
            <w:u w:val="none"/>
            <w:lang w:val="bg-BG" w:eastAsia="en-US"/>
          </w:rPr>
          <w:instrText xml:space="preserve"> PAGEREF _Toc519698067 \h </w:instrText>
        </w:r>
        <w:r w:rsidR="00FC31FA">
          <w:rPr>
            <w:rStyle w:val="Hyperlink"/>
            <w:rFonts w:ascii="Arial" w:hAnsi="Arial"/>
            <w:webHidden/>
            <w:color w:val="4F81BD"/>
            <w:u w:val="none"/>
            <w:lang w:val="bg-BG" w:eastAsia="en-US"/>
          </w:rPr>
        </w:r>
        <w:r w:rsidR="00FC31FA">
          <w:rPr>
            <w:rStyle w:val="Hyperlink"/>
            <w:rFonts w:ascii="Arial" w:hAnsi="Arial"/>
            <w:webHidden/>
            <w:color w:val="4F81BD"/>
            <w:u w:val="none"/>
            <w:lang w:val="bg-BG" w:eastAsia="en-US"/>
          </w:rPr>
          <w:fldChar w:fldCharType="separate"/>
        </w:r>
        <w:r w:rsidR="00FC31FA">
          <w:rPr>
            <w:rStyle w:val="Hyperlink"/>
            <w:rFonts w:ascii="Arial" w:hAnsi="Arial"/>
            <w:webHidden/>
            <w:color w:val="4F81BD"/>
            <w:u w:val="none"/>
            <w:lang w:val="bg-BG" w:eastAsia="en-US"/>
          </w:rPr>
          <w:t>33</w:t>
        </w:r>
        <w:r w:rsidR="00FC31FA">
          <w:rPr>
            <w:rStyle w:val="Hyperlink"/>
            <w:rFonts w:ascii="Arial" w:hAnsi="Arial"/>
            <w:webHidden/>
            <w:color w:val="4F81BD"/>
            <w:u w:val="none"/>
            <w:lang w:val="bg-BG" w:eastAsia="en-US"/>
          </w:rPr>
          <w:fldChar w:fldCharType="end"/>
        </w:r>
      </w:hyperlink>
    </w:p>
    <w:p w:rsidR="00286241" w:rsidRDefault="00DE62F9">
      <w:pPr>
        <w:pStyle w:val="TOC2"/>
        <w:widowControl/>
        <w:adjustRightInd/>
        <w:ind w:left="240"/>
        <w:jc w:val="left"/>
        <w:textAlignment w:val="auto"/>
        <w:rPr>
          <w:rStyle w:val="Hyperlink"/>
          <w:rFonts w:ascii="Arial" w:hAnsi="Arial"/>
          <w:color w:val="4F81BD"/>
          <w:u w:val="none"/>
          <w:lang w:val="bg-BG" w:eastAsia="en-US"/>
        </w:rPr>
      </w:pPr>
      <w:hyperlink w:anchor="_Toc519698068" w:history="1">
        <w:r w:rsidR="00FC31FA">
          <w:rPr>
            <w:rStyle w:val="Hyperlink"/>
            <w:rFonts w:ascii="Arial" w:hAnsi="Arial"/>
            <w:color w:val="4F81BD"/>
            <w:u w:val="none"/>
            <w:lang w:val="bg-BG" w:eastAsia="en-US"/>
          </w:rPr>
          <w:t>6.</w:t>
        </w:r>
        <w:r w:rsidR="00FC31FA">
          <w:rPr>
            <w:rStyle w:val="Hyperlink"/>
            <w:rFonts w:ascii="Arial" w:hAnsi="Arial"/>
            <w:color w:val="4F81BD"/>
            <w:u w:val="none"/>
            <w:lang w:val="bg-BG" w:eastAsia="en-US"/>
          </w:rPr>
          <w:tab/>
          <w:t>Пространство на правосъдие и основни права, изградено върху взаимно доверие</w:t>
        </w:r>
        <w:r w:rsidR="00FC31FA">
          <w:rPr>
            <w:rStyle w:val="Hyperlink"/>
            <w:rFonts w:ascii="Arial" w:hAnsi="Arial"/>
            <w:webHidden/>
            <w:color w:val="4F81BD"/>
            <w:u w:val="none"/>
            <w:lang w:val="bg-BG" w:eastAsia="en-US"/>
          </w:rPr>
          <w:tab/>
        </w:r>
        <w:r w:rsidR="00FC31FA">
          <w:rPr>
            <w:rStyle w:val="Hyperlink"/>
            <w:rFonts w:ascii="Arial" w:hAnsi="Arial"/>
            <w:webHidden/>
            <w:color w:val="4F81BD"/>
            <w:u w:val="none"/>
            <w:lang w:val="bg-BG" w:eastAsia="en-US"/>
          </w:rPr>
          <w:fldChar w:fldCharType="begin"/>
        </w:r>
        <w:r w:rsidR="00FC31FA">
          <w:rPr>
            <w:rStyle w:val="Hyperlink"/>
            <w:rFonts w:ascii="Arial" w:hAnsi="Arial"/>
            <w:webHidden/>
            <w:color w:val="4F81BD"/>
            <w:u w:val="none"/>
            <w:lang w:val="bg-BG" w:eastAsia="en-US"/>
          </w:rPr>
          <w:instrText xml:space="preserve"> PAGEREF _Toc519698068 \h </w:instrText>
        </w:r>
        <w:r w:rsidR="00FC31FA">
          <w:rPr>
            <w:rStyle w:val="Hyperlink"/>
            <w:rFonts w:ascii="Arial" w:hAnsi="Arial"/>
            <w:webHidden/>
            <w:color w:val="4F81BD"/>
            <w:u w:val="none"/>
            <w:lang w:val="bg-BG" w:eastAsia="en-US"/>
          </w:rPr>
        </w:r>
        <w:r w:rsidR="00FC31FA">
          <w:rPr>
            <w:rStyle w:val="Hyperlink"/>
            <w:rFonts w:ascii="Arial" w:hAnsi="Arial"/>
            <w:webHidden/>
            <w:color w:val="4F81BD"/>
            <w:u w:val="none"/>
            <w:lang w:val="bg-BG" w:eastAsia="en-US"/>
          </w:rPr>
          <w:fldChar w:fldCharType="separate"/>
        </w:r>
        <w:r w:rsidR="00FC31FA">
          <w:rPr>
            <w:rStyle w:val="Hyperlink"/>
            <w:rFonts w:ascii="Arial" w:hAnsi="Arial"/>
            <w:webHidden/>
            <w:color w:val="4F81BD"/>
            <w:u w:val="none"/>
            <w:lang w:val="bg-BG" w:eastAsia="en-US"/>
          </w:rPr>
          <w:t>35</w:t>
        </w:r>
        <w:r w:rsidR="00FC31FA">
          <w:rPr>
            <w:rStyle w:val="Hyperlink"/>
            <w:rFonts w:ascii="Arial" w:hAnsi="Arial"/>
            <w:webHidden/>
            <w:color w:val="4F81BD"/>
            <w:u w:val="none"/>
            <w:lang w:val="bg-BG" w:eastAsia="en-US"/>
          </w:rPr>
          <w:fldChar w:fldCharType="end"/>
        </w:r>
      </w:hyperlink>
    </w:p>
    <w:p w:rsidR="00286241" w:rsidRDefault="00DE62F9">
      <w:pPr>
        <w:pStyle w:val="TOC2"/>
        <w:widowControl/>
        <w:adjustRightInd/>
        <w:ind w:left="240"/>
        <w:jc w:val="left"/>
        <w:textAlignment w:val="auto"/>
        <w:rPr>
          <w:rStyle w:val="Hyperlink"/>
          <w:rFonts w:ascii="Arial" w:hAnsi="Arial"/>
          <w:color w:val="4F81BD"/>
          <w:u w:val="none"/>
          <w:lang w:val="bg-BG" w:eastAsia="en-US"/>
        </w:rPr>
      </w:pPr>
      <w:hyperlink w:anchor="_Toc519698069" w:history="1">
        <w:r w:rsidR="00FC31FA">
          <w:rPr>
            <w:rStyle w:val="Hyperlink"/>
            <w:rFonts w:ascii="Arial" w:hAnsi="Arial"/>
            <w:color w:val="4F81BD"/>
            <w:u w:val="none"/>
            <w:lang w:val="bg-BG" w:eastAsia="en-US"/>
          </w:rPr>
          <w:t>7.</w:t>
        </w:r>
        <w:r w:rsidR="00FC31FA">
          <w:rPr>
            <w:rStyle w:val="Hyperlink"/>
            <w:rFonts w:ascii="Arial" w:hAnsi="Arial"/>
            <w:color w:val="4F81BD"/>
            <w:u w:val="none"/>
            <w:lang w:val="bg-BG" w:eastAsia="en-US"/>
          </w:rPr>
          <w:tab/>
          <w:t>Към нова политика за миграцията</w:t>
        </w:r>
        <w:r w:rsidR="00FC31FA">
          <w:rPr>
            <w:rStyle w:val="Hyperlink"/>
            <w:rFonts w:ascii="Arial" w:hAnsi="Arial"/>
            <w:webHidden/>
            <w:color w:val="4F81BD"/>
            <w:u w:val="none"/>
            <w:lang w:val="bg-BG" w:eastAsia="en-US"/>
          </w:rPr>
          <w:tab/>
        </w:r>
        <w:r w:rsidR="00FC31FA">
          <w:rPr>
            <w:rStyle w:val="Hyperlink"/>
            <w:rFonts w:ascii="Arial" w:hAnsi="Arial"/>
            <w:webHidden/>
            <w:color w:val="4F81BD"/>
            <w:u w:val="none"/>
            <w:lang w:val="bg-BG" w:eastAsia="en-US"/>
          </w:rPr>
          <w:fldChar w:fldCharType="begin"/>
        </w:r>
        <w:r w:rsidR="00FC31FA">
          <w:rPr>
            <w:rStyle w:val="Hyperlink"/>
            <w:rFonts w:ascii="Arial" w:hAnsi="Arial"/>
            <w:webHidden/>
            <w:color w:val="4F81BD"/>
            <w:u w:val="none"/>
            <w:lang w:val="bg-BG" w:eastAsia="en-US"/>
          </w:rPr>
          <w:instrText xml:space="preserve"> PAGEREF _Toc519698069 \h </w:instrText>
        </w:r>
        <w:r w:rsidR="00FC31FA">
          <w:rPr>
            <w:rStyle w:val="Hyperlink"/>
            <w:rFonts w:ascii="Arial" w:hAnsi="Arial"/>
            <w:webHidden/>
            <w:color w:val="4F81BD"/>
            <w:u w:val="none"/>
            <w:lang w:val="bg-BG" w:eastAsia="en-US"/>
          </w:rPr>
        </w:r>
        <w:r w:rsidR="00FC31FA">
          <w:rPr>
            <w:rStyle w:val="Hyperlink"/>
            <w:rFonts w:ascii="Arial" w:hAnsi="Arial"/>
            <w:webHidden/>
            <w:color w:val="4F81BD"/>
            <w:u w:val="none"/>
            <w:lang w:val="bg-BG" w:eastAsia="en-US"/>
          </w:rPr>
          <w:fldChar w:fldCharType="separate"/>
        </w:r>
        <w:r w:rsidR="00FC31FA">
          <w:rPr>
            <w:rStyle w:val="Hyperlink"/>
            <w:rFonts w:ascii="Arial" w:hAnsi="Arial"/>
            <w:webHidden/>
            <w:color w:val="4F81BD"/>
            <w:u w:val="none"/>
            <w:lang w:val="bg-BG" w:eastAsia="en-US"/>
          </w:rPr>
          <w:t>40</w:t>
        </w:r>
        <w:r w:rsidR="00FC31FA">
          <w:rPr>
            <w:rStyle w:val="Hyperlink"/>
            <w:rFonts w:ascii="Arial" w:hAnsi="Arial"/>
            <w:webHidden/>
            <w:color w:val="4F81BD"/>
            <w:u w:val="none"/>
            <w:lang w:val="bg-BG" w:eastAsia="en-US"/>
          </w:rPr>
          <w:fldChar w:fldCharType="end"/>
        </w:r>
      </w:hyperlink>
    </w:p>
    <w:p w:rsidR="00286241" w:rsidRDefault="00FC31FA">
      <w:pPr>
        <w:pStyle w:val="TOC2"/>
        <w:widowControl/>
        <w:adjustRightInd/>
        <w:ind w:left="240"/>
        <w:jc w:val="left"/>
        <w:textAlignment w:val="auto"/>
        <w:rPr>
          <w:rStyle w:val="Hyperlink"/>
          <w:rFonts w:ascii="Arial" w:hAnsi="Arial"/>
          <w:color w:val="4F81BD"/>
          <w:u w:val="none"/>
          <w:lang w:val="bg-BG" w:eastAsia="en-US"/>
        </w:rPr>
      </w:pPr>
      <w:r>
        <w:rPr>
          <w:rStyle w:val="Hyperlink"/>
          <w:rFonts w:ascii="Arial" w:hAnsi="Arial"/>
          <w:color w:val="4F81BD"/>
          <w:u w:val="none"/>
          <w:lang w:val="bg-BG" w:eastAsia="en-US"/>
        </w:rPr>
        <w:fldChar w:fldCharType="end"/>
      </w:r>
    </w:p>
    <w:p w:rsidR="00286241" w:rsidRDefault="00286241">
      <w:pPr>
        <w:pStyle w:val="TOC2"/>
        <w:rPr>
          <w:rFonts w:ascii="Arial" w:hAnsi="Arial"/>
          <w:lang w:val="bg-BG"/>
        </w:rPr>
      </w:pPr>
    </w:p>
    <w:p w:rsidR="00286241" w:rsidRDefault="00FC31FA">
      <w:pPr>
        <w:spacing w:after="0" w:line="240" w:lineRule="auto"/>
        <w:rPr>
          <w:rFonts w:ascii="Arial" w:hAnsi="Arial" w:cs="Arial"/>
          <w:noProof/>
          <w:u w:val="none"/>
          <w:lang w:val="bg-BG"/>
        </w:rPr>
      </w:pPr>
      <w:r>
        <w:rPr>
          <w:rFonts w:ascii="Arial" w:hAnsi="Arial" w:cs="Arial"/>
          <w:noProof/>
          <w:u w:val="none"/>
          <w:lang w:val="bg-BG"/>
        </w:rPr>
        <w:br w:type="page"/>
      </w:r>
    </w:p>
    <w:p w:rsidR="00286241" w:rsidRDefault="00286241">
      <w:pPr>
        <w:pStyle w:val="kop2"/>
        <w:numPr>
          <w:ilvl w:val="0"/>
          <w:numId w:val="0"/>
        </w:numPr>
        <w:ind w:left="360" w:hanging="360"/>
        <w:rPr>
          <w:rFonts w:ascii="Arial" w:hAnsi="Arial"/>
          <w:noProof/>
          <w:u w:val="none"/>
          <w:lang w:val="bg-BG"/>
        </w:rPr>
      </w:pPr>
    </w:p>
    <w:p w:rsidR="00286241" w:rsidRDefault="00FC31FA">
      <w:pPr>
        <w:pStyle w:val="kop2"/>
        <w:numPr>
          <w:ilvl w:val="0"/>
          <w:numId w:val="0"/>
        </w:numPr>
        <w:ind w:left="360"/>
        <w:rPr>
          <w:rFonts w:ascii="Arial" w:hAnsi="Arial"/>
          <w:noProof/>
          <w:sz w:val="28"/>
          <w:szCs w:val="28"/>
          <w:u w:val="none"/>
          <w:lang w:val="bg-BG"/>
        </w:rPr>
      </w:pPr>
      <w:bookmarkStart w:id="2" w:name="_Toc506309246"/>
      <w:bookmarkStart w:id="3" w:name="_Toc510011716"/>
      <w:bookmarkStart w:id="4" w:name="_Toc519697617"/>
      <w:bookmarkStart w:id="5" w:name="_Toc519698061"/>
      <w:bookmarkEnd w:id="1"/>
      <w:r>
        <w:rPr>
          <w:rFonts w:ascii="Arial" w:hAnsi="Arial"/>
          <w:caps w:val="0"/>
          <w:noProof/>
          <w:sz w:val="28"/>
          <w:u w:val="none"/>
          <w:lang w:val="bg-BG"/>
        </w:rPr>
        <w:t>Въведение</w:t>
      </w:r>
      <w:bookmarkEnd w:id="2"/>
      <w:bookmarkEnd w:id="3"/>
      <w:bookmarkEnd w:id="4"/>
      <w:bookmarkEnd w:id="5"/>
    </w:p>
    <w:p w:rsidR="00286241" w:rsidRDefault="00286241">
      <w:pPr>
        <w:ind w:left="357"/>
        <w:rPr>
          <w:rFonts w:ascii="Arial" w:hAnsi="Arial" w:cs="Arial"/>
          <w:noProof/>
          <w:u w:val="none"/>
          <w:lang w:val="bg-BG"/>
        </w:rPr>
      </w:pPr>
    </w:p>
    <w:p w:rsidR="00286241" w:rsidRDefault="00FC31FA">
      <w:pPr>
        <w:rPr>
          <w:rFonts w:ascii="Arial" w:hAnsi="Arial" w:cs="Arial"/>
          <w:noProof/>
          <w:u w:val="none"/>
          <w:lang w:val="bg-BG"/>
        </w:rPr>
      </w:pPr>
      <w:r>
        <w:rPr>
          <w:rFonts w:ascii="Arial" w:hAnsi="Arial" w:cs="Arial"/>
          <w:noProof/>
          <w:u w:val="none"/>
          <w:lang w:val="bg-BG"/>
        </w:rPr>
        <w:t>Един от моите знаменити предшественици, Валтер Халщайн, беше казал, че в основата на Европейския съюз е правовата общност. Тези думи бяха причината да започна да следвам право и след това формираха кариерата ми като политик. За мен тези думи продължават да са достоверни и днес. Правото продължава да бъде нашият най-добър инструмент в борбата за справедливост, за защита на нашите свободи и за осигуряване на резултати за нашите граждани.</w:t>
      </w:r>
    </w:p>
    <w:p w:rsidR="00286241" w:rsidRDefault="00FC31FA">
      <w:pPr>
        <w:rPr>
          <w:rFonts w:ascii="Arial" w:hAnsi="Arial" w:cs="Arial"/>
          <w:noProof/>
          <w:u w:val="none"/>
          <w:lang w:val="bg-BG"/>
        </w:rPr>
      </w:pPr>
      <w:r>
        <w:rPr>
          <w:rFonts w:ascii="Arial" w:hAnsi="Arial" w:cs="Arial"/>
          <w:noProof/>
          <w:u w:val="none"/>
          <w:lang w:val="bg-BG"/>
        </w:rPr>
        <w:t>Ето защо, когато поех поста през ноември 2014 г., обещах още от самото начало да предприема по-целенасочен подход към политиката и законотворчеството. Понастоящем се стремим да гарантираме, че нашите предложения за политики се основават на доказателства и обществена консултация. С този начин на работа, който е в основата на програмата за по-добро регулиране, се цели да се гарантира, че всяка мярка от нормативната уредба на ЕС съответства на поставената цел и е възможно най-лесна за изпълнение и прилагане.</w:t>
      </w:r>
    </w:p>
    <w:p w:rsidR="00286241" w:rsidRDefault="00FC31FA">
      <w:pPr>
        <w:rPr>
          <w:rFonts w:ascii="Arial" w:hAnsi="Arial" w:cs="Arial"/>
          <w:noProof/>
          <w:u w:val="none"/>
          <w:lang w:val="bg-BG"/>
        </w:rPr>
      </w:pPr>
      <w:r>
        <w:rPr>
          <w:rFonts w:ascii="Arial" w:hAnsi="Arial" w:cs="Arial"/>
          <w:noProof/>
          <w:u w:val="none"/>
          <w:lang w:val="bg-BG"/>
        </w:rPr>
        <w:t xml:space="preserve">Всяко правило обаче, независимо колко внимателно е замислено и изготвено, е ефективно дотолкова, доколкото се прилага. Това е причината Комисията да отделя толкова голямо внимание на гарантирането, че законодателството се прилага по правилен начин, колкото и на самото му изготвяне. Сътрудничеството и комуникацията между държавите членки са от ключово значение за ефективното прилагане на правото на ЕС. Ето защо винаги поставям диалога на първо място, когато става дума за въпроси, свързани с правоприлагането. И тъкмо поради това ще продължим да подкрепяме държавите членки при прилагането на правото на ЕС. </w:t>
      </w:r>
    </w:p>
    <w:p w:rsidR="00286241" w:rsidRDefault="00FC31FA">
      <w:pPr>
        <w:rPr>
          <w:rFonts w:ascii="Arial" w:hAnsi="Arial" w:cs="Arial"/>
          <w:noProof/>
          <w:u w:val="none"/>
          <w:lang w:val="bg-BG"/>
        </w:rPr>
      </w:pPr>
      <w:r>
        <w:rPr>
          <w:rFonts w:ascii="Arial" w:hAnsi="Arial" w:cs="Arial"/>
          <w:noProof/>
          <w:u w:val="none"/>
          <w:lang w:val="bg-BG"/>
        </w:rPr>
        <w:t>Едновременно с това трябва да предприемем решителни действия срещу сериозни нарушения на правото на ЕС. С оглед на това през 2016 г. определихме ясни приоритети в нашата работа в областта на производствата за установяване на неизпълнение на задължения и жалбите. Оттогава насам усилията ни за правоприлагане са съсредоточени върху най-сериозните нарушения на правото на ЕС, където действията на европейско равнище могат да придадат истинска добавена стойност. Нашата роля е да подпомагаме държавите членки при прилагането на правото на ЕС, от една страна, и строго да преследваме сериозни нарушения, когато такива са налице, от друга страна. Двете роли вървят ръка за ръка.</w:t>
      </w:r>
    </w:p>
    <w:p w:rsidR="00286241" w:rsidRDefault="00FC31FA">
      <w:pPr>
        <w:rPr>
          <w:rFonts w:ascii="Arial" w:hAnsi="Arial" w:cs="Arial"/>
          <w:noProof/>
          <w:u w:val="none"/>
          <w:lang w:val="bg-BG"/>
        </w:rPr>
      </w:pPr>
      <w:r>
        <w:rPr>
          <w:rFonts w:ascii="Arial" w:hAnsi="Arial" w:cs="Arial"/>
          <w:noProof/>
          <w:u w:val="none"/>
          <w:lang w:val="bg-BG"/>
        </w:rPr>
        <w:t xml:space="preserve">Настоящият доклад относно прилагането на правото на ЕС през 2017 г. обхваща първата година от използването на този нов по-целенасочен подход. Първите резултати показват, че новият подход вече осигурява ползи. </w:t>
      </w:r>
    </w:p>
    <w:p w:rsidR="00286241" w:rsidRDefault="00FC31FA">
      <w:pPr>
        <w:rPr>
          <w:rFonts w:ascii="Arial" w:hAnsi="Arial" w:cs="Arial"/>
          <w:noProof/>
          <w:u w:val="none"/>
          <w:lang w:val="bg-BG"/>
        </w:rPr>
      </w:pPr>
      <w:r>
        <w:rPr>
          <w:rFonts w:ascii="Arial" w:hAnsi="Arial" w:cs="Arial"/>
          <w:noProof/>
          <w:u w:val="none"/>
          <w:lang w:val="bg-BG"/>
        </w:rPr>
        <w:t>Свободното движение на работници е едно от най-големите постижения на ЕС, но европейските граждани невинаги смятат, че то функционира по справедлив начин. Поради тази причина през 2014 г. въведохме правила за изпълнение на Директивата относно командироването на работници, които влязоха в сила през 2016 г. и които предоставят на националните органи допълнителни инструменти за борба със злоупотребите, измамите и недекларирания труд. През 2017 г. Комисията използва правомощията си в областта на правоприлагането за гарантиране, че държавите членки прилагат правилно и ефективно тези правила. Също така използвахме нашите инструменти за производство за установяване на неизпълнение на задължения и в областта на защитата на потребителите. Това води до значима промяна за живота на хората, например чрез гарантиране, че туристите, закупили пакетно туристическо пътуване, получават парите си обратно, ако организаторът на пакетното туристическо пътуване обяви несъстоятелност.</w:t>
      </w:r>
    </w:p>
    <w:p w:rsidR="00286241" w:rsidRDefault="00FC31FA">
      <w:pPr>
        <w:rPr>
          <w:rFonts w:ascii="Arial" w:hAnsi="Arial" w:cs="Arial"/>
          <w:noProof/>
          <w:u w:val="none"/>
          <w:lang w:val="bg-BG"/>
        </w:rPr>
      </w:pPr>
      <w:r>
        <w:rPr>
          <w:rFonts w:ascii="Arial" w:hAnsi="Arial" w:cs="Arial"/>
          <w:noProof/>
          <w:u w:val="none"/>
          <w:lang w:val="bg-BG"/>
        </w:rPr>
        <w:t>Правоприлагането води до положителна промяна и по отношение на онлайн средата. Все повече граждани са все по-загрижени за защитата на техните лични данни. Поради това въведохме нови правила, с които понастоящем се установява нов световен стандарт за защита на неприкосновеността на личния живот на гражданите. През цялата 2017 г. работихме в тясно сътрудничество с държавите членки, за да подготвим основата за влизането в сила на тези нови правила през май 2018 г. Това показва значението, което отдаваме на подпомагането на държавите членки да постигнат възможно най-бързо съответствие с правото на ЕС.</w:t>
      </w:r>
    </w:p>
    <w:p w:rsidR="00286241" w:rsidRDefault="00FC31FA">
      <w:pPr>
        <w:rPr>
          <w:rFonts w:ascii="Arial" w:hAnsi="Arial" w:cs="Arial"/>
          <w:noProof/>
          <w:u w:val="none"/>
          <w:lang w:val="bg-BG"/>
        </w:rPr>
      </w:pPr>
      <w:r>
        <w:rPr>
          <w:rFonts w:ascii="Arial" w:hAnsi="Arial" w:cs="Arial"/>
          <w:noProof/>
          <w:u w:val="none"/>
          <w:lang w:val="bg-BG"/>
        </w:rPr>
        <w:t>Предприехме същия подход и по отношение на правилата, които ни осигуряват по-добра защита и защитават парите на данъкоплатците. Настоящата Комисия засили борбата срещу изпирането на пари и финансирането на тероризма, за да се гарантира, че държавите членки работят по-добре заедно за преустановяването на този вид трансгранична престъпност. През 2017 г. подкрепихме този подход, като предприехме решителни действия за гарантиране, че новото законодателство на ЕС срещу изпирането на пари е транспонирано правилно в националното законодателство.</w:t>
      </w:r>
    </w:p>
    <w:p w:rsidR="00286241" w:rsidRDefault="00FC31FA">
      <w:pPr>
        <w:rPr>
          <w:rFonts w:ascii="Arial" w:hAnsi="Arial" w:cs="Arial"/>
          <w:noProof/>
          <w:u w:val="none"/>
          <w:lang w:val="bg-BG"/>
        </w:rPr>
      </w:pPr>
      <w:r>
        <w:rPr>
          <w:rFonts w:ascii="Arial" w:hAnsi="Arial" w:cs="Arial"/>
          <w:noProof/>
          <w:u w:val="none"/>
          <w:lang w:val="bg-BG"/>
        </w:rPr>
        <w:t>Тези примери показват как законодателството може да доведе до положителна промяна и как чрез правилно правоприлагане може да се гарантира, че тази промяна е осезаема в ежедневния живот на европейските граждани. Именно това се има предвид под правова общност.</w:t>
      </w:r>
    </w:p>
    <w:p w:rsidR="00286241" w:rsidRDefault="00286241">
      <w:pPr>
        <w:rPr>
          <w:rFonts w:ascii="Arial" w:hAnsi="Arial" w:cs="Arial"/>
          <w:noProof/>
          <w:u w:val="none"/>
          <w:lang w:val="bg-BG"/>
        </w:rPr>
      </w:pPr>
    </w:p>
    <w:p w:rsidR="00286241" w:rsidRDefault="00FC31FA">
      <w:pPr>
        <w:ind w:left="5040" w:hanging="78"/>
        <w:jc w:val="center"/>
        <w:rPr>
          <w:rFonts w:ascii="Arial" w:hAnsi="Arial" w:cs="Arial"/>
          <w:noProof/>
          <w:u w:val="none"/>
          <w:lang w:val="bg-BG"/>
        </w:rPr>
      </w:pPr>
      <w:r>
        <w:rPr>
          <w:rFonts w:ascii="Arial" w:hAnsi="Arial" w:cs="Arial"/>
          <w:noProof/>
          <w:u w:val="none"/>
          <w:lang w:val="bg-BG"/>
        </w:rPr>
        <w:t>Председател на Европейската комисия</w:t>
      </w:r>
    </w:p>
    <w:p w:rsidR="00286241" w:rsidRDefault="00FC31FA">
      <w:pPr>
        <w:ind w:left="4962" w:firstLine="283"/>
        <w:jc w:val="center"/>
        <w:rPr>
          <w:rFonts w:ascii="Arial" w:hAnsi="Arial" w:cs="Arial"/>
          <w:noProof/>
          <w:u w:val="none"/>
          <w:lang w:val="bg-BG"/>
        </w:rPr>
      </w:pPr>
      <w:r>
        <w:rPr>
          <w:rFonts w:ascii="Arial" w:hAnsi="Arial" w:cs="Arial"/>
          <w:noProof/>
          <w:u w:val="none"/>
          <w:lang w:val="bg-BG"/>
        </w:rPr>
        <w:t>Jean-Claude Juncker</w:t>
      </w:r>
      <w:r>
        <w:rPr>
          <w:rFonts w:ascii="Arial" w:hAnsi="Arial" w:cs="Arial"/>
          <w:noProof/>
          <w:lang w:val="bg-BG"/>
        </w:rPr>
        <w:br w:type="page"/>
      </w:r>
    </w:p>
    <w:p w:rsidR="00286241" w:rsidRDefault="00FC31FA">
      <w:pPr>
        <w:pStyle w:val="kop2"/>
        <w:numPr>
          <w:ilvl w:val="0"/>
          <w:numId w:val="0"/>
        </w:numPr>
        <w:spacing w:before="120"/>
        <w:ind w:firstLine="720"/>
        <w:rPr>
          <w:rFonts w:ascii="Arial" w:hAnsi="Arial"/>
          <w:caps w:val="0"/>
          <w:noProof/>
          <w:sz w:val="28"/>
          <w:szCs w:val="28"/>
          <w:u w:val="none"/>
          <w:lang w:val="bg-BG"/>
        </w:rPr>
      </w:pPr>
      <w:bookmarkStart w:id="6" w:name="_Toc519697618"/>
      <w:bookmarkStart w:id="7" w:name="_Toc519698062"/>
      <w:bookmarkStart w:id="8" w:name="_Toc444796644"/>
      <w:bookmarkStart w:id="9" w:name="_Toc506199717"/>
      <w:bookmarkStart w:id="10" w:name="_Toc506199738"/>
      <w:bookmarkStart w:id="11" w:name="_Toc506209834"/>
      <w:bookmarkStart w:id="12" w:name="_Toc506218375"/>
      <w:bookmarkStart w:id="13" w:name="_Toc506309247"/>
      <w:bookmarkStart w:id="14" w:name="_Toc510011717"/>
      <w:r>
        <w:rPr>
          <w:rFonts w:ascii="Arial" w:hAnsi="Arial"/>
          <w:caps w:val="0"/>
          <w:noProof/>
          <w:sz w:val="28"/>
          <w:u w:val="none"/>
          <w:lang w:val="bg-BG"/>
        </w:rPr>
        <w:t>Правоприлагането е от ключово значение за правилното изпълнение на политиката на ЕС</w:t>
      </w:r>
      <w:bookmarkEnd w:id="6"/>
      <w:bookmarkEnd w:id="7"/>
      <w:r>
        <w:rPr>
          <w:rFonts w:ascii="Arial" w:hAnsi="Arial"/>
          <w:caps w:val="0"/>
          <w:noProof/>
          <w:sz w:val="28"/>
          <w:u w:val="none"/>
          <w:lang w:val="bg-BG"/>
        </w:rPr>
        <w:t xml:space="preserve"> </w:t>
      </w:r>
      <w:bookmarkEnd w:id="8"/>
      <w:bookmarkEnd w:id="9"/>
      <w:bookmarkEnd w:id="10"/>
      <w:bookmarkEnd w:id="11"/>
      <w:bookmarkEnd w:id="12"/>
      <w:bookmarkEnd w:id="13"/>
      <w:bookmarkEnd w:id="14"/>
    </w:p>
    <w:p w:rsidR="00286241" w:rsidRDefault="00FC31FA">
      <w:pPr>
        <w:rPr>
          <w:rFonts w:ascii="Arial" w:hAnsi="Arial" w:cs="Arial"/>
          <w:noProof/>
          <w:color w:val="002060"/>
          <w:u w:val="none"/>
          <w:lang w:val="bg-BG"/>
        </w:rPr>
      </w:pPr>
      <w:bookmarkStart w:id="15" w:name="_Toc437944176"/>
      <w:r>
        <w:rPr>
          <w:rFonts w:ascii="Arial" w:hAnsi="Arial" w:cs="Arial"/>
          <w:noProof/>
          <w:u w:val="none"/>
          <w:lang w:val="bg-BG"/>
        </w:rPr>
        <w:t>Европейският съюз може да осъществява своите политики само ако държавите членки прилагат и изпълняват правилно и без ненужно забавяне правото на ЕС. Комисията използва широк набор от инструменти, включително производства за установяване на неизпълнение на задължения, за да гарантира, че целите на политиките на ЕС се постигат на местно равнище.</w:t>
      </w:r>
    </w:p>
    <w:p w:rsidR="00286241" w:rsidRDefault="00FC31FA">
      <w:pPr>
        <w:rPr>
          <w:rFonts w:ascii="Arial" w:eastAsia="Arial Unicode MS" w:hAnsi="Arial" w:cs="Arial"/>
          <w:i/>
          <w:noProof/>
          <w:color w:val="4F81BD"/>
          <w:sz w:val="22"/>
          <w:szCs w:val="22"/>
          <w:u w:val="none"/>
          <w:lang w:val="bg-BG"/>
        </w:rPr>
      </w:pPr>
      <w:r>
        <w:rPr>
          <w:rFonts w:ascii="Arial" w:hAnsi="Arial" w:cs="Arial"/>
          <w:i/>
          <w:noProof/>
          <w:color w:val="4F81BD"/>
          <w:sz w:val="22"/>
          <w:u w:val="none"/>
          <w:lang w:val="bg-BG"/>
        </w:rPr>
        <w:t>По-стратегически подход към прилагането на правилата на ЕС</w:t>
      </w:r>
    </w:p>
    <w:p w:rsidR="00286241" w:rsidRDefault="00FC31FA">
      <w:pPr>
        <w:rPr>
          <w:rFonts w:ascii="Arial" w:hAnsi="Arial" w:cs="Arial"/>
          <w:noProof/>
          <w:u w:val="none"/>
          <w:lang w:val="bg-BG"/>
        </w:rPr>
      </w:pPr>
      <w:r>
        <w:rPr>
          <w:rFonts w:ascii="Arial" w:hAnsi="Arial" w:cs="Arial"/>
          <w:noProof/>
          <w:u w:val="none"/>
          <w:lang w:val="bg-BG"/>
        </w:rPr>
        <w:t xml:space="preserve">В съобщението си </w:t>
      </w:r>
      <w:hyperlink r:id="rId20">
        <w:r>
          <w:rPr>
            <w:rStyle w:val="Hyperlink"/>
            <w:rFonts w:ascii="Arial" w:hAnsi="Arial" w:cs="Arial"/>
            <w:i/>
            <w:noProof/>
            <w:u w:val="none"/>
            <w:lang w:val="bg-BG"/>
          </w:rPr>
          <w:t>„Право на ЕС: по-добри резултати чрез по-добро прилагане“</w:t>
        </w:r>
      </w:hyperlink>
      <w:r>
        <w:rPr>
          <w:rStyle w:val="Hyperlink"/>
          <w:rFonts w:ascii="Arial" w:hAnsi="Arial" w:cs="Arial"/>
          <w:noProof/>
          <w:u w:val="none"/>
          <w:lang w:val="bg-BG"/>
        </w:rPr>
        <w:t xml:space="preserve"> </w:t>
      </w:r>
      <w:r>
        <w:rPr>
          <w:rFonts w:ascii="Arial" w:hAnsi="Arial" w:cs="Arial"/>
          <w:noProof/>
          <w:u w:val="none"/>
          <w:lang w:val="bg-BG"/>
        </w:rPr>
        <w:t>Комисията обяви нов подход по отношение на своята политика спрямо неизпълнението на задължения. Тя приоритетно ще се насочи към проблеми, където действията ѝ по правоприлагане могат да доведат до реална промяна и да осигурят истинска добавена стойност за хората и предприятията.</w:t>
      </w:r>
    </w:p>
    <w:p w:rsidR="00286241" w:rsidRDefault="00FC31FA">
      <w:pPr>
        <w:rPr>
          <w:rFonts w:ascii="Arial" w:hAnsi="Arial" w:cs="Arial"/>
          <w:noProof/>
          <w:u w:val="none"/>
          <w:lang w:val="bg-BG"/>
        </w:rPr>
      </w:pPr>
      <w:r>
        <w:rPr>
          <w:rFonts w:ascii="Arial" w:hAnsi="Arial" w:cs="Arial"/>
          <w:noProof/>
          <w:u w:val="none"/>
          <w:lang w:val="bg-BG"/>
        </w:rPr>
        <w:t>Например единният пазар на ЕС предлага огромни възможности за европейските предприятия, както и по-голям избор и по-ниски цени за потребителите. Той дава възможност на хората да пътуват, живеят, работят и учат навсякъде, където желаят. Тези ползи обаче не се материализират, ако държавите членки не прилагат или не изпълняват правилата на единния пазар или ако те се подкопават от други пречки.</w:t>
      </w:r>
    </w:p>
    <w:p w:rsidR="00286241" w:rsidRDefault="00FC31FA">
      <w:pPr>
        <w:rPr>
          <w:rFonts w:ascii="Arial" w:hAnsi="Arial" w:cs="Arial"/>
          <w:noProof/>
          <w:u w:val="none"/>
          <w:lang w:val="bg-BG"/>
        </w:rPr>
      </w:pPr>
      <w:r>
        <w:rPr>
          <w:rFonts w:ascii="Arial" w:hAnsi="Arial" w:cs="Arial"/>
          <w:noProof/>
          <w:u w:val="none"/>
          <w:lang w:val="bg-BG"/>
        </w:rPr>
        <w:t>В рамките на разпределението на отговорностите между европейските институции Европейската комисия има обща отговорност за започване на законодателния процес. Съветът и Европейският парламент вземат решения по предложенията на Комисията. Държавите членки отговарят за навременното и правилно прилагане и изпълнение на правото на ЕС в националния правен ред. Цикълът се затваря от Комисията: след като предложенията ѝ бъдат приети като право на ЕС, тя следи дали държавите членки го прилагат правилно и предприема действия, ако това не е така.</w:t>
      </w:r>
    </w:p>
    <w:p w:rsidR="00286241" w:rsidRDefault="00FC31FA">
      <w:pPr>
        <w:rPr>
          <w:rFonts w:ascii="Arial" w:hAnsi="Arial" w:cs="Arial"/>
          <w:noProof/>
          <w:u w:val="none"/>
          <w:lang w:val="bg-BG"/>
        </w:rPr>
      </w:pPr>
      <w:r>
        <w:rPr>
          <w:rFonts w:ascii="Arial" w:hAnsi="Arial" w:cs="Arial"/>
          <w:noProof/>
          <w:u w:val="none"/>
          <w:lang w:val="bg-BG"/>
        </w:rPr>
        <w:t xml:space="preserve">Съгласно </w:t>
      </w:r>
      <w:hyperlink r:id="rId21">
        <w:r>
          <w:rPr>
            <w:rStyle w:val="Hyperlink"/>
            <w:rFonts w:ascii="Arial" w:hAnsi="Arial" w:cs="Arial"/>
            <w:noProof/>
            <w:lang w:val="bg-BG"/>
          </w:rPr>
          <w:t>Междуинституционалното споразумение за по-добро законотворчество</w:t>
        </w:r>
      </w:hyperlink>
      <w:r>
        <w:rPr>
          <w:rFonts w:ascii="Arial" w:hAnsi="Arial" w:cs="Arial"/>
          <w:noProof/>
          <w:u w:val="none"/>
          <w:lang w:val="bg-BG"/>
        </w:rPr>
        <w:t xml:space="preserve"> трите институции са се договорили да предоставят на гражданите на ЕС открито, ясно и достъпно законодателство на ЕС, което може да бъде прилагано ефективно. Комисията работи в партньорство с държавите членки, за да гарантира това. Тя го постига, като изготвя планове за прилагане, с които да помогне на държавите членки при прилагането на правото на ЕС. Когато подготвя предложения за директиви, Комисията обсъжда с държавите членки дали са необходими „обяснителни документи“ — документи, в които те обясняват как са транспонирали дадена директива в своето законодателство. Този диалог продължава по време на законодателните процедури, както и на следващите етапи на транспониране, изпълнение и прилагане на правото на ЕС.</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8DB3E2" w:themeFill="text2" w:themeFillTint="66"/>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В съответствие с поетите ангажименти в съобщенията относно </w:t>
            </w:r>
            <w:hyperlink r:id="rId22">
              <w:r>
                <w:rPr>
                  <w:rStyle w:val="Hyperlink"/>
                  <w:rFonts w:ascii="Arial" w:hAnsi="Arial" w:cs="Arial"/>
                  <w:noProof/>
                  <w:lang w:val="bg-BG"/>
                </w:rPr>
                <w:t>стратегията за единния пазар</w:t>
              </w:r>
            </w:hyperlink>
            <w:r>
              <w:rPr>
                <w:rFonts w:ascii="Arial" w:hAnsi="Arial" w:cs="Arial"/>
                <w:noProof/>
                <w:color w:val="FFFFFF"/>
                <w:u w:val="none"/>
                <w:lang w:val="bg-BG"/>
              </w:rPr>
              <w:t xml:space="preserve"> и </w:t>
            </w:r>
            <w:hyperlink r:id="rId23">
              <w:r>
                <w:rPr>
                  <w:rStyle w:val="Hyperlink"/>
                  <w:rFonts w:ascii="Arial" w:hAnsi="Arial" w:cs="Arial"/>
                  <w:i/>
                  <w:noProof/>
                  <w:u w:val="none"/>
                  <w:lang w:val="bg-BG"/>
                </w:rPr>
                <w:t>„Право на ЕС: по-добри резултати чрез по-добро прилагане</w:t>
              </w:r>
            </w:hyperlink>
            <w:r>
              <w:rPr>
                <w:rFonts w:ascii="Arial" w:hAnsi="Arial" w:cs="Arial"/>
                <w:noProof/>
                <w:color w:val="FFFFFF"/>
                <w:u w:val="none"/>
                <w:lang w:val="bg-BG"/>
              </w:rPr>
              <w:t xml:space="preserve"> Комисията организира през 2017 г. срещи за диалог относно спазването на законодателството с три държави членки: Белгия, Ирландия и Италия. Обсъжданията бяха съсредоточени върху недостатъците при спазването и транспонирането, установени в информационното табло за вътрешния пазар, текущите производства за установяване на неизпълнение на задължения и новите развития в рамките на стратегията за единния пазар. Диалозите се оказаха полезни за събиране на информация за държавите и оценяване на състоянието на законодателството относно единния пазар в тези държави членки. </w:t>
            </w:r>
          </w:p>
        </w:tc>
      </w:tr>
    </w:tbl>
    <w:p w:rsidR="00286241" w:rsidRDefault="00FC31FA">
      <w:pPr>
        <w:spacing w:before="200"/>
        <w:rPr>
          <w:rFonts w:ascii="Arial" w:hAnsi="Arial" w:cs="Arial"/>
          <w:noProof/>
          <w:u w:val="none"/>
          <w:lang w:val="bg-BG"/>
        </w:rPr>
      </w:pPr>
      <w:r>
        <w:rPr>
          <w:rFonts w:ascii="Arial" w:hAnsi="Arial" w:cs="Arial"/>
          <w:noProof/>
          <w:u w:val="none"/>
          <w:lang w:val="bg-BG"/>
        </w:rPr>
        <w:t xml:space="preserve">След като бъде прието, държавите членки трябва да изпълняват и прилагат ефективно законодателството на ЕС и своевременно да предоставят на гражданите очакваните ползи от него. </w:t>
      </w:r>
    </w:p>
    <w:p w:rsidR="00286241" w:rsidRDefault="00FC31FA">
      <w:pPr>
        <w:spacing w:before="200"/>
        <w:rPr>
          <w:rFonts w:ascii="Arial" w:hAnsi="Arial" w:cs="Arial"/>
          <w:noProof/>
          <w:u w:val="none"/>
          <w:lang w:val="bg-BG"/>
        </w:rPr>
      </w:pPr>
      <w:r>
        <w:rPr>
          <w:rFonts w:ascii="Arial" w:hAnsi="Arial" w:cs="Arial"/>
          <w:noProof/>
          <w:u w:val="none"/>
          <w:lang w:val="bg-BG"/>
        </w:rPr>
        <w:t>Новата политика за правоприлагане на Комисията подкрепя постигането на целите на политиката на ЕС. Поради това Комисията следва да действа решително и бързо, когато нарушенията възпрепятстват постигането на целите на политиката на ЕС.</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През 2017 г. Комисията предприе бързи действия и започна </w:t>
            </w:r>
            <w:hyperlink r:id="rId24">
              <w:r>
                <w:rPr>
                  <w:rFonts w:ascii="Arial" w:hAnsi="Arial" w:cs="Arial"/>
                  <w:noProof/>
                  <w:color w:val="FFFFFF"/>
                  <w:u w:val="none"/>
                  <w:lang w:val="bg-BG"/>
                </w:rPr>
                <w:t>производства за установяване на неизпълнение на задълженията</w:t>
              </w:r>
            </w:hyperlink>
            <w:r>
              <w:rPr>
                <w:rFonts w:ascii="Arial" w:hAnsi="Arial" w:cs="Arial"/>
                <w:noProof/>
                <w:color w:val="FFFFFF"/>
                <w:u w:val="none"/>
                <w:lang w:val="bg-BG"/>
              </w:rPr>
              <w:t xml:space="preserve"> срещу 16 държави членки, които не са приели мерки за намаляване на използването на тънки пластмасови торбички за пазаруване, както се изисква от </w:t>
            </w:r>
            <w:hyperlink r:id="rId25">
              <w:r>
                <w:rPr>
                  <w:rStyle w:val="Hyperlink"/>
                  <w:rFonts w:ascii="Arial" w:hAnsi="Arial" w:cs="Arial"/>
                  <w:noProof/>
                  <w:lang w:val="bg-BG"/>
                </w:rPr>
                <w:t>Директивата за пластмасовите торбички</w:t>
              </w:r>
            </w:hyperlink>
            <w:r>
              <w:rPr>
                <w:rFonts w:ascii="Arial" w:hAnsi="Arial" w:cs="Arial"/>
                <w:noProof/>
                <w:color w:val="FFFFFF"/>
                <w:u w:val="none"/>
                <w:lang w:val="bg-BG"/>
              </w:rPr>
              <w:t xml:space="preserve">. Според правилата на ЕС държавите членки следва да постигнат тази цел, като въведат цена за тънките пластмасови торбички за пазаруване и/или като гарантират, че годишно се използват ограничен брой от тях на човек. </w:t>
            </w:r>
          </w:p>
        </w:tc>
      </w:tr>
    </w:tbl>
    <w:p w:rsidR="00286241" w:rsidRDefault="00FC31FA">
      <w:pPr>
        <w:spacing w:before="200"/>
        <w:rPr>
          <w:rFonts w:ascii="Arial" w:hAnsi="Arial" w:cs="Arial"/>
          <w:noProof/>
          <w:u w:val="none"/>
          <w:lang w:val="bg-BG"/>
        </w:rPr>
      </w:pPr>
      <w:r>
        <w:rPr>
          <w:rFonts w:ascii="Arial" w:hAnsi="Arial" w:cs="Arial"/>
          <w:noProof/>
          <w:u w:val="none"/>
          <w:lang w:val="bg-BG"/>
        </w:rPr>
        <w:t>Комисията е определила ясни приоритети, които ще насочват действията ѝ при преследване на предполагаеми нарушения на правото на ЕС. В съответствие с тези приоритети и политическия ѝ ангажимент да възприеме по-стратегически подход при прилагането на правото на ЕС Комисията прекрати дела, при които това изглеждаше правилно от гледна точка на политиката.</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През 2017 г. Европейската комисия прекрати </w:t>
            </w:r>
            <w:hyperlink r:id="rId26">
              <w:r>
                <w:rPr>
                  <w:rStyle w:val="Hyperlink"/>
                  <w:rFonts w:ascii="Arial" w:hAnsi="Arial" w:cs="Arial"/>
                  <w:noProof/>
                  <w:lang w:val="bg-BG"/>
                </w:rPr>
                <w:t>производства за установяване на неизпълнение на задължения и преписки по жалби</w:t>
              </w:r>
            </w:hyperlink>
            <w:r>
              <w:rPr>
                <w:rFonts w:ascii="Arial" w:hAnsi="Arial" w:cs="Arial"/>
                <w:noProof/>
                <w:color w:val="FFFFFF"/>
                <w:sz w:val="18"/>
                <w:u w:val="none"/>
                <w:lang w:val="bg-BG"/>
              </w:rPr>
              <w:t xml:space="preserve"> </w:t>
            </w:r>
            <w:r>
              <w:rPr>
                <w:rFonts w:ascii="Arial" w:hAnsi="Arial" w:cs="Arial"/>
                <w:noProof/>
                <w:color w:val="FFFFFF"/>
                <w:u w:val="none"/>
                <w:lang w:val="bg-BG"/>
              </w:rPr>
              <w:t>срещу редица държави членки в областта на хазартните игри.</w:t>
            </w:r>
          </w:p>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Комисията не счита за приоритет да използва правомощията си за образуване на производство за установяване на неизпълнение на задължения, за да насърчава единен пазар на ЕС</w:t>
            </w:r>
          </w:p>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в областта на услугите за хазартни игри по интернет.</w:t>
            </w:r>
          </w:p>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Съдът на Европейския съюз нееднократно е признавал правата на държавите членки да ограничават хазартните услуги в случаите, при които е необходимо да бъдат защитени цели от публичен интерес, като например защитата на непълнолетните и борбата срещу пристрастяването към хазарта и срещу нередности и измами.</w:t>
            </w:r>
          </w:p>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Европейската комисия признава по-широката политическа легитимност на целите от обществен интерес, преследвани от държавите членки при регулирането на услугите в областта на хазартните игри.</w:t>
            </w:r>
          </w:p>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Европейската комисия ще продължи да подкрепя държавите членки в техните усилия да модернизират своите национални правни уредби в областта на хазартните игри по интернет, както и да улеснява сътрудничеството между националните регулатори на хазарта. Същевременно и с оглед на многобройните решения на Съда на ЕС относно националното законодателство за хазарта Комисията счита, че жалбите в сектора на хазартните игри могат да бъдат разглеждани по-ефективно от националните съдилища, отколкото от Комисията.</w:t>
            </w:r>
          </w:p>
        </w:tc>
      </w:tr>
    </w:tbl>
    <w:p w:rsidR="00286241" w:rsidRDefault="00FC31FA">
      <w:pPr>
        <w:spacing w:before="200"/>
        <w:rPr>
          <w:rFonts w:ascii="Arial" w:hAnsi="Arial" w:cs="Arial"/>
          <w:noProof/>
          <w:u w:val="none"/>
          <w:lang w:val="bg-BG"/>
        </w:rPr>
      </w:pPr>
      <w:r>
        <w:rPr>
          <w:rFonts w:ascii="Arial" w:hAnsi="Arial" w:cs="Arial"/>
          <w:noProof/>
          <w:u w:val="none"/>
          <w:lang w:val="bg-BG"/>
        </w:rPr>
        <w:t>За да гарантира по-бързо спазване на законодателството в области от значение, Комисията коригира политиката си относно използването на механизма EU Pilot. Съгласно този механизъм Комисията представя пред държавите членки неофициално опасенията си относно възможни нарушения, преди да започне официално производство. EU Pilot вече не е механизмът по подразбиране за установяване на диалог с държавите членки относно предполагаеми нарушения на правото на ЕС. Вместо това Комисията обикновено започва производствата за установяване на неизпълнение на задължения, без да разчита на EU Pilot. С това се обяснява значителното намаляване на броя на новите процедури по EU Pilot, започнати от Комисията през 2017 г.</w:t>
      </w:r>
    </w:p>
    <w:p w:rsidR="00286241" w:rsidRDefault="00FC31FA">
      <w:pPr>
        <w:rPr>
          <w:rFonts w:ascii="Arial" w:hAnsi="Arial" w:cs="Arial"/>
          <w:noProof/>
          <w:u w:val="none"/>
          <w:lang w:val="bg-BG"/>
        </w:rPr>
      </w:pPr>
      <w:r>
        <w:rPr>
          <w:rFonts w:ascii="Arial" w:hAnsi="Arial" w:cs="Arial"/>
          <w:noProof/>
          <w:u w:val="none"/>
          <w:lang w:val="bg-BG"/>
        </w:rPr>
        <w:t xml:space="preserve">Поради факта, че Комисията отдава първостепенен приоритет на разследването на случаи, в които държавите членки не са съобщили за националните си мерки, с които се транспонират директиви, тя засили режима си на санкции при такива случаи. Когато такива дела за установяване на неизпълнение на задължения бъдат заведени в Съда на ЕС, Комисията систематично ще иска от Съда да налага плащане на еднократна сума, както и на периодични имуществени санкции. Комисията ще прилага тази политика при производства за установяване на неизпълнение на задължения, образувани след публикуване на съобщението </w:t>
      </w:r>
      <w:hyperlink r:id="rId27">
        <w:r>
          <w:rPr>
            <w:rStyle w:val="Hyperlink"/>
            <w:rFonts w:ascii="Arial" w:hAnsi="Arial" w:cs="Arial"/>
            <w:i/>
            <w:noProof/>
            <w:u w:val="none"/>
            <w:lang w:val="bg-BG"/>
          </w:rPr>
          <w:t>„Право на ЕС: по-добри резултати чрез по-добро прилагане“</w:t>
        </w:r>
      </w:hyperlink>
      <w:r>
        <w:rPr>
          <w:rStyle w:val="Hyperlink"/>
          <w:rFonts w:ascii="Arial" w:hAnsi="Arial" w:cs="Arial"/>
          <w:noProof/>
          <w:u w:val="none"/>
          <w:lang w:val="bg-BG"/>
        </w:rPr>
        <w:t xml:space="preserve"> </w:t>
      </w:r>
      <w:r>
        <w:rPr>
          <w:rStyle w:val="Hyperlink"/>
          <w:rFonts w:ascii="Arial" w:hAnsi="Arial" w:cs="Arial"/>
          <w:noProof/>
          <w:color w:val="auto"/>
          <w:u w:val="none"/>
          <w:lang w:val="bg-BG"/>
        </w:rPr>
        <w:t>на 19 януари 2017 г.</w:t>
      </w:r>
      <w:r>
        <w:rPr>
          <w:rFonts w:ascii="Arial" w:hAnsi="Arial" w:cs="Arial"/>
          <w:noProof/>
          <w:u w:val="none"/>
          <w:lang w:val="bg-BG"/>
        </w:rPr>
        <w:t xml:space="preserve"> Предвид краткия времеви период, изминал до момента, Комисията не е завела в Съда през 2017 г. дело съгласно новия режим на санкции.</w:t>
      </w:r>
    </w:p>
    <w:p w:rsidR="00286241" w:rsidRDefault="00FC31FA">
      <w:pPr>
        <w:spacing w:before="200"/>
        <w:rPr>
          <w:rFonts w:ascii="Arial" w:hAnsi="Arial" w:cs="Arial"/>
          <w:noProof/>
          <w:u w:val="none"/>
          <w:lang w:val="bg-BG"/>
        </w:rPr>
      </w:pPr>
      <w:r>
        <w:rPr>
          <w:rFonts w:ascii="Arial" w:hAnsi="Arial" w:cs="Arial"/>
          <w:noProof/>
          <w:u w:val="none"/>
          <w:lang w:val="bg-BG"/>
        </w:rPr>
        <w:t xml:space="preserve">Комисията продължава да цени високо помощта от членовете на обществото, предприятията и другите заинтересовани страни при установяването на нарушения на правото на ЕС. Междувременно е също толкова важно обществото да разбере естеството на производството за установяване на неизпълнение на задължения и съответно да адаптира очакванията си. Първостепенната цел на производството за установяване на неизпълнение на задължения е да се осигури спазване от държавата членка на правото на ЕС, а не да се предостави индивидуално обезщетение или компенсация. Някои категории случаи често могат да бъдат разгледани по задоволителен начин посредством други по-подходящи механизми на равнище ЕС и на национално равнище, като например SOLVIT, националните съдилища и националните омбудсмани. Съобщението </w:t>
      </w:r>
      <w:hyperlink r:id="rId28">
        <w:r>
          <w:rPr>
            <w:rStyle w:val="Hyperlink"/>
            <w:rFonts w:ascii="Arial" w:hAnsi="Arial" w:cs="Arial"/>
            <w:i/>
            <w:noProof/>
            <w:u w:val="none"/>
            <w:lang w:val="bg-BG"/>
          </w:rPr>
          <w:t>„Право на ЕС: по-добри резултати чрез по-добро прилагане“</w:t>
        </w:r>
      </w:hyperlink>
      <w:r>
        <w:rPr>
          <w:rStyle w:val="Hyperlink"/>
          <w:rFonts w:ascii="Arial" w:hAnsi="Arial" w:cs="Arial"/>
          <w:noProof/>
          <w:u w:val="none"/>
          <w:lang w:val="bg-BG"/>
        </w:rPr>
        <w:t xml:space="preserve"> послужи </w:t>
      </w:r>
      <w:r>
        <w:rPr>
          <w:rFonts w:ascii="Arial" w:hAnsi="Arial" w:cs="Arial"/>
          <w:noProof/>
          <w:u w:val="none"/>
          <w:lang w:val="bg-BG"/>
        </w:rPr>
        <w:t xml:space="preserve"> за основа, като в него бе поет ангажимент за засилване на сътрудничеството с Европейската мрежа на омбудсманите с цел насърчаване на доброто администриране при прилагането на правото на ЕС на национално равнище.</w:t>
      </w:r>
    </w:p>
    <w:p w:rsidR="00286241" w:rsidRDefault="00FC31FA">
      <w:pPr>
        <w:spacing w:before="200"/>
        <w:rPr>
          <w:rFonts w:ascii="Arial" w:hAnsi="Arial" w:cs="Arial"/>
          <w:noProof/>
          <w:u w:val="none"/>
          <w:lang w:val="bg-BG"/>
        </w:rPr>
      </w:pPr>
      <w:r>
        <w:rPr>
          <w:rFonts w:ascii="Arial" w:hAnsi="Arial" w:cs="Arial"/>
          <w:noProof/>
          <w:u w:val="none"/>
          <w:lang w:val="bg-BG"/>
        </w:rPr>
        <w:t>През 2017 г. Комисията доразви този ангажимент. Тя организира заедно с Европейския омбудсман и Европейската мрежа на омбудсманите работен семинар за повишаване на обмена на информация както за текущи разследвания на нарушения на правото на ЕС, така и за наличните за членовете на обществото механизми за правна защита.</w:t>
      </w:r>
    </w:p>
    <w:p w:rsidR="00286241" w:rsidRDefault="00FC31FA">
      <w:pPr>
        <w:spacing w:before="200"/>
        <w:rPr>
          <w:rFonts w:ascii="Arial" w:hAnsi="Arial" w:cs="Arial"/>
          <w:noProof/>
          <w:u w:val="none"/>
          <w:lang w:val="bg-BG"/>
        </w:rPr>
      </w:pPr>
      <w:r>
        <w:rPr>
          <w:rFonts w:ascii="Arial" w:hAnsi="Arial" w:cs="Arial"/>
          <w:noProof/>
          <w:u w:val="none"/>
          <w:lang w:val="bg-BG"/>
        </w:rPr>
        <w:t>Националните парламенти имат съществена роля за прилагането на законодателството на ЕС в националния правен ред. Поради това Комисията може само да приветства повишения им интерес по въпроси, свързани с изпълнението и ефективното прилагане на правото на ЕС. В допълнение към редовния обмен на информация с националните парламенти относно законодателни предложения Комисията засили този диалог чрез включване на специфични въпроси, свързани с правоприлагането. През 2017 г. Комисията използва тази възможност, за да разясни новата си политика по правоприлагане в рамките на обмена на информация с националните парламенти на Германия и Чехия.</w:t>
      </w:r>
      <w:bookmarkStart w:id="16" w:name="_Toc444796646"/>
    </w:p>
    <w:p w:rsidR="00286241" w:rsidRDefault="00FC31FA">
      <w:pPr>
        <w:rPr>
          <w:rFonts w:ascii="Arial" w:hAnsi="Arial" w:cs="Arial"/>
          <w:noProof/>
          <w:u w:val="none"/>
          <w:lang w:val="bg-BG"/>
        </w:rPr>
      </w:pPr>
      <w:r>
        <w:rPr>
          <w:rFonts w:ascii="Arial" w:hAnsi="Arial" w:cs="Arial"/>
          <w:noProof/>
          <w:lang w:val="bg-BG"/>
        </w:rPr>
        <w:br w:type="page"/>
      </w:r>
    </w:p>
    <w:p w:rsidR="00286241" w:rsidRDefault="00FC31FA">
      <w:pPr>
        <w:pStyle w:val="kop3"/>
        <w:rPr>
          <w:rFonts w:ascii="Arial" w:hAnsi="Arial" w:cs="Arial"/>
          <w:noProof/>
          <w:u w:val="none"/>
          <w:lang w:val="bg-BG"/>
        </w:rPr>
      </w:pPr>
      <w:bookmarkStart w:id="17" w:name="_Toc506199718"/>
      <w:bookmarkStart w:id="18" w:name="_Toc506199739"/>
      <w:bookmarkStart w:id="19" w:name="_Toc506209835"/>
      <w:bookmarkStart w:id="20" w:name="_Toc506218376"/>
      <w:bookmarkStart w:id="21" w:name="_Toc506309248"/>
      <w:bookmarkStart w:id="22" w:name="_Toc510011718"/>
      <w:bookmarkStart w:id="23" w:name="_Toc519697619"/>
      <w:bookmarkStart w:id="24" w:name="_Toc519698063"/>
      <w:r>
        <w:rPr>
          <w:rFonts w:ascii="Arial" w:hAnsi="Arial" w:cs="Arial"/>
          <w:noProof/>
          <w:u w:val="none"/>
          <w:lang w:val="bg-BG"/>
        </w:rPr>
        <w:t>Нови стимули за работните места, растежа и инвестициите</w:t>
      </w:r>
      <w:bookmarkEnd w:id="16"/>
      <w:bookmarkEnd w:id="17"/>
      <w:bookmarkEnd w:id="18"/>
      <w:bookmarkEnd w:id="19"/>
      <w:bookmarkEnd w:id="20"/>
      <w:bookmarkEnd w:id="21"/>
      <w:bookmarkEnd w:id="22"/>
      <w:bookmarkEnd w:id="23"/>
      <w:bookmarkEnd w:id="24"/>
    </w:p>
    <w:p w:rsidR="00286241" w:rsidRDefault="00FC31FA">
      <w:pPr>
        <w:rPr>
          <w:rFonts w:ascii="Arial" w:hAnsi="Arial" w:cs="Arial"/>
          <w:noProof/>
          <w:spacing w:val="-2"/>
          <w:u w:val="none"/>
          <w:lang w:val="bg-BG"/>
        </w:rPr>
      </w:pPr>
      <w:r>
        <w:rPr>
          <w:rFonts w:ascii="Arial" w:hAnsi="Arial" w:cs="Arial"/>
          <w:noProof/>
          <w:spacing w:val="-2"/>
          <w:u w:val="none"/>
          <w:lang w:val="bg-BG"/>
        </w:rPr>
        <w:t>Първостепенен приоритет за Комисията „Юнкер“ е укрепването на европейската конкурентоспособност и стимулирането на инвестиции, които създават работни места. Усилията за създаване на правилната регулаторна среда с цел подпомагане на предприятията и създаване на работни места обаче се подкопават, ако държавите членки не прилагат правилно и навременно правилата на ЕС.</w:t>
      </w:r>
    </w:p>
    <w:p w:rsidR="00286241" w:rsidRDefault="00FC31FA">
      <w:pPr>
        <w:rPr>
          <w:rFonts w:ascii="Arial" w:eastAsia="Arial Unicode MS" w:hAnsi="Arial" w:cs="Arial"/>
          <w:i/>
          <w:noProof/>
          <w:color w:val="4F81BD"/>
          <w:sz w:val="22"/>
          <w:szCs w:val="22"/>
          <w:u w:val="none"/>
          <w:lang w:val="bg-BG"/>
        </w:rPr>
      </w:pPr>
      <w:r>
        <w:rPr>
          <w:rFonts w:ascii="Arial" w:hAnsi="Arial" w:cs="Arial"/>
          <w:i/>
          <w:noProof/>
          <w:color w:val="4F81BD"/>
          <w:sz w:val="22"/>
          <w:u w:val="none"/>
          <w:lang w:val="bg-BG"/>
        </w:rPr>
        <w:t>Гарантиране на справедливи условия на труд в целия ЕС</w:t>
      </w:r>
    </w:p>
    <w:p w:rsidR="00286241" w:rsidRDefault="00FC31FA">
      <w:pPr>
        <w:rPr>
          <w:rFonts w:ascii="Arial" w:hAnsi="Arial" w:cs="Arial"/>
          <w:noProof/>
          <w:u w:val="none"/>
          <w:lang w:val="bg-BG"/>
        </w:rPr>
      </w:pPr>
      <w:r>
        <w:rPr>
          <w:rFonts w:ascii="Arial" w:hAnsi="Arial" w:cs="Arial"/>
          <w:i/>
          <w:noProof/>
          <w:color w:val="FF0000"/>
          <w:u w:val="none"/>
        </w:rPr>
        <w:drawing>
          <wp:anchor distT="0" distB="0" distL="114300" distR="114300" simplePos="0" relativeHeight="251675648" behindDoc="1" locked="0" layoutInCell="1" allowOverlap="1">
            <wp:simplePos x="0" y="0"/>
            <wp:positionH relativeFrom="column">
              <wp:posOffset>4445</wp:posOffset>
            </wp:positionH>
            <wp:positionV relativeFrom="paragraph">
              <wp:posOffset>-4445</wp:posOffset>
            </wp:positionV>
            <wp:extent cx="3867150" cy="2656840"/>
            <wp:effectExtent l="0" t="0" r="0" b="0"/>
            <wp:wrapTight wrapText="bothSides">
              <wp:wrapPolygon edited="0">
                <wp:start x="0" y="0"/>
                <wp:lineTo x="0" y="21373"/>
                <wp:lineTo x="21494" y="21373"/>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Fotolia_137325682_Subscription_Monthly_XXL.jpg"/>
                    <pic:cNvPicPr/>
                  </pic:nvPicPr>
                  <pic:blipFill>
                    <a:blip r:embed="rId29" cstate="email">
                      <a:extLst>
                        <a:ext uri="{28A0092B-C50C-407E-A947-70E740481C1C}">
                          <a14:useLocalDpi xmlns:a14="http://schemas.microsoft.com/office/drawing/2010/main" val="0"/>
                        </a:ext>
                      </a:extLst>
                    </a:blip>
                    <a:stretch>
                      <a:fillRect/>
                    </a:stretch>
                  </pic:blipFill>
                  <pic:spPr>
                    <a:xfrm>
                      <a:off x="0" y="0"/>
                      <a:ext cx="3867150" cy="26568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u w:val="none"/>
          <w:lang w:val="bg-BG"/>
        </w:rPr>
        <w:t xml:space="preserve">Свободното движение на работници в рамките на единния пазар върви ръка за ръка с гарантирането на сходно ниво на защита на работното място в целия ЕС. В </w:t>
      </w:r>
      <w:hyperlink r:id="rId30">
        <w:r>
          <w:rPr>
            <w:rStyle w:val="Hyperlink"/>
            <w:rFonts w:ascii="Arial" w:hAnsi="Arial" w:cs="Arial"/>
            <w:noProof/>
            <w:u w:val="none"/>
            <w:lang w:val="bg-BG"/>
          </w:rPr>
          <w:t>Директивата за работното време</w:t>
        </w:r>
      </w:hyperlink>
      <w:r>
        <w:rPr>
          <w:rFonts w:ascii="Arial" w:hAnsi="Arial" w:cs="Arial"/>
          <w:noProof/>
          <w:u w:val="none"/>
          <w:lang w:val="bg-BG"/>
        </w:rPr>
        <w:t xml:space="preserve"> се определят минимални изисквания за безопасност и здраве при организацията на работното време. Голямата продължителност на работното време и недостатъчната почивка (особено за по-продължителни периоди) могат да доведат до вредни последици за здравето на работниците (например по-голям брой злополуки и грешки, повишени нива на стреса и умората, както и краткосрочни и дългосрочни рискове за здравето).</w:t>
      </w:r>
    </w:p>
    <w:p w:rsidR="00286241" w:rsidRDefault="00FC31FA">
      <w:pPr>
        <w:rPr>
          <w:rFonts w:ascii="Arial" w:hAnsi="Arial" w:cs="Arial"/>
          <w:noProof/>
          <w:u w:val="none"/>
          <w:lang w:val="bg-BG"/>
        </w:rPr>
      </w:pPr>
      <w:r>
        <w:rPr>
          <w:rFonts w:ascii="Arial" w:hAnsi="Arial" w:cs="Arial"/>
          <w:noProof/>
          <w:u w:val="none"/>
          <w:lang w:val="bg-BG"/>
        </w:rPr>
        <w:t>През април 2017 г. Комисията представи „</w:t>
      </w:r>
      <w:hyperlink r:id="rId31">
        <w:r>
          <w:rPr>
            <w:rStyle w:val="Hyperlink"/>
            <w:rFonts w:ascii="Arial" w:hAnsi="Arial" w:cs="Arial"/>
            <w:noProof/>
            <w:u w:val="none"/>
            <w:lang w:val="bg-BG"/>
          </w:rPr>
          <w:t>Тълкувателно съобщение</w:t>
        </w:r>
      </w:hyperlink>
      <w:r>
        <w:rPr>
          <w:rStyle w:val="Hyperlink"/>
          <w:rFonts w:ascii="Arial" w:hAnsi="Arial" w:cs="Arial"/>
          <w:noProof/>
          <w:u w:val="none"/>
          <w:lang w:val="bg-BG"/>
        </w:rPr>
        <w:t>“</w:t>
      </w:r>
      <w:r>
        <w:rPr>
          <w:rFonts w:ascii="Arial" w:hAnsi="Arial" w:cs="Arial"/>
          <w:noProof/>
          <w:u w:val="none"/>
          <w:lang w:val="bg-BG"/>
        </w:rPr>
        <w:t xml:space="preserve"> относно </w:t>
      </w:r>
      <w:hyperlink r:id="rId32">
        <w:r>
          <w:rPr>
            <w:rStyle w:val="Hyperlink"/>
            <w:rFonts w:ascii="Arial" w:hAnsi="Arial" w:cs="Arial"/>
            <w:noProof/>
            <w:u w:val="none"/>
            <w:lang w:val="bg-BG"/>
          </w:rPr>
          <w:t>Директивата за работното време</w:t>
        </w:r>
      </w:hyperlink>
      <w:r>
        <w:rPr>
          <w:rStyle w:val="Hyperlink"/>
          <w:rFonts w:ascii="Arial" w:hAnsi="Arial" w:cs="Arial"/>
          <w:noProof/>
          <w:u w:val="none"/>
          <w:lang w:val="bg-BG"/>
        </w:rPr>
        <w:t xml:space="preserve"> </w:t>
      </w:r>
      <w:r>
        <w:rPr>
          <w:rFonts w:ascii="Arial" w:hAnsi="Arial" w:cs="Arial"/>
          <w:noProof/>
          <w:u w:val="none"/>
          <w:lang w:val="bg-BG"/>
        </w:rPr>
        <w:t xml:space="preserve">и </w:t>
      </w:r>
      <w:hyperlink r:id="rId33">
        <w:r>
          <w:rPr>
            <w:rStyle w:val="Hyperlink"/>
            <w:rFonts w:ascii="Arial" w:hAnsi="Arial" w:cs="Arial"/>
            <w:noProof/>
            <w:u w:val="none"/>
            <w:lang w:val="bg-BG"/>
          </w:rPr>
          <w:t>доклад</w:t>
        </w:r>
      </w:hyperlink>
      <w:r>
        <w:rPr>
          <w:rStyle w:val="Hyperlink"/>
          <w:rFonts w:ascii="Arial" w:hAnsi="Arial" w:cs="Arial"/>
          <w:noProof/>
          <w:u w:val="none"/>
          <w:lang w:val="bg-BG"/>
        </w:rPr>
        <w:t xml:space="preserve"> </w:t>
      </w:r>
      <w:r>
        <w:rPr>
          <w:rStyle w:val="Hyperlink"/>
          <w:rFonts w:ascii="Arial" w:hAnsi="Arial" w:cs="Arial"/>
          <w:noProof/>
          <w:color w:val="auto"/>
          <w:u w:val="none"/>
          <w:lang w:val="bg-BG"/>
        </w:rPr>
        <w:t>относно нейното изпълнение</w:t>
      </w:r>
      <w:r>
        <w:rPr>
          <w:rFonts w:ascii="Arial" w:hAnsi="Arial" w:cs="Arial"/>
          <w:noProof/>
          <w:u w:val="none"/>
          <w:lang w:val="bg-BG"/>
        </w:rPr>
        <w:t>. С тези документи се цели изясняване на приложимото законодателство. По този начин първостепенната цел на съобщението е да се подпомогнат националните органи, практикуващите юристи и социалните партньори при тълкуването на Директивата.</w:t>
      </w:r>
    </w:p>
    <w:p w:rsidR="00286241" w:rsidRDefault="00FC31FA">
      <w:pPr>
        <w:rPr>
          <w:rFonts w:ascii="Arial" w:hAnsi="Arial" w:cs="Arial"/>
          <w:noProof/>
          <w:u w:val="none"/>
          <w:lang w:val="bg-BG"/>
        </w:rPr>
      </w:pPr>
      <w:r>
        <w:rPr>
          <w:rFonts w:ascii="Arial" w:hAnsi="Arial" w:cs="Arial"/>
          <w:noProof/>
          <w:u w:val="none"/>
          <w:lang w:val="bg-BG"/>
        </w:rPr>
        <w:t xml:space="preserve">Нееднаквото прилагане на </w:t>
      </w:r>
      <w:hyperlink r:id="rId34">
        <w:r>
          <w:rPr>
            <w:rStyle w:val="Hyperlink"/>
            <w:rFonts w:ascii="Arial" w:hAnsi="Arial" w:cs="Arial"/>
            <w:noProof/>
            <w:u w:val="none"/>
            <w:lang w:val="bg-BG"/>
          </w:rPr>
          <w:t>Директивата за работното време</w:t>
        </w:r>
      </w:hyperlink>
      <w:r>
        <w:rPr>
          <w:rStyle w:val="Hyperlink"/>
          <w:rFonts w:ascii="Arial" w:hAnsi="Arial" w:cs="Arial"/>
          <w:noProof/>
          <w:u w:val="none"/>
          <w:lang w:val="bg-BG"/>
        </w:rPr>
        <w:t xml:space="preserve"> </w:t>
      </w:r>
      <w:r>
        <w:rPr>
          <w:rFonts w:ascii="Arial" w:hAnsi="Arial" w:cs="Arial"/>
          <w:noProof/>
          <w:u w:val="none"/>
          <w:lang w:val="bg-BG"/>
        </w:rPr>
        <w:t>в отделните държави членки доведе до лишаване на някои категории работници от предлаганата от нея защита. Работещите в обществения сектор, въоръжените сили, полицията и службите за гражданска защита, като например персоналът в затворите и пожарникарите в обществените служби, невинаги се ползват от предимствата на Директивата. Що се отнася до частния сектор, домашните работници в някои държави членки също невинаги могат да се ползват от правата си съгласно Директивата. Правото на платен годишен отпуск — един от основните елементи на Директивата — невинаги е включено правилно в националното законодателство.</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6"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След като Комисията започна производства за установяване на неизпълнение на задължения, Франция и Испания въведоха през 2017 г. изменения в законодателството си, за да разширят ползите от Директивата за работното време към определени категории членове на техните полицейски сили. </w:t>
            </w:r>
          </w:p>
        </w:tc>
      </w:tr>
    </w:tbl>
    <w:p w:rsidR="00286241" w:rsidRDefault="00FC31FA">
      <w:pPr>
        <w:spacing w:before="200"/>
        <w:rPr>
          <w:rFonts w:ascii="Arial" w:hAnsi="Arial" w:cs="Arial"/>
          <w:noProof/>
          <w:u w:val="none"/>
          <w:lang w:val="bg-BG"/>
        </w:rPr>
      </w:pPr>
      <w:r>
        <w:rPr>
          <w:rFonts w:ascii="Arial" w:hAnsi="Arial" w:cs="Arial"/>
          <w:noProof/>
          <w:u w:val="none"/>
          <w:lang w:val="bg-BG"/>
        </w:rPr>
        <w:t>Действията по правоприлагане на Комисията през последните 20 години доведоха до преодоляването на подобни недостатъци. Освен това и Съдът на ЕС е тълкувал разпоредбите на Директивата за работното време в повече от 50 свои решения и определения. Въздействието на тези тълкувания е значително: те се използват от националните съдилища при тълкуването на националното законодателство и по този начин се налагат на работодателите.</w:t>
      </w:r>
    </w:p>
    <w:p w:rsidR="00286241" w:rsidRDefault="00FC31FA">
      <w:pPr>
        <w:rPr>
          <w:rFonts w:ascii="Arial" w:hAnsi="Arial" w:cs="Arial"/>
          <w:noProof/>
          <w:u w:val="none"/>
          <w:lang w:val="bg-BG"/>
        </w:rPr>
      </w:pPr>
      <w:r>
        <w:rPr>
          <w:rFonts w:ascii="Arial" w:hAnsi="Arial" w:cs="Arial"/>
          <w:noProof/>
          <w:u w:val="none"/>
          <w:lang w:val="bg-BG"/>
        </w:rPr>
        <w:t xml:space="preserve">Със законодателството на ЕС относно здравословните и безопасни условия на труд (ЗБУТ) се установяват високи стандарти за защита на работниците от рискове за здравето и безопасността на работното място. С него се цели предотвратяване на професионални заболявания и трудови злополуки, което спомага за подобряване на живота на хората. През 2017 г. действията по правоприлагане на Комисията в тази област бяха причина държавите членки да въведат национално законодателство, за да гарантират съответствие с правото на ЕС, по-специално с Директивата относно </w:t>
      </w:r>
      <w:hyperlink r:id="rId35">
        <w:r>
          <w:rPr>
            <w:rStyle w:val="Hyperlink"/>
            <w:rFonts w:ascii="Arial" w:hAnsi="Arial" w:cs="Arial"/>
            <w:noProof/>
            <w:lang w:val="bg-BG"/>
          </w:rPr>
          <w:t>професионалната експозиция на електромагнитни полета</w:t>
        </w:r>
      </w:hyperlink>
      <w:r>
        <w:rPr>
          <w:rFonts w:ascii="Arial" w:hAnsi="Arial" w:cs="Arial"/>
          <w:noProof/>
          <w:u w:val="none"/>
          <w:lang w:val="bg-BG"/>
        </w:rPr>
        <w:t>.</w:t>
      </w:r>
    </w:p>
    <w:p w:rsidR="00286241" w:rsidRDefault="00FC31FA">
      <w:pPr>
        <w:spacing w:after="120"/>
        <w:rPr>
          <w:rFonts w:ascii="Arial" w:eastAsia="Arial Unicode MS" w:hAnsi="Arial" w:cs="Arial"/>
          <w:i/>
          <w:noProof/>
          <w:color w:val="4F81BD"/>
          <w:sz w:val="22"/>
          <w:szCs w:val="22"/>
          <w:u w:val="none"/>
          <w:lang w:val="bg-BG"/>
        </w:rPr>
      </w:pPr>
      <w:r>
        <w:rPr>
          <w:rFonts w:ascii="Arial" w:hAnsi="Arial" w:cs="Arial"/>
          <w:i/>
          <w:noProof/>
          <w:u w:val="none"/>
        </w:rPr>
        <w:drawing>
          <wp:anchor distT="0" distB="0" distL="114300" distR="114300" simplePos="0" relativeHeight="251677696" behindDoc="1" locked="0" layoutInCell="1" allowOverlap="1">
            <wp:simplePos x="0" y="0"/>
            <wp:positionH relativeFrom="column">
              <wp:posOffset>-69850</wp:posOffset>
            </wp:positionH>
            <wp:positionV relativeFrom="paragraph">
              <wp:posOffset>360680</wp:posOffset>
            </wp:positionV>
            <wp:extent cx="3390900" cy="2260600"/>
            <wp:effectExtent l="0" t="0" r="0" b="6350"/>
            <wp:wrapTight wrapText="bothSides">
              <wp:wrapPolygon edited="0">
                <wp:start x="0" y="0"/>
                <wp:lineTo x="0" y="21479"/>
                <wp:lineTo x="21479" y="21479"/>
                <wp:lineTo x="2147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Fotolia_119789986_Subscription_Monthly_XXL.jpg"/>
                    <pic:cNvPicPr/>
                  </pic:nvPicPr>
                  <pic:blipFill>
                    <a:blip r:embed="rId36" cstate="email">
                      <a:extLst>
                        <a:ext uri="{28A0092B-C50C-407E-A947-70E740481C1C}">
                          <a14:useLocalDpi xmlns:a14="http://schemas.microsoft.com/office/drawing/2010/main" val="0"/>
                        </a:ext>
                      </a:extLst>
                    </a:blip>
                    <a:stretch>
                      <a:fillRect/>
                    </a:stretch>
                  </pic:blipFill>
                  <pic:spPr>
                    <a:xfrm>
                      <a:off x="0" y="0"/>
                      <a:ext cx="3390900" cy="2260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noProof/>
          <w:color w:val="4F81BD"/>
          <w:sz w:val="22"/>
          <w:u w:val="none"/>
          <w:lang w:val="bg-BG"/>
        </w:rPr>
        <w:t>Прилагане на правилата в областта на околната среда</w:t>
      </w:r>
    </w:p>
    <w:p w:rsidR="00286241" w:rsidRDefault="00FC31FA">
      <w:pPr>
        <w:rPr>
          <w:rFonts w:ascii="Arial" w:hAnsi="Arial" w:cs="Arial"/>
          <w:noProof/>
          <w:u w:val="none"/>
          <w:lang w:val="bg-BG"/>
        </w:rPr>
      </w:pPr>
      <w:r>
        <w:rPr>
          <w:rFonts w:ascii="Arial" w:hAnsi="Arial" w:cs="Arial"/>
          <w:noProof/>
          <w:u w:val="none"/>
          <w:lang w:val="bg-BG"/>
        </w:rPr>
        <w:t>През 2017 г. Комисията предприе правни действия за преодоляване на неправилното прилагане на законодателството в областта на околната среда.</w:t>
      </w:r>
    </w:p>
    <w:p w:rsidR="00286241" w:rsidRDefault="00286241">
      <w:pPr>
        <w:rPr>
          <w:rFonts w:ascii="Arial" w:hAnsi="Arial" w:cs="Arial"/>
          <w:noProof/>
          <w:u w:val="none"/>
          <w:lang w:val="bg-BG"/>
        </w:rPr>
      </w:pPr>
    </w:p>
    <w:p w:rsidR="00286241" w:rsidRDefault="00286241">
      <w:pPr>
        <w:rPr>
          <w:rFonts w:ascii="Arial" w:hAnsi="Arial" w:cs="Arial"/>
          <w:noProof/>
          <w:u w:val="none"/>
          <w:lang w:val="bg-BG"/>
        </w:rPr>
      </w:pPr>
    </w:p>
    <w:p w:rsidR="00286241" w:rsidRDefault="00286241">
      <w:pPr>
        <w:rPr>
          <w:rFonts w:ascii="Arial" w:hAnsi="Arial" w:cs="Arial"/>
          <w:noProof/>
          <w:u w:val="none"/>
          <w:lang w:val="bg-BG"/>
        </w:rPr>
      </w:pPr>
    </w:p>
    <w:p w:rsidR="00286241" w:rsidRDefault="00286241">
      <w:pPr>
        <w:rPr>
          <w:rFonts w:ascii="Arial" w:hAnsi="Arial" w:cs="Arial"/>
          <w:noProof/>
          <w:u w:val="none"/>
          <w:lang w:val="bg-BG"/>
        </w:rPr>
      </w:pPr>
    </w:p>
    <w:p w:rsidR="00286241" w:rsidRDefault="00286241">
      <w:pPr>
        <w:rPr>
          <w:rFonts w:ascii="Arial" w:hAnsi="Arial" w:cs="Arial"/>
          <w:noProof/>
          <w:u w:val="none"/>
          <w:lang w:val="bg-BG"/>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6"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Комисията сезира Съда на ЕС с иск срещу Полша поради засиления дърводобив в </w:t>
            </w:r>
            <w:hyperlink r:id="rId37">
              <w:r>
                <w:rPr>
                  <w:rStyle w:val="Hyperlink"/>
                  <w:rFonts w:ascii="Arial" w:hAnsi="Arial" w:cs="Arial"/>
                  <w:noProof/>
                  <w:lang w:val="bg-BG"/>
                </w:rPr>
                <w:t>Беловежката гора</w:t>
              </w:r>
            </w:hyperlink>
            <w:r>
              <w:rPr>
                <w:rFonts w:ascii="Arial" w:hAnsi="Arial" w:cs="Arial"/>
                <w:noProof/>
                <w:color w:val="FFFFFF"/>
                <w:u w:val="none"/>
                <w:lang w:val="bg-BG"/>
              </w:rPr>
              <w:t xml:space="preserve">, която е една от последните останали в Европа естествени гори и е защитена зона по „Натура 2000“. В тази зона са защитени видове и местообитания, зависещи от съществуването на девствени гори, включително от наличието на изсъхнала дървесина. За някои от тези видове Беловежката гора е най-важната и последната оставаща зона в Полша. След като бяха започнати мащабни дърводобивни дейности, Комисията поиска от Съда също така да наложи временни мерки, с които на Полша се нарежда да прекрати незабавно дейностите. Съдът уважи </w:t>
            </w:r>
            <w:hyperlink r:id="rId38">
              <w:r>
                <w:rPr>
                  <w:rStyle w:val="Hyperlink"/>
                  <w:rFonts w:ascii="Arial" w:hAnsi="Arial" w:cs="Arial"/>
                  <w:noProof/>
                  <w:lang w:val="bg-BG"/>
                </w:rPr>
                <w:t>искането</w:t>
              </w:r>
            </w:hyperlink>
            <w:r>
              <w:rPr>
                <w:rFonts w:ascii="Arial" w:hAnsi="Arial" w:cs="Arial"/>
                <w:noProof/>
                <w:color w:val="FFFFFF"/>
                <w:u w:val="none"/>
                <w:lang w:val="bg-BG"/>
              </w:rPr>
              <w:t xml:space="preserve"> на Комисията и нареди на Полша незабавно да преустанови активните горски стопански дейности в Беловежката гора, освен при изключителни случаи, когато те са строго необходими за гарантиране на обществената безопасност. Съдът също така за първи път потвърди, че на Полша могат да бъдат наложени финансови санкции, ако не се съобрази с решението на Съда.</w:t>
            </w:r>
          </w:p>
        </w:tc>
      </w:tr>
    </w:tbl>
    <w:p w:rsidR="00286241" w:rsidRDefault="00FC31FA">
      <w:pPr>
        <w:spacing w:before="200"/>
        <w:rPr>
          <w:rFonts w:ascii="Arial" w:hAnsi="Arial" w:cs="Arial"/>
          <w:noProof/>
          <w:u w:val="none"/>
          <w:lang w:val="bg-BG"/>
        </w:rPr>
      </w:pPr>
      <w:r>
        <w:rPr>
          <w:rFonts w:ascii="Arial" w:hAnsi="Arial" w:cs="Arial"/>
          <w:noProof/>
          <w:u w:val="none"/>
          <w:lang w:val="bg-BG"/>
        </w:rPr>
        <w:t>Подобряването на качеството на въздуха продължава да бъде сериозно предизвикателство. Въпреки задължението на държавите членки да гарантират добро качество на въздуха за населението, вече в продължение на няколко години на много места има проблеми в това отношение. Всяка година лошото качество на въздуха причинява повече смъртни случаи, отколкото пътнотранспортните произшествия.</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През 2017 г. в ход бяха общо 30 производства за установяване на неизпълнение на задължения във връзка със завишени нива на прахови частици (PM</w:t>
            </w:r>
            <w:r>
              <w:rPr>
                <w:rFonts w:ascii="Arial" w:hAnsi="Arial" w:cs="Arial"/>
                <w:noProof/>
                <w:color w:val="FFFFFF"/>
                <w:u w:val="none"/>
                <w:vertAlign w:val="superscript"/>
                <w:lang w:val="bg-BG"/>
              </w:rPr>
              <w:t>10</w:t>
            </w:r>
            <w:r>
              <w:rPr>
                <w:rFonts w:ascii="Arial" w:hAnsi="Arial" w:cs="Arial"/>
                <w:noProof/>
                <w:color w:val="FFFFFF"/>
                <w:u w:val="none"/>
                <w:lang w:val="bg-BG"/>
              </w:rPr>
              <w:t>), азотен диоксид (NO</w:t>
            </w:r>
            <w:r>
              <w:rPr>
                <w:rFonts w:ascii="Arial" w:hAnsi="Arial" w:cs="Arial"/>
                <w:noProof/>
                <w:color w:val="FFFFFF"/>
                <w:u w:val="none"/>
                <w:vertAlign w:val="subscript"/>
                <w:lang w:val="bg-BG"/>
              </w:rPr>
              <w:t>2</w:t>
            </w:r>
            <w:r>
              <w:rPr>
                <w:rFonts w:ascii="Arial" w:hAnsi="Arial" w:cs="Arial"/>
                <w:noProof/>
                <w:color w:val="FFFFFF"/>
                <w:u w:val="none"/>
                <w:lang w:val="bg-BG"/>
              </w:rPr>
              <w:t>) и серен диоксид (SO</w:t>
            </w:r>
            <w:r>
              <w:rPr>
                <w:rFonts w:ascii="Arial" w:hAnsi="Arial" w:cs="Arial"/>
                <w:noProof/>
                <w:color w:val="FFFFFF"/>
                <w:u w:val="none"/>
                <w:vertAlign w:val="subscript"/>
                <w:lang w:val="bg-BG"/>
              </w:rPr>
              <w:t>2</w:t>
            </w:r>
            <w:r>
              <w:rPr>
                <w:rFonts w:ascii="Arial" w:hAnsi="Arial" w:cs="Arial"/>
                <w:noProof/>
                <w:color w:val="FFFFFF"/>
                <w:u w:val="none"/>
                <w:lang w:val="bg-BG"/>
              </w:rPr>
              <w:t xml:space="preserve">) във въздуха. Тези замърсители са резултат предимно от човешки дейности, като например транспорт, промишленост и битово отопление, и могат да причинят дихателни проблеми, рак на белия дроб и преждевременна смърт. В ключово решение срещу </w:t>
            </w:r>
            <w:hyperlink r:id="rId39">
              <w:r>
                <w:rPr>
                  <w:rStyle w:val="Hyperlink"/>
                  <w:rFonts w:ascii="Arial" w:hAnsi="Arial" w:cs="Arial"/>
                  <w:noProof/>
                  <w:lang w:val="bg-BG"/>
                </w:rPr>
                <w:t>България във връзка с превишаване на пределно допустимите стойности за замърсяване с фини прахови частици</w:t>
              </w:r>
            </w:hyperlink>
            <w:r>
              <w:rPr>
                <w:rFonts w:ascii="Arial" w:hAnsi="Arial" w:cs="Arial"/>
                <w:noProof/>
                <w:color w:val="FFFFFF"/>
                <w:sz w:val="18"/>
                <w:u w:val="none"/>
                <w:lang w:val="bg-BG"/>
              </w:rPr>
              <w:t xml:space="preserve"> </w:t>
            </w:r>
            <w:r>
              <w:rPr>
                <w:rFonts w:ascii="Arial" w:hAnsi="Arial" w:cs="Arial"/>
                <w:noProof/>
                <w:color w:val="FFFFFF"/>
                <w:u w:val="none"/>
                <w:lang w:val="bg-BG"/>
              </w:rPr>
              <w:t>Съдът на ЕС подкрепи действията по правоприлагане на Комисията. Комисията ще продължи работата по производствата за установяване на неизпълнение на задължения във връзка с качеството на въздуха, които са в ход срещу други държави членки.</w:t>
            </w:r>
          </w:p>
        </w:tc>
      </w:tr>
    </w:tbl>
    <w:p w:rsidR="00286241" w:rsidRDefault="00FC31FA">
      <w:pPr>
        <w:spacing w:before="200"/>
        <w:rPr>
          <w:rFonts w:ascii="Arial" w:hAnsi="Arial" w:cs="Arial"/>
          <w:noProof/>
          <w:u w:val="none"/>
          <w:lang w:val="bg-BG"/>
        </w:rPr>
      </w:pPr>
      <w:r>
        <w:rPr>
          <w:rFonts w:ascii="Arial" w:hAnsi="Arial" w:cs="Arial"/>
          <w:noProof/>
          <w:u w:val="none"/>
          <w:lang w:val="bg-BG"/>
        </w:rPr>
        <w:t>Държавите членки трябва също така да разполагат с адекватни системи за събиране и пречистване на градските отпадъчни води, тъй като непречистените води представляват риск за човешкото здраве, вътрешните водни басейни и морската среда.</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През 2017 г. Съдът на ЕС подкрепи аргументите на Комисията в заведените дела срещу </w:t>
            </w:r>
            <w:hyperlink r:id="rId40">
              <w:r>
                <w:rPr>
                  <w:rStyle w:val="Hyperlink"/>
                  <w:rFonts w:ascii="Arial" w:hAnsi="Arial" w:cs="Arial"/>
                  <w:noProof/>
                  <w:lang w:val="bg-BG"/>
                </w:rPr>
                <w:t>Обединеното кралство</w:t>
              </w:r>
            </w:hyperlink>
            <w:r>
              <w:rPr>
                <w:rFonts w:ascii="Arial" w:hAnsi="Arial" w:cs="Arial"/>
                <w:noProof/>
                <w:color w:val="FFFFFF"/>
                <w:u w:val="none"/>
                <w:lang w:val="bg-BG"/>
              </w:rPr>
              <w:t xml:space="preserve"> и </w:t>
            </w:r>
            <w:hyperlink r:id="rId41">
              <w:r>
                <w:rPr>
                  <w:rStyle w:val="Hyperlink"/>
                  <w:rFonts w:ascii="Arial" w:hAnsi="Arial" w:cs="Arial"/>
                  <w:noProof/>
                  <w:lang w:val="bg-BG"/>
                </w:rPr>
                <w:t>Гърция</w:t>
              </w:r>
            </w:hyperlink>
            <w:r>
              <w:rPr>
                <w:rFonts w:ascii="Arial" w:hAnsi="Arial" w:cs="Arial"/>
                <w:noProof/>
                <w:color w:val="FFFFFF"/>
                <w:u w:val="none"/>
                <w:lang w:val="bg-BG"/>
              </w:rPr>
              <w:t xml:space="preserve"> във връзка с недостатъчно пречистване на градски отпадъчни води.</w:t>
            </w:r>
          </w:p>
        </w:tc>
      </w:tr>
    </w:tbl>
    <w:p w:rsidR="00286241" w:rsidRDefault="00FC31FA">
      <w:pPr>
        <w:spacing w:before="200"/>
        <w:rPr>
          <w:rFonts w:ascii="Arial" w:hAnsi="Arial" w:cs="Arial"/>
          <w:noProof/>
          <w:u w:val="none"/>
          <w:lang w:val="bg-BG"/>
        </w:rPr>
      </w:pPr>
      <w:r>
        <w:rPr>
          <w:rFonts w:ascii="Arial" w:hAnsi="Arial" w:cs="Arial"/>
          <w:noProof/>
          <w:u w:val="none"/>
          <w:lang w:val="bg-BG"/>
        </w:rPr>
        <w:t>През 2017 г. Комисията активно образуваше производства за установяване на неизпълнение на задължения срещу държави членки, които не са приложили в националното си законодателство преразгледаната Директива за оценка на въздействието върху околната среда. С тази директива се опростяват правилата за оценяване на потенциалното въздействие на проекти върху околната среда.</w:t>
      </w:r>
    </w:p>
    <w:p w:rsidR="00286241" w:rsidRDefault="00FC31FA">
      <w:pPr>
        <w:rPr>
          <w:rFonts w:ascii="Arial" w:hAnsi="Arial" w:cs="Arial"/>
          <w:noProof/>
          <w:u w:val="none"/>
          <w:lang w:val="bg-BG"/>
        </w:rPr>
      </w:pPr>
      <w:r>
        <w:rPr>
          <w:rFonts w:ascii="Arial" w:hAnsi="Arial" w:cs="Arial"/>
          <w:noProof/>
          <w:u w:val="none"/>
          <w:lang w:val="bg-BG"/>
        </w:rPr>
        <w:t xml:space="preserve">Същевременно Комисията работеше в тясно сътрудничество с националните органи и с други заинтересовани страни с цел спазване на правилата и разрешаване на проблемите още на ранен етап. През февруари 2017 г. бяха публикувани </w:t>
      </w:r>
      <w:hyperlink r:id="rId42">
        <w:r>
          <w:rPr>
            <w:rStyle w:val="Hyperlink"/>
            <w:rFonts w:ascii="Arial" w:hAnsi="Arial" w:cs="Arial"/>
            <w:noProof/>
            <w:lang w:val="bg-BG"/>
          </w:rPr>
          <w:t>докладите по държави за преглед на изпълнението на политиките за околната среда</w:t>
        </w:r>
      </w:hyperlink>
      <w:r>
        <w:rPr>
          <w:rFonts w:ascii="Arial" w:hAnsi="Arial" w:cs="Arial"/>
          <w:noProof/>
          <w:u w:val="none"/>
          <w:lang w:val="bg-BG"/>
        </w:rPr>
        <w:t xml:space="preserve">, в които за първи път се представя всеобхватен преглед на прилагането от страна на държавите членки на местно равнище на политиките и законодателството на ЕС в областта на околната среда. Въз основа на тези доклади Комисията започна диалози с отделните държави членки. Освен това Комисията създаде </w:t>
      </w:r>
      <w:hyperlink r:id="rId43">
        <w:r>
          <w:rPr>
            <w:rStyle w:val="Hyperlink"/>
            <w:rFonts w:ascii="Arial" w:hAnsi="Arial" w:cs="Arial"/>
            <w:noProof/>
            <w:lang w:val="bg-BG"/>
          </w:rPr>
          <w:t>инструмент за партньорство</w:t>
        </w:r>
      </w:hyperlink>
      <w:r>
        <w:rPr>
          <w:rFonts w:ascii="Arial" w:hAnsi="Arial" w:cs="Arial"/>
          <w:noProof/>
          <w:u w:val="none"/>
          <w:lang w:val="bg-BG"/>
        </w:rPr>
        <w:t>, с който да се спомогне за обмена на експертен опит между национални, регионални и местни публични органи, отговарящи за прилагането на правото и политиката на ЕС в областта на околната среда.</w:t>
      </w:r>
    </w:p>
    <w:p w:rsidR="00286241" w:rsidRDefault="00FC31FA">
      <w:pPr>
        <w:rPr>
          <w:rFonts w:ascii="Arial" w:eastAsia="Arial Unicode MS" w:hAnsi="Arial" w:cs="Arial"/>
          <w:i/>
          <w:noProof/>
          <w:color w:val="4F81BD"/>
          <w:sz w:val="22"/>
          <w:szCs w:val="22"/>
          <w:u w:val="none"/>
          <w:lang w:val="bg-BG"/>
        </w:rPr>
      </w:pPr>
      <w:r>
        <w:rPr>
          <w:rFonts w:ascii="Arial" w:eastAsia="Arial Unicode MS" w:hAnsi="Arial" w:cs="Arial"/>
          <w:i/>
          <w:noProof/>
          <w:color w:val="4F81BD"/>
          <w:sz w:val="22"/>
          <w:szCs w:val="22"/>
          <w:u w:val="none"/>
        </w:rPr>
        <w:drawing>
          <wp:anchor distT="0" distB="0" distL="114300" distR="114300" simplePos="0" relativeHeight="251640832" behindDoc="1" locked="0" layoutInCell="1" allowOverlap="1">
            <wp:simplePos x="0" y="0"/>
            <wp:positionH relativeFrom="column">
              <wp:posOffset>0</wp:posOffset>
            </wp:positionH>
            <wp:positionV relativeFrom="paragraph">
              <wp:posOffset>409575</wp:posOffset>
            </wp:positionV>
            <wp:extent cx="3473450" cy="2456180"/>
            <wp:effectExtent l="0" t="0" r="0" b="1270"/>
            <wp:wrapTight wrapText="bothSides">
              <wp:wrapPolygon edited="0">
                <wp:start x="0" y="0"/>
                <wp:lineTo x="0" y="21444"/>
                <wp:lineTo x="21442" y="21444"/>
                <wp:lineTo x="2144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Fotolia_67700127_Subscription_Monthly_XXL.jpg"/>
                    <pic:cNvPicPr/>
                  </pic:nvPicPr>
                  <pic:blipFill>
                    <a:blip r:embed="rId44" cstate="email">
                      <a:extLst>
                        <a:ext uri="{28A0092B-C50C-407E-A947-70E740481C1C}">
                          <a14:useLocalDpi xmlns:a14="http://schemas.microsoft.com/office/drawing/2010/main"/>
                        </a:ext>
                      </a:extLst>
                    </a:blip>
                    <a:stretch>
                      <a:fillRect/>
                    </a:stretch>
                  </pic:blipFill>
                  <pic:spPr>
                    <a:xfrm>
                      <a:off x="0" y="0"/>
                      <a:ext cx="3473450" cy="24561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noProof/>
          <w:color w:val="4F81BD"/>
          <w:sz w:val="22"/>
          <w:u w:val="none"/>
          <w:lang w:val="bg-BG"/>
        </w:rPr>
        <w:t>Прилагане на правилата в областта на селското стопанство</w:t>
      </w:r>
    </w:p>
    <w:p w:rsidR="00286241" w:rsidRDefault="00FC31FA">
      <w:pPr>
        <w:rPr>
          <w:rFonts w:ascii="Arial" w:hAnsi="Arial" w:cs="Arial"/>
          <w:noProof/>
          <w:u w:val="none"/>
          <w:lang w:val="bg-BG"/>
        </w:rPr>
      </w:pPr>
      <w:r>
        <w:rPr>
          <w:rFonts w:ascii="Arial" w:hAnsi="Arial" w:cs="Arial"/>
          <w:noProof/>
          <w:u w:val="none"/>
          <w:lang w:val="bg-BG"/>
        </w:rPr>
        <w:t>Чрез общата селскостопанска политика и прилагането на съответните правила на ЕС се осигурява подкрепа за доходите на земеделските стопанства и за екологизиране на земеделието. Тези действия спомагат също и за повишаване на конкурентоспособността и ресурсната ефективност на сектора, а в по-общ план — за подкрепа на живота в селските райони.</w:t>
      </w:r>
    </w:p>
    <w:p w:rsidR="00286241" w:rsidRDefault="00FC31FA">
      <w:pPr>
        <w:rPr>
          <w:rFonts w:ascii="Arial" w:hAnsi="Arial" w:cs="Arial"/>
          <w:noProof/>
          <w:u w:val="none"/>
          <w:lang w:val="bg-BG"/>
        </w:rPr>
      </w:pPr>
      <w:r>
        <w:rPr>
          <w:rFonts w:ascii="Arial" w:hAnsi="Arial" w:cs="Arial"/>
          <w:noProof/>
          <w:u w:val="none"/>
          <w:lang w:val="bg-BG"/>
        </w:rPr>
        <w:t xml:space="preserve">През 2017 г. действията на Комисията по прилагане на правилата в областта на селското стопанство бяха съсредоточени върху мониторинга на изпълнението от страна на държавите членки на </w:t>
      </w:r>
      <w:hyperlink r:id="rId45">
        <w:r>
          <w:rPr>
            <w:rStyle w:val="Hyperlink"/>
            <w:rFonts w:ascii="Arial" w:hAnsi="Arial" w:cs="Arial"/>
            <w:noProof/>
            <w:lang w:val="bg-BG"/>
          </w:rPr>
          <w:t>реформата на директните плащания</w:t>
        </w:r>
      </w:hyperlink>
      <w:r>
        <w:rPr>
          <w:rFonts w:ascii="Arial" w:hAnsi="Arial" w:cs="Arial"/>
          <w:noProof/>
          <w:u w:val="none"/>
          <w:lang w:val="bg-BG"/>
        </w:rPr>
        <w:t>. Комисията започна двустранни диалози с държавите членки, които използват неправилно финансовата помощ по схемите за доброволно обвързано с производството подпомагане, за да подкрепи селскостопански практики или сектори, изпитващи затруднения, които не са свързани с риск от изоставяне или спад на производството.</w:t>
      </w:r>
    </w:p>
    <w:p w:rsidR="00286241" w:rsidRDefault="00FC31FA">
      <w:pPr>
        <w:rPr>
          <w:rFonts w:ascii="Arial" w:hAnsi="Arial" w:cs="Arial"/>
          <w:noProof/>
          <w:u w:val="none"/>
          <w:lang w:val="bg-BG"/>
        </w:rPr>
      </w:pPr>
      <w:r>
        <w:rPr>
          <w:rFonts w:ascii="Arial" w:hAnsi="Arial" w:cs="Arial"/>
          <w:noProof/>
          <w:u w:val="none"/>
          <w:lang w:val="bg-BG"/>
        </w:rPr>
        <w:t>Срещаните в практиката затруднения показаха, че е необходимо поясняване на приложимите правила. За целта през декември 2017 г. Комисията прие регламент, с който се коригират условията, при които държавите членки могат да предоставят финансова подкрепа на земеделски стопани чрез схемата за доброволно обвързано с производството подпомагане.</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Чрез диалог Комисията успя да убеди националните органи на една държава членка да променят дискриминационна разпоредба, с която не се допускаше хора с увреждания да подават заявления за финансова подкрепа за модернизиране на техните стопанства.</w:t>
            </w:r>
          </w:p>
        </w:tc>
      </w:tr>
    </w:tbl>
    <w:p w:rsidR="00286241" w:rsidRDefault="00FC31FA">
      <w:pPr>
        <w:spacing w:before="200"/>
        <w:rPr>
          <w:rFonts w:ascii="Arial" w:hAnsi="Arial" w:cs="Arial"/>
          <w:noProof/>
          <w:u w:val="none"/>
          <w:lang w:val="bg-BG"/>
        </w:rPr>
      </w:pPr>
      <w:r>
        <w:rPr>
          <w:rFonts w:ascii="Arial" w:hAnsi="Arial" w:cs="Arial"/>
          <w:noProof/>
          <w:u w:val="none"/>
          <w:lang w:val="bg-BG"/>
        </w:rPr>
        <w:t xml:space="preserve">Казеините, които са вещество, съдържащо се в млякото, имат широк спектър на приложение в промишлеността. Те се използват в различни производства като свързващо вещество, като основна съставка в сиренето, а също и като хранителна добавка. </w:t>
      </w:r>
      <w:hyperlink r:id="rId46">
        <w:r>
          <w:rPr>
            <w:rStyle w:val="Hyperlink"/>
            <w:rFonts w:ascii="Arial" w:hAnsi="Arial" w:cs="Arial"/>
            <w:noProof/>
            <w:lang w:val="bg-BG"/>
          </w:rPr>
          <w:t>Правилата на ЕС за етикетиране на казеини и казеинати</w:t>
        </w:r>
      </w:hyperlink>
      <w:r>
        <w:rPr>
          <w:rFonts w:ascii="Arial" w:hAnsi="Arial" w:cs="Arial"/>
          <w:noProof/>
          <w:u w:val="none"/>
          <w:lang w:val="bg-BG"/>
        </w:rPr>
        <w:t xml:space="preserve"> улесняват свободното разпространение на тези продукти от стопански субекти в областта на храните.</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rPr>
          <w:trHeight w:val="780"/>
        </w:trPr>
        <w:tc>
          <w:tcPr>
            <w:tcW w:w="0" w:type="auto"/>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Комисията продължи да предприема активно последващи действия във връзка с производствата за установяване на неизпълнение на задължения срещу </w:t>
            </w:r>
            <w:hyperlink r:id="rId47">
              <w:r>
                <w:rPr>
                  <w:rStyle w:val="Hyperlink"/>
                  <w:rFonts w:ascii="Arial" w:hAnsi="Arial" w:cs="Arial"/>
                  <w:noProof/>
                  <w:lang w:val="bg-BG"/>
                </w:rPr>
                <w:t>Кипър, Италия и Обединеното кралство</w:t>
              </w:r>
            </w:hyperlink>
            <w:r>
              <w:rPr>
                <w:rFonts w:ascii="Arial" w:hAnsi="Arial" w:cs="Arial"/>
                <w:noProof/>
                <w:color w:val="FFFFFF"/>
                <w:u w:val="none"/>
                <w:lang w:val="bg-BG"/>
              </w:rPr>
              <w:t>, тъй като те не са приложили своевременно пазарните стандарти за казеините и казеинатите в националното си законодателство.</w:t>
            </w:r>
          </w:p>
        </w:tc>
      </w:tr>
    </w:tbl>
    <w:p w:rsidR="00286241" w:rsidRDefault="00FC31FA">
      <w:pPr>
        <w:spacing w:after="0" w:line="240" w:lineRule="auto"/>
        <w:rPr>
          <w:rFonts w:ascii="Arial" w:eastAsia="Arial Unicode MS" w:hAnsi="Arial" w:cs="Arial"/>
          <w:i/>
          <w:noProof/>
          <w:color w:val="8DB3E2" w:themeColor="text2" w:themeTint="66"/>
          <w:u w:val="none"/>
          <w:lang w:val="bg-BG"/>
        </w:rPr>
      </w:pPr>
      <w:r>
        <w:rPr>
          <w:rFonts w:ascii="Arial" w:hAnsi="Arial" w:cs="Arial"/>
          <w:noProof/>
          <w:lang w:val="bg-BG"/>
        </w:rPr>
        <w:br w:type="page"/>
      </w:r>
    </w:p>
    <w:p w:rsidR="00286241" w:rsidRDefault="00FC31FA">
      <w:pPr>
        <w:rPr>
          <w:rFonts w:ascii="Arial" w:eastAsia="Arial Unicode MS" w:hAnsi="Arial" w:cs="Arial"/>
          <w:i/>
          <w:noProof/>
          <w:color w:val="4F81BD"/>
          <w:sz w:val="22"/>
          <w:szCs w:val="22"/>
          <w:u w:val="none"/>
          <w:lang w:val="bg-BG"/>
        </w:rPr>
      </w:pPr>
      <w:r>
        <w:rPr>
          <w:rFonts w:ascii="Arial" w:hAnsi="Arial" w:cs="Arial"/>
          <w:i/>
          <w:noProof/>
          <w:color w:val="4F81BD"/>
          <w:sz w:val="22"/>
          <w:u w:val="none"/>
          <w:lang w:val="bg-BG"/>
        </w:rPr>
        <w:t>Прилагане на правилата в областта на морското дело и рибарството</w:t>
      </w:r>
    </w:p>
    <w:p w:rsidR="00286241" w:rsidRDefault="00FC31FA">
      <w:pPr>
        <w:rPr>
          <w:rFonts w:ascii="Arial" w:hAnsi="Arial" w:cs="Arial"/>
          <w:noProof/>
          <w:u w:val="none"/>
          <w:lang w:val="bg-BG"/>
        </w:rPr>
      </w:pPr>
      <w:r>
        <w:rPr>
          <w:rFonts w:ascii="Arial" w:hAnsi="Arial" w:cs="Arial"/>
          <w:i/>
          <w:noProof/>
          <w:u w:val="none"/>
        </w:rPr>
        <w:drawing>
          <wp:anchor distT="0" distB="0" distL="114300" distR="114300" simplePos="0" relativeHeight="251653120" behindDoc="1" locked="0" layoutInCell="1" allowOverlap="1">
            <wp:simplePos x="0" y="0"/>
            <wp:positionH relativeFrom="column">
              <wp:posOffset>4445</wp:posOffset>
            </wp:positionH>
            <wp:positionV relativeFrom="paragraph">
              <wp:posOffset>-2540</wp:posOffset>
            </wp:positionV>
            <wp:extent cx="3843020" cy="2552700"/>
            <wp:effectExtent l="0" t="0" r="5080" b="0"/>
            <wp:wrapTight wrapText="bothSides">
              <wp:wrapPolygon edited="0">
                <wp:start x="0" y="0"/>
                <wp:lineTo x="0" y="21439"/>
                <wp:lineTo x="21521" y="21439"/>
                <wp:lineTo x="215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Fotolia_122404996_Subscription_Monthly_XL.jpg"/>
                    <pic:cNvPicPr/>
                  </pic:nvPicPr>
                  <pic:blipFill>
                    <a:blip r:embed="rId48" cstate="email">
                      <a:extLst>
                        <a:ext uri="{28A0092B-C50C-407E-A947-70E740481C1C}">
                          <a14:useLocalDpi xmlns:a14="http://schemas.microsoft.com/office/drawing/2010/main" val="0"/>
                        </a:ext>
                      </a:extLst>
                    </a:blip>
                    <a:stretch>
                      <a:fillRect/>
                    </a:stretch>
                  </pic:blipFill>
                  <pic:spPr>
                    <a:xfrm>
                      <a:off x="0" y="0"/>
                      <a:ext cx="3843020" cy="25527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u w:val="none"/>
          <w:lang w:val="bg-BG"/>
        </w:rPr>
        <w:t>За да се помогне на Европа да извърши прехода към „по-кръгова“ икономика, която използва природните ресурси по-устойчиво, рибните ресурси трябва да се използват по устойчив начин. Това е необходимо и за осигуряване на работни места и растеж в сектора на рибарството в дългосрочен план. Поради това стратегията на Комисията за правоприлагане през 2017 г. беше насочена към областите на опазването и контрола на рибните ресурси, които са от съществено значение за изграждането на „кръгова“ икономика.</w:t>
      </w:r>
    </w:p>
    <w:p w:rsidR="00286241" w:rsidRDefault="00FC31FA">
      <w:pPr>
        <w:rPr>
          <w:rFonts w:ascii="Arial" w:hAnsi="Arial" w:cs="Arial"/>
          <w:noProof/>
          <w:u w:val="none"/>
          <w:lang w:val="bg-BG"/>
        </w:rPr>
      </w:pPr>
      <w:r>
        <w:rPr>
          <w:rFonts w:ascii="Arial" w:hAnsi="Arial" w:cs="Arial"/>
          <w:noProof/>
          <w:u w:val="none"/>
          <w:lang w:val="bg-BG"/>
        </w:rPr>
        <w:t>Ако държавите членки не предприемат незабавни и ефективни мерки за предотвратяване на незаконния, недеклариран и нерегулиран риболов, за ЕС ще бъде по-трудно да се бори с такива практики в световен мащаб.</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Комисията започна производства за установяване на неизпълнение на задължения срещу Португалия, тъй като риболовни кораби, плаващи под португалски флаг и извършващи дейност във водите под контрола на Организацията за риболова в северозападната част на Атлантическия океан, многократно и за продължително време са участвали в риболовни дейности, които нарушават мерките на тази организация за опазване .</w:t>
            </w:r>
          </w:p>
        </w:tc>
      </w:tr>
    </w:tbl>
    <w:p w:rsidR="00286241" w:rsidRDefault="00FC31FA">
      <w:pPr>
        <w:spacing w:before="200"/>
        <w:rPr>
          <w:rFonts w:ascii="Arial" w:hAnsi="Arial" w:cs="Arial"/>
          <w:noProof/>
          <w:u w:val="none"/>
          <w:lang w:val="bg-BG"/>
        </w:rPr>
      </w:pPr>
      <w:r>
        <w:rPr>
          <w:rFonts w:ascii="Arial" w:hAnsi="Arial" w:cs="Arial"/>
          <w:noProof/>
          <w:u w:val="none"/>
          <w:lang w:val="bg-BG"/>
        </w:rPr>
        <w:t>В националните системи за наблюдение на рибарството трябва да се предвиждат възпиращи санкции за сериозни нарушения на правилата на общата политика на ЕС в областта на рибарството. Комисията предприе действия за преодоляване на системни недостатъци, които възпрепятстват откриването на незаконни риболовни дейности, засягащи устойчивостта.</w:t>
      </w:r>
    </w:p>
    <w:p w:rsidR="00286241" w:rsidRDefault="00FC31FA">
      <w:pPr>
        <w:spacing w:before="200"/>
        <w:rPr>
          <w:rFonts w:ascii="Arial" w:hAnsi="Arial" w:cs="Arial"/>
          <w:noProof/>
          <w:u w:val="none"/>
          <w:lang w:val="bg-BG"/>
        </w:rPr>
      </w:pPr>
      <w:r>
        <w:rPr>
          <w:rFonts w:ascii="Arial" w:hAnsi="Arial" w:cs="Arial"/>
          <w:noProof/>
          <w:u w:val="none"/>
          <w:lang w:val="bg-BG"/>
        </w:rPr>
        <w:t>Съгласно общата политика в областта на рибарството риболовните кораби от ЕС имат равен достъп до водите и ресурсите във всички води на ЕС. Държавите членки трябва да гарантират, че кораби, плаващи под флага на други държави от ЕС, могат да имат свободен достъп до водите под тяхна юрисдикция, за да извършват риболов.</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6"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Комисията предприе допълнителни действие по </w:t>
            </w:r>
            <w:hyperlink r:id="rId49">
              <w:r>
                <w:rPr>
                  <w:rStyle w:val="Hyperlink"/>
                  <w:rFonts w:ascii="Arial" w:hAnsi="Arial" w:cs="Arial"/>
                  <w:noProof/>
                  <w:lang w:val="bg-BG"/>
                </w:rPr>
                <w:t>производството за установяване на неизпълнение на задължения</w:t>
              </w:r>
            </w:hyperlink>
            <w:r>
              <w:rPr>
                <w:rFonts w:ascii="Arial" w:hAnsi="Arial" w:cs="Arial"/>
                <w:noProof/>
                <w:color w:val="FFFFFF"/>
                <w:u w:val="none"/>
                <w:lang w:val="bg-BG"/>
              </w:rPr>
              <w:t xml:space="preserve"> срещу Румъния, тъй като тя не е гарантирала равен достъп до своите води на риболовни кораби от други държави членки.</w:t>
            </w:r>
          </w:p>
        </w:tc>
      </w:tr>
    </w:tbl>
    <w:p w:rsidR="00286241" w:rsidRDefault="00FC31FA">
      <w:pPr>
        <w:spacing w:before="200"/>
        <w:rPr>
          <w:rFonts w:ascii="Arial" w:hAnsi="Arial" w:cs="Arial"/>
          <w:noProof/>
          <w:u w:val="none"/>
          <w:lang w:val="bg-BG"/>
        </w:rPr>
      </w:pPr>
      <w:r>
        <w:rPr>
          <w:rFonts w:ascii="Arial" w:hAnsi="Arial" w:cs="Arial"/>
          <w:noProof/>
          <w:u w:val="none"/>
          <w:lang w:val="bg-BG"/>
        </w:rPr>
        <w:t xml:space="preserve">Конкуренцията за пространство в нашите води — за съоръжения за възобновяема енергия, аквакултури и за други цели — доведе до необходимост от по-съгласувано управление на нашите морета. Морското пространствено планиране действа в трансграничен и междусекторен план, за да гарантира, че цялата човешка дейност в морето се осъществява по ефикасен, безопасен и устойчив начин. През 2017 г. Комисията предприе стъпки, за да гарантира, че </w:t>
      </w:r>
      <w:hyperlink r:id="rId50">
        <w:r>
          <w:rPr>
            <w:rStyle w:val="Hyperlink"/>
            <w:rFonts w:ascii="Arial" w:hAnsi="Arial" w:cs="Arial"/>
            <w:noProof/>
            <w:lang w:val="bg-BG"/>
          </w:rPr>
          <w:t>общата рамка на ЕС за морско пространствено планиране</w:t>
        </w:r>
      </w:hyperlink>
      <w:r>
        <w:rPr>
          <w:rFonts w:ascii="Arial" w:hAnsi="Arial" w:cs="Arial"/>
          <w:noProof/>
          <w:u w:val="none"/>
          <w:lang w:val="bg-BG"/>
        </w:rPr>
        <w:t xml:space="preserve"> е приложена своевременно в националното законодателство на държавите членки.</w:t>
      </w:r>
    </w:p>
    <w:p w:rsidR="00286241" w:rsidRDefault="00FC31FA">
      <w:pPr>
        <w:spacing w:after="0" w:line="240" w:lineRule="auto"/>
        <w:rPr>
          <w:rFonts w:ascii="Arial" w:eastAsia="Arial Unicode MS" w:hAnsi="Arial" w:cs="Arial"/>
          <w:i/>
          <w:noProof/>
          <w:color w:val="8DB3E2" w:themeColor="text2" w:themeTint="66"/>
          <w:u w:val="none"/>
          <w:lang w:val="bg-BG"/>
        </w:rPr>
      </w:pPr>
      <w:r>
        <w:rPr>
          <w:rFonts w:ascii="Arial" w:hAnsi="Arial" w:cs="Arial"/>
          <w:noProof/>
          <w:lang w:val="bg-BG"/>
        </w:rPr>
        <w:br w:type="page"/>
      </w:r>
    </w:p>
    <w:p w:rsidR="00286241" w:rsidRDefault="00FC31FA">
      <w:pPr>
        <w:rPr>
          <w:rFonts w:ascii="Arial" w:eastAsia="Arial Unicode MS" w:hAnsi="Arial" w:cs="Arial"/>
          <w:i/>
          <w:noProof/>
          <w:color w:val="4F81BD"/>
          <w:sz w:val="22"/>
          <w:szCs w:val="22"/>
          <w:u w:val="none"/>
          <w:lang w:val="bg-BG"/>
        </w:rPr>
      </w:pPr>
      <w:r>
        <w:rPr>
          <w:rFonts w:ascii="Arial" w:hAnsi="Arial" w:cs="Arial"/>
          <w:i/>
          <w:noProof/>
          <w:color w:val="4F81BD"/>
          <w:sz w:val="22"/>
          <w:u w:val="none"/>
          <w:lang w:val="bg-BG"/>
        </w:rPr>
        <w:t>Прилагане на правилата в областта на регионалната политика</w:t>
      </w:r>
    </w:p>
    <w:p w:rsidR="00286241" w:rsidRDefault="00FC31FA">
      <w:pPr>
        <w:rPr>
          <w:rFonts w:ascii="Arial" w:hAnsi="Arial" w:cs="Arial"/>
          <w:noProof/>
          <w:u w:val="none"/>
          <w:lang w:val="bg-BG"/>
        </w:rPr>
      </w:pPr>
      <w:r>
        <w:rPr>
          <w:rFonts w:ascii="Arial" w:hAnsi="Arial" w:cs="Arial"/>
          <w:noProof/>
          <w:u w:val="none"/>
        </w:rPr>
        <w:drawing>
          <wp:anchor distT="0" distB="0" distL="114300" distR="114300" simplePos="0" relativeHeight="251651072" behindDoc="1" locked="0" layoutInCell="1" allowOverlap="1">
            <wp:simplePos x="0" y="0"/>
            <wp:positionH relativeFrom="column">
              <wp:posOffset>4445</wp:posOffset>
            </wp:positionH>
            <wp:positionV relativeFrom="paragraph">
              <wp:posOffset>-2540</wp:posOffset>
            </wp:positionV>
            <wp:extent cx="3952875" cy="2635250"/>
            <wp:effectExtent l="0" t="0" r="9525" b="0"/>
            <wp:wrapTight wrapText="bothSides">
              <wp:wrapPolygon edited="0">
                <wp:start x="0" y="0"/>
                <wp:lineTo x="0" y="21392"/>
                <wp:lineTo x="21548" y="21392"/>
                <wp:lineTo x="2154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Fotolia_32033469_Subscription_Monthly_XXL.jpg"/>
                    <pic:cNvPicPr/>
                  </pic:nvPicPr>
                  <pic:blipFill>
                    <a:blip r:embed="rId51" cstate="email">
                      <a:extLst>
                        <a:ext uri="{28A0092B-C50C-407E-A947-70E740481C1C}">
                          <a14:useLocalDpi xmlns:a14="http://schemas.microsoft.com/office/drawing/2010/main" val="0"/>
                        </a:ext>
                      </a:extLst>
                    </a:blip>
                    <a:stretch>
                      <a:fillRect/>
                    </a:stretch>
                  </pic:blipFill>
                  <pic:spPr>
                    <a:xfrm>
                      <a:off x="0" y="0"/>
                      <a:ext cx="3952875" cy="26352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u w:val="none"/>
          <w:lang w:val="bg-BG"/>
        </w:rPr>
        <w:t xml:space="preserve">С </w:t>
      </w:r>
      <w:hyperlink r:id="rId52">
        <w:r>
          <w:rPr>
            <w:rStyle w:val="Hyperlink"/>
            <w:rFonts w:ascii="Arial" w:hAnsi="Arial" w:cs="Arial"/>
            <w:noProof/>
            <w:lang w:val="bg-BG"/>
          </w:rPr>
          <w:t>европейските структурни и инвестиционни фондове</w:t>
        </w:r>
      </w:hyperlink>
      <w:r>
        <w:rPr>
          <w:rFonts w:ascii="Arial" w:hAnsi="Arial" w:cs="Arial"/>
          <w:noProof/>
          <w:u w:val="none"/>
          <w:lang w:val="bg-BG"/>
        </w:rPr>
        <w:t xml:space="preserve"> се подкрепят инвестиции в ключови области на политиката, генериращи растеж, в целия ЕС. С цел да се гарантира възможно най-ефективното използване на фондовете, държавите членки трябва да спазват определени </w:t>
      </w:r>
      <w:hyperlink r:id="rId53">
        <w:r>
          <w:rPr>
            <w:rStyle w:val="Hyperlink"/>
            <w:rFonts w:ascii="Arial" w:hAnsi="Arial" w:cs="Arial"/>
            <w:noProof/>
            <w:lang w:val="bg-BG"/>
          </w:rPr>
          <w:t>предварителни условия</w:t>
        </w:r>
      </w:hyperlink>
      <w:r>
        <w:rPr>
          <w:rFonts w:ascii="Arial" w:hAnsi="Arial" w:cs="Arial"/>
          <w:noProof/>
          <w:u w:val="none"/>
          <w:lang w:val="bg-BG"/>
        </w:rPr>
        <w:t>. Комисията проверява дали те са изпълнени. Инвестициите в държавите членки трябва да са в съответствие с едни и същи законодателни актове и стандарти на ЕС, които се прилагат в различните сектори, като например околна среда, заетост или научни изследвания.</w:t>
      </w:r>
    </w:p>
    <w:p w:rsidR="00286241" w:rsidRDefault="00FC31FA">
      <w:pPr>
        <w:rPr>
          <w:rFonts w:ascii="Arial" w:hAnsi="Arial" w:cs="Arial"/>
          <w:noProof/>
          <w:u w:val="none"/>
          <w:lang w:val="bg-BG"/>
        </w:rPr>
      </w:pPr>
      <w:r>
        <w:rPr>
          <w:rFonts w:ascii="Arial" w:hAnsi="Arial" w:cs="Arial"/>
          <w:noProof/>
          <w:u w:val="none"/>
          <w:lang w:val="bg-BG"/>
        </w:rPr>
        <w:t>Действията на Комисията през 2017 г. бяха насочени към прилагането на предварителните условия в области като обществените поръчки, държавната помощ, всеобхватните планове за инвестиции в транспорта, както и секторите на водите и отпадъците.</w:t>
      </w:r>
    </w:p>
    <w:p w:rsidR="00286241" w:rsidRDefault="00FC31FA">
      <w:pPr>
        <w:spacing w:after="0" w:line="240" w:lineRule="auto"/>
        <w:rPr>
          <w:rFonts w:ascii="Arial" w:eastAsia="Arial Unicode MS" w:hAnsi="Arial" w:cs="Arial"/>
          <w:i/>
          <w:noProof/>
          <w:color w:val="8DB3E2" w:themeColor="text2" w:themeTint="66"/>
          <w:sz w:val="22"/>
          <w:szCs w:val="22"/>
          <w:u w:val="none"/>
          <w:lang w:val="bg-BG"/>
        </w:rPr>
      </w:pPr>
      <w:r>
        <w:rPr>
          <w:rFonts w:ascii="Arial" w:hAnsi="Arial" w:cs="Arial"/>
          <w:noProof/>
          <w:lang w:val="bg-BG"/>
        </w:rPr>
        <w:br w:type="page"/>
      </w:r>
    </w:p>
    <w:p w:rsidR="00286241" w:rsidRDefault="00FC31FA">
      <w:pPr>
        <w:rPr>
          <w:rFonts w:ascii="Arial" w:eastAsia="Arial Unicode MS" w:hAnsi="Arial" w:cs="Arial"/>
          <w:i/>
          <w:noProof/>
          <w:color w:val="4F81BD"/>
          <w:sz w:val="22"/>
          <w:szCs w:val="22"/>
          <w:u w:val="none"/>
          <w:lang w:val="bg-BG"/>
        </w:rPr>
      </w:pPr>
      <w:r>
        <w:rPr>
          <w:rFonts w:ascii="Arial" w:hAnsi="Arial" w:cs="Arial"/>
          <w:i/>
          <w:noProof/>
          <w:color w:val="4F81BD"/>
          <w:sz w:val="22"/>
          <w:u w:val="none"/>
          <w:lang w:val="bg-BG"/>
        </w:rPr>
        <w:t>Борба с измамите със средства от бюджета на ЕС</w:t>
      </w:r>
    </w:p>
    <w:p w:rsidR="00286241" w:rsidRDefault="00FC31FA">
      <w:pPr>
        <w:rPr>
          <w:rFonts w:ascii="Arial" w:hAnsi="Arial" w:cs="Arial"/>
          <w:noProof/>
          <w:u w:val="none"/>
          <w:lang w:val="bg-BG"/>
        </w:rPr>
      </w:pPr>
      <w:r>
        <w:rPr>
          <w:rFonts w:ascii="Arial" w:hAnsi="Arial" w:cs="Arial"/>
          <w:noProof/>
          <w:u w:val="none"/>
        </w:rPr>
        <w:drawing>
          <wp:anchor distT="0" distB="0" distL="114300" distR="114300" simplePos="0" relativeHeight="251655168" behindDoc="1" locked="0" layoutInCell="1" allowOverlap="1">
            <wp:simplePos x="0" y="0"/>
            <wp:positionH relativeFrom="column">
              <wp:posOffset>4445</wp:posOffset>
            </wp:positionH>
            <wp:positionV relativeFrom="paragraph">
              <wp:posOffset>-2540</wp:posOffset>
            </wp:positionV>
            <wp:extent cx="3938270" cy="2625725"/>
            <wp:effectExtent l="0" t="0" r="5080" b="3175"/>
            <wp:wrapTight wrapText="bothSides">
              <wp:wrapPolygon edited="0">
                <wp:start x="0" y="0"/>
                <wp:lineTo x="0" y="21469"/>
                <wp:lineTo x="21523" y="21469"/>
                <wp:lineTo x="2152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Fotolia_76472157_Subscription_Monthly_XXL.jpg"/>
                    <pic:cNvPicPr/>
                  </pic:nvPicPr>
                  <pic:blipFill>
                    <a:blip r:embed="rId54" cstate="email">
                      <a:extLst>
                        <a:ext uri="{28A0092B-C50C-407E-A947-70E740481C1C}">
                          <a14:useLocalDpi xmlns:a14="http://schemas.microsoft.com/office/drawing/2010/main" val="0"/>
                        </a:ext>
                      </a:extLst>
                    </a:blip>
                    <a:stretch>
                      <a:fillRect/>
                    </a:stretch>
                  </pic:blipFill>
                  <pic:spPr>
                    <a:xfrm>
                      <a:off x="0" y="0"/>
                      <a:ext cx="3938270" cy="26257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u w:val="none"/>
          <w:lang w:val="bg-BG"/>
        </w:rPr>
        <w:t xml:space="preserve">През 2017 г. Комисията продължи да предприема последващи действия по случаи, довели до загуба на приходи за бюджета на ЕС. </w:t>
      </w:r>
    </w:p>
    <w:p w:rsidR="00286241" w:rsidRDefault="00FC31FA">
      <w:pPr>
        <w:rPr>
          <w:rFonts w:ascii="Arial" w:hAnsi="Arial" w:cs="Arial"/>
          <w:noProof/>
          <w:u w:val="none"/>
          <w:lang w:val="bg-BG"/>
        </w:rPr>
      </w:pPr>
      <w:r>
        <w:rPr>
          <w:rFonts w:ascii="Arial" w:hAnsi="Arial" w:cs="Arial"/>
          <w:noProof/>
          <w:u w:val="none"/>
          <w:lang w:val="bg-BG"/>
        </w:rPr>
        <w:t>Европейската служба за борба с измамите (OLAF) публикува доклад относно сериозен случай на митническа измама през 2017 г. В него участват международни организирани престъпни групи, които търсят пристанища в ЕС с най-слаб контрол, за да преминат безнаказано с фалшиво декларирани ниски стойности на текстил и обувки, внасяни от Китай. Като се има предвид, че както митата, така и данък добавена стойност се изчисляват въз основа на стойността на внесените стоки, измамниците могат да се възползват неправомерно от липсата на подходящ контрол, като платят много по-малко, отколкото се дължи по закон. Разследването на OLAF разкри, че единственият най-важен център за този измамен трафик се намира в Обединеното кралство. С оглед на това, че стоките са били предназначени основно за пазарите в други държави членки, включително Франция, Испания, Германия и Италия, свързаните с данък добавена стойност приходи, които трябва да бъдат получени от тези държави членки, са били засегнати в значителна степен. Проверките на Комисията през 2017 г. потвърдиха заключенията от разследването на OLAF и продължаващата измама в Обединеното кралство в периода 2011—2017 г. Комисията отново поиска от органите на Обединеното кралство най-накрая да приложат ефективни корективни мерки за предотвратяване на вноса на текстил и обувки от Китай със силно занижена стойност. Такива мерки вече са изпълнени от други държави членки след отправените от Комисията препоръки до всички, включително до Обединеното кралство. Комисията предприе подходящи стъпки за защита на финансовите интереси на Съюза и поиска от Обединеното кралство да вземе необходимите мерки, за да осигури всички суми, дължими на бюджета на ЕС.</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Комисията сезира Съда на ЕС с иск срещу </w:t>
            </w:r>
            <w:hyperlink r:id="rId55">
              <w:r>
                <w:rPr>
                  <w:rStyle w:val="Hyperlink"/>
                  <w:rFonts w:ascii="Arial" w:hAnsi="Arial" w:cs="Arial"/>
                  <w:noProof/>
                  <w:lang w:val="bg-BG"/>
                </w:rPr>
                <w:t>Нидерландия</w:t>
              </w:r>
            </w:hyperlink>
            <w:r>
              <w:rPr>
                <w:rFonts w:ascii="Arial" w:hAnsi="Arial" w:cs="Arial"/>
                <w:noProof/>
                <w:color w:val="FFFFFF"/>
                <w:u w:val="none"/>
                <w:lang w:val="bg-BG"/>
              </w:rPr>
              <w:t xml:space="preserve"> и </w:t>
            </w:r>
            <w:hyperlink r:id="rId56">
              <w:r>
                <w:rPr>
                  <w:rStyle w:val="Hyperlink"/>
                  <w:rFonts w:ascii="Arial" w:hAnsi="Arial" w:cs="Arial"/>
                  <w:noProof/>
                  <w:lang w:val="bg-BG"/>
                </w:rPr>
                <w:t>Обединеното кралство</w:t>
              </w:r>
            </w:hyperlink>
            <w:r>
              <w:rPr>
                <w:rFonts w:ascii="Arial" w:hAnsi="Arial" w:cs="Arial"/>
                <w:noProof/>
                <w:color w:val="FFFFFF"/>
                <w:u w:val="none"/>
                <w:lang w:val="bg-BG"/>
              </w:rPr>
              <w:t xml:space="preserve"> поради неплащане на общо 20 милиона евро</w:t>
            </w:r>
            <w:r>
              <w:rPr>
                <w:rFonts w:ascii="Arial" w:hAnsi="Arial" w:cs="Arial"/>
                <w:noProof/>
                <w:u w:val="none"/>
                <w:lang w:val="bg-BG"/>
              </w:rPr>
              <w:t xml:space="preserve"> </w:t>
            </w:r>
            <w:r>
              <w:rPr>
                <w:rFonts w:ascii="Arial" w:hAnsi="Arial" w:cs="Arial"/>
                <w:noProof/>
                <w:color w:val="FFFFFF"/>
                <w:u w:val="none"/>
                <w:lang w:val="bg-BG"/>
              </w:rPr>
              <w:t>мита, които представляват загуба за бюджета на ЕС (без разходите за събиране). В случая и на двете държави членки загубата на собствени ресурси на бюджета на ЕС произтича от неправилно издадени сертификати от техните отвъдморски държави и територии. В случая на Обединеното кралство е внасян алуминий от държави извън ЕС в отвъдморска територия (Ангила) и след това е реекспортиран в ЕС. Този внос се е ползвал неправилно от освобождаване от мита на ЕС, тъй като сертификатите „EXP“ не е следвало да се издават от Ангила. Що се отнася до Нидерландия, внос на мляко на прах от Кюрасао в периода 1997—2000 г. и на грис и ориз от Аруба през 2002—2003 г. е бил неправилно освободен от мита на ЕС при вноса, тъй като сертификатите „EUR.1“ не е следвало да се издават от тези територии. Кюрасао и Аруба са отвъдморски държави на Нидерландия. Ако държава членка не внесе своята пълна вноска в бюджета на ЕС, останалите държави членки трябва да компенсират недостига.</w:t>
            </w:r>
          </w:p>
        </w:tc>
      </w:tr>
    </w:tbl>
    <w:p w:rsidR="00286241" w:rsidRDefault="00FC31FA">
      <w:pPr>
        <w:spacing w:before="200"/>
        <w:rPr>
          <w:rFonts w:ascii="Arial" w:hAnsi="Arial" w:cs="Arial"/>
          <w:noProof/>
          <w:u w:val="none"/>
          <w:lang w:val="bg-BG"/>
        </w:rPr>
      </w:pPr>
      <w:r>
        <w:rPr>
          <w:rFonts w:ascii="Arial" w:hAnsi="Arial" w:cs="Arial"/>
          <w:noProof/>
          <w:u w:val="none"/>
          <w:lang w:val="bg-BG"/>
        </w:rPr>
        <w:t>.</w:t>
      </w:r>
      <w:r>
        <w:rPr>
          <w:rFonts w:ascii="Arial" w:hAnsi="Arial" w:cs="Arial"/>
          <w:noProof/>
          <w:lang w:val="bg-BG"/>
        </w:rPr>
        <w:br w:type="page"/>
      </w:r>
    </w:p>
    <w:p w:rsidR="00286241" w:rsidRDefault="00FC31FA">
      <w:pPr>
        <w:pStyle w:val="kop3"/>
        <w:spacing w:after="240"/>
        <w:ind w:left="357" w:hanging="357"/>
        <w:jc w:val="both"/>
        <w:rPr>
          <w:rFonts w:ascii="Arial" w:hAnsi="Arial" w:cs="Arial"/>
          <w:noProof/>
          <w:u w:val="none"/>
          <w:lang w:val="bg-BG"/>
        </w:rPr>
      </w:pPr>
      <w:bookmarkStart w:id="25" w:name="_Toc444796647"/>
      <w:bookmarkStart w:id="26" w:name="_Toc506199719"/>
      <w:bookmarkStart w:id="27" w:name="_Toc506199740"/>
      <w:bookmarkStart w:id="28" w:name="_Toc506209836"/>
      <w:bookmarkStart w:id="29" w:name="_Toc506218377"/>
      <w:bookmarkStart w:id="30" w:name="_Toc506309249"/>
      <w:bookmarkStart w:id="31" w:name="_Toc510011719"/>
      <w:bookmarkStart w:id="32" w:name="_Toc519697620"/>
      <w:bookmarkStart w:id="33" w:name="_Toc519698064"/>
      <w:r>
        <w:rPr>
          <w:rFonts w:ascii="Arial" w:hAnsi="Arial" w:cs="Arial"/>
          <w:noProof/>
          <w:u w:val="none"/>
          <w:lang w:val="bg-BG"/>
        </w:rPr>
        <w:t>Свързан цифров единен пазар</w:t>
      </w:r>
      <w:bookmarkEnd w:id="25"/>
      <w:bookmarkEnd w:id="26"/>
      <w:bookmarkEnd w:id="27"/>
      <w:bookmarkEnd w:id="28"/>
      <w:bookmarkEnd w:id="29"/>
      <w:bookmarkEnd w:id="30"/>
      <w:bookmarkEnd w:id="31"/>
      <w:bookmarkEnd w:id="32"/>
      <w:bookmarkEnd w:id="33"/>
    </w:p>
    <w:p w:rsidR="00286241" w:rsidRDefault="00FC31FA">
      <w:pPr>
        <w:spacing w:after="120"/>
        <w:rPr>
          <w:rFonts w:ascii="Arial" w:hAnsi="Arial" w:cs="Arial"/>
          <w:noProof/>
          <w:u w:val="none"/>
          <w:lang w:val="bg-BG"/>
        </w:rPr>
      </w:pPr>
      <w:r>
        <w:rPr>
          <w:rFonts w:ascii="Arial" w:hAnsi="Arial" w:cs="Arial"/>
          <w:noProof/>
          <w:u w:val="none"/>
          <w:lang w:val="bg-BG"/>
        </w:rPr>
        <w:t>Със стратегията за цифров единен пазар се цели да се премахнат пречките онлайн, поради които хората в ЕС не разполагат с достатъчен достъп до стоки и услуги.</w:t>
      </w:r>
    </w:p>
    <w:p w:rsidR="00286241" w:rsidRDefault="00FC31FA">
      <w:pPr>
        <w:spacing w:after="120"/>
        <w:rPr>
          <w:rFonts w:ascii="Arial" w:eastAsia="Arial Unicode MS" w:hAnsi="Arial" w:cs="Arial"/>
          <w:i/>
          <w:noProof/>
          <w:color w:val="4F81BD"/>
          <w:sz w:val="22"/>
          <w:szCs w:val="22"/>
          <w:u w:val="none"/>
          <w:lang w:val="bg-BG"/>
        </w:rPr>
      </w:pPr>
      <w:r>
        <w:rPr>
          <w:rFonts w:ascii="Arial" w:hAnsi="Arial" w:cs="Arial"/>
          <w:noProof/>
          <w:u w:val="none"/>
        </w:rPr>
        <w:drawing>
          <wp:anchor distT="0" distB="0" distL="114300" distR="114300" simplePos="0" relativeHeight="251660288" behindDoc="0" locked="0" layoutInCell="1" allowOverlap="1">
            <wp:simplePos x="0" y="0"/>
            <wp:positionH relativeFrom="column">
              <wp:posOffset>-79375</wp:posOffset>
            </wp:positionH>
            <wp:positionV relativeFrom="paragraph">
              <wp:posOffset>415290</wp:posOffset>
            </wp:positionV>
            <wp:extent cx="4017645" cy="2679700"/>
            <wp:effectExtent l="0" t="0" r="190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aming for the final version.jpg"/>
                    <pic:cNvPicPr/>
                  </pic:nvPicPr>
                  <pic:blipFill>
                    <a:blip r:embed="rId57">
                      <a:extLst>
                        <a:ext uri="{28A0092B-C50C-407E-A947-70E740481C1C}">
                          <a14:useLocalDpi xmlns:a14="http://schemas.microsoft.com/office/drawing/2010/main" val="0"/>
                        </a:ext>
                      </a:extLst>
                    </a:blip>
                    <a:stretch>
                      <a:fillRect/>
                    </a:stretch>
                  </pic:blipFill>
                  <pic:spPr>
                    <a:xfrm>
                      <a:off x="0" y="0"/>
                      <a:ext cx="4017645" cy="26797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noProof/>
          <w:color w:val="4F81BD"/>
          <w:sz w:val="22"/>
          <w:u w:val="none"/>
          <w:lang w:val="bg-BG"/>
        </w:rPr>
        <w:t>Прилагане на принципа „роуминг като у дома“</w:t>
      </w:r>
    </w:p>
    <w:p w:rsidR="00286241" w:rsidRDefault="00FC31FA">
      <w:pPr>
        <w:rPr>
          <w:rFonts w:ascii="Arial" w:hAnsi="Arial" w:cs="Arial"/>
          <w:noProof/>
          <w:u w:val="none"/>
          <w:lang w:val="bg-BG"/>
        </w:rPr>
      </w:pPr>
      <w:r>
        <w:rPr>
          <w:rFonts w:ascii="Arial" w:hAnsi="Arial" w:cs="Arial"/>
          <w:noProof/>
          <w:u w:val="none"/>
          <w:lang w:val="bg-BG"/>
        </w:rPr>
        <w:t>От 15 юни 2017 г. нататък правилата за „</w:t>
      </w:r>
      <w:hyperlink r:id="rId58">
        <w:r>
          <w:rPr>
            <w:rStyle w:val="Hyperlink"/>
            <w:rFonts w:ascii="Arial" w:hAnsi="Arial" w:cs="Arial"/>
            <w:noProof/>
            <w:lang w:val="bg-BG"/>
          </w:rPr>
          <w:t>роуминг като у дома</w:t>
        </w:r>
      </w:hyperlink>
      <w:r>
        <w:rPr>
          <w:rFonts w:ascii="Arial" w:hAnsi="Arial" w:cs="Arial"/>
          <w:noProof/>
          <w:u w:val="none"/>
          <w:lang w:val="bg-BG"/>
        </w:rPr>
        <w:t>“ се прилагат за всички пътуващи в ЕС. Това означава, че когато са в друга държава членка, те плащат същата цена за обаждания по мобилни телефони, текстови съобщения и данни, както в държавата членка на пребиваване.</w:t>
      </w:r>
    </w:p>
    <w:p w:rsidR="00286241" w:rsidRDefault="00286241">
      <w:pPr>
        <w:spacing w:before="60" w:after="0"/>
        <w:rPr>
          <w:rFonts w:ascii="Arial" w:hAnsi="Arial" w:cs="Arial"/>
          <w:noProof/>
          <w:u w:val="none"/>
          <w:lang w:val="bg-BG"/>
        </w:rPr>
      </w:pPr>
    </w:p>
    <w:p w:rsidR="00286241" w:rsidRDefault="00286241">
      <w:pPr>
        <w:spacing w:before="60" w:after="0"/>
        <w:rPr>
          <w:rFonts w:ascii="Arial" w:hAnsi="Arial" w:cs="Arial"/>
          <w:noProof/>
          <w:u w:val="none"/>
          <w:lang w:val="bg-BG"/>
        </w:rPr>
      </w:pPr>
    </w:p>
    <w:p w:rsidR="00286241" w:rsidRDefault="00286241">
      <w:pPr>
        <w:spacing w:before="60" w:after="0"/>
        <w:rPr>
          <w:rFonts w:ascii="Arial" w:hAnsi="Arial" w:cs="Arial"/>
          <w:noProof/>
          <w:u w:val="none"/>
          <w:lang w:val="bg-BG"/>
        </w:rPr>
      </w:pPr>
    </w:p>
    <w:p w:rsidR="00286241" w:rsidRDefault="00286241">
      <w:pPr>
        <w:spacing w:before="60" w:after="0"/>
        <w:rPr>
          <w:rFonts w:ascii="Arial" w:hAnsi="Arial" w:cs="Arial"/>
          <w:noProof/>
          <w:u w:val="none"/>
          <w:lang w:val="bg-BG"/>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6"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През 2017 г. Комисията внимателно наблюдаваше дали държавите членки прилагат правилно </w:t>
            </w:r>
            <w:hyperlink r:id="rId59">
              <w:r>
                <w:rPr>
                  <w:rStyle w:val="Hyperlink"/>
                  <w:rFonts w:ascii="Arial" w:hAnsi="Arial" w:cs="Arial"/>
                  <w:noProof/>
                  <w:lang w:val="bg-BG"/>
                </w:rPr>
                <w:t>Регламента на ЕС за роуминга</w:t>
              </w:r>
            </w:hyperlink>
            <w:r>
              <w:rPr>
                <w:rStyle w:val="Hyperlink"/>
                <w:rFonts w:ascii="Arial" w:hAnsi="Arial" w:cs="Arial"/>
                <w:noProof/>
                <w:sz w:val="18"/>
                <w:lang w:val="bg-BG"/>
              </w:rPr>
              <w:t>.</w:t>
            </w:r>
            <w:r>
              <w:rPr>
                <w:rStyle w:val="Hyperlink"/>
                <w:rFonts w:ascii="Arial" w:hAnsi="Arial" w:cs="Arial"/>
                <w:noProof/>
                <w:color w:val="FFFFFF"/>
                <w:sz w:val="18"/>
                <w:u w:val="none"/>
                <w:lang w:val="bg-BG"/>
              </w:rPr>
              <w:t xml:space="preserve"> Наблюдението </w:t>
            </w:r>
            <w:r>
              <w:rPr>
                <w:rFonts w:ascii="Arial" w:hAnsi="Arial" w:cs="Arial"/>
                <w:noProof/>
                <w:color w:val="FFFFFF"/>
                <w:u w:val="none"/>
                <w:lang w:val="bg-BG"/>
              </w:rPr>
              <w:t xml:space="preserve">показва като цяло успешно прилагане на новите правила за роуминг и значително увеличаване след 15 юни 2017 г. на роуминг трафика на пътуващите.  </w:t>
            </w:r>
          </w:p>
        </w:tc>
      </w:tr>
    </w:tbl>
    <w:p w:rsidR="00286241" w:rsidRDefault="00FC31FA">
      <w:pPr>
        <w:spacing w:after="120"/>
        <w:rPr>
          <w:rFonts w:ascii="Arial" w:eastAsia="Arial Unicode MS" w:hAnsi="Arial" w:cs="Arial"/>
          <w:i/>
          <w:noProof/>
          <w:color w:val="4F81BD"/>
          <w:sz w:val="22"/>
          <w:szCs w:val="22"/>
          <w:u w:val="none"/>
          <w:lang w:val="bg-BG"/>
        </w:rPr>
      </w:pPr>
      <w:r>
        <w:rPr>
          <w:rFonts w:ascii="Arial" w:hAnsi="Arial" w:cs="Arial"/>
          <w:i/>
          <w:noProof/>
          <w:color w:val="4F81BD"/>
          <w:sz w:val="22"/>
          <w:u w:val="none"/>
          <w:lang w:val="bg-BG"/>
        </w:rPr>
        <w:t>Гарантиране на доверието в онлайн трансакциите</w:t>
      </w:r>
    </w:p>
    <w:p w:rsidR="00286241" w:rsidRDefault="00FC31FA">
      <w:pPr>
        <w:rPr>
          <w:rFonts w:ascii="Arial" w:hAnsi="Arial" w:cs="Arial"/>
          <w:noProof/>
          <w:spacing w:val="-4"/>
          <w:u w:val="none"/>
          <w:lang w:val="bg-BG"/>
        </w:rPr>
      </w:pPr>
      <w:r>
        <w:rPr>
          <w:rFonts w:ascii="Arial" w:hAnsi="Arial" w:cs="Arial"/>
          <w:noProof/>
          <w:spacing w:val="-4"/>
          <w:u w:val="none"/>
        </w:rPr>
        <w:drawing>
          <wp:anchor distT="0" distB="0" distL="114300" distR="114300" simplePos="0" relativeHeight="251657216" behindDoc="1" locked="0" layoutInCell="1" allowOverlap="1">
            <wp:simplePos x="0" y="0"/>
            <wp:positionH relativeFrom="column">
              <wp:posOffset>4445</wp:posOffset>
            </wp:positionH>
            <wp:positionV relativeFrom="paragraph">
              <wp:posOffset>-2540</wp:posOffset>
            </wp:positionV>
            <wp:extent cx="3895725" cy="2929255"/>
            <wp:effectExtent l="0" t="0" r="9525" b="4445"/>
            <wp:wrapTight wrapText="bothSides">
              <wp:wrapPolygon edited="0">
                <wp:start x="0" y="0"/>
                <wp:lineTo x="0" y="21492"/>
                <wp:lineTo x="21547" y="21492"/>
                <wp:lineTo x="2154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0" cstate="email">
                      <a:extLst>
                        <a:ext uri="{28A0092B-C50C-407E-A947-70E740481C1C}">
                          <a14:useLocalDpi xmlns:a14="http://schemas.microsoft.com/office/drawing/2010/main" val="0"/>
                        </a:ext>
                      </a:extLst>
                    </a:blip>
                    <a:stretch>
                      <a:fillRect/>
                    </a:stretch>
                  </pic:blipFill>
                  <pic:spPr>
                    <a:xfrm>
                      <a:off x="0" y="0"/>
                      <a:ext cx="3895725" cy="29292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pacing w:val="-4"/>
          <w:u w:val="none"/>
          <w:lang w:val="bg-BG"/>
        </w:rPr>
        <w:t xml:space="preserve">Електронният подпис (eSignature), с който става възможно подписването на документи онлайн почти по начина, по който се подписва документ с химикалка офлайн, вече е реалност в ЕС. Необходими са обаче и други </w:t>
      </w:r>
      <w:hyperlink r:id="rId61">
        <w:r>
          <w:rPr>
            <w:rStyle w:val="Hyperlink"/>
            <w:rFonts w:ascii="Arial" w:hAnsi="Arial" w:cs="Arial"/>
            <w:noProof/>
            <w:spacing w:val="-4"/>
            <w:lang w:val="bg-BG"/>
          </w:rPr>
          <w:t>удостоверителни услуги</w:t>
        </w:r>
      </w:hyperlink>
      <w:r>
        <w:rPr>
          <w:rFonts w:ascii="Arial" w:hAnsi="Arial" w:cs="Arial"/>
          <w:noProof/>
          <w:spacing w:val="-4"/>
          <w:u w:val="none"/>
          <w:lang w:val="bg-BG"/>
        </w:rPr>
        <w:t xml:space="preserve"> освен електронния подпис, за да станат сигурни и правно валидни трансграничните електронни трансакции (както на национално равнище). </w:t>
      </w:r>
    </w:p>
    <w:p w:rsidR="00286241" w:rsidRDefault="00286241">
      <w:pPr>
        <w:spacing w:after="0"/>
        <w:rPr>
          <w:rFonts w:ascii="Arial" w:hAnsi="Arial" w:cs="Arial"/>
          <w:noProof/>
          <w:u w:val="none"/>
          <w:lang w:val="bg-BG"/>
        </w:rPr>
      </w:pPr>
    </w:p>
    <w:p w:rsidR="00286241" w:rsidRDefault="00286241">
      <w:pPr>
        <w:spacing w:after="0"/>
        <w:rPr>
          <w:rFonts w:ascii="Arial" w:hAnsi="Arial" w:cs="Arial"/>
          <w:noProof/>
          <w:u w:val="none"/>
          <w:lang w:val="bg-BG"/>
        </w:rPr>
      </w:pPr>
    </w:p>
    <w:p w:rsidR="00286241" w:rsidRDefault="00286241">
      <w:pPr>
        <w:spacing w:after="0"/>
        <w:rPr>
          <w:rFonts w:ascii="Arial" w:hAnsi="Arial" w:cs="Arial"/>
          <w:noProof/>
          <w:u w:val="none"/>
          <w:lang w:val="bg-BG"/>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През 2017 г. Комисията предприе действия за гарантиране, че </w:t>
            </w:r>
            <w:hyperlink r:id="rId62">
              <w:r>
                <w:rPr>
                  <w:rStyle w:val="Hyperlink"/>
                  <w:rFonts w:ascii="Arial" w:hAnsi="Arial" w:cs="Arial"/>
                  <w:noProof/>
                  <w:lang w:val="bg-BG"/>
                </w:rPr>
                <w:t xml:space="preserve">Регламентът на ЕС относно удостоверителните услуги </w:t>
              </w:r>
            </w:hyperlink>
            <w:r>
              <w:rPr>
                <w:rFonts w:ascii="Arial" w:hAnsi="Arial" w:cs="Arial"/>
                <w:noProof/>
                <w:color w:val="FFFFFF"/>
                <w:u w:val="none"/>
                <w:lang w:val="bg-BG"/>
              </w:rPr>
              <w:t>се прилага правилно в целия Съюз. Също така бяха предприети действия за гарантиране, че електронните подписи, електронните печати, времевите печати, услугите по електронно доставяне и по удостоверяването на автентичността на уебсайт се прилагат в трансграничен мащаб и имат същия правен статут в целия ЕС като традиционните процеси, документирани на хартиен носител.</w:t>
            </w:r>
          </w:p>
        </w:tc>
      </w:tr>
    </w:tbl>
    <w:p w:rsidR="00286241" w:rsidRDefault="00FC31FA">
      <w:pPr>
        <w:rPr>
          <w:rFonts w:ascii="Arial" w:eastAsia="Arial Unicode MS" w:hAnsi="Arial" w:cs="Arial"/>
          <w:i/>
          <w:noProof/>
          <w:color w:val="4F81BD"/>
          <w:sz w:val="22"/>
          <w:szCs w:val="22"/>
          <w:u w:val="none"/>
          <w:lang w:val="bg-BG"/>
        </w:rPr>
      </w:pPr>
      <w:bookmarkStart w:id="34" w:name="_GoBack"/>
      <w:bookmarkEnd w:id="34"/>
      <w:r>
        <w:rPr>
          <w:rFonts w:ascii="Arial" w:hAnsi="Arial" w:cs="Arial"/>
          <w:i/>
          <w:noProof/>
          <w:color w:val="4F81BD"/>
          <w:sz w:val="22"/>
          <w:u w:val="none"/>
          <w:lang w:val="bg-BG"/>
        </w:rPr>
        <w:t>Гарантиране на по-добра свързаност с интернет</w:t>
      </w:r>
    </w:p>
    <w:p w:rsidR="00286241" w:rsidRDefault="00FC31FA">
      <w:pPr>
        <w:rPr>
          <w:rFonts w:ascii="Arial" w:hAnsi="Arial" w:cs="Arial"/>
          <w:noProof/>
          <w:spacing w:val="-6"/>
          <w:u w:val="none"/>
          <w:lang w:val="bg-BG"/>
        </w:rPr>
      </w:pPr>
      <w:r>
        <w:rPr>
          <w:rFonts w:ascii="Arial" w:hAnsi="Arial" w:cs="Arial"/>
          <w:i/>
          <w:noProof/>
          <w:color w:val="FF0000"/>
          <w:spacing w:val="-6"/>
          <w:u w:val="none"/>
        </w:rPr>
        <w:drawing>
          <wp:anchor distT="0" distB="0" distL="114300" distR="114300" simplePos="0" relativeHeight="251661312" behindDoc="1" locked="0" layoutInCell="1" allowOverlap="1">
            <wp:simplePos x="0" y="0"/>
            <wp:positionH relativeFrom="column">
              <wp:posOffset>4445</wp:posOffset>
            </wp:positionH>
            <wp:positionV relativeFrom="paragraph">
              <wp:posOffset>-2540</wp:posOffset>
            </wp:positionV>
            <wp:extent cx="4085590" cy="2722880"/>
            <wp:effectExtent l="0" t="0" r="0" b="1270"/>
            <wp:wrapTight wrapText="bothSides">
              <wp:wrapPolygon edited="0">
                <wp:start x="0" y="0"/>
                <wp:lineTo x="0" y="21459"/>
                <wp:lineTo x="21452" y="21459"/>
                <wp:lineTo x="2145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Fotolia_141081607_Subscription_Monthly_XL.jpg"/>
                    <pic:cNvPicPr/>
                  </pic:nvPicPr>
                  <pic:blipFill>
                    <a:blip r:embed="rId63" cstate="email">
                      <a:extLst>
                        <a:ext uri="{28A0092B-C50C-407E-A947-70E740481C1C}">
                          <a14:useLocalDpi xmlns:a14="http://schemas.microsoft.com/office/drawing/2010/main" val="0"/>
                        </a:ext>
                      </a:extLst>
                    </a:blip>
                    <a:stretch>
                      <a:fillRect/>
                    </a:stretch>
                  </pic:blipFill>
                  <pic:spPr>
                    <a:xfrm>
                      <a:off x="0" y="0"/>
                      <a:ext cx="4085590" cy="27228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pacing w:val="-6"/>
          <w:u w:val="none"/>
          <w:lang w:val="bg-BG"/>
        </w:rPr>
        <w:t>Директивата за намаляване на разходите за широколентов достъп спомага да се намалят разходите за разгръщането на високоскоростен интернет с до 30 %, което означава, че повече хора в ЕС могат да получат достъп до него. Правилното прилагане на Директивата е от съществено значение за завършването на цифровия единен пазар на ЕС и за повишаването на свързаността.</w:t>
      </w:r>
    </w:p>
    <w:p w:rsidR="00286241" w:rsidRDefault="00286241">
      <w:pPr>
        <w:rPr>
          <w:rFonts w:ascii="Arial" w:hAnsi="Arial" w:cs="Arial"/>
          <w:noProof/>
          <w:u w:val="none"/>
          <w:lang w:val="bg-BG"/>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6" w:type="dxa"/>
            <w:shd w:val="clear" w:color="auto" w:fill="8DB3E2" w:themeFill="text2" w:themeFillTint="66"/>
          </w:tcPr>
          <w:p w:rsidR="00286241" w:rsidRDefault="00FC31FA">
            <w:pPr>
              <w:spacing w:before="60" w:after="60" w:line="240" w:lineRule="auto"/>
              <w:rPr>
                <w:rFonts w:ascii="Arial" w:hAnsi="Arial" w:cs="Arial"/>
                <w:noProof/>
                <w:color w:val="FFFFFF" w:themeColor="background1"/>
                <w:sz w:val="18"/>
                <w:u w:val="none"/>
                <w:lang w:val="bg-BG"/>
              </w:rPr>
            </w:pPr>
            <w:r>
              <w:rPr>
                <w:rFonts w:ascii="Arial" w:hAnsi="Arial" w:cs="Arial"/>
                <w:noProof/>
                <w:color w:val="FFFFFF" w:themeColor="background1"/>
                <w:u w:val="none"/>
                <w:lang w:val="bg-BG"/>
              </w:rPr>
              <w:t xml:space="preserve">След започване от Комисията на производства за установяване на неизпълнение на задължения повечето държави членки приложиха в националното си законодателство Директивата за намаляване на разходите за широколентов достъп. В края на 2017 г. делата срещу </w:t>
            </w:r>
            <w:hyperlink r:id="rId64">
              <w:r>
                <w:rPr>
                  <w:rStyle w:val="Hyperlink"/>
                  <w:rFonts w:ascii="Arial" w:hAnsi="Arial" w:cs="Arial"/>
                  <w:noProof/>
                  <w:lang w:val="bg-BG"/>
                </w:rPr>
                <w:t>Белгия и Словакия</w:t>
              </w:r>
            </w:hyperlink>
            <w:r>
              <w:rPr>
                <w:rFonts w:ascii="Arial" w:hAnsi="Arial" w:cs="Arial"/>
                <w:noProof/>
                <w:color w:val="0000FF"/>
                <w:u w:val="none"/>
                <w:lang w:val="bg-BG"/>
              </w:rPr>
              <w:t xml:space="preserve"> </w:t>
            </w:r>
            <w:r>
              <w:rPr>
                <w:rFonts w:ascii="Arial" w:hAnsi="Arial" w:cs="Arial"/>
                <w:noProof/>
                <w:color w:val="FFFFFF" w:themeColor="background1"/>
                <w:u w:val="none"/>
                <w:lang w:val="bg-BG"/>
              </w:rPr>
              <w:t>все още бяха висящи в Съда на ЕС.</w:t>
            </w:r>
          </w:p>
        </w:tc>
      </w:tr>
    </w:tbl>
    <w:p w:rsidR="00286241" w:rsidRDefault="00FC31FA">
      <w:pPr>
        <w:spacing w:before="240"/>
        <w:rPr>
          <w:rFonts w:ascii="Arial" w:eastAsia="Arial Unicode MS" w:hAnsi="Arial" w:cs="Arial"/>
          <w:i/>
          <w:noProof/>
          <w:color w:val="4F81BD"/>
          <w:sz w:val="22"/>
          <w:szCs w:val="22"/>
          <w:u w:val="none"/>
          <w:lang w:val="bg-BG"/>
        </w:rPr>
      </w:pPr>
      <w:r>
        <w:rPr>
          <w:rFonts w:ascii="Arial" w:hAnsi="Arial" w:cs="Arial"/>
          <w:i/>
          <w:noProof/>
          <w:color w:val="4F81BD"/>
          <w:sz w:val="22"/>
          <w:u w:val="none"/>
          <w:lang w:val="bg-BG"/>
        </w:rPr>
        <w:t>Гарантиране на защита на авторското право и сродните му права</w:t>
      </w:r>
    </w:p>
    <w:p w:rsidR="00286241" w:rsidRDefault="00FC31FA">
      <w:pPr>
        <w:rPr>
          <w:rFonts w:ascii="Arial" w:hAnsi="Arial" w:cs="Arial"/>
          <w:noProof/>
          <w:u w:val="none"/>
          <w:lang w:val="bg-BG"/>
        </w:rPr>
      </w:pPr>
      <w:r>
        <w:rPr>
          <w:rFonts w:ascii="Arial" w:hAnsi="Arial" w:cs="Arial"/>
          <w:noProof/>
          <w:u w:val="none"/>
        </w:rPr>
        <w:drawing>
          <wp:anchor distT="0" distB="0" distL="114300" distR="114300" simplePos="0" relativeHeight="251658240" behindDoc="1" locked="0" layoutInCell="1" allowOverlap="1">
            <wp:simplePos x="0" y="0"/>
            <wp:positionH relativeFrom="column">
              <wp:posOffset>4445</wp:posOffset>
            </wp:positionH>
            <wp:positionV relativeFrom="paragraph">
              <wp:posOffset>3810</wp:posOffset>
            </wp:positionV>
            <wp:extent cx="4095750" cy="2730500"/>
            <wp:effectExtent l="0" t="0" r="0" b="0"/>
            <wp:wrapTight wrapText="bothSides">
              <wp:wrapPolygon edited="0">
                <wp:start x="0" y="0"/>
                <wp:lineTo x="0" y="21399"/>
                <wp:lineTo x="21500" y="21399"/>
                <wp:lineTo x="2150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Fotolia_61723450_Subscription_Monthly_XXL.jpg"/>
                    <pic:cNvPicPr/>
                  </pic:nvPicPr>
                  <pic:blipFill>
                    <a:blip r:embed="rId65" cstate="email">
                      <a:extLst>
                        <a:ext uri="{28A0092B-C50C-407E-A947-70E740481C1C}">
                          <a14:useLocalDpi xmlns:a14="http://schemas.microsoft.com/office/drawing/2010/main" val="0"/>
                        </a:ext>
                      </a:extLst>
                    </a:blip>
                    <a:stretch>
                      <a:fillRect/>
                    </a:stretch>
                  </pic:blipFill>
                  <pic:spPr>
                    <a:xfrm>
                      <a:off x="0" y="0"/>
                      <a:ext cx="4095750" cy="2730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u w:val="none"/>
          <w:lang w:val="bg-BG"/>
        </w:rPr>
        <w:t>С Директивата относно колективното управление на авторското право и сродните му права се подобряват управлението и прозрачността на организациите за колективно управление. Те управляват авторското право и сродните му права от името на носители на права, като например автори, композитори или изпълнители в цяла Европа. Тези организации улесняват лицензирането на права и събирането и разпределението на възнаграждения, а също така популяризират разнообразието на културното съдържание. Директивата допринася също и за разширяване на наличието и на възможностите за избор на музика онлайн в Европа, включително отвъд националните граници.</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Комисията</w:t>
            </w:r>
            <w:r>
              <w:rPr>
                <w:rFonts w:ascii="Arial" w:hAnsi="Arial" w:cs="Arial"/>
                <w:noProof/>
                <w:color w:val="FFFFFF"/>
                <w:sz w:val="18"/>
                <w:u w:val="none"/>
                <w:lang w:val="bg-BG"/>
              </w:rPr>
              <w:t xml:space="preserve"> </w:t>
            </w:r>
            <w:r>
              <w:rPr>
                <w:rFonts w:ascii="Arial" w:hAnsi="Arial" w:cs="Arial"/>
                <w:noProof/>
                <w:color w:val="FFFFFF"/>
                <w:u w:val="none"/>
                <w:lang w:val="bg-BG"/>
              </w:rPr>
              <w:t xml:space="preserve">предприе по-нататъшни стъпки във връзка с </w:t>
            </w:r>
            <w:hyperlink r:id="rId66">
              <w:r>
                <w:rPr>
                  <w:rStyle w:val="Hyperlink"/>
                  <w:rFonts w:ascii="Arial" w:hAnsi="Arial" w:cs="Arial"/>
                  <w:noProof/>
                  <w:lang w:val="bg-BG"/>
                </w:rPr>
                <w:t>производствата за установяване на неизпълнение на задължения</w:t>
              </w:r>
            </w:hyperlink>
            <w:r>
              <w:rPr>
                <w:rFonts w:ascii="Arial" w:hAnsi="Arial" w:cs="Arial"/>
                <w:noProof/>
                <w:color w:val="FFFFFF"/>
                <w:u w:val="none"/>
                <w:lang w:val="bg-BG"/>
              </w:rPr>
              <w:t xml:space="preserve"> срещу България, Испания, Люксембург, Полша и Румъния за ненавременно изпълнение на </w:t>
            </w:r>
            <w:hyperlink r:id="rId67">
              <w:r>
                <w:rPr>
                  <w:rStyle w:val="Hyperlink"/>
                  <w:rFonts w:ascii="Arial" w:hAnsi="Arial" w:cs="Arial"/>
                  <w:noProof/>
                  <w:lang w:val="bg-BG"/>
                </w:rPr>
                <w:t>Директивата относно колективното управление на авторското право и сродните му права</w:t>
              </w:r>
            </w:hyperlink>
            <w:r>
              <w:rPr>
                <w:rFonts w:ascii="Arial" w:hAnsi="Arial" w:cs="Arial"/>
                <w:noProof/>
                <w:lang w:val="bg-BG"/>
              </w:rPr>
              <w:t>.</w:t>
            </w:r>
          </w:p>
        </w:tc>
      </w:tr>
    </w:tbl>
    <w:p w:rsidR="00286241" w:rsidRDefault="00FC31FA">
      <w:pPr>
        <w:spacing w:before="200"/>
        <w:rPr>
          <w:rFonts w:ascii="Arial" w:hAnsi="Arial" w:cs="Arial"/>
          <w:noProof/>
          <w:u w:val="none"/>
          <w:lang w:val="bg-BG"/>
        </w:rPr>
      </w:pPr>
      <w:r>
        <w:rPr>
          <w:rFonts w:ascii="Arial" w:hAnsi="Arial" w:cs="Arial"/>
          <w:noProof/>
          <w:u w:val="none"/>
          <w:lang w:val="bg-BG"/>
        </w:rPr>
        <w:t xml:space="preserve">Прилагането на правилата относно авторското право към уебсайтовете за споделяне на файлове „peer-to-peer“ беше изяснено в </w:t>
      </w:r>
      <w:hyperlink r:id="rId68">
        <w:r>
          <w:rPr>
            <w:rStyle w:val="Hyperlink"/>
            <w:rFonts w:ascii="Arial" w:hAnsi="Arial" w:cs="Arial"/>
            <w:noProof/>
            <w:lang w:val="bg-BG"/>
          </w:rPr>
          <w:t>решение на Съда на ЕС</w:t>
        </w:r>
      </w:hyperlink>
      <w:r>
        <w:rPr>
          <w:rStyle w:val="Hyperlink"/>
          <w:rFonts w:ascii="Arial" w:hAnsi="Arial" w:cs="Arial"/>
          <w:noProof/>
          <w:lang w:val="bg-BG"/>
        </w:rPr>
        <w:t xml:space="preserve"> във връзка с Pirate Bay</w:t>
      </w:r>
      <w:r>
        <w:rPr>
          <w:rFonts w:ascii="Arial" w:hAnsi="Arial" w:cs="Arial"/>
          <w:noProof/>
          <w:u w:val="none"/>
          <w:lang w:val="bg-BG"/>
        </w:rPr>
        <w:t>. Pirate Bay дава на възможност на потребителите да споделят и свалят на сегменти („торенти“) защитени с авторско право произведения, запазени на техните компютри. По правило носителите на права не са дали съгласието си на операторите и потребителите на този вид уебсайт да споделят произведенията им. Съдът постанови, че осигуряването и управлението на такава онлайн платформа за споделяне на произведения като The Pirate Bay може да представлява нарушение на правилата на ЕС относно авторското право. Дори въпросните защитени с авторско право произведения да се качват онлайн от потребителите на платформа за онлайн споделяне, а не от самата платформа, нейните оператори играят съществена роля за предоставянето на тези произведения на разположение на всички потребители на платформата.</w:t>
      </w:r>
    </w:p>
    <w:p w:rsidR="00286241" w:rsidRDefault="00FC31FA">
      <w:pPr>
        <w:spacing w:before="200"/>
        <w:rPr>
          <w:rFonts w:ascii="Arial" w:hAnsi="Arial" w:cs="Arial"/>
          <w:noProof/>
          <w:u w:val="none"/>
          <w:lang w:val="bg-BG"/>
        </w:rPr>
      </w:pPr>
      <w:r>
        <w:rPr>
          <w:rFonts w:ascii="Arial" w:hAnsi="Arial" w:cs="Arial"/>
          <w:noProof/>
          <w:u w:val="none"/>
          <w:lang w:val="bg-BG"/>
        </w:rPr>
        <w:t xml:space="preserve">В края на годината Комисията прие също и пакета за интелектуалната собственост. В него се представят насоки за тълкуването на Директивата относно упражняването на права върху интелектуална собственост, с което се улеснява прилагането ѝ от държавите членки. </w:t>
      </w:r>
      <w:r>
        <w:rPr>
          <w:rFonts w:ascii="Arial" w:hAnsi="Arial" w:cs="Arial"/>
          <w:noProof/>
          <w:lang w:val="bg-BG"/>
        </w:rPr>
        <w:br w:type="page"/>
      </w:r>
    </w:p>
    <w:p w:rsidR="00286241" w:rsidRDefault="00FC31FA">
      <w:pPr>
        <w:pStyle w:val="kop3"/>
        <w:spacing w:after="240"/>
        <w:ind w:left="357" w:hanging="357"/>
        <w:jc w:val="both"/>
        <w:rPr>
          <w:rFonts w:ascii="Arial" w:hAnsi="Arial" w:cs="Arial"/>
          <w:noProof/>
          <w:u w:val="none"/>
          <w:lang w:val="bg-BG"/>
        </w:rPr>
      </w:pPr>
      <w:bookmarkStart w:id="35" w:name="_Toc444796648"/>
      <w:bookmarkStart w:id="36" w:name="_Toc506199720"/>
      <w:bookmarkStart w:id="37" w:name="_Toc506199741"/>
      <w:bookmarkStart w:id="38" w:name="_Toc506209837"/>
      <w:bookmarkStart w:id="39" w:name="_Toc506218378"/>
      <w:bookmarkStart w:id="40" w:name="_Toc506309250"/>
      <w:bookmarkStart w:id="41" w:name="_Toc510011720"/>
      <w:bookmarkStart w:id="42" w:name="_Toc519697621"/>
      <w:bookmarkStart w:id="43" w:name="_Toc519698065"/>
      <w:r>
        <w:rPr>
          <w:rFonts w:ascii="Arial" w:hAnsi="Arial" w:cs="Arial"/>
          <w:noProof/>
          <w:u w:val="none"/>
          <w:lang w:val="bg-BG"/>
        </w:rPr>
        <w:t>Устойчив енергиен съюз с ориентирана към бъдещето политика по въпросите на изменението на климата</w:t>
      </w:r>
      <w:bookmarkEnd w:id="35"/>
      <w:bookmarkEnd w:id="36"/>
      <w:bookmarkEnd w:id="37"/>
      <w:bookmarkEnd w:id="38"/>
      <w:bookmarkEnd w:id="39"/>
      <w:bookmarkEnd w:id="40"/>
      <w:bookmarkEnd w:id="41"/>
      <w:bookmarkEnd w:id="42"/>
      <w:bookmarkEnd w:id="43"/>
    </w:p>
    <w:p w:rsidR="00286241" w:rsidRDefault="00FC31FA">
      <w:pPr>
        <w:spacing w:after="120"/>
        <w:rPr>
          <w:rFonts w:ascii="Arial" w:hAnsi="Arial" w:cs="Arial"/>
          <w:noProof/>
          <w:u w:val="none"/>
          <w:lang w:val="bg-BG"/>
        </w:rPr>
      </w:pPr>
      <w:r>
        <w:rPr>
          <w:rFonts w:ascii="Arial" w:hAnsi="Arial" w:cs="Arial"/>
          <w:noProof/>
          <w:u w:val="none"/>
          <w:lang w:val="bg-BG"/>
        </w:rPr>
        <w:t xml:space="preserve">Европейският </w:t>
      </w:r>
      <w:hyperlink r:id="rId69">
        <w:r>
          <w:rPr>
            <w:rFonts w:ascii="Arial" w:hAnsi="Arial" w:cs="Arial"/>
            <w:noProof/>
            <w:u w:val="none"/>
            <w:lang w:val="bg-BG"/>
          </w:rPr>
          <w:t>енергиен съюз</w:t>
        </w:r>
      </w:hyperlink>
      <w:r>
        <w:rPr>
          <w:rFonts w:ascii="Arial" w:hAnsi="Arial" w:cs="Arial"/>
          <w:noProof/>
          <w:u w:val="none"/>
          <w:lang w:val="bg-BG"/>
        </w:rPr>
        <w:t xml:space="preserve"> означава осигуряване на сигурна, финансово достъпна и чиста енергия за домакинствата и предприятията, като се осигурява възможност за свободно движение на енергия отвъд националните граници в ЕС. Той стимулира също така развитието на нови технологии и обновяването на инфраструктурата с цел да се намалят сметките на домакинствата, да се създадат работни места и да се насърчи растежът. Енергийният съюз ще доведе до устойчиво потребление на енергия чрез понижаване на емисиите на парникови газове, замърсяването и зависимостта ни от изкопаеми горива.</w:t>
      </w:r>
    </w:p>
    <w:p w:rsidR="00286241" w:rsidRDefault="00FC31FA">
      <w:pPr>
        <w:spacing w:before="240" w:line="260" w:lineRule="exact"/>
        <w:rPr>
          <w:rFonts w:ascii="Arial" w:eastAsia="Arial Unicode MS" w:hAnsi="Arial" w:cs="Arial"/>
          <w:i/>
          <w:noProof/>
          <w:color w:val="4F81BD"/>
          <w:sz w:val="22"/>
          <w:szCs w:val="22"/>
          <w:u w:val="none"/>
          <w:lang w:val="bg-BG"/>
        </w:rPr>
      </w:pPr>
      <w:r>
        <w:rPr>
          <w:rFonts w:ascii="Arial" w:hAnsi="Arial" w:cs="Arial"/>
          <w:i/>
          <w:noProof/>
          <w:color w:val="4F81BD"/>
          <w:sz w:val="22"/>
          <w:u w:val="none"/>
          <w:lang w:val="bg-BG"/>
        </w:rPr>
        <w:t>Насочване на енергийния преход към безопасен, сигурен и устойчив енергиен сектор, в който централно място е отредено на потребителя</w:t>
      </w:r>
    </w:p>
    <w:p w:rsidR="00286241" w:rsidRDefault="00FC31FA">
      <w:pPr>
        <w:rPr>
          <w:rFonts w:ascii="Arial" w:hAnsi="Arial" w:cs="Arial"/>
          <w:noProof/>
          <w:u w:val="none"/>
          <w:lang w:val="bg-BG"/>
        </w:rPr>
      </w:pPr>
      <w:r>
        <w:rPr>
          <w:rFonts w:ascii="Arial" w:hAnsi="Arial" w:cs="Arial"/>
          <w:noProof/>
          <w:u w:val="none"/>
        </w:rPr>
        <w:drawing>
          <wp:anchor distT="0" distB="0" distL="114300" distR="114300" simplePos="0" relativeHeight="251663360" behindDoc="1" locked="0" layoutInCell="1" allowOverlap="1">
            <wp:simplePos x="0" y="0"/>
            <wp:positionH relativeFrom="column">
              <wp:posOffset>23495</wp:posOffset>
            </wp:positionH>
            <wp:positionV relativeFrom="paragraph">
              <wp:posOffset>18415</wp:posOffset>
            </wp:positionV>
            <wp:extent cx="3571875" cy="3571240"/>
            <wp:effectExtent l="0" t="0" r="9525" b="0"/>
            <wp:wrapTight wrapText="bothSides">
              <wp:wrapPolygon edited="0">
                <wp:start x="0" y="0"/>
                <wp:lineTo x="0" y="21431"/>
                <wp:lineTo x="21542" y="21431"/>
                <wp:lineTo x="21542"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Fotolia_26017266_Subscription_Monthly_XXL.jpg"/>
                    <pic:cNvPicPr/>
                  </pic:nvPicPr>
                  <pic:blipFill>
                    <a:blip r:embed="rId70" cstate="email">
                      <a:extLst>
                        <a:ext uri="{28A0092B-C50C-407E-A947-70E740481C1C}">
                          <a14:useLocalDpi xmlns:a14="http://schemas.microsoft.com/office/drawing/2010/main" val="0"/>
                        </a:ext>
                      </a:extLst>
                    </a:blip>
                    <a:stretch>
                      <a:fillRect/>
                    </a:stretch>
                  </pic:blipFill>
                  <pic:spPr>
                    <a:xfrm>
                      <a:off x="0" y="0"/>
                      <a:ext cx="3571875" cy="35712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u w:val="none"/>
          <w:lang w:val="bg-BG"/>
        </w:rPr>
        <w:t xml:space="preserve">Конкурентната среда за доставчиците на енергия води до достъпни цени на енергията за домакинствата, предприятията и промишлеността. Поради това през 2017 г. действията по правоприлагане на Комисията в сектора на енергетиката бяха насочени, наред с другото, към изпълнението на </w:t>
      </w:r>
      <w:hyperlink r:id="rId71">
        <w:r>
          <w:rPr>
            <w:rStyle w:val="Hyperlink"/>
            <w:rFonts w:ascii="Arial" w:hAnsi="Arial" w:cs="Arial"/>
            <w:noProof/>
            <w:lang w:val="bg-BG"/>
          </w:rPr>
          <w:t>директивите от третия енергиен пакет</w:t>
        </w:r>
      </w:hyperlink>
      <w:r>
        <w:rPr>
          <w:rFonts w:ascii="Arial" w:hAnsi="Arial" w:cs="Arial"/>
          <w:noProof/>
          <w:u w:val="none"/>
          <w:lang w:val="bg-BG"/>
        </w:rPr>
        <w:t xml:space="preserve"> и на </w:t>
      </w:r>
      <w:hyperlink r:id="rId72">
        <w:r>
          <w:rPr>
            <w:rStyle w:val="Hyperlink"/>
            <w:rFonts w:ascii="Arial" w:hAnsi="Arial" w:cs="Arial"/>
            <w:noProof/>
            <w:lang w:val="bg-BG"/>
          </w:rPr>
          <w:t>Регламента за трансевропейската енергийна мрежа (TEN-E)</w:t>
        </w:r>
      </w:hyperlink>
      <w:r>
        <w:rPr>
          <w:rFonts w:ascii="Arial" w:hAnsi="Arial" w:cs="Arial"/>
          <w:noProof/>
          <w:u w:val="none"/>
          <w:lang w:val="bg-BG"/>
        </w:rPr>
        <w:t>.</w:t>
      </w:r>
    </w:p>
    <w:p w:rsidR="00286241" w:rsidRDefault="00FC31FA">
      <w:pPr>
        <w:rPr>
          <w:rFonts w:ascii="Arial" w:hAnsi="Arial" w:cs="Arial"/>
          <w:noProof/>
          <w:u w:val="none"/>
          <w:lang w:val="bg-BG"/>
        </w:rPr>
      </w:pPr>
      <w:r>
        <w:rPr>
          <w:rFonts w:ascii="Arial" w:hAnsi="Arial" w:cs="Arial"/>
          <w:noProof/>
          <w:u w:val="none"/>
          <w:lang w:val="bg-BG"/>
        </w:rPr>
        <w:t xml:space="preserve">Правилното прилагане на правилата на ЕС в сектора на енергетиката е от ключово значение за намаляване на потреблението на енергия и повишаването на неговата устойчивост. С него се спомага също и за намаляване на емисиите на въглероден диоксид и на зависимостта от изкопаеми горива, като същевременно се гарантира надеждна доставка на енергия, по-специално за най-уязвимите потребители. Действията по правоприлагане на Комисията във връзка с </w:t>
      </w:r>
      <w:hyperlink r:id="rId73">
        <w:r>
          <w:rPr>
            <w:rStyle w:val="Hyperlink"/>
            <w:rFonts w:ascii="Arial" w:hAnsi="Arial" w:cs="Arial"/>
            <w:noProof/>
            <w:lang w:val="bg-BG"/>
          </w:rPr>
          <w:t>Директивата относно енергийната ефективност</w:t>
        </w:r>
      </w:hyperlink>
      <w:r>
        <w:rPr>
          <w:rFonts w:ascii="Arial" w:hAnsi="Arial" w:cs="Arial"/>
          <w:noProof/>
          <w:u w:val="none"/>
          <w:lang w:val="bg-BG"/>
        </w:rPr>
        <w:t xml:space="preserve">, </w:t>
      </w:r>
      <w:hyperlink r:id="rId74">
        <w:r>
          <w:rPr>
            <w:rStyle w:val="Hyperlink"/>
            <w:rFonts w:ascii="Arial" w:hAnsi="Arial" w:cs="Arial"/>
            <w:noProof/>
            <w:lang w:val="bg-BG"/>
          </w:rPr>
          <w:t>Директивата относно енергийните характеристики на сградите</w:t>
        </w:r>
      </w:hyperlink>
      <w:r>
        <w:rPr>
          <w:rFonts w:ascii="Arial" w:hAnsi="Arial" w:cs="Arial"/>
          <w:noProof/>
          <w:u w:val="none"/>
          <w:lang w:val="bg-BG"/>
        </w:rPr>
        <w:t xml:space="preserve">, </w:t>
      </w:r>
      <w:hyperlink r:id="rId75">
        <w:r>
          <w:rPr>
            <w:rStyle w:val="Hyperlink"/>
            <w:rFonts w:ascii="Arial" w:hAnsi="Arial" w:cs="Arial"/>
            <w:noProof/>
            <w:lang w:val="bg-BG"/>
          </w:rPr>
          <w:t>Директивата относно възобновяемата енергия</w:t>
        </w:r>
      </w:hyperlink>
      <w:r>
        <w:rPr>
          <w:rFonts w:ascii="Arial" w:hAnsi="Arial" w:cs="Arial"/>
          <w:noProof/>
          <w:u w:val="none"/>
          <w:lang w:val="bg-BG"/>
        </w:rPr>
        <w:t xml:space="preserve"> и </w:t>
      </w:r>
      <w:hyperlink r:id="rId76">
        <w:r>
          <w:rPr>
            <w:rStyle w:val="Hyperlink"/>
            <w:rFonts w:ascii="Arial" w:hAnsi="Arial" w:cs="Arial"/>
            <w:noProof/>
            <w:lang w:val="bg-BG"/>
          </w:rPr>
          <w:t>Регламента относно мерките за гарантиране на сигурността на доставките на газ</w:t>
        </w:r>
      </w:hyperlink>
      <w:r>
        <w:rPr>
          <w:rFonts w:ascii="Arial" w:hAnsi="Arial" w:cs="Arial"/>
          <w:noProof/>
          <w:u w:val="none"/>
          <w:lang w:val="bg-BG"/>
        </w:rPr>
        <w:t xml:space="preserve"> бяха насочени към подкрепянето за тези цели.</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С Директивата относно енергийната ефективност и Директивата относно енергийните характеристики на сградите се налага набор от правила за предоставяне на потребителите на надеждна информация относно техните енергийни нужди и модели на потребление. През 2017 г. тези правила бяха приложени чрез производства за установяване на неизпълнение на задължения срещу </w:t>
            </w:r>
            <w:hyperlink r:id="rId77">
              <w:r>
                <w:rPr>
                  <w:rStyle w:val="Hyperlink"/>
                  <w:rFonts w:ascii="Arial" w:hAnsi="Arial" w:cs="Arial"/>
                  <w:noProof/>
                  <w:lang w:val="bg-BG"/>
                </w:rPr>
                <w:t>Чешката република</w:t>
              </w:r>
            </w:hyperlink>
            <w:r>
              <w:rPr>
                <w:rFonts w:ascii="Arial" w:hAnsi="Arial" w:cs="Arial"/>
                <w:noProof/>
                <w:color w:val="FFFFFF"/>
                <w:u w:val="none"/>
                <w:lang w:val="bg-BG"/>
              </w:rPr>
              <w:t xml:space="preserve">, </w:t>
            </w:r>
            <w:hyperlink r:id="rId78">
              <w:r>
                <w:rPr>
                  <w:rStyle w:val="Hyperlink"/>
                  <w:rFonts w:ascii="Arial" w:hAnsi="Arial" w:cs="Arial"/>
                  <w:noProof/>
                  <w:lang w:val="bg-BG"/>
                </w:rPr>
                <w:t>Гърция</w:t>
              </w:r>
            </w:hyperlink>
            <w:r>
              <w:rPr>
                <w:rStyle w:val="Hyperlink"/>
                <w:rFonts w:ascii="Arial" w:hAnsi="Arial" w:cs="Arial"/>
                <w:noProof/>
                <w:sz w:val="18"/>
                <w:lang w:val="bg-BG"/>
              </w:rPr>
              <w:t>,</w:t>
            </w:r>
            <w:r>
              <w:rPr>
                <w:rFonts w:ascii="Arial" w:hAnsi="Arial" w:cs="Arial"/>
                <w:noProof/>
                <w:color w:val="FFFFFF"/>
                <w:sz w:val="18"/>
                <w:lang w:val="bg-BG"/>
              </w:rPr>
              <w:t xml:space="preserve"> </w:t>
            </w:r>
            <w:hyperlink r:id="rId79">
              <w:r>
                <w:rPr>
                  <w:rStyle w:val="Hyperlink"/>
                  <w:rFonts w:ascii="Arial" w:hAnsi="Arial" w:cs="Arial"/>
                  <w:noProof/>
                  <w:lang w:val="bg-BG"/>
                </w:rPr>
                <w:t>Испания</w:t>
              </w:r>
            </w:hyperlink>
            <w:r>
              <w:rPr>
                <w:rStyle w:val="Hyperlink"/>
                <w:rFonts w:ascii="Arial" w:hAnsi="Arial" w:cs="Arial"/>
                <w:noProof/>
                <w:sz w:val="18"/>
                <w:lang w:val="bg-BG"/>
              </w:rPr>
              <w:t xml:space="preserve">, </w:t>
            </w:r>
            <w:hyperlink r:id="rId80">
              <w:r>
                <w:rPr>
                  <w:rStyle w:val="Hyperlink"/>
                  <w:rFonts w:ascii="Arial" w:hAnsi="Arial" w:cs="Arial"/>
                  <w:noProof/>
                  <w:lang w:val="bg-BG"/>
                </w:rPr>
                <w:t>Латвия,</w:t>
              </w:r>
            </w:hyperlink>
            <w:r>
              <w:rPr>
                <w:rFonts w:ascii="Arial" w:hAnsi="Arial" w:cs="Arial"/>
                <w:noProof/>
                <w:color w:val="FFFFFF"/>
                <w:u w:val="none"/>
                <w:lang w:val="bg-BG"/>
              </w:rPr>
              <w:t xml:space="preserve"> </w:t>
            </w:r>
            <w:hyperlink r:id="rId81">
              <w:r>
                <w:rPr>
                  <w:rStyle w:val="Hyperlink"/>
                  <w:rFonts w:ascii="Arial" w:hAnsi="Arial" w:cs="Arial"/>
                  <w:noProof/>
                  <w:lang w:val="bg-BG"/>
                </w:rPr>
                <w:t>Малта</w:t>
              </w:r>
            </w:hyperlink>
            <w:r>
              <w:rPr>
                <w:rFonts w:ascii="Arial" w:hAnsi="Arial" w:cs="Arial"/>
                <w:noProof/>
                <w:color w:val="FFFFFF"/>
                <w:u w:val="none"/>
                <w:lang w:val="bg-BG"/>
              </w:rPr>
              <w:t xml:space="preserve"> и </w:t>
            </w:r>
            <w:hyperlink r:id="rId82">
              <w:r>
                <w:rPr>
                  <w:rStyle w:val="Hyperlink"/>
                  <w:rFonts w:ascii="Arial" w:hAnsi="Arial" w:cs="Arial"/>
                  <w:noProof/>
                  <w:lang w:val="bg-BG"/>
                </w:rPr>
                <w:t>Нидерландия</w:t>
              </w:r>
            </w:hyperlink>
            <w:r>
              <w:rPr>
                <w:rFonts w:ascii="Arial" w:hAnsi="Arial" w:cs="Arial"/>
                <w:noProof/>
                <w:color w:val="FFFFFF"/>
                <w:u w:val="none"/>
                <w:lang w:val="bg-BG"/>
              </w:rPr>
              <w:t>.</w:t>
            </w:r>
            <w:r>
              <w:rPr>
                <w:rFonts w:ascii="Arial" w:hAnsi="Arial" w:cs="Arial"/>
                <w:noProof/>
                <w:color w:val="FFFFFF"/>
                <w:sz w:val="18"/>
                <w:lang w:val="bg-BG"/>
              </w:rPr>
              <w:t xml:space="preserve"> </w:t>
            </w:r>
          </w:p>
        </w:tc>
      </w:tr>
    </w:tbl>
    <w:p w:rsidR="00286241" w:rsidRDefault="00FC31FA">
      <w:pPr>
        <w:spacing w:before="200"/>
        <w:rPr>
          <w:rFonts w:ascii="Arial" w:hAnsi="Arial" w:cs="Arial"/>
          <w:noProof/>
          <w:u w:val="none"/>
          <w:lang w:val="bg-BG"/>
        </w:rPr>
      </w:pPr>
      <w:r>
        <w:rPr>
          <w:rFonts w:ascii="Arial" w:hAnsi="Arial" w:cs="Arial"/>
          <w:noProof/>
          <w:u w:val="none"/>
          <w:lang w:val="bg-BG"/>
        </w:rPr>
        <w:t>Комисията предприе редица мерки по правоприлагане, за да гарантира, че държавите членки разполагат с национална рамка за безопасно и надеждно управление на отработено гориво и радиоактивни отпадъци, както и за подобряване на правната рамка относно радиоактивните вещества в питейната вода. Също така бе отдаден приоритет на прилагането на изискванията за безопасност на свързаните с нефт и газ дейности в крайбрежни води.</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За целта Комисията предприе по-нататъшни действия по </w:t>
            </w:r>
            <w:hyperlink r:id="rId83">
              <w:r>
                <w:rPr>
                  <w:rStyle w:val="Hyperlink"/>
                  <w:rFonts w:ascii="Arial" w:hAnsi="Arial" w:cs="Arial"/>
                  <w:noProof/>
                  <w:lang w:val="bg-BG"/>
                </w:rPr>
                <w:t>производствата за установяване на неизпълнение на задължения</w:t>
              </w:r>
            </w:hyperlink>
            <w:r>
              <w:rPr>
                <w:rFonts w:ascii="Arial" w:hAnsi="Arial" w:cs="Arial"/>
                <w:noProof/>
                <w:color w:val="FFFFFF"/>
                <w:u w:val="none"/>
                <w:lang w:val="bg-BG"/>
              </w:rPr>
              <w:t xml:space="preserve"> срещу Чешката република, Хърватия, Италия, Австрия и Португалия поради неприемане на национални програми за управление на радиоактивни отпадъци и отработено гориво в съответствие със стандартите на ЕС. Освен това Комисията започна производство за установяване на неизпълнение на задължения срещу Белгия, Дания, Люксембург, Австрия и Словения поради липса на своевременно прилагане в националното им законодателство на изменената Директивата за ядрена безопасност. </w:t>
            </w:r>
          </w:p>
        </w:tc>
      </w:tr>
    </w:tbl>
    <w:p w:rsidR="00286241" w:rsidRDefault="00FC31FA">
      <w:pPr>
        <w:spacing w:before="200"/>
        <w:rPr>
          <w:rFonts w:ascii="Arial" w:hAnsi="Arial" w:cs="Arial"/>
          <w:noProof/>
          <w:u w:val="none"/>
          <w:lang w:val="bg-BG"/>
        </w:rPr>
      </w:pPr>
      <w:r>
        <w:rPr>
          <w:rFonts w:ascii="Arial" w:hAnsi="Arial" w:cs="Arial"/>
          <w:noProof/>
          <w:u w:val="none"/>
          <w:lang w:val="bg-BG"/>
        </w:rPr>
        <w:t>През 2016 г. и 2017 г. Комисията засили дейността си в сектора на енергетиката чрез множество законодателни предложения. Две от тях (</w:t>
      </w:r>
      <w:hyperlink r:id="rId84">
        <w:r>
          <w:rPr>
            <w:rStyle w:val="Hyperlink"/>
            <w:rFonts w:ascii="Arial" w:hAnsi="Arial" w:cs="Arial"/>
            <w:noProof/>
            <w:lang w:val="bg-BG"/>
          </w:rPr>
          <w:t>Регламентът за енергийно етикетиране</w:t>
        </w:r>
      </w:hyperlink>
      <w:r>
        <w:rPr>
          <w:rFonts w:ascii="Arial" w:hAnsi="Arial" w:cs="Arial"/>
          <w:noProof/>
          <w:u w:val="none"/>
          <w:lang w:val="bg-BG"/>
        </w:rPr>
        <w:t xml:space="preserve"> и </w:t>
      </w:r>
      <w:hyperlink r:id="rId85">
        <w:r>
          <w:rPr>
            <w:rStyle w:val="Hyperlink"/>
            <w:rFonts w:ascii="Arial" w:hAnsi="Arial" w:cs="Arial"/>
            <w:noProof/>
            <w:lang w:val="bg-BG"/>
          </w:rPr>
          <w:t>Регламентът за гарантиране на сигурността на доставките на газ</w:t>
        </w:r>
      </w:hyperlink>
      <w:r>
        <w:rPr>
          <w:rFonts w:ascii="Arial" w:hAnsi="Arial" w:cs="Arial"/>
          <w:noProof/>
          <w:u w:val="none"/>
          <w:lang w:val="bg-BG"/>
        </w:rPr>
        <w:t>) бяха приети от Европейския парламент и Съвета през 2017 г.</w:t>
      </w:r>
    </w:p>
    <w:p w:rsidR="00286241" w:rsidRDefault="00FC31FA">
      <w:pPr>
        <w:spacing w:line="240" w:lineRule="auto"/>
        <w:rPr>
          <w:rFonts w:ascii="Arial" w:eastAsia="Arial Unicode MS" w:hAnsi="Arial" w:cs="Arial"/>
          <w:i/>
          <w:noProof/>
          <w:color w:val="4F81BD"/>
          <w:sz w:val="22"/>
          <w:szCs w:val="22"/>
          <w:u w:val="none"/>
          <w:lang w:val="bg-BG"/>
        </w:rPr>
      </w:pPr>
      <w:r>
        <w:rPr>
          <w:rFonts w:ascii="Arial" w:hAnsi="Arial" w:cs="Arial"/>
          <w:i/>
          <w:noProof/>
          <w:color w:val="4F81BD"/>
          <w:sz w:val="22"/>
          <w:u w:val="none"/>
          <w:lang w:val="bg-BG"/>
        </w:rPr>
        <w:t>Прилагане на Парижкото споразумение относно изменението на климата</w:t>
      </w:r>
    </w:p>
    <w:p w:rsidR="00286241" w:rsidRDefault="00FC31FA">
      <w:pPr>
        <w:rPr>
          <w:rFonts w:ascii="Arial" w:hAnsi="Arial" w:cs="Arial"/>
          <w:noProof/>
          <w:u w:val="none"/>
          <w:lang w:val="bg-BG"/>
        </w:rPr>
      </w:pPr>
      <w:r>
        <w:rPr>
          <w:rFonts w:ascii="Arial" w:hAnsi="Arial" w:cs="Arial"/>
          <w:noProof/>
          <w:u w:val="none"/>
        </w:rPr>
        <w:drawing>
          <wp:anchor distT="0" distB="0" distL="114300" distR="114300" simplePos="0" relativeHeight="251665408" behindDoc="1" locked="0" layoutInCell="1" allowOverlap="1">
            <wp:simplePos x="0" y="0"/>
            <wp:positionH relativeFrom="column">
              <wp:posOffset>4445</wp:posOffset>
            </wp:positionH>
            <wp:positionV relativeFrom="paragraph">
              <wp:posOffset>1270</wp:posOffset>
            </wp:positionV>
            <wp:extent cx="3983355" cy="3188335"/>
            <wp:effectExtent l="0" t="0" r="0" b="0"/>
            <wp:wrapTight wrapText="bothSides">
              <wp:wrapPolygon edited="0">
                <wp:start x="0" y="0"/>
                <wp:lineTo x="0" y="21424"/>
                <wp:lineTo x="21486" y="21424"/>
                <wp:lineTo x="2148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Fotolia_58636971_Subscription_Monthly_L.jpg"/>
                    <pic:cNvPicPr/>
                  </pic:nvPicPr>
                  <pic:blipFill>
                    <a:blip r:embed="rId86" cstate="email">
                      <a:extLst>
                        <a:ext uri="{28A0092B-C50C-407E-A947-70E740481C1C}">
                          <a14:useLocalDpi xmlns:a14="http://schemas.microsoft.com/office/drawing/2010/main" val="0"/>
                        </a:ext>
                      </a:extLst>
                    </a:blip>
                    <a:stretch>
                      <a:fillRect/>
                    </a:stretch>
                  </pic:blipFill>
                  <pic:spPr>
                    <a:xfrm>
                      <a:off x="0" y="0"/>
                      <a:ext cx="3983355" cy="31883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u w:val="none"/>
          <w:lang w:val="bg-BG"/>
        </w:rPr>
        <w:t xml:space="preserve">През 2015 г. на конференцията по изменението на климата в Париж ЕС и неговите партньори изградиха широка коалиция със силна амбиция, която доведе до Парижкото споразумение. В </w:t>
      </w:r>
      <w:hyperlink r:id="rId87">
        <w:r>
          <w:rPr>
            <w:rStyle w:val="Hyperlink"/>
            <w:rFonts w:ascii="Arial" w:hAnsi="Arial" w:cs="Arial"/>
            <w:noProof/>
            <w:lang w:val="bg-BG"/>
          </w:rPr>
          <w:t>Споразумението</w:t>
        </w:r>
      </w:hyperlink>
      <w:r>
        <w:rPr>
          <w:rFonts w:ascii="Arial" w:hAnsi="Arial" w:cs="Arial"/>
          <w:noProof/>
          <w:u w:val="none"/>
          <w:lang w:val="bg-BG"/>
        </w:rPr>
        <w:t xml:space="preserve"> се определя глобален план за действие, който да насочи света към предотвратяването на опасно изменение на климата. За изпълнение на Парижкото споразумение Европейската комисия предложи амбициозен набор от цели за цялата икономика, насочени към намаляване до 2030 г. на емисиите на парникови газове в ЕС с най-малко 40 % под нивата от 1990 г. За постигането на тези цели е важно съществуващото законодателство в областта на климата да се изпълнява изцяло и да се прилага стриктно.</w:t>
      </w:r>
    </w:p>
    <w:p w:rsidR="00286241" w:rsidRDefault="00FC31FA">
      <w:pPr>
        <w:rPr>
          <w:rFonts w:ascii="Arial" w:hAnsi="Arial" w:cs="Arial"/>
          <w:noProof/>
          <w:u w:val="none"/>
          <w:lang w:val="bg-BG"/>
        </w:rPr>
      </w:pPr>
      <w:r>
        <w:rPr>
          <w:rFonts w:ascii="Arial" w:hAnsi="Arial" w:cs="Arial"/>
          <w:noProof/>
          <w:u w:val="none"/>
          <w:lang w:val="bg-BG"/>
        </w:rPr>
        <w:t>Поради това през 2017 г. Комисията наблюдаваше внимателно прилагането на съществуващото законодателство в областта на изменението на климата.</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След като само пет държави членки транспонираха в срок </w:t>
            </w:r>
            <w:hyperlink r:id="rId88">
              <w:r>
                <w:rPr>
                  <w:rStyle w:val="Hyperlink"/>
                  <w:rFonts w:ascii="Arial" w:hAnsi="Arial" w:cs="Arial"/>
                  <w:noProof/>
                  <w:lang w:val="bg-BG"/>
                </w:rPr>
                <w:t>Директивата относно качеството на горивата</w:t>
              </w:r>
            </w:hyperlink>
            <w:r>
              <w:rPr>
                <w:rFonts w:ascii="Arial" w:hAnsi="Arial" w:cs="Arial"/>
                <w:noProof/>
                <w:color w:val="FFFFFF"/>
                <w:u w:val="none"/>
                <w:lang w:val="bg-BG"/>
              </w:rPr>
              <w:t xml:space="preserve"> в националното си законодателство, Комисията започна производства за установяване на неизпълнение на задължения срещу всяка от останалите държави членки. С тази директива се решава проблемът с емисиите на парникови газове от използването на замърсяващи горива в автомобилния транспорт, като от доставчиците се изисква да намалят средното количество емисии от такива горива. Транспортният сектор е един от най-големите източници на емисии на въглероден диоксид и поради това е важно държавите членки да транспонират Директивата в определения срок.</w:t>
            </w:r>
          </w:p>
        </w:tc>
      </w:tr>
    </w:tbl>
    <w:p w:rsidR="00286241" w:rsidRDefault="00FC31FA">
      <w:pPr>
        <w:spacing w:before="200"/>
        <w:rPr>
          <w:rFonts w:ascii="Arial" w:hAnsi="Arial" w:cs="Arial"/>
          <w:noProof/>
          <w:u w:val="none"/>
          <w:lang w:val="bg-BG"/>
        </w:rPr>
      </w:pPr>
      <w:r>
        <w:rPr>
          <w:rFonts w:ascii="Arial" w:hAnsi="Arial" w:cs="Arial"/>
          <w:noProof/>
          <w:u w:val="none"/>
          <w:lang w:val="bg-BG"/>
        </w:rPr>
        <w:t xml:space="preserve">Комисията постави също така началото на двустранни диалози, за да гарантира спазването от държавите членки на </w:t>
      </w:r>
      <w:hyperlink r:id="rId89">
        <w:r>
          <w:rPr>
            <w:rStyle w:val="Hyperlink"/>
            <w:rFonts w:ascii="Arial" w:hAnsi="Arial" w:cs="Arial"/>
            <w:noProof/>
            <w:u w:val="none"/>
            <w:lang w:val="bg-BG"/>
          </w:rPr>
          <w:t>Директивата относно съхранението на въглероден диоксид в геоложки формации</w:t>
        </w:r>
      </w:hyperlink>
      <w:r>
        <w:rPr>
          <w:rFonts w:ascii="Arial" w:hAnsi="Arial" w:cs="Arial"/>
          <w:noProof/>
          <w:u w:val="none"/>
          <w:lang w:val="bg-BG"/>
        </w:rPr>
        <w:t>. Улавянето и съхранението на въглерод в геоложки формации е техника за улавяне на въглероден диоксид от големи източници, като например електроцентрали, и неговото сгъстяване и транспортиране до подходящи места за съхранение, където се инжектира в земята. Тази техника има значителен потенциал да спомогне за ограничаване на емисиите на парникови газове в Европа.</w:t>
      </w:r>
    </w:p>
    <w:p w:rsidR="00286241" w:rsidRDefault="00FC31FA">
      <w:pPr>
        <w:rPr>
          <w:rFonts w:ascii="Arial" w:hAnsi="Arial" w:cs="Arial"/>
          <w:noProof/>
          <w:u w:val="none"/>
          <w:lang w:val="bg-BG"/>
        </w:rPr>
      </w:pPr>
      <w:r>
        <w:rPr>
          <w:rFonts w:ascii="Arial" w:hAnsi="Arial" w:cs="Arial"/>
          <w:noProof/>
          <w:u w:val="none"/>
          <w:lang w:val="bg-BG"/>
        </w:rPr>
        <w:t xml:space="preserve">Комисията предприе подобни действия, за да гарантира, че държавите членки прилагат </w:t>
      </w:r>
      <w:hyperlink r:id="rId90">
        <w:r>
          <w:rPr>
            <w:rStyle w:val="Hyperlink"/>
            <w:rFonts w:ascii="Arial" w:hAnsi="Arial" w:cs="Arial"/>
            <w:noProof/>
            <w:u w:val="none"/>
            <w:lang w:val="bg-BG"/>
          </w:rPr>
          <w:t>Регламента за флуорсъдържащите парникови газове</w:t>
        </w:r>
      </w:hyperlink>
      <w:r>
        <w:rPr>
          <w:rFonts w:ascii="Arial" w:hAnsi="Arial" w:cs="Arial"/>
          <w:noProof/>
          <w:u w:val="none"/>
          <w:lang w:val="bg-BG"/>
        </w:rPr>
        <w:t>. Целта е да се намалят емисиите на създадени от човека газове, използвани за различни приложения в промишлеността. Това са газове с много силен парников ефект, които могат да останат в атмосферата в продължение на столетия.</w:t>
      </w:r>
    </w:p>
    <w:p w:rsidR="00286241" w:rsidRDefault="00FC31FA">
      <w:pPr>
        <w:rPr>
          <w:rFonts w:ascii="Arial" w:hAnsi="Arial" w:cs="Arial"/>
          <w:noProof/>
          <w:u w:val="none"/>
          <w:lang w:val="bg-BG"/>
        </w:rPr>
      </w:pPr>
      <w:r>
        <w:rPr>
          <w:rFonts w:ascii="Arial" w:hAnsi="Arial" w:cs="Arial"/>
          <w:noProof/>
          <w:u w:val="none"/>
          <w:lang w:val="bg-BG"/>
        </w:rPr>
        <w:t xml:space="preserve">Комисията действаше активно и по отношение на мониторинга на спазването от държавите членки на </w:t>
      </w:r>
      <w:hyperlink r:id="rId91">
        <w:r>
          <w:rPr>
            <w:rStyle w:val="Hyperlink"/>
            <w:rFonts w:ascii="Arial" w:hAnsi="Arial" w:cs="Arial"/>
            <w:noProof/>
            <w:u w:val="none"/>
            <w:lang w:val="bg-BG"/>
          </w:rPr>
          <w:t>Регламента за създаване на рамка за целия ЕС за мониторинга, докладването и верификацията на емисиите на въглероден диоксид от морския транспорт</w:t>
        </w:r>
      </w:hyperlink>
      <w:r>
        <w:rPr>
          <w:rFonts w:ascii="Arial" w:hAnsi="Arial" w:cs="Arial"/>
          <w:noProof/>
          <w:u w:val="none"/>
          <w:lang w:val="bg-BG"/>
        </w:rPr>
        <w:t>. Намаляването на емисиите на парникови газове от корабоплаването е важна стъпка към постигане на целите от Парижкото споразумение.</w:t>
      </w:r>
    </w:p>
    <w:p w:rsidR="00286241" w:rsidRDefault="00FC31FA">
      <w:pPr>
        <w:spacing w:after="120"/>
        <w:rPr>
          <w:rFonts w:ascii="Arial" w:hAnsi="Arial" w:cs="Arial"/>
          <w:noProof/>
          <w:u w:val="none"/>
          <w:lang w:val="bg-BG"/>
        </w:rPr>
      </w:pPr>
      <w:r>
        <w:rPr>
          <w:rFonts w:ascii="Arial" w:hAnsi="Arial" w:cs="Arial"/>
          <w:noProof/>
          <w:u w:val="none"/>
          <w:lang w:val="bg-BG"/>
        </w:rPr>
        <w:t xml:space="preserve">Ускоряването на разгръщането на инфраструктура за алтернативни горива е от съществено значение за постигане на чист и конкурентоспособен транспорт в цяла Европа. През ноември 2017 г. Комисията прие </w:t>
      </w:r>
      <w:hyperlink r:id="rId92">
        <w:r>
          <w:rPr>
            <w:rStyle w:val="Hyperlink"/>
            <w:rFonts w:ascii="Arial" w:hAnsi="Arial" w:cs="Arial"/>
            <w:noProof/>
            <w:lang w:val="bg-BG"/>
          </w:rPr>
          <w:t>Пакет за чиста мобилност</w:t>
        </w:r>
      </w:hyperlink>
      <w:r>
        <w:rPr>
          <w:rFonts w:ascii="Arial" w:hAnsi="Arial" w:cs="Arial"/>
          <w:noProof/>
          <w:u w:val="none"/>
          <w:lang w:val="bg-BG"/>
        </w:rPr>
        <w:t xml:space="preserve">, с който се цели укрепване на глобалната водеща позиция на ЕС в областта на екологично чистите превозни средства. С </w:t>
      </w:r>
      <w:hyperlink r:id="rId93">
        <w:r>
          <w:rPr>
            <w:rStyle w:val="Hyperlink"/>
            <w:rFonts w:ascii="Arial" w:hAnsi="Arial" w:cs="Arial"/>
            <w:noProof/>
            <w:lang w:val="bg-BG"/>
          </w:rPr>
          <w:t>Директивата за разгръщането на инфраструктура за алтернативни горива</w:t>
        </w:r>
      </w:hyperlink>
      <w:r>
        <w:rPr>
          <w:rFonts w:ascii="Arial" w:hAnsi="Arial" w:cs="Arial"/>
          <w:noProof/>
          <w:u w:val="none"/>
          <w:lang w:val="bg-BG"/>
        </w:rPr>
        <w:t xml:space="preserve"> се цели създаване на обща рамка за мащабно въвеждане на инфраструктура за алтернативни горива в цяла Европа. С Директивата се спомага за намаляване на зависимостта на транспорта от нефта, ограничаване на въздействието му върху околната среда и засилване на водещата роля на Европа в борбата с изменението на климата. В нея се определят минимални изисквания за изграждането на инфраструктура за алтернативните горива, включващи зарядни точки за електрически превозни средства и точки за зареждане на превозни средства, използващи природен газ и водород.</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След като 21 държави членки не приложиха в срок Директивата за разгръщане на инфраструктура за алтернативни горива, Комисията започна производства за установяване на неизпълнение на задължения срещу всяка от тях.</w:t>
            </w:r>
          </w:p>
        </w:tc>
      </w:tr>
    </w:tbl>
    <w:p w:rsidR="00286241" w:rsidRDefault="00286241">
      <w:pPr>
        <w:pStyle w:val="kop3"/>
        <w:numPr>
          <w:ilvl w:val="0"/>
          <w:numId w:val="0"/>
        </w:numPr>
        <w:spacing w:before="360" w:after="240"/>
        <w:rPr>
          <w:rFonts w:ascii="Arial" w:eastAsia="Calibri" w:hAnsi="Arial" w:cs="Arial"/>
          <w:bCs w:val="0"/>
          <w:noProof/>
          <w:color w:val="auto"/>
          <w:sz w:val="20"/>
          <w:u w:val="none"/>
          <w:lang w:val="bg-BG"/>
        </w:rPr>
      </w:pPr>
      <w:bookmarkStart w:id="44" w:name="_Toc444796649"/>
      <w:bookmarkStart w:id="45" w:name="_Toc506199721"/>
      <w:bookmarkStart w:id="46" w:name="_Toc506199742"/>
      <w:bookmarkStart w:id="47" w:name="_Toc506209838"/>
      <w:bookmarkStart w:id="48" w:name="_Toc506218379"/>
      <w:bookmarkStart w:id="49" w:name="_Toc506309251"/>
    </w:p>
    <w:p w:rsidR="00286241" w:rsidRDefault="00286241">
      <w:pPr>
        <w:rPr>
          <w:rFonts w:ascii="Arial" w:hAnsi="Arial" w:cs="Arial"/>
          <w:noProof/>
          <w:lang w:val="bg-BG"/>
        </w:rPr>
      </w:pPr>
    </w:p>
    <w:p w:rsidR="00286241" w:rsidRDefault="00FC31FA">
      <w:pPr>
        <w:spacing w:after="0" w:line="240" w:lineRule="auto"/>
        <w:rPr>
          <w:rFonts w:ascii="Arial" w:hAnsi="Arial" w:cs="Arial"/>
          <w:bCs/>
          <w:noProof/>
          <w:color w:val="4F81BD"/>
          <w:sz w:val="24"/>
          <w:u w:val="none"/>
          <w:lang w:val="bg-BG"/>
        </w:rPr>
      </w:pPr>
      <w:r>
        <w:rPr>
          <w:rFonts w:ascii="Arial" w:hAnsi="Arial" w:cs="Arial"/>
          <w:noProof/>
          <w:lang w:val="bg-BG"/>
        </w:rPr>
        <w:br w:type="page"/>
      </w:r>
    </w:p>
    <w:p w:rsidR="00286241" w:rsidRDefault="00FC31FA">
      <w:pPr>
        <w:pStyle w:val="kop3"/>
        <w:spacing w:before="360" w:after="240"/>
        <w:ind w:left="357" w:hanging="357"/>
        <w:rPr>
          <w:rFonts w:ascii="Arial" w:hAnsi="Arial" w:cs="Arial"/>
          <w:noProof/>
          <w:u w:val="none"/>
          <w:lang w:val="bg-BG"/>
        </w:rPr>
      </w:pPr>
      <w:bookmarkStart w:id="50" w:name="_Toc510011721"/>
      <w:bookmarkStart w:id="51" w:name="_Toc519697622"/>
      <w:bookmarkStart w:id="52" w:name="_Toc519698066"/>
      <w:r>
        <w:rPr>
          <w:rFonts w:ascii="Arial" w:hAnsi="Arial" w:cs="Arial"/>
          <w:noProof/>
          <w:u w:val="none"/>
          <w:lang w:val="bg-BG"/>
        </w:rPr>
        <w:t>По-задълбочен и по-справедлив вътрешен пазар със засилена промишлена база</w:t>
      </w:r>
      <w:bookmarkEnd w:id="44"/>
      <w:bookmarkEnd w:id="45"/>
      <w:bookmarkEnd w:id="46"/>
      <w:bookmarkEnd w:id="47"/>
      <w:bookmarkEnd w:id="48"/>
      <w:bookmarkEnd w:id="49"/>
      <w:bookmarkEnd w:id="50"/>
      <w:bookmarkEnd w:id="51"/>
      <w:bookmarkEnd w:id="52"/>
    </w:p>
    <w:p w:rsidR="00286241" w:rsidRDefault="00FC31FA">
      <w:pPr>
        <w:spacing w:after="120"/>
        <w:rPr>
          <w:rFonts w:ascii="Arial" w:hAnsi="Arial" w:cs="Arial"/>
          <w:i/>
          <w:noProof/>
          <w:u w:val="none"/>
          <w:lang w:val="bg-BG"/>
        </w:rPr>
      </w:pPr>
      <w:r>
        <w:rPr>
          <w:rFonts w:ascii="Arial" w:hAnsi="Arial" w:cs="Arial"/>
          <w:noProof/>
          <w:u w:val="none"/>
          <w:lang w:val="bg-BG"/>
        </w:rPr>
        <w:t>Единният пазар на ЕС остава един от най-ценните активи на Европа за гражданите и предприятията. Той предлага огромни възможности за европейските предприятия, както и по-голям избор и по-ниски цени за потребителите. Той дава възможност на хората да пътуват, живеят, работят и учат навсякъде, където желаят. Тези възможности обаче не могат да се използват, когато правилата на единния пазар не се прилагат или изпълняват, или пък се подкопават от други пречки.</w:t>
      </w:r>
    </w:p>
    <w:p w:rsidR="00286241" w:rsidRDefault="00FC31FA">
      <w:pPr>
        <w:spacing w:before="240"/>
        <w:rPr>
          <w:rFonts w:ascii="Arial" w:eastAsia="Arial Unicode MS" w:hAnsi="Arial" w:cs="Arial"/>
          <w:i/>
          <w:noProof/>
          <w:color w:val="4F81BD"/>
          <w:sz w:val="22"/>
          <w:szCs w:val="22"/>
          <w:u w:val="none"/>
          <w:lang w:val="bg-BG"/>
        </w:rPr>
      </w:pPr>
      <w:r>
        <w:rPr>
          <w:rFonts w:ascii="Arial" w:hAnsi="Arial" w:cs="Arial"/>
          <w:i/>
          <w:noProof/>
          <w:color w:val="4F81BD"/>
          <w:sz w:val="22"/>
          <w:u w:val="none"/>
          <w:lang w:val="bg-BG"/>
        </w:rPr>
        <w:t>Осигуряване на конкуренция без нарушения</w:t>
      </w:r>
    </w:p>
    <w:p w:rsidR="00286241" w:rsidRDefault="00FC31FA">
      <w:pPr>
        <w:spacing w:before="360"/>
        <w:rPr>
          <w:rFonts w:ascii="Arial" w:hAnsi="Arial" w:cs="Arial"/>
          <w:noProof/>
          <w:u w:val="none"/>
          <w:lang w:val="bg-BG"/>
        </w:rPr>
      </w:pPr>
      <w:r>
        <w:rPr>
          <w:rFonts w:ascii="Arial" w:eastAsia="Arial Unicode MS" w:hAnsi="Arial" w:cs="Arial"/>
          <w:i/>
          <w:noProof/>
          <w:color w:val="002060"/>
          <w:u w:val="none"/>
        </w:rPr>
        <w:drawing>
          <wp:anchor distT="0" distB="0" distL="114300" distR="114300" simplePos="0" relativeHeight="251667456" behindDoc="1" locked="0" layoutInCell="1" allowOverlap="1">
            <wp:simplePos x="0" y="0"/>
            <wp:positionH relativeFrom="column">
              <wp:posOffset>4445</wp:posOffset>
            </wp:positionH>
            <wp:positionV relativeFrom="paragraph">
              <wp:posOffset>97155</wp:posOffset>
            </wp:positionV>
            <wp:extent cx="3957320" cy="2638425"/>
            <wp:effectExtent l="0" t="0" r="5080" b="9525"/>
            <wp:wrapTight wrapText="bothSides">
              <wp:wrapPolygon edited="0">
                <wp:start x="0" y="0"/>
                <wp:lineTo x="0" y="21522"/>
                <wp:lineTo x="21524" y="21522"/>
                <wp:lineTo x="2152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Fotolia_45602826_Subscription_Monthly_XL.jpg"/>
                    <pic:cNvPicPr/>
                  </pic:nvPicPr>
                  <pic:blipFill>
                    <a:blip r:embed="rId94" cstate="email">
                      <a:extLst>
                        <a:ext uri="{28A0092B-C50C-407E-A947-70E740481C1C}">
                          <a14:useLocalDpi xmlns:a14="http://schemas.microsoft.com/office/drawing/2010/main" val="0"/>
                        </a:ext>
                      </a:extLst>
                    </a:blip>
                    <a:stretch>
                      <a:fillRect/>
                    </a:stretch>
                  </pic:blipFill>
                  <pic:spPr>
                    <a:xfrm>
                      <a:off x="0" y="0"/>
                      <a:ext cx="3957320" cy="26384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u w:val="none"/>
          <w:lang w:val="bg-BG"/>
        </w:rPr>
        <w:t xml:space="preserve">Всеки има право на пълно обезщетение за причинените му вреди от нарушаване на антитръстовите правила на ЕС, като например действия на картел или злоупотреба с господстващо положение на пазара. На практика обаче повечето потърпевши, по-специално малките и средните предприятия, както и потребителите, рядко получават обезщетение от нарушителите. Пълното обезщетяване е право на ЕС, но неговото упражняване се урежда от национални правила. Те често правят скъпо и трудно завеждането на дела за обезщетение за вреди от нарушаване на антитръстовите правила. С приетата през 2014 г. </w:t>
      </w:r>
      <w:hyperlink r:id="rId95">
        <w:r>
          <w:rPr>
            <w:rStyle w:val="Hyperlink"/>
            <w:rFonts w:ascii="Arial" w:hAnsi="Arial" w:cs="Arial"/>
            <w:noProof/>
            <w:lang w:val="bg-BG"/>
          </w:rPr>
          <w:t>Директива за вреди от нарушаване на антитръстовите правила</w:t>
        </w:r>
      </w:hyperlink>
      <w:r>
        <w:rPr>
          <w:rFonts w:ascii="Arial" w:hAnsi="Arial" w:cs="Arial"/>
          <w:noProof/>
          <w:u w:val="none"/>
          <w:lang w:val="bg-BG"/>
        </w:rPr>
        <w:t xml:space="preserve"> се помага на гражданите и предприятията да предявяват искове за вреди, например като им се предоставя по-лесен достъп до доказателства за претърпените вреди и като им се предоставя повече време за внасяне на исковете пред националните съдилища.</w:t>
      </w:r>
    </w:p>
    <w:p w:rsidR="00286241" w:rsidRDefault="00FC31FA">
      <w:pPr>
        <w:rPr>
          <w:rFonts w:ascii="Arial" w:hAnsi="Arial" w:cs="Arial"/>
          <w:noProof/>
          <w:u w:val="none"/>
          <w:lang w:val="bg-BG"/>
        </w:rPr>
      </w:pPr>
      <w:r>
        <w:rPr>
          <w:rFonts w:ascii="Arial" w:hAnsi="Arial" w:cs="Arial"/>
          <w:noProof/>
          <w:u w:val="none"/>
          <w:lang w:val="bg-BG"/>
        </w:rPr>
        <w:t>През 2017 г. Комисията наблюдаваше прилагането на Директивата в националното законодателство.</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През януари 2017 г. тя започна производства за установяване на неизпълнение на задължения срещу 21 държави членки във връзка с Директивата за вреди от нарушаване на антитръстовите правила. Оттогава насам повечето от тях предприеха мерки за прилагане на Директивата в националното си законодателство. В края на 2017 г. само България, Гърция и Португалия все още не бяха приели необходимите мерки.</w:t>
            </w:r>
          </w:p>
        </w:tc>
      </w:tr>
    </w:tbl>
    <w:p w:rsidR="00286241" w:rsidRDefault="00FC31FA">
      <w:pPr>
        <w:spacing w:before="200"/>
        <w:rPr>
          <w:rFonts w:ascii="Arial" w:hAnsi="Arial" w:cs="Arial"/>
          <w:noProof/>
          <w:u w:val="none"/>
          <w:lang w:val="bg-BG"/>
        </w:rPr>
      </w:pPr>
      <w:r>
        <w:rPr>
          <w:rFonts w:ascii="Arial" w:hAnsi="Arial" w:cs="Arial"/>
          <w:noProof/>
          <w:u w:val="none"/>
          <w:lang w:val="bg-BG"/>
        </w:rPr>
        <w:t>Що се отнася до прилагането на антитръстовите правила от страна на публичните органи, през декември 2017 г. Гърция предложи на Комисията набор от корективни мерки, с които на трети страни се предоставя достъп до производство на електроенергия чрез изгаряне на лигнитни въглища. С това се цели преодоляване на опасения относно конкуренцията, установени от Комисията в едно решение от 2008 г.</w:t>
      </w:r>
    </w:p>
    <w:p w:rsidR="00286241" w:rsidRDefault="00FC31FA">
      <w:pPr>
        <w:spacing w:before="200"/>
        <w:rPr>
          <w:rFonts w:ascii="Arial" w:hAnsi="Arial" w:cs="Arial"/>
          <w:noProof/>
          <w:u w:val="none"/>
          <w:lang w:val="bg-BG"/>
        </w:rPr>
      </w:pPr>
      <w:r>
        <w:rPr>
          <w:rFonts w:ascii="Arial" w:hAnsi="Arial" w:cs="Arial"/>
          <w:noProof/>
          <w:u w:val="none"/>
          <w:lang w:val="bg-BG"/>
        </w:rPr>
        <w:t>Освен това през 2017 г. Комисията продължи обсъжданията с френските органи за намиране на подходящи мерки за преодоляване на опасения относно конкуренцията, които бяха изразени за първи път през 2015 г. Те са свързани с факта, че като предоставя по-голямата част от концесиите за водноелектрическа енергия в страната на едно дружество, Франция е поддържала или засилила господстващото му положение на френския пазар на електроенергия в нарушение на правилата на ЕС за конкуренцията.</w:t>
      </w:r>
    </w:p>
    <w:p w:rsidR="00286241" w:rsidRDefault="00FC31FA">
      <w:pPr>
        <w:rPr>
          <w:rFonts w:ascii="Arial" w:hAnsi="Arial" w:cs="Arial"/>
          <w:noProof/>
          <w:u w:val="none"/>
          <w:lang w:val="bg-BG"/>
        </w:rPr>
      </w:pPr>
      <w:r>
        <w:rPr>
          <w:rFonts w:ascii="Arial" w:hAnsi="Arial" w:cs="Arial"/>
          <w:noProof/>
          <w:u w:val="none"/>
          <w:lang w:val="bg-BG"/>
        </w:rPr>
        <w:t>Що се отнася до държавната помощ, от съществено значение за доверието в системата на Комисията за контрол върху държавната помощ е непрекъснатото и последователно прилагане на решенията на Комисията в областта на държавната помощ.</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Комисията образува </w:t>
            </w:r>
            <w:hyperlink r:id="rId96">
              <w:r>
                <w:rPr>
                  <w:rStyle w:val="Hyperlink"/>
                  <w:rFonts w:ascii="Arial" w:hAnsi="Arial" w:cs="Arial"/>
                  <w:noProof/>
                  <w:lang w:val="bg-BG"/>
                </w:rPr>
                <w:t>съдебно производство</w:t>
              </w:r>
            </w:hyperlink>
            <w:r>
              <w:rPr>
                <w:rFonts w:ascii="Arial" w:hAnsi="Arial" w:cs="Arial"/>
                <w:noProof/>
                <w:color w:val="FFFFFF"/>
                <w:u w:val="none"/>
                <w:lang w:val="bg-BG"/>
              </w:rPr>
              <w:t xml:space="preserve"> срещу Гърция за неизпълнение на решение на Комисията от 2008 г., с което от Гърция се изисква да възстанови неправомерно предоставена държавна помощ на Hellenic Shipyards.</w:t>
            </w:r>
          </w:p>
        </w:tc>
      </w:tr>
    </w:tbl>
    <w:p w:rsidR="00286241" w:rsidRDefault="00FC31FA">
      <w:pPr>
        <w:spacing w:line="240" w:lineRule="auto"/>
        <w:rPr>
          <w:rFonts w:ascii="Arial" w:eastAsia="Arial Unicode MS" w:hAnsi="Arial" w:cs="Arial"/>
          <w:i/>
          <w:noProof/>
          <w:color w:val="8DB3E2" w:themeColor="text2" w:themeTint="66"/>
          <w:sz w:val="22"/>
          <w:szCs w:val="22"/>
          <w:u w:val="none"/>
          <w:lang w:val="bg-BG"/>
        </w:rPr>
      </w:pPr>
      <w:r>
        <w:rPr>
          <w:rFonts w:ascii="Arial" w:hAnsi="Arial" w:cs="Arial"/>
          <w:noProof/>
          <w:lang w:val="bg-BG"/>
        </w:rPr>
        <w:br w:type="page"/>
      </w:r>
      <w:r>
        <w:rPr>
          <w:rFonts w:ascii="Arial" w:hAnsi="Arial" w:cs="Arial"/>
          <w:i/>
          <w:noProof/>
          <w:color w:val="4F81BD"/>
          <w:sz w:val="22"/>
          <w:u w:val="none"/>
          <w:lang w:val="bg-BG"/>
        </w:rPr>
        <w:t>Гарантиране на свободното движение на работници</w:t>
      </w:r>
    </w:p>
    <w:p w:rsidR="00286241" w:rsidRDefault="00FC31FA">
      <w:pPr>
        <w:rPr>
          <w:rFonts w:ascii="Arial" w:hAnsi="Arial" w:cs="Arial"/>
          <w:noProof/>
          <w:u w:val="none"/>
          <w:lang w:val="bg-BG"/>
        </w:rPr>
      </w:pPr>
      <w:r>
        <w:rPr>
          <w:rFonts w:ascii="Arial" w:hAnsi="Arial" w:cs="Arial"/>
          <w:i/>
          <w:noProof/>
          <w:u w:val="none"/>
        </w:rPr>
        <w:drawing>
          <wp:anchor distT="0" distB="0" distL="114300" distR="114300" simplePos="0" relativeHeight="251669504" behindDoc="1" locked="0" layoutInCell="1" allowOverlap="1">
            <wp:simplePos x="0" y="0"/>
            <wp:positionH relativeFrom="column">
              <wp:posOffset>4445</wp:posOffset>
            </wp:positionH>
            <wp:positionV relativeFrom="paragraph">
              <wp:posOffset>3175</wp:posOffset>
            </wp:positionV>
            <wp:extent cx="4010025" cy="2666365"/>
            <wp:effectExtent l="0" t="0" r="9525" b="635"/>
            <wp:wrapTight wrapText="bothSides">
              <wp:wrapPolygon edited="0">
                <wp:start x="0" y="0"/>
                <wp:lineTo x="0" y="21451"/>
                <wp:lineTo x="21549" y="21451"/>
                <wp:lineTo x="2154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97" cstate="email">
                      <a:extLst>
                        <a:ext uri="{28A0092B-C50C-407E-A947-70E740481C1C}">
                          <a14:useLocalDpi xmlns:a14="http://schemas.microsoft.com/office/drawing/2010/main" val="0"/>
                        </a:ext>
                      </a:extLst>
                    </a:blip>
                    <a:stretch>
                      <a:fillRect/>
                    </a:stretch>
                  </pic:blipFill>
                  <pic:spPr>
                    <a:xfrm>
                      <a:off x="0" y="0"/>
                      <a:ext cx="4010025" cy="26663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u w:val="none"/>
          <w:lang w:val="bg-BG"/>
        </w:rPr>
        <w:t>Гражданите на ЕС имат право да работят в която от държавите членки изберат. Същевременно правата на работниците, които изберат да работят в чужбина, трябва да бъдат защитени. Съгласно Директивата относно мерки за улесняване на упражняването на правата, предоставени на работниците в контекста на свободното движение на работници, държавите членки трябва да гарантират, че мобилните работници в ЕС имат достъп до ефективна правна защита, ако правата им бъдат нарушени. Държавите членки трябва също така да определят един или повече органи за насърчаване на равното третиране, за предоставяне на подкрепа и съдействие на мобилните работници в ЕС и за насърчаване на активен диалог между социалните партньори, неправителствените организации и публичните органи.</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През 2017 г. Комисията продължи работата си по производствата за установяване на неизпълнение на задължения срещу осем държави членки (Чешката република, Естония, Кипър, Литва, Люксембург, Австрия, Португалия и Румъния), които не са приложили в срок в националното си законодателство задълженията, произтичащи от </w:t>
            </w:r>
            <w:hyperlink r:id="rId98">
              <w:r>
                <w:rPr>
                  <w:rStyle w:val="Hyperlink"/>
                  <w:rFonts w:ascii="Arial" w:hAnsi="Arial" w:cs="Arial"/>
                  <w:noProof/>
                  <w:lang w:val="bg-BG"/>
                </w:rPr>
                <w:t>Директивата относно мерки за улесняване на упражняването на правата, предоставени на работниците в контекста на свободното движение на работници</w:t>
              </w:r>
            </w:hyperlink>
            <w:r>
              <w:rPr>
                <w:rFonts w:ascii="Arial" w:hAnsi="Arial" w:cs="Arial"/>
                <w:noProof/>
                <w:color w:val="FFFFFF"/>
                <w:u w:val="none"/>
                <w:lang w:val="bg-BG"/>
              </w:rPr>
              <w:t>.</w:t>
            </w:r>
            <w:r>
              <w:rPr>
                <w:rFonts w:ascii="Arial" w:hAnsi="Arial" w:cs="Arial"/>
                <w:noProof/>
                <w:color w:val="FFFFFF"/>
                <w:sz w:val="18"/>
                <w:u w:val="none"/>
                <w:lang w:val="bg-BG"/>
              </w:rPr>
              <w:t xml:space="preserve"> В резултат на </w:t>
            </w:r>
            <w:r>
              <w:rPr>
                <w:rFonts w:ascii="Arial" w:hAnsi="Arial" w:cs="Arial"/>
                <w:noProof/>
                <w:color w:val="FFFFFF"/>
                <w:u w:val="none"/>
                <w:lang w:val="bg-BG"/>
              </w:rPr>
              <w:t>тези действия всички държави членки предприеха необходимите мерки за прилагане на Директивата преди края на 2017 г.</w:t>
            </w:r>
          </w:p>
        </w:tc>
      </w:tr>
    </w:tbl>
    <w:p w:rsidR="00286241" w:rsidRDefault="00FC31FA">
      <w:pPr>
        <w:spacing w:before="200"/>
        <w:rPr>
          <w:rFonts w:ascii="Arial" w:hAnsi="Arial" w:cs="Arial"/>
          <w:noProof/>
          <w:u w:val="none"/>
          <w:lang w:val="bg-BG"/>
        </w:rPr>
      </w:pPr>
      <w:r>
        <w:rPr>
          <w:rFonts w:ascii="Arial" w:hAnsi="Arial" w:cs="Arial"/>
          <w:noProof/>
          <w:u w:val="none"/>
          <w:lang w:val="bg-BG"/>
        </w:rPr>
        <w:t xml:space="preserve">Свободното движение е едно от най-големите предимства на единния пазар, но то трябва да се осъществява по справедлив начин. За да се избегне социалният дъмпинг при предоставянето на услуги, с </w:t>
      </w:r>
      <w:hyperlink r:id="rId99">
        <w:r>
          <w:rPr>
            <w:rStyle w:val="Hyperlink"/>
            <w:rFonts w:ascii="Arial" w:hAnsi="Arial" w:cs="Arial"/>
            <w:noProof/>
            <w:lang w:val="bg-BG"/>
          </w:rPr>
          <w:t>Директивата за осигуряване на изпълнението на правилата относно командироването на работници</w:t>
        </w:r>
      </w:hyperlink>
      <w:r>
        <w:rPr>
          <w:rFonts w:ascii="Arial" w:hAnsi="Arial" w:cs="Arial"/>
          <w:noProof/>
          <w:u w:val="none"/>
          <w:lang w:val="bg-BG"/>
        </w:rPr>
        <w:t xml:space="preserve"> на националните органи се предоставят механизми за борба със злоупотребите и измамите и за подобряване на административното им сътрудничество и обмена на информация.</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6"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През 2017 г. Комисията използва правомощията си в областта на правоприлагането, за да гарантира, че държавите членки своевременно са приложили в националното си законодателство Директивата за осигуряване на изпълнението на Директивата относно командироването на работници. Тя предприе по-нататъшни стъпки във връзка с производствата за установяване на неизпълнение на задължения, започнати срещу 10 държави членки (Чешката република, Кипър, Испания, Хърватия, Унгария, Люксембург, Португалия, Румъния, Словения и Швеция).</w:t>
            </w:r>
            <w:r>
              <w:rPr>
                <w:rFonts w:ascii="Arial" w:hAnsi="Arial" w:cs="Arial"/>
                <w:noProof/>
                <w:color w:val="FFFFFF"/>
                <w:sz w:val="18"/>
                <w:u w:val="none"/>
                <w:lang w:val="bg-BG"/>
              </w:rPr>
              <w:t xml:space="preserve"> </w:t>
            </w:r>
            <w:r>
              <w:rPr>
                <w:rFonts w:ascii="Arial" w:hAnsi="Arial" w:cs="Arial"/>
                <w:noProof/>
                <w:color w:val="FFFFFF"/>
                <w:u w:val="none"/>
                <w:lang w:val="bg-BG"/>
              </w:rPr>
              <w:t>В резултат на тези действия всички държави членки предприеха изискваните мерки за прилагане на Директивата преди края на 2017 г.</w:t>
            </w:r>
          </w:p>
        </w:tc>
      </w:tr>
    </w:tbl>
    <w:p w:rsidR="00286241" w:rsidRDefault="00286241">
      <w:pPr>
        <w:spacing w:before="360"/>
        <w:rPr>
          <w:rFonts w:ascii="Arial" w:eastAsia="Arial Unicode MS" w:hAnsi="Arial" w:cs="Arial"/>
          <w:i/>
          <w:noProof/>
          <w:color w:val="8DB3E2" w:themeColor="text2" w:themeTint="66"/>
          <w:sz w:val="22"/>
          <w:szCs w:val="22"/>
          <w:u w:val="none"/>
          <w:lang w:val="bg-BG"/>
        </w:rPr>
      </w:pPr>
    </w:p>
    <w:p w:rsidR="00286241" w:rsidRDefault="00FC31FA">
      <w:pPr>
        <w:widowControl/>
        <w:adjustRightInd/>
        <w:spacing w:after="0" w:line="240" w:lineRule="auto"/>
        <w:jc w:val="left"/>
        <w:textAlignment w:val="auto"/>
        <w:rPr>
          <w:rFonts w:ascii="Arial" w:eastAsia="Arial Unicode MS" w:hAnsi="Arial" w:cs="Arial"/>
          <w:i/>
          <w:noProof/>
          <w:color w:val="8DB3E2" w:themeColor="text2" w:themeTint="66"/>
          <w:sz w:val="22"/>
          <w:szCs w:val="22"/>
          <w:u w:val="none"/>
          <w:lang w:val="bg-BG"/>
        </w:rPr>
      </w:pPr>
      <w:r>
        <w:rPr>
          <w:rFonts w:ascii="Arial" w:eastAsia="Arial Unicode MS" w:hAnsi="Arial" w:cs="Arial"/>
          <w:i/>
          <w:noProof/>
          <w:color w:val="8DB3E2" w:themeColor="text2" w:themeTint="66"/>
          <w:sz w:val="22"/>
          <w:szCs w:val="22"/>
          <w:u w:val="none"/>
          <w:lang w:val="bg-BG"/>
        </w:rPr>
        <w:br w:type="page"/>
      </w:r>
    </w:p>
    <w:p w:rsidR="00286241" w:rsidRDefault="00FC31FA">
      <w:pPr>
        <w:spacing w:before="360"/>
        <w:rPr>
          <w:rFonts w:ascii="Arial" w:eastAsia="Arial Unicode MS" w:hAnsi="Arial" w:cs="Arial"/>
          <w:i/>
          <w:noProof/>
          <w:color w:val="4F81BD"/>
          <w:sz w:val="22"/>
          <w:szCs w:val="22"/>
          <w:u w:val="none"/>
          <w:lang w:val="bg-BG"/>
        </w:rPr>
      </w:pPr>
      <w:r>
        <w:rPr>
          <w:rFonts w:ascii="Arial" w:hAnsi="Arial" w:cs="Arial"/>
          <w:i/>
          <w:noProof/>
          <w:color w:val="4F81BD"/>
          <w:sz w:val="22"/>
          <w:u w:val="none"/>
          <w:lang w:val="bg-BG"/>
        </w:rPr>
        <w:t>Гарантиране на свободното движение на стоки</w:t>
      </w:r>
    </w:p>
    <w:p w:rsidR="00286241" w:rsidRDefault="00FC31FA">
      <w:pPr>
        <w:spacing w:before="200"/>
        <w:rPr>
          <w:rFonts w:ascii="Arial" w:hAnsi="Arial" w:cs="Arial"/>
          <w:noProof/>
          <w:u w:val="none"/>
          <w:lang w:val="bg-BG"/>
        </w:rPr>
      </w:pPr>
      <w:r>
        <w:rPr>
          <w:rFonts w:ascii="Arial" w:hAnsi="Arial" w:cs="Arial"/>
          <w:noProof/>
          <w:u w:val="none"/>
        </w:rPr>
        <w:drawing>
          <wp:inline distT="0" distB="0" distL="0" distR="0">
            <wp:extent cx="5759450" cy="37433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00" cstate="email">
                      <a:extLst>
                        <a:ext uri="{28A0092B-C50C-407E-A947-70E740481C1C}">
                          <a14:useLocalDpi xmlns:a14="http://schemas.microsoft.com/office/drawing/2010/main"/>
                        </a:ext>
                      </a:extLst>
                    </a:blip>
                    <a:stretch>
                      <a:fillRect/>
                    </a:stretch>
                  </pic:blipFill>
                  <pic:spPr>
                    <a:xfrm>
                      <a:off x="0" y="0"/>
                      <a:ext cx="5759450" cy="3743325"/>
                    </a:xfrm>
                    <a:prstGeom prst="rect">
                      <a:avLst/>
                    </a:prstGeom>
                  </pic:spPr>
                </pic:pic>
              </a:graphicData>
            </a:graphic>
          </wp:inline>
        </w:drawing>
      </w:r>
    </w:p>
    <w:p w:rsidR="00286241" w:rsidRDefault="00FC31FA">
      <w:pPr>
        <w:spacing w:before="200"/>
        <w:rPr>
          <w:rFonts w:ascii="Arial" w:hAnsi="Arial" w:cs="Arial"/>
          <w:noProof/>
          <w:u w:val="none"/>
          <w:lang w:val="bg-BG"/>
        </w:rPr>
      </w:pPr>
      <w:r>
        <w:rPr>
          <w:rFonts w:ascii="Arial" w:hAnsi="Arial" w:cs="Arial"/>
          <w:noProof/>
          <w:u w:val="none"/>
          <w:lang w:val="bg-BG"/>
        </w:rPr>
        <w:t>Съгласно правото на ЕС националните органи отговарят за проверката дали даден тип превозно средство отговаря на всички стандарти на ЕС, преди отделни превозни средства да могат да се продават на единния пазар. Когато производител на автомобили нарушава правните изисквания, националните органи трябва да предприемат корективни действия (като например издаване на нареждане за изтегляне) и да наложат ефективни, възпиращи и пропорционални санкции в съответствие с националното законодателство. През 2017 г. Комисията продължи да наблюдава прилагането на тези правила от държавите членки.</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rPr>
          <w:trHeight w:val="2001"/>
        </w:trPr>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Що се отнася до автомобилния сектор, след разкритията през септември 2015 г., че Volkswagen Group е използвала софтуер за заобикаляне на стандартите за емисии за някои замърсители на въздуха, Комисията стигна до заключение, че определени държави членки не са създали или не са приложили системи за санкции с цел възпиране на производителите на автомобили от нарушаване на законодателството относно емисиите от превозни средства. През 2017 г. Комисията предприе по-нататъшни стъпки срещу </w:t>
            </w:r>
            <w:hyperlink r:id="rId101">
              <w:r>
                <w:rPr>
                  <w:rStyle w:val="Hyperlink"/>
                  <w:rFonts w:ascii="Arial" w:hAnsi="Arial" w:cs="Arial"/>
                  <w:noProof/>
                  <w:lang w:val="bg-BG"/>
                </w:rPr>
                <w:t>Германия, Гърция, Испания, Люксембург и Обединеното кралство</w:t>
              </w:r>
            </w:hyperlink>
            <w:r>
              <w:rPr>
                <w:rFonts w:ascii="Arial" w:hAnsi="Arial" w:cs="Arial"/>
                <w:noProof/>
                <w:color w:val="FFFFFF"/>
                <w:u w:val="none"/>
                <w:lang w:val="bg-BG"/>
              </w:rPr>
              <w:t xml:space="preserve"> поради неизпълнение на задълженията им съгласно законодателството на ЕС за одобрение на типа на превозните средства.</w:t>
            </w:r>
          </w:p>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Комисията започна също така </w:t>
            </w:r>
            <w:hyperlink r:id="rId102">
              <w:r>
                <w:rPr>
                  <w:rStyle w:val="Hyperlink"/>
                  <w:rFonts w:ascii="Arial" w:hAnsi="Arial" w:cs="Arial"/>
                  <w:noProof/>
                  <w:lang w:val="bg-BG"/>
                </w:rPr>
                <w:t>производство за установяване на неизпълнение на задължения</w:t>
              </w:r>
            </w:hyperlink>
            <w:r>
              <w:rPr>
                <w:rFonts w:ascii="Arial" w:hAnsi="Arial" w:cs="Arial"/>
                <w:noProof/>
                <w:color w:val="FFFFFF"/>
                <w:u w:val="none"/>
                <w:lang w:val="bg-BG"/>
              </w:rPr>
              <w:t xml:space="preserve"> срещу Италия поради неизпълнение на задълженията ѝ съгласно законодателството на ЕС за одобряване на типа на превозни средства във връзка с автомобилите на Fiat Chrysler.</w:t>
            </w:r>
          </w:p>
        </w:tc>
      </w:tr>
    </w:tbl>
    <w:p w:rsidR="00286241" w:rsidRDefault="00286241">
      <w:pPr>
        <w:spacing w:before="360"/>
        <w:rPr>
          <w:rFonts w:ascii="Arial" w:eastAsia="Arial Unicode MS" w:hAnsi="Arial" w:cs="Arial"/>
          <w:i/>
          <w:noProof/>
          <w:color w:val="8DB3E2" w:themeColor="text2" w:themeTint="66"/>
          <w:sz w:val="22"/>
          <w:szCs w:val="22"/>
          <w:u w:val="none"/>
          <w:lang w:val="bg-BG"/>
        </w:rPr>
      </w:pPr>
    </w:p>
    <w:p w:rsidR="00286241" w:rsidRDefault="00FC31FA">
      <w:pPr>
        <w:widowControl/>
        <w:adjustRightInd/>
        <w:spacing w:after="0" w:line="240" w:lineRule="auto"/>
        <w:jc w:val="left"/>
        <w:textAlignment w:val="auto"/>
        <w:rPr>
          <w:rFonts w:ascii="Arial" w:eastAsia="Arial Unicode MS" w:hAnsi="Arial" w:cs="Arial"/>
          <w:i/>
          <w:noProof/>
          <w:color w:val="8DB3E2" w:themeColor="text2" w:themeTint="66"/>
          <w:sz w:val="22"/>
          <w:szCs w:val="22"/>
          <w:u w:val="none"/>
          <w:lang w:val="bg-BG"/>
        </w:rPr>
      </w:pPr>
      <w:r>
        <w:rPr>
          <w:rFonts w:ascii="Arial" w:eastAsia="Arial Unicode MS" w:hAnsi="Arial" w:cs="Arial"/>
          <w:i/>
          <w:noProof/>
          <w:color w:val="8DB3E2" w:themeColor="text2" w:themeTint="66"/>
          <w:sz w:val="22"/>
          <w:szCs w:val="22"/>
          <w:u w:val="none"/>
          <w:lang w:val="bg-BG"/>
        </w:rPr>
        <w:br w:type="page"/>
      </w:r>
    </w:p>
    <w:p w:rsidR="00286241" w:rsidRDefault="00FC31FA">
      <w:pPr>
        <w:spacing w:after="0" w:line="240" w:lineRule="auto"/>
        <w:rPr>
          <w:rFonts w:ascii="Arial" w:eastAsia="Arial Unicode MS" w:hAnsi="Arial" w:cs="Arial"/>
          <w:i/>
          <w:noProof/>
          <w:color w:val="4F81BD"/>
          <w:sz w:val="22"/>
          <w:szCs w:val="22"/>
          <w:u w:val="none"/>
          <w:lang w:val="bg-BG"/>
        </w:rPr>
      </w:pPr>
      <w:r>
        <w:rPr>
          <w:rFonts w:ascii="Arial" w:hAnsi="Arial" w:cs="Arial"/>
          <w:i/>
          <w:noProof/>
          <w:color w:val="4F81BD"/>
          <w:sz w:val="22"/>
          <w:u w:val="none"/>
          <w:lang w:val="bg-BG"/>
        </w:rPr>
        <w:t>Гарантиране на свободата на установяване:</w:t>
      </w:r>
    </w:p>
    <w:p w:rsidR="00286241" w:rsidRDefault="00FC31FA">
      <w:pPr>
        <w:spacing w:before="200"/>
        <w:rPr>
          <w:rFonts w:ascii="Arial" w:hAnsi="Arial" w:cs="Arial"/>
          <w:i/>
          <w:noProof/>
          <w:color w:val="FF0000"/>
          <w:u w:val="none"/>
          <w:lang w:val="bg-BG"/>
        </w:rPr>
      </w:pPr>
      <w:r>
        <w:rPr>
          <w:rFonts w:ascii="Arial" w:hAnsi="Arial" w:cs="Arial"/>
          <w:i/>
          <w:noProof/>
          <w:color w:val="FF0000"/>
          <w:u w:val="none"/>
        </w:rPr>
        <w:drawing>
          <wp:inline distT="0" distB="0" distL="0" distR="0">
            <wp:extent cx="5759450" cy="3783965"/>
            <wp:effectExtent l="0" t="0" r="0" b="698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03" cstate="email">
                      <a:extLst>
                        <a:ext uri="{28A0092B-C50C-407E-A947-70E740481C1C}">
                          <a14:useLocalDpi xmlns:a14="http://schemas.microsoft.com/office/drawing/2010/main"/>
                        </a:ext>
                      </a:extLst>
                    </a:blip>
                    <a:stretch>
                      <a:fillRect/>
                    </a:stretch>
                  </pic:blipFill>
                  <pic:spPr>
                    <a:xfrm>
                      <a:off x="0" y="0"/>
                      <a:ext cx="5759450" cy="3783965"/>
                    </a:xfrm>
                    <a:prstGeom prst="rect">
                      <a:avLst/>
                    </a:prstGeom>
                  </pic:spPr>
                </pic:pic>
              </a:graphicData>
            </a:graphic>
          </wp:inline>
        </w:drawing>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6"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Комисията проследи отблизо промените в Закона за висшето образование в Унгария. С тези промени се добавиха нови изисквания във връзка с:</w:t>
            </w:r>
          </w:p>
          <w:p w:rsidR="00286241" w:rsidRDefault="00FC31FA">
            <w:pPr>
              <w:numPr>
                <w:ilvl w:val="0"/>
                <w:numId w:val="32"/>
              </w:num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необходимостта от двустранни споразумения между Унгария и висши учебни заведения от държави извън Европейското икономическо пространство; и </w:t>
            </w:r>
          </w:p>
          <w:p w:rsidR="00286241" w:rsidRDefault="00FC31FA">
            <w:pPr>
              <w:numPr>
                <w:ilvl w:val="0"/>
                <w:numId w:val="32"/>
              </w:numPr>
              <w:spacing w:before="60" w:after="60" w:line="240" w:lineRule="auto"/>
              <w:rPr>
                <w:rFonts w:ascii="Arial" w:hAnsi="Arial" w:cs="Arial"/>
                <w:noProof/>
                <w:color w:val="FFFFFF"/>
                <w:u w:val="none"/>
                <w:lang w:val="bg-BG"/>
              </w:rPr>
            </w:pPr>
            <w:r>
              <w:rPr>
                <w:rFonts w:ascii="Arial" w:hAnsi="Arial" w:cs="Arial"/>
                <w:noProof/>
                <w:color w:val="FFFFFF"/>
                <w:u w:val="none"/>
                <w:lang w:val="bg-BG"/>
              </w:rPr>
              <w:t>необходимостта от предоставяне на услуги за висше образование и в държавата на произход.</w:t>
            </w:r>
          </w:p>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Комисията започна </w:t>
            </w:r>
            <w:hyperlink r:id="rId104">
              <w:r>
                <w:rPr>
                  <w:rStyle w:val="Hyperlink"/>
                  <w:rFonts w:ascii="Arial" w:hAnsi="Arial" w:cs="Arial"/>
                  <w:noProof/>
                  <w:lang w:val="bg-BG"/>
                </w:rPr>
                <w:t>производство за установяване на неизпълнение на задължения</w:t>
              </w:r>
            </w:hyperlink>
            <w:r>
              <w:rPr>
                <w:rFonts w:ascii="Arial" w:hAnsi="Arial" w:cs="Arial"/>
                <w:noProof/>
                <w:color w:val="FFFFFF"/>
                <w:u w:val="none"/>
                <w:lang w:val="bg-BG"/>
              </w:rPr>
              <w:t xml:space="preserve"> срещу Унгария, тъй като с тези изменения се ограничава дейността на университети от ЕС и извън ЕС.</w:t>
            </w:r>
          </w:p>
        </w:tc>
      </w:tr>
    </w:tbl>
    <w:p w:rsidR="00286241" w:rsidRDefault="00FC31FA">
      <w:pPr>
        <w:spacing w:before="200"/>
        <w:rPr>
          <w:rFonts w:ascii="Arial" w:hAnsi="Arial" w:cs="Arial"/>
          <w:noProof/>
          <w:u w:val="none"/>
          <w:lang w:val="bg-BG"/>
        </w:rPr>
      </w:pPr>
      <w:r>
        <w:rPr>
          <w:rFonts w:ascii="Arial" w:hAnsi="Arial" w:cs="Arial"/>
          <w:noProof/>
          <w:u w:val="none"/>
          <w:lang w:val="bg-BG"/>
        </w:rPr>
        <w:t>Съгласно Директивата за професионалните квалификации гражданите на ЕС имат право професионалните им квалификации да бъдат признати в друга държава членка.</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Намесата на Комисията доведе до признаване от страна на Ирландия и Австрия на професионалните квалификации на медицински сестри от Хърватия.</w:t>
            </w:r>
          </w:p>
        </w:tc>
      </w:tr>
    </w:tbl>
    <w:p w:rsidR="00286241" w:rsidRDefault="00286241">
      <w:pPr>
        <w:rPr>
          <w:rFonts w:ascii="Arial" w:hAnsi="Arial" w:cs="Arial"/>
          <w:noProof/>
          <w:highlight w:val="yellow"/>
          <w:u w:val="none"/>
          <w:lang w:val="bg-BG"/>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След действията по правоприлагане от страна на Комисията Полша премахна минималните тарифи за разплащане между представители по индустриална собственост и техните клиенти. Комисията </w:t>
            </w:r>
            <w:hyperlink r:id="rId105">
              <w:r>
                <w:rPr>
                  <w:rStyle w:val="Hyperlink"/>
                  <w:rFonts w:ascii="Arial" w:hAnsi="Arial" w:cs="Arial"/>
                  <w:noProof/>
                  <w:lang w:val="bg-BG"/>
                </w:rPr>
                <w:t>внесе иск срещу Германия</w:t>
              </w:r>
            </w:hyperlink>
            <w:r>
              <w:rPr>
                <w:rFonts w:ascii="Arial" w:hAnsi="Arial" w:cs="Arial"/>
                <w:noProof/>
                <w:color w:val="FFFFFF"/>
                <w:u w:val="none"/>
                <w:lang w:val="bg-BG"/>
              </w:rPr>
              <w:t xml:space="preserve"> в Съда на ЕС поради налагането на фиксирани тарифи за архитекти и инженери, които се прилагат само за архитекти и инженери в Германия. </w:t>
            </w:r>
          </w:p>
        </w:tc>
      </w:tr>
    </w:tbl>
    <w:p w:rsidR="00286241" w:rsidRDefault="00286241">
      <w:pPr>
        <w:spacing w:before="360"/>
        <w:rPr>
          <w:rFonts w:ascii="Arial" w:eastAsia="Arial Unicode MS" w:hAnsi="Arial" w:cs="Arial"/>
          <w:i/>
          <w:noProof/>
          <w:color w:val="8DB3E2" w:themeColor="text2" w:themeTint="66"/>
          <w:sz w:val="22"/>
          <w:szCs w:val="22"/>
          <w:u w:val="none"/>
          <w:lang w:val="bg-BG"/>
        </w:rPr>
      </w:pPr>
    </w:p>
    <w:p w:rsidR="00286241" w:rsidRDefault="00FC31FA">
      <w:pPr>
        <w:rPr>
          <w:rFonts w:eastAsia="Arial Unicode MS"/>
          <w:noProof/>
          <w:lang w:val="bg-BG"/>
        </w:rPr>
      </w:pPr>
      <w:r>
        <w:rPr>
          <w:rFonts w:eastAsia="Arial Unicode MS"/>
          <w:noProof/>
          <w:lang w:val="bg-BG"/>
        </w:rPr>
        <w:br w:type="page"/>
      </w:r>
    </w:p>
    <w:p w:rsidR="00286241" w:rsidRDefault="00FC31FA">
      <w:pPr>
        <w:spacing w:line="240" w:lineRule="auto"/>
        <w:rPr>
          <w:rFonts w:ascii="Arial" w:eastAsia="Arial Unicode MS" w:hAnsi="Arial" w:cs="Arial"/>
          <w:i/>
          <w:noProof/>
          <w:color w:val="8DB3E2" w:themeColor="text2" w:themeTint="66"/>
          <w:sz w:val="22"/>
          <w:szCs w:val="22"/>
          <w:u w:val="none"/>
          <w:lang w:val="bg-BG"/>
        </w:rPr>
      </w:pPr>
      <w:r>
        <w:rPr>
          <w:rFonts w:ascii="Arial" w:hAnsi="Arial" w:cs="Arial"/>
          <w:noProof/>
          <w:color w:val="4F81BD"/>
          <w:u w:val="none"/>
        </w:rPr>
        <w:drawing>
          <wp:anchor distT="0" distB="0" distL="114300" distR="114300" simplePos="0" relativeHeight="251644928" behindDoc="1" locked="0" layoutInCell="1" allowOverlap="1">
            <wp:simplePos x="0" y="0"/>
            <wp:positionH relativeFrom="column">
              <wp:posOffset>0</wp:posOffset>
            </wp:positionH>
            <wp:positionV relativeFrom="paragraph">
              <wp:posOffset>409575</wp:posOffset>
            </wp:positionV>
            <wp:extent cx="3329940" cy="3329940"/>
            <wp:effectExtent l="0" t="0" r="3810" b="3810"/>
            <wp:wrapTight wrapText="bothSides">
              <wp:wrapPolygon edited="0">
                <wp:start x="0" y="0"/>
                <wp:lineTo x="0" y="21501"/>
                <wp:lineTo x="21501" y="21501"/>
                <wp:lineTo x="21501"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06" cstate="email">
                      <a:extLst>
                        <a:ext uri="{28A0092B-C50C-407E-A947-70E740481C1C}">
                          <a14:useLocalDpi xmlns:a14="http://schemas.microsoft.com/office/drawing/2010/main"/>
                        </a:ext>
                      </a:extLst>
                    </a:blip>
                    <a:stretch>
                      <a:fillRect/>
                    </a:stretch>
                  </pic:blipFill>
                  <pic:spPr>
                    <a:xfrm>
                      <a:off x="0" y="0"/>
                      <a:ext cx="3329940" cy="33299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noProof/>
          <w:color w:val="4F81BD"/>
          <w:sz w:val="22"/>
          <w:u w:val="none"/>
          <w:lang w:val="bg-BG"/>
        </w:rPr>
        <w:t>По-добра информация и съдействие за гражданите и предприятията</w:t>
      </w:r>
    </w:p>
    <w:p w:rsidR="00286241" w:rsidRDefault="00FC31FA">
      <w:pPr>
        <w:rPr>
          <w:rFonts w:ascii="Arial" w:hAnsi="Arial" w:cs="Arial"/>
          <w:noProof/>
          <w:u w:val="none"/>
          <w:lang w:val="bg-BG"/>
        </w:rPr>
      </w:pPr>
      <w:r>
        <w:rPr>
          <w:rFonts w:ascii="Arial" w:hAnsi="Arial" w:cs="Arial"/>
          <w:noProof/>
          <w:u w:val="none"/>
          <w:lang w:val="bg-BG"/>
        </w:rPr>
        <w:t>През май 2017 г. Комисията прие пакет от инструменти с цел подобряване на практическото функциониране на единния пазар на ЕС за гражданите и предприятията.</w:t>
      </w:r>
    </w:p>
    <w:p w:rsidR="00286241" w:rsidRDefault="00FC31FA">
      <w:pPr>
        <w:rPr>
          <w:rFonts w:ascii="Arial" w:hAnsi="Arial" w:cs="Arial"/>
          <w:noProof/>
          <w:u w:val="none"/>
          <w:lang w:val="bg-BG"/>
        </w:rPr>
      </w:pPr>
      <w:r>
        <w:rPr>
          <w:rFonts w:ascii="Arial" w:hAnsi="Arial" w:cs="Arial"/>
          <w:noProof/>
          <w:u w:val="none"/>
          <w:lang w:val="bg-BG"/>
        </w:rPr>
        <w:t xml:space="preserve">С </w:t>
      </w:r>
      <w:hyperlink r:id="rId107">
        <w:r>
          <w:rPr>
            <w:rStyle w:val="Hyperlink"/>
            <w:rFonts w:ascii="Arial" w:hAnsi="Arial" w:cs="Arial"/>
            <w:noProof/>
            <w:lang w:val="bg-BG"/>
          </w:rPr>
          <w:t>плана за действие за SOLVIT</w:t>
        </w:r>
      </w:hyperlink>
      <w:r>
        <w:rPr>
          <w:rFonts w:ascii="Arial" w:hAnsi="Arial" w:cs="Arial"/>
          <w:noProof/>
          <w:u w:val="none"/>
          <w:lang w:val="bg-BG"/>
        </w:rPr>
        <w:t xml:space="preserve"> се засилва ролята на мрежата </w:t>
      </w:r>
      <w:hyperlink r:id="rId108">
        <w:r>
          <w:rPr>
            <w:rStyle w:val="Hyperlink"/>
            <w:rFonts w:ascii="Arial" w:hAnsi="Arial" w:cs="Arial"/>
            <w:noProof/>
            <w:lang w:val="bg-BG"/>
          </w:rPr>
          <w:t>SOLVIT</w:t>
        </w:r>
      </w:hyperlink>
      <w:r>
        <w:rPr>
          <w:rFonts w:ascii="Arial" w:hAnsi="Arial" w:cs="Arial"/>
          <w:noProof/>
          <w:u w:val="none"/>
          <w:lang w:val="bg-BG"/>
        </w:rPr>
        <w:t xml:space="preserve"> като практически и неформален механизъм за защита при трансгранични случаи на нарушаване на правата в ЕС на гражданите и предприятията от страна на публични органи. Съгласно този план подадена пред Комисията жалба може да бъде прехвърлена към SOLVIT.</w:t>
      </w:r>
    </w:p>
    <w:p w:rsidR="00286241" w:rsidRDefault="00FC31FA">
      <w:pPr>
        <w:rPr>
          <w:rFonts w:ascii="Arial" w:hAnsi="Arial" w:cs="Arial"/>
          <w:noProof/>
          <w:u w:val="none"/>
          <w:lang w:val="bg-BG"/>
        </w:rPr>
      </w:pPr>
      <w:r>
        <w:rPr>
          <w:rFonts w:ascii="Arial" w:hAnsi="Arial" w:cs="Arial"/>
          <w:noProof/>
          <w:u w:val="none"/>
          <w:lang w:val="bg-BG"/>
        </w:rPr>
        <w:t xml:space="preserve">Едновременно с това Комисията прие амбициозно предложение за </w:t>
      </w:r>
      <w:hyperlink r:id="rId109">
        <w:r>
          <w:rPr>
            <w:rStyle w:val="Hyperlink"/>
            <w:rFonts w:ascii="Arial" w:hAnsi="Arial" w:cs="Arial"/>
            <w:noProof/>
            <w:lang w:val="bg-BG"/>
          </w:rPr>
          <w:t>единен цифров портал</w:t>
        </w:r>
      </w:hyperlink>
      <w:r>
        <w:rPr>
          <w:rFonts w:ascii="Arial" w:hAnsi="Arial" w:cs="Arial"/>
          <w:noProof/>
          <w:u w:val="none"/>
          <w:lang w:val="bg-BG"/>
        </w:rPr>
        <w:t>, който отговаря на нуждите на предприятията, гражданите и други заинтересовани страни за по-добър достъп до единния пазар. Единният цифров портал ще предостави на потребителите лесен онлайн достъп до информация за правилата на ЕС и за националните правила, до процедурите за спазване на тези правила и до помощ и съдействие на равнището на ЕС и на национално равнище. Трансграничните потребители следва да могат да получат достъп и да използват тези онлайн услуги по същия начин като националните потребители. С портала ще се подкрепи трансграничното прилагане на принципа на еднократност чрез предоставяне на механизъм за автоматичен обмен на доказателства през границите.</w:t>
      </w:r>
      <w:r>
        <w:rPr>
          <w:rFonts w:ascii="Arial" w:hAnsi="Arial" w:cs="Arial"/>
          <w:noProof/>
          <w:sz w:val="18"/>
          <w:u w:val="none"/>
          <w:lang w:val="bg-BG"/>
        </w:rPr>
        <w:t xml:space="preserve"> </w:t>
      </w:r>
      <w:r>
        <w:rPr>
          <w:rFonts w:ascii="Arial" w:hAnsi="Arial" w:cs="Arial"/>
          <w:noProof/>
          <w:u w:val="none"/>
          <w:lang w:val="bg-BG"/>
        </w:rPr>
        <w:t>Целта на принципа на еднократност е да се гарантира, че от гражданите и предприятията се изисква да предоставят на публична администрация една и съща информация само веднъж.</w:t>
      </w:r>
    </w:p>
    <w:p w:rsidR="00286241" w:rsidRDefault="00FC31FA">
      <w:pPr>
        <w:rPr>
          <w:rFonts w:ascii="Arial" w:hAnsi="Arial" w:cs="Arial"/>
          <w:noProof/>
          <w:u w:val="none"/>
          <w:lang w:val="bg-BG"/>
        </w:rPr>
      </w:pPr>
      <w:r>
        <w:rPr>
          <w:rFonts w:ascii="Arial" w:hAnsi="Arial" w:cs="Arial"/>
          <w:noProof/>
          <w:u w:val="none"/>
          <w:lang w:val="bg-BG"/>
        </w:rPr>
        <w:t>С единния цифров портал се отговаря на нуждите на потребителите в цифровия свят. С него може да се помогне на дружествата да спестят повече от 11 милиарда евро годишно, а на гражданите на ЕС — до 855 000 часа годишно от тяхното време. С инициативата също така държавите членки се насърчават да приемат стратегии за електронно управление и да предлагат съвременни и ефикасни обществени услуги.</w:t>
      </w:r>
    </w:p>
    <w:p w:rsidR="00286241" w:rsidRDefault="00FC31FA">
      <w:pPr>
        <w:rPr>
          <w:rFonts w:ascii="Arial" w:hAnsi="Arial" w:cs="Arial"/>
          <w:noProof/>
          <w:u w:val="none"/>
          <w:lang w:val="bg-BG"/>
        </w:rPr>
      </w:pPr>
      <w:r>
        <w:rPr>
          <w:rFonts w:ascii="Arial" w:hAnsi="Arial" w:cs="Arial"/>
          <w:noProof/>
          <w:u w:val="none"/>
          <w:lang w:val="bg-BG"/>
        </w:rPr>
        <w:t xml:space="preserve">През 2017 г. Комисията започна в тясно сътрудничество с държавите членки </w:t>
      </w:r>
      <w:hyperlink r:id="rId110">
        <w:r>
          <w:rPr>
            <w:rStyle w:val="Hyperlink"/>
            <w:rFonts w:ascii="Arial" w:hAnsi="Arial" w:cs="Arial"/>
            <w:noProof/>
            <w:lang w:val="bg-BG"/>
          </w:rPr>
          <w:t>взаимно свързване на търговските регистри</w:t>
        </w:r>
      </w:hyperlink>
      <w:r>
        <w:rPr>
          <w:rFonts w:ascii="Arial" w:hAnsi="Arial" w:cs="Arial"/>
          <w:noProof/>
          <w:u w:val="none"/>
          <w:lang w:val="bg-BG"/>
        </w:rPr>
        <w:t>, с което ще се улесни достъпът до информация за дружествата в ЕС както в отделната държава, така и в чужбина.</w:t>
      </w:r>
    </w:p>
    <w:p w:rsidR="00286241" w:rsidRDefault="00FC31FA">
      <w:pPr>
        <w:spacing w:before="200"/>
        <w:rPr>
          <w:rFonts w:ascii="Arial" w:hAnsi="Arial" w:cs="Arial"/>
          <w:noProof/>
          <w:u w:val="none"/>
          <w:lang w:val="bg-BG"/>
        </w:rPr>
      </w:pPr>
      <w:r>
        <w:rPr>
          <w:rFonts w:ascii="Arial" w:hAnsi="Arial" w:cs="Arial"/>
          <w:noProof/>
          <w:u w:val="none"/>
          <w:lang w:val="bg-BG"/>
        </w:rPr>
        <w:t>С помощта на единния европейски портал за електронно правосъдие взаимното свързване на търговските регистри осигурява електронен достъп в целия ЕС до информация за дружества от всички търговски регистри в държавите членки. Сега тази система ще даде възможност на предприятията, потребителите, инвеститорите и органите да разберат повече за дружествата, с които имат контакт или с които искат да работят. Крайната цел е повишаване на доверието в единния пазар чрез прозрачност и актуална информация за дружествата в ЕС.</w:t>
      </w:r>
    </w:p>
    <w:p w:rsidR="00286241" w:rsidRDefault="00FC31FA">
      <w:pPr>
        <w:spacing w:after="0" w:line="240" w:lineRule="auto"/>
        <w:rPr>
          <w:rFonts w:ascii="Arial" w:eastAsia="Arial Unicode MS" w:hAnsi="Arial" w:cs="Arial"/>
          <w:i/>
          <w:noProof/>
          <w:color w:val="8DB3E2" w:themeColor="text2" w:themeTint="66"/>
          <w:sz w:val="22"/>
          <w:szCs w:val="22"/>
          <w:u w:val="none"/>
          <w:lang w:val="bg-BG"/>
        </w:rPr>
      </w:pPr>
      <w:r>
        <w:rPr>
          <w:rFonts w:ascii="Arial" w:hAnsi="Arial" w:cs="Arial"/>
          <w:noProof/>
          <w:lang w:val="bg-BG"/>
        </w:rPr>
        <w:br w:type="page"/>
      </w:r>
    </w:p>
    <w:p w:rsidR="00286241" w:rsidRDefault="00FC31FA">
      <w:pPr>
        <w:spacing w:before="120" w:after="120" w:line="260" w:lineRule="exact"/>
        <w:rPr>
          <w:rFonts w:ascii="Arial" w:eastAsia="Arial Unicode MS" w:hAnsi="Arial" w:cs="Arial"/>
          <w:i/>
          <w:noProof/>
          <w:color w:val="4F81BD"/>
          <w:sz w:val="22"/>
          <w:szCs w:val="22"/>
          <w:u w:val="none"/>
          <w:lang w:val="bg-BG"/>
        </w:rPr>
      </w:pPr>
      <w:r>
        <w:rPr>
          <w:rFonts w:ascii="Arial" w:hAnsi="Arial" w:cs="Arial"/>
          <w:i/>
          <w:noProof/>
          <w:color w:val="4F81BD"/>
          <w:sz w:val="22"/>
          <w:u w:val="none"/>
          <w:lang w:val="bg-BG"/>
        </w:rPr>
        <w:t>Прилагане на съюза на капиталовите пазари, правилата за финансовите услуги и свободното движение на капитали</w:t>
      </w:r>
    </w:p>
    <w:p w:rsidR="00286241" w:rsidRDefault="00FC31FA">
      <w:pPr>
        <w:rPr>
          <w:rFonts w:ascii="Arial" w:hAnsi="Arial" w:cs="Arial"/>
          <w:noProof/>
          <w:u w:val="none"/>
          <w:lang w:val="bg-BG"/>
        </w:rPr>
      </w:pPr>
      <w:r>
        <w:rPr>
          <w:rFonts w:ascii="Arial" w:hAnsi="Arial" w:cs="Arial"/>
          <w:i/>
          <w:noProof/>
          <w:spacing w:val="-2"/>
          <w:u w:val="none"/>
        </w:rPr>
        <w:drawing>
          <wp:inline distT="0" distB="0" distL="0" distR="0">
            <wp:extent cx="4010025" cy="2672478"/>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Fotolia_129733712_Subscription_Monthly_XXL.jpg"/>
                    <pic:cNvPicPr/>
                  </pic:nvPicPr>
                  <pic:blipFill>
                    <a:blip r:embed="rId111" cstate="email">
                      <a:extLst>
                        <a:ext uri="{28A0092B-C50C-407E-A947-70E740481C1C}">
                          <a14:useLocalDpi xmlns:a14="http://schemas.microsoft.com/office/drawing/2010/main" val="0"/>
                        </a:ext>
                      </a:extLst>
                    </a:blip>
                    <a:stretch>
                      <a:fillRect/>
                    </a:stretch>
                  </pic:blipFill>
                  <pic:spPr>
                    <a:xfrm>
                      <a:off x="0" y="0"/>
                      <a:ext cx="4016577" cy="2676845"/>
                    </a:xfrm>
                    <a:prstGeom prst="rect">
                      <a:avLst/>
                    </a:prstGeom>
                  </pic:spPr>
                </pic:pic>
              </a:graphicData>
            </a:graphic>
          </wp:inline>
        </w:drawing>
      </w:r>
    </w:p>
    <w:p w:rsidR="00286241" w:rsidRDefault="00FC31FA">
      <w:pPr>
        <w:spacing w:after="80"/>
        <w:rPr>
          <w:rFonts w:ascii="Arial" w:hAnsi="Arial" w:cs="Arial"/>
          <w:noProof/>
          <w:spacing w:val="-4"/>
          <w:u w:val="none"/>
          <w:lang w:val="bg-BG"/>
        </w:rPr>
      </w:pPr>
      <w:r>
        <w:rPr>
          <w:rFonts w:ascii="Arial" w:hAnsi="Arial" w:cs="Arial"/>
          <w:noProof/>
          <w:spacing w:val="-4"/>
          <w:u w:val="none"/>
          <w:lang w:val="bg-BG"/>
        </w:rPr>
        <w:t xml:space="preserve">Действията по правоприлагане на Комисията през 2017 г. бяха насочени към гарантиране, че държавите членки изпълняват приетите след финансовата криза директиви. Целта е пазарите на ЕС за финансови услуги да се отворят още повече, да се засили устойчивостта и стабилността на финансовия сектор и да се подобри защитата на инвеститорите. Това включва </w:t>
      </w:r>
      <w:hyperlink r:id="rId112">
        <w:r>
          <w:rPr>
            <w:rStyle w:val="Hyperlink"/>
            <w:rFonts w:ascii="Arial" w:hAnsi="Arial" w:cs="Arial"/>
            <w:noProof/>
            <w:spacing w:val="-4"/>
            <w:lang w:val="bg-BG"/>
          </w:rPr>
          <w:t>директивите относно счетоводството и одита</w:t>
        </w:r>
      </w:hyperlink>
      <w:r>
        <w:rPr>
          <w:rFonts w:ascii="Arial" w:hAnsi="Arial" w:cs="Arial"/>
          <w:noProof/>
          <w:spacing w:val="-4"/>
          <w:u w:val="none"/>
          <w:lang w:val="bg-BG"/>
        </w:rPr>
        <w:t xml:space="preserve">, </w:t>
      </w:r>
      <w:hyperlink r:id="rId113">
        <w:r>
          <w:rPr>
            <w:rStyle w:val="Hyperlink"/>
            <w:rFonts w:ascii="Arial" w:hAnsi="Arial" w:cs="Arial"/>
            <w:noProof/>
            <w:spacing w:val="-4"/>
            <w:lang w:val="bg-BG"/>
          </w:rPr>
          <w:t>Директивата за ипотечните кредити</w:t>
        </w:r>
      </w:hyperlink>
      <w:r>
        <w:rPr>
          <w:rFonts w:ascii="Arial" w:hAnsi="Arial" w:cs="Arial"/>
          <w:noProof/>
          <w:spacing w:val="-4"/>
          <w:u w:val="none"/>
          <w:lang w:val="bg-BG"/>
        </w:rPr>
        <w:t xml:space="preserve">, </w:t>
      </w:r>
      <w:hyperlink r:id="rId114">
        <w:r>
          <w:rPr>
            <w:rStyle w:val="Hyperlink"/>
            <w:rFonts w:ascii="Arial" w:hAnsi="Arial" w:cs="Arial"/>
            <w:noProof/>
            <w:spacing w:val="-4"/>
            <w:lang w:val="bg-BG"/>
          </w:rPr>
          <w:t>Директивата относно платежните сметки</w:t>
        </w:r>
      </w:hyperlink>
      <w:r>
        <w:rPr>
          <w:rFonts w:ascii="Arial" w:hAnsi="Arial" w:cs="Arial"/>
          <w:noProof/>
          <w:spacing w:val="-4"/>
          <w:u w:val="none"/>
          <w:lang w:val="bg-BG"/>
        </w:rPr>
        <w:t xml:space="preserve"> и </w:t>
      </w:r>
      <w:hyperlink r:id="rId115">
        <w:r>
          <w:rPr>
            <w:rStyle w:val="Hyperlink"/>
            <w:rFonts w:ascii="Arial" w:hAnsi="Arial" w:cs="Arial"/>
            <w:noProof/>
            <w:spacing w:val="-4"/>
            <w:lang w:val="bg-BG"/>
          </w:rPr>
          <w:t>Директивата по отношение на оповестяването на нефинансова информация от страна на някои големи предприятия</w:t>
        </w:r>
      </w:hyperlink>
      <w:r>
        <w:rPr>
          <w:rStyle w:val="Hyperlink"/>
          <w:rFonts w:ascii="Arial" w:hAnsi="Arial" w:cs="Arial"/>
          <w:noProof/>
          <w:spacing w:val="-4"/>
          <w:lang w:val="bg-BG"/>
        </w:rPr>
        <w:t xml:space="preserve"> и за изменение на Директивата за счетоводството.</w:t>
      </w:r>
    </w:p>
    <w:p w:rsidR="00286241" w:rsidRDefault="00FC31FA">
      <w:pPr>
        <w:spacing w:after="80"/>
        <w:rPr>
          <w:rFonts w:ascii="Arial" w:hAnsi="Arial" w:cs="Arial"/>
          <w:noProof/>
          <w:u w:val="none"/>
          <w:lang w:val="bg-BG"/>
        </w:rPr>
      </w:pPr>
      <w:r>
        <w:rPr>
          <w:rFonts w:ascii="Arial" w:hAnsi="Arial" w:cs="Arial"/>
          <w:noProof/>
          <w:u w:val="none"/>
          <w:lang w:val="bg-BG"/>
        </w:rPr>
        <w:t>Почти всички държави членки приеха до края на 2017 г. мерки за транспониране на тези директиви в националното им законодателство. В много случаи тези мерки бяха приети след като Комисията започна производства за установяване на неизпълнение на задължения.</w:t>
      </w:r>
    </w:p>
    <w:p w:rsidR="00286241" w:rsidRDefault="00DE62F9">
      <w:pPr>
        <w:spacing w:after="80"/>
        <w:rPr>
          <w:rFonts w:ascii="Arial" w:hAnsi="Arial" w:cs="Arial"/>
          <w:noProof/>
          <w:u w:val="none"/>
          <w:lang w:val="bg-BG"/>
        </w:rPr>
      </w:pPr>
      <w:hyperlink r:id="rId116">
        <w:r w:rsidR="00FC31FA">
          <w:rPr>
            <w:rStyle w:val="Hyperlink"/>
            <w:rFonts w:ascii="Arial" w:hAnsi="Arial" w:cs="Arial"/>
            <w:noProof/>
            <w:lang w:val="bg-BG"/>
          </w:rPr>
          <w:t>Директивата относно пазарите на финансови</w:t>
        </w:r>
      </w:hyperlink>
      <w:r w:rsidR="00FC31FA">
        <w:rPr>
          <w:rStyle w:val="Hyperlink"/>
          <w:rFonts w:ascii="Arial" w:hAnsi="Arial" w:cs="Arial"/>
          <w:noProof/>
          <w:lang w:val="bg-BG"/>
        </w:rPr>
        <w:t xml:space="preserve"> инструменти</w:t>
      </w:r>
      <w:r w:rsidR="00FC31FA">
        <w:rPr>
          <w:rFonts w:ascii="Arial" w:hAnsi="Arial" w:cs="Arial"/>
          <w:noProof/>
          <w:u w:val="none"/>
          <w:lang w:val="bg-BG"/>
        </w:rPr>
        <w:t xml:space="preserve"> е крайъгълен камък на реформите, въведени от ЕС за подобряване на защитата на инвеститорите след финансовата криза. Новите правила ще укрепят единния пазар, като направят възможно търгуването на финансови инструменти на прозрачни, добре контролирани, конкурентни и стабилни пазари в рамките на цялото европейско икономическо пространство.</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Комисията започна дела за установяване на неизпълнение на задължения срещу 19 държави членки за ненавременно транспониране на Директивата относно пазарите на финансови инструменти в националното им законодателство.</w:t>
            </w:r>
          </w:p>
        </w:tc>
      </w:tr>
    </w:tbl>
    <w:p w:rsidR="00286241" w:rsidRDefault="00FC31FA">
      <w:pPr>
        <w:spacing w:before="60" w:after="60"/>
        <w:rPr>
          <w:rFonts w:ascii="Arial" w:hAnsi="Arial" w:cs="Arial"/>
          <w:noProof/>
          <w:spacing w:val="-6"/>
          <w:u w:val="none"/>
          <w:lang w:val="bg-BG"/>
        </w:rPr>
      </w:pPr>
      <w:r>
        <w:rPr>
          <w:rFonts w:ascii="Arial" w:hAnsi="Arial" w:cs="Arial"/>
          <w:noProof/>
          <w:spacing w:val="-6"/>
          <w:u w:val="none"/>
          <w:lang w:val="bg-BG"/>
        </w:rPr>
        <w:t>За изграждането на съюза на капиталовите пазари е необходимо правилно прилагане на Директивата относно пазарите на финансови инструменти и на други съответни директиви (например Директивата за прозрачността). Целта на този съюз е подобряване на достъпа до финансиране, по-специално за иновативни дружества и за стартиращи, малки и средни предприятия. С него се цели също така капиталовите пазари да станат по-привлекателни за инвеститори на дребно и за институционални инвеститори и да се улеснят трансграничните инвестиции.</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Комисията наблюдаваше спазването от държавите членки на принципа на свободно движение на капитали. Тя </w:t>
            </w:r>
            <w:hyperlink r:id="rId117">
              <w:r>
                <w:rPr>
                  <w:rStyle w:val="Hyperlink"/>
                  <w:rFonts w:ascii="Arial" w:hAnsi="Arial" w:cs="Arial"/>
                  <w:noProof/>
                  <w:lang w:val="bg-BG"/>
                </w:rPr>
                <w:t>заведе дело в Съда на ЕС срещу Унгария</w:t>
              </w:r>
            </w:hyperlink>
            <w:r>
              <w:rPr>
                <w:rFonts w:ascii="Arial" w:hAnsi="Arial" w:cs="Arial"/>
                <w:noProof/>
                <w:color w:val="FFFFFF"/>
                <w:u w:val="none"/>
                <w:lang w:val="bg-BG"/>
              </w:rPr>
              <w:t xml:space="preserve"> поради неспазване на правилата на ЕС относно правата на трансграничните инвеститори в земеделска земя. Унгария е приела закон, с който се премахват определени „права на ползване“ — договори, които дават право на ползване на даден имот и на печалба от него — които инвеститорите в Унгария са имали. Така както чуждестранни, така и местни инвеститори са били лишени от придобитите права и от стойността на инвестициите им, без да им бъде предоставено обезщетение.</w:t>
            </w:r>
          </w:p>
        </w:tc>
      </w:tr>
    </w:tbl>
    <w:p w:rsidR="00286241" w:rsidRDefault="00FC31FA">
      <w:pPr>
        <w:spacing w:after="0" w:line="240" w:lineRule="auto"/>
        <w:rPr>
          <w:rFonts w:ascii="Arial" w:eastAsia="Arial Unicode MS" w:hAnsi="Arial" w:cs="Arial"/>
          <w:i/>
          <w:noProof/>
          <w:color w:val="8DB3E2" w:themeColor="text2" w:themeTint="66"/>
          <w:sz w:val="22"/>
          <w:szCs w:val="22"/>
          <w:u w:val="none"/>
          <w:lang w:val="bg-BG"/>
        </w:rPr>
      </w:pPr>
      <w:r>
        <w:rPr>
          <w:rFonts w:ascii="Arial" w:hAnsi="Arial" w:cs="Arial"/>
          <w:noProof/>
          <w:lang w:val="bg-BG"/>
        </w:rPr>
        <w:br w:type="page"/>
      </w:r>
    </w:p>
    <w:p w:rsidR="00286241" w:rsidRDefault="00FC31FA">
      <w:pPr>
        <w:spacing w:before="360" w:after="120"/>
        <w:rPr>
          <w:rFonts w:ascii="Arial" w:eastAsia="Arial Unicode MS" w:hAnsi="Arial" w:cs="Arial"/>
          <w:i/>
          <w:noProof/>
          <w:color w:val="4F81BD"/>
          <w:sz w:val="22"/>
          <w:szCs w:val="22"/>
          <w:u w:val="none"/>
          <w:lang w:val="bg-BG"/>
        </w:rPr>
      </w:pPr>
      <w:r>
        <w:rPr>
          <w:rFonts w:ascii="Arial" w:hAnsi="Arial" w:cs="Arial"/>
          <w:i/>
          <w:noProof/>
          <w:color w:val="4F81BD"/>
          <w:sz w:val="22"/>
          <w:u w:val="none"/>
          <w:lang w:val="bg-BG"/>
        </w:rPr>
        <w:t>Прилагане на правилата в областта на данъчното облагане и митниците</w:t>
      </w:r>
    </w:p>
    <w:p w:rsidR="00286241" w:rsidRDefault="00FC31FA">
      <w:pPr>
        <w:rPr>
          <w:rFonts w:ascii="Arial" w:hAnsi="Arial" w:cs="Arial"/>
          <w:noProof/>
          <w:u w:val="none"/>
          <w:lang w:val="bg-BG"/>
        </w:rPr>
      </w:pPr>
      <w:r>
        <w:rPr>
          <w:rFonts w:ascii="Arial" w:eastAsia="Arial Unicode MS" w:hAnsi="Arial" w:cs="Arial"/>
          <w:i/>
          <w:noProof/>
          <w:color w:val="8DB3E2" w:themeColor="text2" w:themeTint="66"/>
          <w:sz w:val="22"/>
          <w:szCs w:val="22"/>
          <w:u w:val="none"/>
        </w:rPr>
        <w:drawing>
          <wp:anchor distT="0" distB="0" distL="114300" distR="114300" simplePos="0" relativeHeight="251637760" behindDoc="1" locked="0" layoutInCell="1" allowOverlap="1">
            <wp:simplePos x="0" y="0"/>
            <wp:positionH relativeFrom="column">
              <wp:posOffset>0</wp:posOffset>
            </wp:positionH>
            <wp:positionV relativeFrom="paragraph">
              <wp:posOffset>17145</wp:posOffset>
            </wp:positionV>
            <wp:extent cx="1741170" cy="1459865"/>
            <wp:effectExtent l="0" t="0" r="0" b="6985"/>
            <wp:wrapTight wrapText="bothSides">
              <wp:wrapPolygon edited="0">
                <wp:start x="0" y="0"/>
                <wp:lineTo x="0" y="21421"/>
                <wp:lineTo x="21269" y="21421"/>
                <wp:lineTo x="21269"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Fotolia_71976531_Subscription_Monthly_XL.jpg"/>
                    <pic:cNvPicPr/>
                  </pic:nvPicPr>
                  <pic:blipFill>
                    <a:blip r:embed="rId118" cstate="email">
                      <a:extLst>
                        <a:ext uri="{28A0092B-C50C-407E-A947-70E740481C1C}">
                          <a14:useLocalDpi xmlns:a14="http://schemas.microsoft.com/office/drawing/2010/main"/>
                        </a:ext>
                      </a:extLst>
                    </a:blip>
                    <a:stretch>
                      <a:fillRect/>
                    </a:stretch>
                  </pic:blipFill>
                  <pic:spPr>
                    <a:xfrm>
                      <a:off x="0" y="0"/>
                      <a:ext cx="1741170" cy="14598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u w:val="none"/>
          <w:lang w:val="bg-BG"/>
        </w:rPr>
        <w:t xml:space="preserve">Стратегията на Комисията по правоприлагане в областта на митниците беше насочена към гарантиране, че държавите членки прилагат правилно и еднакво </w:t>
      </w:r>
      <w:hyperlink r:id="rId119">
        <w:r>
          <w:rPr>
            <w:rStyle w:val="Hyperlink"/>
            <w:rFonts w:ascii="Arial" w:hAnsi="Arial" w:cs="Arial"/>
            <w:noProof/>
            <w:lang w:val="bg-BG"/>
          </w:rPr>
          <w:t>Митническия кодекс на Съюза</w:t>
        </w:r>
      </w:hyperlink>
      <w:r>
        <w:rPr>
          <w:rFonts w:ascii="Arial" w:hAnsi="Arial" w:cs="Arial"/>
          <w:noProof/>
          <w:u w:val="none"/>
          <w:lang w:val="bg-BG"/>
        </w:rPr>
        <w:t>, както и към разкриване на такси с равностоен на мито ефект дори в рамките на ЕС.</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6407"/>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След като Комисията започна производство за установяване на неизпълнение на задължения, италианските органи измениха правилата си, за да премахнат ограничение за пряко митническо представителство, което беше в противоречие с Митническия кодекс на Съюза.</w:t>
            </w:r>
          </w:p>
        </w:tc>
      </w:tr>
    </w:tbl>
    <w:p w:rsidR="00286241" w:rsidRDefault="00FC31FA">
      <w:pPr>
        <w:spacing w:before="200"/>
        <w:rPr>
          <w:rFonts w:ascii="Arial" w:hAnsi="Arial" w:cs="Arial"/>
          <w:noProof/>
          <w:u w:val="none"/>
          <w:lang w:val="bg-BG"/>
        </w:rPr>
      </w:pPr>
      <w:r>
        <w:rPr>
          <w:rFonts w:ascii="Arial" w:hAnsi="Arial" w:cs="Arial"/>
          <w:noProof/>
          <w:u w:val="none"/>
          <w:lang w:val="bg-BG"/>
        </w:rPr>
        <w:t>Комисията проведи проучване, за да провери съвместимостта със законодателството на ЕС на националните правила относно контрола на пари в брой.</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В резултат на намесата на Комисията Дания измени единния административен документ, използван за митнически процедури, който не отговаряше на изискванията на митническото законодателство на ЕС.</w:t>
            </w:r>
          </w:p>
        </w:tc>
      </w:tr>
    </w:tbl>
    <w:p w:rsidR="00286241" w:rsidRDefault="00FC31FA">
      <w:pPr>
        <w:spacing w:before="200"/>
        <w:rPr>
          <w:rFonts w:ascii="Arial" w:hAnsi="Arial" w:cs="Arial"/>
          <w:noProof/>
          <w:u w:val="none"/>
          <w:lang w:val="bg-BG"/>
        </w:rPr>
      </w:pPr>
      <w:r>
        <w:rPr>
          <w:rFonts w:ascii="Arial" w:hAnsi="Arial" w:cs="Arial"/>
          <w:noProof/>
          <w:u w:val="none"/>
          <w:lang w:val="bg-BG"/>
        </w:rPr>
        <w:t>При усилията си по правоприлагане в областта на непрякото данъчно облагане Комисията отдаде приоритет на преследването на нарушения, с които се ограничават гарантираните от Договора свободи и които имат силно въздействие върху функционирането на вътрешния пазар.</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6"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Унгария изискваше в рамките на електронната система за наблюдение на сухопътните товари дружествата да докладват на данъчната администрация за превози в рамките на ЕС (и за някои вътрешни превози), извършени по обществена пътна мрежа. Подобна система е в нарушение на Директивата за ДДС, тъй като на първо място засяга трансгранични операции в ЕС и налага сериозна тежест върху предприятията при преминаване на границите.</w:t>
            </w:r>
            <w:r>
              <w:rPr>
                <w:rFonts w:ascii="Arial" w:hAnsi="Arial" w:cs="Arial"/>
                <w:noProof/>
                <w:color w:val="FFFFFF"/>
                <w:sz w:val="18"/>
                <w:u w:val="none"/>
                <w:lang w:val="bg-BG"/>
              </w:rPr>
              <w:t xml:space="preserve"> </w:t>
            </w:r>
            <w:r>
              <w:rPr>
                <w:rFonts w:ascii="Arial" w:hAnsi="Arial" w:cs="Arial"/>
                <w:noProof/>
                <w:color w:val="FFFFFF"/>
                <w:u w:val="none"/>
                <w:lang w:val="bg-BG"/>
              </w:rPr>
              <w:t xml:space="preserve">Комисията започна </w:t>
            </w:r>
            <w:hyperlink r:id="rId120">
              <w:r>
                <w:rPr>
                  <w:rStyle w:val="Hyperlink"/>
                  <w:rFonts w:ascii="Arial" w:hAnsi="Arial" w:cs="Arial"/>
                  <w:noProof/>
                  <w:lang w:val="bg-BG"/>
                </w:rPr>
                <w:t>производство за установяване на неизпълнение на задължения</w:t>
              </w:r>
            </w:hyperlink>
            <w:r>
              <w:rPr>
                <w:rFonts w:ascii="Arial" w:hAnsi="Arial" w:cs="Arial"/>
                <w:noProof/>
                <w:color w:val="FFFFFF"/>
                <w:u w:val="none"/>
                <w:lang w:val="bg-BG"/>
              </w:rPr>
              <w:t xml:space="preserve"> срещу Унгария.</w:t>
            </w:r>
          </w:p>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Комисията предприе действия срещу Италия, която изключва лица, които не са италиански граждани и които не възнамеряват да се установят в Италия, от правото да се ползват от намалената ставка, прилагана при закупуване на първо нелуксозно жилище.</w:t>
            </w:r>
          </w:p>
        </w:tc>
      </w:tr>
    </w:tbl>
    <w:p w:rsidR="00286241" w:rsidRDefault="00FC31FA">
      <w:pPr>
        <w:spacing w:before="200"/>
        <w:rPr>
          <w:rFonts w:ascii="Arial" w:hAnsi="Arial" w:cs="Arial"/>
          <w:noProof/>
          <w:u w:val="none"/>
          <w:lang w:val="bg-BG"/>
        </w:rPr>
      </w:pPr>
      <w:r>
        <w:rPr>
          <w:rFonts w:ascii="Arial" w:hAnsi="Arial" w:cs="Arial"/>
          <w:noProof/>
          <w:u w:val="none"/>
          <w:lang w:val="bg-BG"/>
        </w:rPr>
        <w:t xml:space="preserve">Едно от предимствата на вътрешния пазар е, че гражданите и предприятията имат свободата да се преместват, осъществяват дейност и инвестират отвъд националните граници. Като се има предвид обаче, че прякото данъчно облагане не е хармонизирано в рамките на ЕС, тази свобода може да означава, че някои данъкоплатци успяват да избегнат или да укриват данъци в държавата по пребиваване. Поради това данъчните органи в ЕС се договориха за по-тясно сътрудничество с цел гарантиране на плащането на данъци и борба с данъчните измами и избягването на данъци. Това сътрудничество е залегнало в </w:t>
      </w:r>
      <w:hyperlink r:id="rId121">
        <w:r>
          <w:rPr>
            <w:rStyle w:val="Hyperlink"/>
            <w:rFonts w:ascii="Arial" w:hAnsi="Arial" w:cs="Arial"/>
            <w:noProof/>
            <w:lang w:val="bg-BG"/>
          </w:rPr>
          <w:t>Директивата относно административното сътрудничество</w:t>
        </w:r>
      </w:hyperlink>
      <w:r>
        <w:rPr>
          <w:rFonts w:ascii="Arial" w:hAnsi="Arial" w:cs="Arial"/>
          <w:noProof/>
          <w:u w:val="none"/>
          <w:lang w:val="bg-BG"/>
        </w:rPr>
        <w:t>. С нея на държавите членки се предоставя възможност да гарантират, че в рамките на все по-глобализиращия се свят всички техни данъкоплатци заплащат дължимите от тях данъци. Това е основният инструмент за прозрачност, с който да се води борба с практиките за укриване на данъци, разкрити във връзка с делото „Люкслийкс“ (LuxLeaks) и с документите от Панама и „Райските досиета“ (Paradise Papers).</w:t>
      </w:r>
    </w:p>
    <w:p w:rsidR="00286241" w:rsidRDefault="00FC31FA">
      <w:pPr>
        <w:spacing w:before="200"/>
        <w:rPr>
          <w:rFonts w:ascii="Arial" w:hAnsi="Arial" w:cs="Arial"/>
          <w:noProof/>
          <w:u w:val="none"/>
          <w:lang w:val="bg-BG"/>
        </w:rPr>
      </w:pPr>
      <w:r>
        <w:rPr>
          <w:rFonts w:ascii="Arial" w:hAnsi="Arial" w:cs="Arial"/>
          <w:noProof/>
          <w:u w:val="none"/>
          <w:lang w:val="bg-BG"/>
        </w:rPr>
        <w:t xml:space="preserve">Действията по правоприлагане на Комисията през 2017 г. бяха насочени към гарантиране, че държавите членки са приложили важните изменения на тази директива. Измененията засягат </w:t>
      </w:r>
      <w:hyperlink r:id="rId122">
        <w:r>
          <w:rPr>
            <w:rStyle w:val="Hyperlink"/>
            <w:rFonts w:ascii="Arial" w:hAnsi="Arial" w:cs="Arial"/>
            <w:noProof/>
            <w:lang w:val="bg-BG"/>
          </w:rPr>
          <w:t>обмена на информация относно данъчните становища</w:t>
        </w:r>
      </w:hyperlink>
      <w:r>
        <w:rPr>
          <w:rFonts w:ascii="Arial" w:hAnsi="Arial" w:cs="Arial"/>
          <w:noProof/>
          <w:u w:val="none"/>
          <w:lang w:val="bg-BG"/>
        </w:rPr>
        <w:t xml:space="preserve"> и </w:t>
      </w:r>
      <w:hyperlink r:id="rId123">
        <w:r>
          <w:rPr>
            <w:rStyle w:val="Hyperlink"/>
            <w:rFonts w:ascii="Arial" w:hAnsi="Arial" w:cs="Arial"/>
            <w:noProof/>
            <w:lang w:val="bg-BG"/>
          </w:rPr>
          <w:t>отчитането по държави</w:t>
        </w:r>
      </w:hyperlink>
      <w:r>
        <w:rPr>
          <w:rFonts w:ascii="Arial" w:hAnsi="Arial" w:cs="Arial"/>
          <w:noProof/>
          <w:u w:val="none"/>
          <w:lang w:val="bg-BG"/>
        </w:rPr>
        <w:t>. До края на 2017 г. почти всички държави членки бяха приели изискваните мерки.</w:t>
      </w:r>
    </w:p>
    <w:p w:rsidR="00286241" w:rsidRDefault="00FC31FA">
      <w:pPr>
        <w:spacing w:before="200" w:after="120"/>
        <w:rPr>
          <w:rFonts w:ascii="Arial" w:hAnsi="Arial" w:cs="Arial"/>
          <w:noProof/>
          <w:u w:val="none"/>
          <w:lang w:val="bg-BG"/>
        </w:rPr>
      </w:pPr>
      <w:r>
        <w:rPr>
          <w:rFonts w:ascii="Arial" w:hAnsi="Arial" w:cs="Arial"/>
          <w:noProof/>
          <w:u w:val="none"/>
          <w:lang w:val="bg-BG"/>
        </w:rPr>
        <w:t xml:space="preserve">В знаково </w:t>
      </w:r>
      <w:hyperlink r:id="rId124">
        <w:r>
          <w:rPr>
            <w:rStyle w:val="Hyperlink"/>
            <w:rFonts w:ascii="Arial" w:hAnsi="Arial" w:cs="Arial"/>
            <w:noProof/>
            <w:lang w:val="bg-BG"/>
          </w:rPr>
          <w:t>решение</w:t>
        </w:r>
      </w:hyperlink>
      <w:r>
        <w:rPr>
          <w:rFonts w:ascii="Arial" w:hAnsi="Arial" w:cs="Arial"/>
          <w:noProof/>
          <w:u w:val="none"/>
          <w:lang w:val="bg-BG"/>
        </w:rPr>
        <w:t xml:space="preserve"> Съдът на ЕС (в голям състав) прие, че съдилищата на държавите членки могат да осъществяват съдебен контрол над законността на исканията за данъчна информация, изпратени от друга държава членка съгласно Директивата относно административното сътрудничество. Този контрол все пак е ограничен до проверка дали исканата информация не е очевидно лишена от каквато и да е предполагаема значимост за съответното данъчно разследване.</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През 2017 г. Комисията прекрати производствата за установяване на неизпълнение на задължения срещу </w:t>
            </w:r>
            <w:hyperlink r:id="rId125">
              <w:r>
                <w:rPr>
                  <w:rStyle w:val="Hyperlink"/>
                  <w:rFonts w:ascii="Arial" w:hAnsi="Arial" w:cs="Arial"/>
                  <w:noProof/>
                  <w:lang w:val="bg-BG"/>
                </w:rPr>
                <w:t>Германия</w:t>
              </w:r>
            </w:hyperlink>
            <w:r>
              <w:rPr>
                <w:rFonts w:ascii="Arial" w:hAnsi="Arial" w:cs="Arial"/>
                <w:noProof/>
                <w:color w:val="FFFFFF"/>
                <w:u w:val="none"/>
                <w:lang w:val="bg-BG"/>
              </w:rPr>
              <w:t xml:space="preserve"> (относно правилата за данъка върху наследството за специални помощи за издръжка) и срещу </w:t>
            </w:r>
            <w:hyperlink r:id="rId126">
              <w:r>
                <w:rPr>
                  <w:rStyle w:val="Hyperlink"/>
                  <w:rFonts w:ascii="Arial" w:hAnsi="Arial" w:cs="Arial"/>
                  <w:noProof/>
                  <w:lang w:val="bg-BG"/>
                </w:rPr>
                <w:t>Гърция</w:t>
              </w:r>
            </w:hyperlink>
            <w:r>
              <w:rPr>
                <w:rFonts w:ascii="Arial" w:hAnsi="Arial" w:cs="Arial"/>
                <w:noProof/>
                <w:color w:val="FFFFFF"/>
                <w:u w:val="none"/>
                <w:lang w:val="bg-BG"/>
              </w:rPr>
              <w:t xml:space="preserve"> (относно данъчното третиране на завещанията в полза на организации с нестопанска цел и на основните жилища), след като държавите въведоха изменения.</w:t>
            </w:r>
          </w:p>
        </w:tc>
      </w:tr>
    </w:tbl>
    <w:p w:rsidR="00286241" w:rsidRDefault="00286241">
      <w:pPr>
        <w:spacing w:before="360"/>
        <w:rPr>
          <w:rFonts w:ascii="Arial" w:hAnsi="Arial" w:cs="Arial"/>
          <w:i/>
          <w:noProof/>
          <w:color w:val="4F81BD"/>
          <w:sz w:val="22"/>
          <w:u w:val="none"/>
          <w:lang w:val="bg-BG"/>
        </w:rPr>
      </w:pPr>
    </w:p>
    <w:p w:rsidR="00286241" w:rsidRDefault="00FC31FA">
      <w:pPr>
        <w:rPr>
          <w:noProof/>
          <w:lang w:val="bg-BG"/>
        </w:rPr>
      </w:pPr>
      <w:r>
        <w:rPr>
          <w:noProof/>
          <w:lang w:val="bg-BG"/>
        </w:rPr>
        <w:br w:type="page"/>
      </w:r>
    </w:p>
    <w:p w:rsidR="00286241" w:rsidRDefault="00FC31FA">
      <w:pPr>
        <w:spacing w:before="360"/>
        <w:rPr>
          <w:rFonts w:ascii="Arial" w:eastAsia="Arial Unicode MS" w:hAnsi="Arial" w:cs="Arial"/>
          <w:i/>
          <w:noProof/>
          <w:color w:val="4F81BD"/>
          <w:sz w:val="22"/>
          <w:szCs w:val="22"/>
          <w:u w:val="none"/>
          <w:lang w:val="bg-BG"/>
        </w:rPr>
      </w:pPr>
      <w:r>
        <w:rPr>
          <w:rFonts w:ascii="Arial" w:hAnsi="Arial" w:cs="Arial"/>
          <w:i/>
          <w:noProof/>
          <w:color w:val="4F81BD"/>
          <w:sz w:val="22"/>
          <w:u w:val="none"/>
          <w:lang w:val="bg-BG"/>
        </w:rPr>
        <w:t>Гарантиране на високо ниво на защита за потребителите</w:t>
      </w:r>
    </w:p>
    <w:p w:rsidR="00286241" w:rsidRDefault="00FC31FA">
      <w:pPr>
        <w:rPr>
          <w:rFonts w:ascii="Arial" w:hAnsi="Arial" w:cs="Arial"/>
          <w:noProof/>
          <w:u w:val="none"/>
          <w:lang w:val="bg-BG"/>
        </w:rPr>
      </w:pPr>
      <w:r>
        <w:rPr>
          <w:rFonts w:ascii="Arial" w:hAnsi="Arial" w:cs="Arial"/>
          <w:noProof/>
          <w:u w:val="none"/>
        </w:rPr>
        <w:drawing>
          <wp:anchor distT="0" distB="0" distL="114300" distR="114300" simplePos="0" relativeHeight="251649024" behindDoc="1" locked="0" layoutInCell="1" allowOverlap="1">
            <wp:simplePos x="0" y="0"/>
            <wp:positionH relativeFrom="column">
              <wp:posOffset>0</wp:posOffset>
            </wp:positionH>
            <wp:positionV relativeFrom="paragraph">
              <wp:posOffset>2540</wp:posOffset>
            </wp:positionV>
            <wp:extent cx="3725545" cy="2974975"/>
            <wp:effectExtent l="0" t="0" r="8255" b="0"/>
            <wp:wrapTight wrapText="bothSides">
              <wp:wrapPolygon edited="0">
                <wp:start x="0" y="0"/>
                <wp:lineTo x="0" y="21439"/>
                <wp:lineTo x="21537" y="21439"/>
                <wp:lineTo x="21537"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Fotolia_136395009_Subscription_Monthly_XL.jpg"/>
                    <pic:cNvPicPr/>
                  </pic:nvPicPr>
                  <pic:blipFill>
                    <a:blip r:embed="rId127" cstate="email">
                      <a:extLst>
                        <a:ext uri="{28A0092B-C50C-407E-A947-70E740481C1C}">
                          <a14:useLocalDpi xmlns:a14="http://schemas.microsoft.com/office/drawing/2010/main"/>
                        </a:ext>
                      </a:extLst>
                    </a:blip>
                    <a:stretch>
                      <a:fillRect/>
                    </a:stretch>
                  </pic:blipFill>
                  <pic:spPr>
                    <a:xfrm>
                      <a:off x="0" y="0"/>
                      <a:ext cx="3725545" cy="29749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u w:val="none"/>
          <w:lang w:val="bg-BG"/>
        </w:rPr>
        <w:t>През май 2017 г. Комисията завърши оценката на основните части от законодателството на ЕС в областта на защитата на потребителите и маркетинга. Като цяло тя заключи, че ако се прилагат правилно, съществуващите правила продължават да са подходящи за целта. Комисията установи все пак и някои пропуски. Поради това, както и в отговор на случаи на масова вреда, като например скандала с автомобилните емисии през 2015 г. или масовата отмяна на полети от една авиокомпания през 2017 г., които засегнаха стотици хиляди потребители в ЕС, през 2018 г. Комисията ще представи „Нов търговски механизъм за потребителите“. Това ще даде възможност на потребителите да защитават интересите си колективно чрез представителни организации. С инициативата ще се предложат по-евтини и по-ефективни средства за преустановяване и отстраняване на нарушения, които засягат едновременно множество потребители в ЕС. С нея ще се подобри също и публичното правоприлагане чрез по-ефективни, пропорционални и възпиращи санкции за нарушения на законодателството на ЕС в областта на защитата на потребителите.</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spacing w:val="-6"/>
                <w:u w:val="none"/>
                <w:lang w:val="bg-BG"/>
              </w:rPr>
            </w:pPr>
            <w:r>
              <w:rPr>
                <w:rFonts w:ascii="Arial" w:hAnsi="Arial" w:cs="Arial"/>
                <w:noProof/>
                <w:color w:val="FFFFFF"/>
                <w:spacing w:val="-6"/>
                <w:u w:val="none"/>
                <w:lang w:val="bg-BG"/>
              </w:rPr>
              <w:t xml:space="preserve">Комисията прекрати </w:t>
            </w:r>
            <w:hyperlink r:id="rId128">
              <w:r>
                <w:rPr>
                  <w:rStyle w:val="Hyperlink"/>
                  <w:rFonts w:ascii="Arial" w:hAnsi="Arial" w:cs="Arial"/>
                  <w:noProof/>
                  <w:spacing w:val="-6"/>
                  <w:lang w:val="bg-BG"/>
                </w:rPr>
                <w:t>производство за установяване на неизпълнение на задължения</w:t>
              </w:r>
            </w:hyperlink>
            <w:r>
              <w:rPr>
                <w:rFonts w:ascii="Arial" w:hAnsi="Arial" w:cs="Arial"/>
                <w:noProof/>
                <w:color w:val="FFFFFF"/>
                <w:spacing w:val="-6"/>
                <w:u w:val="none"/>
                <w:lang w:val="bg-BG"/>
              </w:rPr>
              <w:t xml:space="preserve"> срещу Италия във връзка с пакетни пътувания, тъй като държавата вече приведе своите правила в съответствие с Директивата относно пакетните туристически пътувания от 1990 г. Законодателството на ЕС изисква организаторите на пакетни туристически обиколки да разполагат със защита срещу изпадане в несъстоятелност, осигуряваща на потребителите възстановяване на вложените от тях средства и връщане в родината им, ако организаторът на пътуването изпадне в несъстоятелност. След като през 2009 г. туристическият оператор Todomondo е изпаднал в несъстоятелност, италианският национален гаранционен фонд е получил 4000 искания за възстановяване на обща стойност 7 милиона евро. Във фонда обаче не е имало достатъчно пари за изплащането им. След откриване от Комисията на производството за установяване на неизпълнение на задължения Италия замени недостатъчно финансирания национален гаранционен фонд със задължение за туристическите оператори и пътническите агенции да сключат застраховка или да предоставят банкова гаранция за всички плащания, които получават от пътуващите. Италия направи необходимото и за възстановяване на средствата на всички пътници, изгубили пари в миналото вследствие на обявяване на несъстоятелност. През 2015 г. беше приета нова </w:t>
            </w:r>
            <w:hyperlink r:id="rId129">
              <w:r>
                <w:rPr>
                  <w:rStyle w:val="Hyperlink"/>
                  <w:rFonts w:ascii="Arial" w:hAnsi="Arial" w:cs="Arial"/>
                  <w:noProof/>
                  <w:spacing w:val="-6"/>
                  <w:lang w:val="bg-BG"/>
                </w:rPr>
                <w:t>Директива относно пакетните туристически пътувания</w:t>
              </w:r>
            </w:hyperlink>
            <w:r>
              <w:rPr>
                <w:rFonts w:ascii="Arial" w:hAnsi="Arial" w:cs="Arial"/>
                <w:noProof/>
                <w:color w:val="FFFFFF"/>
                <w:spacing w:val="-6"/>
                <w:u w:val="none"/>
                <w:lang w:val="bg-BG"/>
              </w:rPr>
              <w:t>, с която защитата на пътуващите се разшири отвъд традиционните пакети за пътувания, като същевременно се запази високо ниво на защита за тях при изпадане на оператора в несъстоятелност. Новата директива трябва да бъде приложена от държавите членки до януари 2018 г. и ще влезе в сила от юли 2018 г. Комисията ще провери дали националните законодателства са в съответствие с новата директива.</w:t>
            </w:r>
          </w:p>
        </w:tc>
      </w:tr>
    </w:tbl>
    <w:p w:rsidR="00286241" w:rsidRDefault="00FC31FA">
      <w:pPr>
        <w:spacing w:before="120" w:after="120"/>
        <w:rPr>
          <w:rFonts w:ascii="Arial" w:hAnsi="Arial" w:cs="Arial"/>
          <w:noProof/>
          <w:u w:val="none"/>
          <w:lang w:val="bg-BG"/>
        </w:rPr>
      </w:pPr>
      <w:r>
        <w:rPr>
          <w:rFonts w:ascii="Arial" w:hAnsi="Arial" w:cs="Arial"/>
          <w:noProof/>
          <w:u w:val="none"/>
          <w:lang w:val="bg-BG"/>
        </w:rPr>
        <w:t>Независимо от широкообхватните правила за безопасност, на пазара все още има твърде много опасни и незаконни продукти, които могат да причинят сериозни рискове за потребителите. През 2017 г. Комисията прие законодателния пакет за стоките, който ще спомогне за подобряване на прилагането на хармонизираните правила на ЕС относно безопасността на продуктите.</w:t>
      </w:r>
    </w:p>
    <w:p w:rsidR="00286241" w:rsidRDefault="00FC31FA">
      <w:pPr>
        <w:spacing w:after="0" w:line="240" w:lineRule="auto"/>
        <w:rPr>
          <w:rFonts w:ascii="Arial" w:eastAsia="Arial Unicode MS" w:hAnsi="Arial" w:cs="Arial"/>
          <w:i/>
          <w:noProof/>
          <w:color w:val="8DB3E2" w:themeColor="text2" w:themeTint="66"/>
          <w:sz w:val="22"/>
          <w:szCs w:val="22"/>
          <w:u w:val="none"/>
          <w:lang w:val="bg-BG"/>
        </w:rPr>
      </w:pPr>
      <w:r>
        <w:rPr>
          <w:rFonts w:ascii="Arial" w:hAnsi="Arial" w:cs="Arial"/>
          <w:noProof/>
          <w:lang w:val="bg-BG"/>
        </w:rPr>
        <w:br w:type="page"/>
      </w:r>
    </w:p>
    <w:p w:rsidR="00286241" w:rsidRDefault="00FC31FA">
      <w:pPr>
        <w:spacing w:before="360"/>
        <w:rPr>
          <w:rFonts w:ascii="Arial" w:eastAsia="Arial Unicode MS" w:hAnsi="Arial" w:cs="Arial"/>
          <w:i/>
          <w:noProof/>
          <w:color w:val="4F81BD"/>
          <w:sz w:val="22"/>
          <w:szCs w:val="22"/>
          <w:u w:val="none"/>
          <w:lang w:val="bg-BG"/>
        </w:rPr>
      </w:pPr>
      <w:r>
        <w:rPr>
          <w:rFonts w:ascii="Arial" w:hAnsi="Arial" w:cs="Arial"/>
          <w:i/>
          <w:noProof/>
          <w:color w:val="4F81BD"/>
          <w:sz w:val="22"/>
          <w:u w:val="none"/>
          <w:lang w:val="bg-BG"/>
        </w:rPr>
        <w:t>Гарантиране на високо ниво на защита на общественото здраве</w:t>
      </w:r>
    </w:p>
    <w:p w:rsidR="00286241" w:rsidRDefault="00FC31FA">
      <w:pPr>
        <w:rPr>
          <w:rFonts w:ascii="Arial" w:hAnsi="Arial" w:cs="Arial"/>
          <w:i/>
          <w:noProof/>
          <w:u w:val="none"/>
          <w:lang w:val="bg-BG"/>
        </w:rPr>
      </w:pPr>
      <w:r>
        <w:rPr>
          <w:rFonts w:ascii="Arial" w:hAnsi="Arial" w:cs="Arial"/>
          <w:i/>
          <w:noProof/>
          <w:color w:val="FF0000"/>
          <w:u w:val="none"/>
        </w:rPr>
        <w:drawing>
          <wp:inline distT="0" distB="0" distL="0" distR="0">
            <wp:extent cx="5759450" cy="3839845"/>
            <wp:effectExtent l="0" t="0" r="0" b="825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30" cstate="email">
                      <a:extLst>
                        <a:ext uri="{28A0092B-C50C-407E-A947-70E740481C1C}">
                          <a14:useLocalDpi xmlns:a14="http://schemas.microsoft.com/office/drawing/2010/main"/>
                        </a:ext>
                      </a:extLst>
                    </a:blip>
                    <a:stretch>
                      <a:fillRect/>
                    </a:stretch>
                  </pic:blipFill>
                  <pic:spPr>
                    <a:xfrm>
                      <a:off x="0" y="0"/>
                      <a:ext cx="5759450" cy="3839845"/>
                    </a:xfrm>
                    <a:prstGeom prst="rect">
                      <a:avLst/>
                    </a:prstGeom>
                  </pic:spPr>
                </pic:pic>
              </a:graphicData>
            </a:graphic>
          </wp:inline>
        </w:drawing>
      </w:r>
    </w:p>
    <w:p w:rsidR="00286241" w:rsidRDefault="00FC31FA">
      <w:pPr>
        <w:rPr>
          <w:rFonts w:ascii="Arial" w:hAnsi="Arial" w:cs="Arial"/>
          <w:noProof/>
          <w:u w:val="none"/>
          <w:lang w:val="bg-BG"/>
        </w:rPr>
      </w:pPr>
      <w:r>
        <w:rPr>
          <w:rFonts w:ascii="Arial" w:hAnsi="Arial" w:cs="Arial"/>
          <w:noProof/>
          <w:u w:val="none"/>
          <w:lang w:val="bg-BG"/>
        </w:rPr>
        <w:t xml:space="preserve">По отношение на общественото здраве Комисията наблюдаваше дали държавите членки са въвели ефективно в националното си законодателство разпоредбите на </w:t>
      </w:r>
      <w:hyperlink r:id="rId131">
        <w:r>
          <w:rPr>
            <w:rStyle w:val="Hyperlink"/>
            <w:rFonts w:ascii="Arial" w:hAnsi="Arial" w:cs="Arial"/>
            <w:noProof/>
            <w:lang w:val="bg-BG"/>
          </w:rPr>
          <w:t>Директивата относно тютюневите изделия</w:t>
        </w:r>
      </w:hyperlink>
      <w:r>
        <w:rPr>
          <w:rFonts w:ascii="Arial" w:hAnsi="Arial" w:cs="Arial"/>
          <w:noProof/>
          <w:u w:val="none"/>
          <w:lang w:val="bg-BG"/>
        </w:rPr>
        <w:t>. Целта на тази директива е да се намали употребата на тютюневи изделия, по-специално чрез разубеждаване на младите хора да не започват да пушат и гарантиране, че всички членове на обществото напълно осъзнават вредните последици от тютюнопушенето. Ползите от намаляването на тютюнопушенето са ясни: хората са по-здрави, процентът на хронични заболявания и на преждевременна смърт, свързани с тютюнопушене, намалява значително и се реализират стопански икономии. Намаляване на употребата на тютюн само с 2 % се изразява в годишни икономии от здравеопазване от около 506 милиона евро за целия ЕС.</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През 2017 г. Комисията прекрати производства за установяване на неизпълнение на задължения срещу Белгия, Дания, Гърция, Кипър, Литва, Румъния и Словения, тъй като тези държави членки предприеха мерки за своевременно прилагане в националното си законодателство на Директивата относно тютюневите изделия. </w:t>
            </w:r>
          </w:p>
        </w:tc>
      </w:tr>
    </w:tbl>
    <w:p w:rsidR="00286241" w:rsidRDefault="00FC31FA">
      <w:pPr>
        <w:spacing w:before="200"/>
        <w:rPr>
          <w:rFonts w:ascii="Arial" w:hAnsi="Arial" w:cs="Arial"/>
          <w:noProof/>
          <w:u w:val="none"/>
          <w:lang w:val="bg-BG"/>
        </w:rPr>
      </w:pPr>
      <w:r>
        <w:rPr>
          <w:rFonts w:ascii="Arial" w:hAnsi="Arial" w:cs="Arial"/>
          <w:noProof/>
          <w:u w:val="none"/>
          <w:lang w:val="bg-BG"/>
        </w:rPr>
        <w:t xml:space="preserve">Правото на пациентите на достъп до безопасно и висококачествено здравно обслужване в други държави от ЕС остава приоритет за Комисията. През 2017 г. Комисията следеше отблизо прилагането на </w:t>
      </w:r>
      <w:hyperlink r:id="rId132">
        <w:r>
          <w:rPr>
            <w:rStyle w:val="Hyperlink"/>
            <w:rFonts w:ascii="Arial" w:hAnsi="Arial" w:cs="Arial"/>
            <w:noProof/>
            <w:lang w:val="bg-BG"/>
          </w:rPr>
          <w:t>Директивата за трансгранично здравно обслужване</w:t>
        </w:r>
      </w:hyperlink>
      <w:r>
        <w:rPr>
          <w:rFonts w:ascii="Arial" w:hAnsi="Arial" w:cs="Arial"/>
          <w:noProof/>
          <w:u w:val="none"/>
          <w:lang w:val="bg-BG"/>
        </w:rPr>
        <w:t>.</w:t>
      </w:r>
    </w:p>
    <w:p w:rsidR="00286241" w:rsidRDefault="00FC31FA">
      <w:pPr>
        <w:spacing w:after="0" w:line="240" w:lineRule="auto"/>
        <w:rPr>
          <w:rFonts w:ascii="Arial" w:eastAsia="Arial Unicode MS" w:hAnsi="Arial" w:cs="Arial"/>
          <w:i/>
          <w:noProof/>
          <w:color w:val="002060"/>
          <w:u w:val="none"/>
          <w:lang w:val="bg-BG"/>
        </w:rPr>
      </w:pPr>
      <w:r>
        <w:rPr>
          <w:rFonts w:ascii="Arial" w:hAnsi="Arial" w:cs="Arial"/>
          <w:noProof/>
          <w:lang w:val="bg-BG"/>
        </w:rPr>
        <w:br w:type="page"/>
      </w:r>
    </w:p>
    <w:p w:rsidR="00286241" w:rsidRDefault="00FC31FA">
      <w:pPr>
        <w:spacing w:line="240" w:lineRule="auto"/>
        <w:rPr>
          <w:rFonts w:ascii="Arial" w:eastAsia="Arial Unicode MS" w:hAnsi="Arial" w:cs="Arial"/>
          <w:i/>
          <w:noProof/>
          <w:color w:val="4F81BD"/>
          <w:sz w:val="22"/>
          <w:szCs w:val="22"/>
          <w:u w:val="none"/>
          <w:lang w:val="bg-BG"/>
        </w:rPr>
      </w:pPr>
      <w:r>
        <w:rPr>
          <w:rFonts w:ascii="Arial" w:hAnsi="Arial" w:cs="Arial"/>
          <w:i/>
          <w:noProof/>
          <w:color w:val="4F81BD"/>
          <w:sz w:val="22"/>
          <w:u w:val="none"/>
          <w:lang w:val="bg-BG"/>
        </w:rPr>
        <w:t>Прилагане на правилата в областта на мобилността и транспорта</w:t>
      </w:r>
    </w:p>
    <w:p w:rsidR="00286241" w:rsidRDefault="00FC31FA">
      <w:pPr>
        <w:rPr>
          <w:rFonts w:ascii="Arial" w:hAnsi="Arial" w:cs="Arial"/>
          <w:noProof/>
          <w:u w:val="none"/>
          <w:lang w:val="bg-BG"/>
        </w:rPr>
      </w:pPr>
      <w:r>
        <w:rPr>
          <w:rFonts w:ascii="Arial" w:hAnsi="Arial" w:cs="Arial"/>
          <w:i/>
          <w:noProof/>
          <w:u w:val="none"/>
        </w:rPr>
        <w:drawing>
          <wp:anchor distT="0" distB="0" distL="114300" distR="114300" simplePos="0" relativeHeight="251671552" behindDoc="1" locked="0" layoutInCell="1" allowOverlap="1">
            <wp:simplePos x="0" y="0"/>
            <wp:positionH relativeFrom="column">
              <wp:posOffset>4445</wp:posOffset>
            </wp:positionH>
            <wp:positionV relativeFrom="paragraph">
              <wp:posOffset>3175</wp:posOffset>
            </wp:positionV>
            <wp:extent cx="3999865" cy="2667000"/>
            <wp:effectExtent l="0" t="0" r="635" b="0"/>
            <wp:wrapTight wrapText="bothSides">
              <wp:wrapPolygon edited="0">
                <wp:start x="0" y="0"/>
                <wp:lineTo x="0" y="21446"/>
                <wp:lineTo x="21501" y="21446"/>
                <wp:lineTo x="21501"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Fotolia_116604161_Subscription_Monthly_XXL.jpg"/>
                    <pic:cNvPicPr/>
                  </pic:nvPicPr>
                  <pic:blipFill>
                    <a:blip r:embed="rId133" cstate="email">
                      <a:extLst>
                        <a:ext uri="{28A0092B-C50C-407E-A947-70E740481C1C}">
                          <a14:useLocalDpi xmlns:a14="http://schemas.microsoft.com/office/drawing/2010/main" val="0"/>
                        </a:ext>
                      </a:extLst>
                    </a:blip>
                    <a:stretch>
                      <a:fillRect/>
                    </a:stretch>
                  </pic:blipFill>
                  <pic:spPr>
                    <a:xfrm>
                      <a:off x="0" y="0"/>
                      <a:ext cx="3999865" cy="2667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u w:val="none"/>
          <w:lang w:val="bg-BG"/>
        </w:rPr>
        <w:t>През 2017 г. работата на Комисията беше насочена към гарантиране на справедлив баланс между интересите в областта на социалната закрила на работниците в автомобилния транспорт, лоялната конкуренция и свободата за предоставяне на транспортни услуги през границите.</w:t>
      </w:r>
    </w:p>
    <w:p w:rsidR="00286241" w:rsidRDefault="00FC31FA">
      <w:pPr>
        <w:rPr>
          <w:rFonts w:ascii="Arial" w:hAnsi="Arial" w:cs="Arial"/>
          <w:noProof/>
          <w:u w:val="none"/>
          <w:lang w:val="bg-BG"/>
        </w:rPr>
      </w:pPr>
      <w:r>
        <w:rPr>
          <w:rFonts w:ascii="Arial" w:hAnsi="Arial" w:cs="Arial"/>
          <w:noProof/>
          <w:u w:val="none"/>
          <w:lang w:val="bg-BG"/>
        </w:rPr>
        <w:t>Комисията предложи разяснение как се прилагат условията за командироване в автомобилния транспорт, както и на ефективните мерки за правоприлагане.</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През 2017 г. Комисията прикани </w:t>
            </w:r>
            <w:hyperlink r:id="rId134">
              <w:r>
                <w:rPr>
                  <w:rStyle w:val="Hyperlink"/>
                  <w:rFonts w:ascii="Arial" w:hAnsi="Arial" w:cs="Arial"/>
                  <w:noProof/>
                  <w:lang w:val="bg-BG"/>
                </w:rPr>
                <w:t>Гърция</w:t>
              </w:r>
            </w:hyperlink>
            <w:r>
              <w:rPr>
                <w:rFonts w:ascii="Arial" w:hAnsi="Arial" w:cs="Arial"/>
                <w:noProof/>
                <w:color w:val="FFFFFF"/>
                <w:u w:val="none"/>
                <w:lang w:val="bg-BG"/>
              </w:rPr>
              <w:t xml:space="preserve"> да приложи изцяло </w:t>
            </w:r>
            <w:hyperlink r:id="rId135">
              <w:r>
                <w:rPr>
                  <w:rStyle w:val="Hyperlink"/>
                  <w:rFonts w:ascii="Arial" w:hAnsi="Arial" w:cs="Arial"/>
                  <w:noProof/>
                  <w:lang w:val="bg-BG"/>
                </w:rPr>
                <w:t>правилата на ЕС за пътниците, пътуващи по море</w:t>
              </w:r>
            </w:hyperlink>
            <w:r>
              <w:rPr>
                <w:rFonts w:ascii="Arial" w:hAnsi="Arial" w:cs="Arial"/>
                <w:noProof/>
                <w:color w:val="FFFFFF"/>
                <w:u w:val="none"/>
                <w:lang w:val="bg-BG"/>
              </w:rPr>
              <w:t>. Гръцкото национално законодателство не позволяваше на пътниците да се ползват в пълна степен от правата, предоставени им по силата на законодателството на Европейския съюз, когато услугата за морски превоз е отменена или има закъснение. В резултат на предприетите от Комисията действия гръцките органи включиха изцяло в националното законодателство правата на пътниците за получаване на помощ, премаршрутиране или възстановяване на средствата в случай на отмяна на пътуването или закъснение при заминаването.</w:t>
            </w:r>
          </w:p>
        </w:tc>
      </w:tr>
    </w:tbl>
    <w:p w:rsidR="00286241" w:rsidRDefault="00FC31FA">
      <w:pPr>
        <w:spacing w:before="200"/>
        <w:rPr>
          <w:rFonts w:ascii="Arial" w:hAnsi="Arial" w:cs="Arial"/>
          <w:noProof/>
          <w:u w:val="none"/>
          <w:lang w:val="bg-BG"/>
        </w:rPr>
      </w:pPr>
      <w:r>
        <w:rPr>
          <w:rFonts w:ascii="Arial" w:hAnsi="Arial" w:cs="Arial"/>
          <w:noProof/>
          <w:u w:val="none"/>
          <w:lang w:val="bg-BG"/>
        </w:rPr>
        <w:t>Автомобилният транспорт е най-широко използваният начин за пътуване в ЕС и е основна причина за произшествията. Много от тях са предизвикани от технически дефекти: повече от пет души загиват всеки ден по европейските пътища в произшествия, свързани с техническа неизправност. Поради това проверките на превозните средства са от основно значение за пътната безопасност.</w:t>
      </w:r>
    </w:p>
    <w:p w:rsidR="00286241" w:rsidRDefault="00FC31FA">
      <w:pPr>
        <w:spacing w:after="0" w:line="240" w:lineRule="auto"/>
        <w:rPr>
          <w:rFonts w:ascii="Arial" w:hAnsi="Arial" w:cs="Arial"/>
          <w:noProof/>
          <w:spacing w:val="-2"/>
          <w:u w:val="none"/>
          <w:lang w:val="bg-BG"/>
        </w:rPr>
      </w:pPr>
      <w:r>
        <w:rPr>
          <w:rFonts w:ascii="Arial" w:hAnsi="Arial" w:cs="Arial"/>
          <w:noProof/>
          <w:spacing w:val="-2"/>
          <w:u w:val="none"/>
          <w:lang w:val="bg-BG"/>
        </w:rPr>
        <w:t xml:space="preserve">През 2014 г. ЕС прие нови правила за по-строг режим на изпитване и за разширяване на обхвата му. Целта на </w:t>
      </w:r>
      <w:hyperlink r:id="rId136">
        <w:r>
          <w:rPr>
            <w:rStyle w:val="Hyperlink"/>
            <w:rFonts w:ascii="Arial" w:hAnsi="Arial" w:cs="Arial"/>
            <w:noProof/>
            <w:spacing w:val="-2"/>
            <w:lang w:val="bg-BG"/>
          </w:rPr>
          <w:t>пакета за техническата изправност</w:t>
        </w:r>
      </w:hyperlink>
      <w:r>
        <w:rPr>
          <w:rFonts w:ascii="Arial" w:hAnsi="Arial" w:cs="Arial"/>
          <w:noProof/>
          <w:spacing w:val="-2"/>
          <w:u w:val="none"/>
          <w:lang w:val="bg-BG"/>
        </w:rPr>
        <w:t xml:space="preserve"> е да се предотвратят повече от 36 000 произшествия годишно, свързани с техническа неизправност, чрез:</w:t>
      </w:r>
    </w:p>
    <w:p w:rsidR="00286241" w:rsidRDefault="00FC31FA">
      <w:pPr>
        <w:pStyle w:val="ListParagraph"/>
        <w:numPr>
          <w:ilvl w:val="0"/>
          <w:numId w:val="27"/>
        </w:numPr>
        <w:spacing w:after="120"/>
        <w:rPr>
          <w:rFonts w:ascii="Arial" w:hAnsi="Arial" w:cs="Arial"/>
          <w:noProof/>
          <w:sz w:val="20"/>
          <w:u w:val="none"/>
          <w:lang w:val="bg-BG"/>
        </w:rPr>
      </w:pPr>
      <w:r>
        <w:rPr>
          <w:rFonts w:ascii="Arial" w:hAnsi="Arial" w:cs="Arial"/>
          <w:noProof/>
          <w:sz w:val="20"/>
          <w:u w:val="none"/>
          <w:lang w:val="bg-BG"/>
        </w:rPr>
        <w:t>подобряване на качеството на изпитването на превозните средства (с общи минимални стандарти за оборудването, обучението на инспекторите и оценката на недостатъците);</w:t>
      </w:r>
    </w:p>
    <w:p w:rsidR="00286241" w:rsidRDefault="00FC31FA">
      <w:pPr>
        <w:pStyle w:val="ListParagraph"/>
        <w:numPr>
          <w:ilvl w:val="0"/>
          <w:numId w:val="27"/>
        </w:numPr>
        <w:spacing w:after="120"/>
        <w:rPr>
          <w:rFonts w:ascii="Arial" w:hAnsi="Arial" w:cs="Arial"/>
          <w:noProof/>
          <w:sz w:val="20"/>
          <w:u w:val="none"/>
          <w:lang w:val="bg-BG"/>
        </w:rPr>
      </w:pPr>
      <w:r>
        <w:rPr>
          <w:rFonts w:ascii="Arial" w:hAnsi="Arial" w:cs="Arial"/>
          <w:noProof/>
          <w:sz w:val="20"/>
          <w:u w:val="none"/>
          <w:lang w:val="bg-BG"/>
        </w:rPr>
        <w:t>разширяване на контрола във връзка с обезопасяването на товарите при проверките на пътя на товарните автомобили;</w:t>
      </w:r>
    </w:p>
    <w:p w:rsidR="00286241" w:rsidRDefault="00FC31FA">
      <w:pPr>
        <w:pStyle w:val="ListParagraph"/>
        <w:numPr>
          <w:ilvl w:val="0"/>
          <w:numId w:val="27"/>
        </w:numPr>
        <w:spacing w:after="120"/>
        <w:rPr>
          <w:rFonts w:ascii="Arial" w:hAnsi="Arial" w:cs="Arial"/>
          <w:noProof/>
          <w:sz w:val="20"/>
          <w:u w:val="none"/>
          <w:lang w:val="bg-BG"/>
        </w:rPr>
      </w:pPr>
      <w:r>
        <w:rPr>
          <w:rFonts w:ascii="Arial" w:hAnsi="Arial" w:cs="Arial"/>
          <w:noProof/>
          <w:sz w:val="20"/>
          <w:u w:val="none"/>
          <w:lang w:val="bg-BG"/>
        </w:rPr>
        <w:t>въвеждане на задължително изпитване на електронните компоненти за безопасност (като например ABS, ESC и въздушни възглавници);</w:t>
      </w:r>
    </w:p>
    <w:p w:rsidR="00286241" w:rsidRDefault="00FC31FA">
      <w:pPr>
        <w:pStyle w:val="ListParagraph"/>
        <w:numPr>
          <w:ilvl w:val="0"/>
          <w:numId w:val="27"/>
        </w:numPr>
        <w:spacing w:after="120"/>
        <w:rPr>
          <w:rFonts w:ascii="Arial" w:hAnsi="Arial" w:cs="Arial"/>
          <w:noProof/>
          <w:sz w:val="20"/>
          <w:u w:val="none"/>
          <w:lang w:val="bg-BG"/>
        </w:rPr>
      </w:pPr>
      <w:r>
        <w:rPr>
          <w:rFonts w:ascii="Arial" w:hAnsi="Arial" w:cs="Arial"/>
          <w:noProof/>
          <w:sz w:val="20"/>
          <w:u w:val="none"/>
          <w:lang w:val="bg-BG"/>
        </w:rPr>
        <w:t>рязко ограничаване на измамите при отчитане на пробега с помощта на регистриране на изминатите километри.</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След като 24 държави членки не бяха приложили навреме пакета за техническата изправност, Комисията започна срещу тях производства за установяване на неизпълнение на задължения. </w:t>
            </w:r>
          </w:p>
        </w:tc>
      </w:tr>
    </w:tbl>
    <w:p w:rsidR="00286241" w:rsidRDefault="00FC31FA">
      <w:pPr>
        <w:spacing w:before="200" w:after="120"/>
        <w:rPr>
          <w:rFonts w:ascii="Arial" w:hAnsi="Arial" w:cs="Arial"/>
          <w:noProof/>
          <w:u w:val="none"/>
          <w:lang w:val="bg-BG"/>
        </w:rPr>
      </w:pPr>
      <w:r>
        <w:rPr>
          <w:rFonts w:ascii="Arial" w:hAnsi="Arial" w:cs="Arial"/>
          <w:noProof/>
          <w:u w:val="none"/>
          <w:lang w:val="bg-BG"/>
        </w:rPr>
        <w:t xml:space="preserve">В сектора на железопътния транспорт </w:t>
      </w:r>
      <w:hyperlink r:id="rId137">
        <w:r>
          <w:rPr>
            <w:rStyle w:val="Hyperlink"/>
            <w:rFonts w:ascii="Arial" w:hAnsi="Arial" w:cs="Arial"/>
            <w:noProof/>
            <w:lang w:val="bg-BG"/>
          </w:rPr>
          <w:t>Съдът на ЕС потвърди</w:t>
        </w:r>
      </w:hyperlink>
      <w:r>
        <w:rPr>
          <w:rFonts w:ascii="Arial" w:hAnsi="Arial" w:cs="Arial"/>
          <w:noProof/>
          <w:u w:val="none"/>
          <w:lang w:val="bg-BG"/>
        </w:rPr>
        <w:t>, че държавите членки трябва да гарантират, че счетоводните отчети на железопътните компании се водят по начин, който дава възможност за осъществяване на мониторинг върху забраната за прехвърляне на публични средства, отпуснати за експлоатацията на железопътната инфраструктура, към транспортните услуги. Държавите членки не са задължени да водят отделно счетоводство за всяка обществена поръчка за услуга. Комисията ще предприеме активни действия във връзка с изпълнението на това решение.</w:t>
      </w:r>
    </w:p>
    <w:p w:rsidR="00286241" w:rsidRDefault="00FC31FA">
      <w:pPr>
        <w:spacing w:before="200" w:after="120"/>
        <w:rPr>
          <w:rFonts w:ascii="Arial" w:hAnsi="Arial" w:cs="Arial"/>
          <w:noProof/>
          <w:u w:val="none"/>
          <w:lang w:val="bg-BG"/>
        </w:rPr>
      </w:pPr>
      <w:r>
        <w:rPr>
          <w:rFonts w:ascii="Arial" w:hAnsi="Arial" w:cs="Arial"/>
          <w:noProof/>
          <w:u w:val="none"/>
          <w:lang w:val="bg-BG"/>
        </w:rPr>
        <w:t xml:space="preserve">В едно свое </w:t>
      </w:r>
      <w:hyperlink r:id="rId138">
        <w:r>
          <w:rPr>
            <w:rStyle w:val="Hyperlink"/>
            <w:rFonts w:ascii="Arial" w:hAnsi="Arial" w:cs="Arial"/>
            <w:noProof/>
            <w:lang w:val="bg-BG"/>
          </w:rPr>
          <w:t>важно решение</w:t>
        </w:r>
      </w:hyperlink>
      <w:r>
        <w:rPr>
          <w:rFonts w:ascii="Arial" w:hAnsi="Arial" w:cs="Arial"/>
          <w:noProof/>
          <w:u w:val="none"/>
          <w:lang w:val="bg-BG"/>
        </w:rPr>
        <w:t xml:space="preserve"> Съдът на ЕС изясни, че посредническата услуга, предоставяна от електронната платформа Uber, чиято цел е свързването срещу заплащане посредством приложение за смартфон на непрофесионални шофьори, използващи собствените си превозни средства, с лица, желаещи да ползват градски превоз, трябва да се квалифицира като „услуга в областта на транспорта“. Следователно държавите членки са тези, които трябва да уредят условията, при които посреднически услуги като тези на UBER да се предоставят при спазване на общите правила на Договора за функционирането на ЕС.</w:t>
      </w:r>
      <w:bookmarkStart w:id="53" w:name="_Toc506199722"/>
      <w:bookmarkStart w:id="54" w:name="_Toc506199743"/>
      <w:bookmarkStart w:id="55" w:name="_Toc444796650"/>
      <w:bookmarkStart w:id="56" w:name="_Toc506209839"/>
      <w:bookmarkStart w:id="57" w:name="_Toc506218380"/>
      <w:bookmarkStart w:id="58" w:name="_Toc506309252"/>
    </w:p>
    <w:p w:rsidR="00286241" w:rsidRDefault="00FC31FA">
      <w:pPr>
        <w:spacing w:after="0" w:line="240" w:lineRule="auto"/>
        <w:rPr>
          <w:rFonts w:ascii="Arial" w:hAnsi="Arial" w:cs="Arial"/>
          <w:noProof/>
          <w:u w:val="none"/>
          <w:lang w:val="bg-BG"/>
        </w:rPr>
      </w:pPr>
      <w:r>
        <w:rPr>
          <w:rFonts w:ascii="Arial" w:hAnsi="Arial" w:cs="Arial"/>
          <w:noProof/>
          <w:u w:val="none"/>
          <w:lang w:val="bg-BG"/>
        </w:rPr>
        <w:br w:type="page"/>
      </w:r>
    </w:p>
    <w:p w:rsidR="00286241" w:rsidRDefault="00FC31FA">
      <w:pPr>
        <w:pStyle w:val="kop3"/>
        <w:spacing w:before="360" w:after="240"/>
        <w:ind w:left="357" w:hanging="357"/>
        <w:rPr>
          <w:rFonts w:ascii="Arial" w:hAnsi="Arial" w:cs="Arial"/>
          <w:noProof/>
          <w:u w:val="none"/>
          <w:lang w:val="bg-BG"/>
        </w:rPr>
      </w:pPr>
      <w:bookmarkStart w:id="59" w:name="_Toc510011722"/>
      <w:bookmarkStart w:id="60" w:name="_Toc519697623"/>
      <w:bookmarkStart w:id="61" w:name="_Toc519698067"/>
      <w:r>
        <w:rPr>
          <w:rFonts w:ascii="Arial" w:hAnsi="Arial" w:cs="Arial"/>
          <w:noProof/>
          <w:u w:val="none"/>
          <w:lang w:val="bg-BG"/>
        </w:rPr>
        <w:t>По-задълбочен и по-справедлив икономически и паричен съюз</w:t>
      </w:r>
      <w:bookmarkStart w:id="62" w:name="_Toc444796651"/>
      <w:bookmarkEnd w:id="53"/>
      <w:bookmarkEnd w:id="54"/>
      <w:bookmarkEnd w:id="55"/>
      <w:bookmarkEnd w:id="56"/>
      <w:bookmarkEnd w:id="57"/>
      <w:bookmarkEnd w:id="58"/>
      <w:bookmarkEnd w:id="59"/>
      <w:bookmarkEnd w:id="60"/>
      <w:bookmarkEnd w:id="61"/>
    </w:p>
    <w:p w:rsidR="00286241" w:rsidRDefault="00FC31FA">
      <w:pPr>
        <w:spacing w:after="0" w:line="240" w:lineRule="auto"/>
        <w:rPr>
          <w:rFonts w:ascii="Arial" w:hAnsi="Arial" w:cs="Arial"/>
          <w:noProof/>
          <w:u w:val="none"/>
          <w:lang w:val="bg-BG"/>
        </w:rPr>
      </w:pPr>
      <w:r>
        <w:rPr>
          <w:rFonts w:ascii="Arial" w:hAnsi="Arial" w:cs="Arial"/>
          <w:noProof/>
          <w:u w:val="none"/>
          <w:lang w:val="bg-BG"/>
        </w:rPr>
        <w:t>Един „по-задълбочен и по-справедлив икономически и паричен съюз“ е основна част от отговора на Комисията на икономическата и финансова криза. Целта на тази политика е укрепване на икономиката на ЕС по начин, с който се създават повече работни места и се подобрява стандартът на живот на хората. </w:t>
      </w:r>
    </w:p>
    <w:p w:rsidR="00286241" w:rsidRDefault="00FC31FA">
      <w:pPr>
        <w:spacing w:before="360"/>
        <w:rPr>
          <w:rFonts w:ascii="Arial" w:eastAsia="Arial Unicode MS" w:hAnsi="Arial" w:cs="Arial"/>
          <w:i/>
          <w:noProof/>
          <w:color w:val="4F81BD"/>
          <w:sz w:val="22"/>
          <w:szCs w:val="22"/>
          <w:u w:val="none"/>
          <w:lang w:val="bg-BG"/>
        </w:rPr>
      </w:pPr>
      <w:r>
        <w:rPr>
          <w:rFonts w:ascii="Arial" w:hAnsi="Arial" w:cs="Arial"/>
          <w:i/>
          <w:noProof/>
          <w:color w:val="4F81BD"/>
          <w:sz w:val="22"/>
          <w:u w:val="none"/>
          <w:lang w:val="bg-BG"/>
        </w:rPr>
        <w:t>Прилагане на правилата на икономическия и паричен съюз</w:t>
      </w:r>
    </w:p>
    <w:p w:rsidR="00286241" w:rsidRDefault="00FC31FA">
      <w:pPr>
        <w:rPr>
          <w:rFonts w:ascii="Arial" w:hAnsi="Arial" w:cs="Arial"/>
          <w:noProof/>
          <w:u w:val="none"/>
          <w:lang w:val="bg-BG"/>
        </w:rPr>
      </w:pPr>
      <w:r>
        <w:rPr>
          <w:rFonts w:ascii="Arial" w:hAnsi="Arial" w:cs="Arial"/>
          <w:noProof/>
          <w:u w:val="none"/>
        </w:rPr>
        <w:drawing>
          <wp:inline distT="0" distB="0" distL="0" distR="0">
            <wp:extent cx="5759450" cy="3839845"/>
            <wp:effectExtent l="0" t="0" r="0" b="825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Fotolia_112494750_Subscription_Monthly_XL.jpg"/>
                    <pic:cNvPicPr/>
                  </pic:nvPicPr>
                  <pic:blipFill>
                    <a:blip r:embed="rId139" cstate="email">
                      <a:extLst>
                        <a:ext uri="{28A0092B-C50C-407E-A947-70E740481C1C}">
                          <a14:useLocalDpi xmlns:a14="http://schemas.microsoft.com/office/drawing/2010/main"/>
                        </a:ext>
                      </a:extLst>
                    </a:blip>
                    <a:stretch>
                      <a:fillRect/>
                    </a:stretch>
                  </pic:blipFill>
                  <pic:spPr>
                    <a:xfrm>
                      <a:off x="0" y="0"/>
                      <a:ext cx="5759450" cy="3839845"/>
                    </a:xfrm>
                    <a:prstGeom prst="rect">
                      <a:avLst/>
                    </a:prstGeom>
                  </pic:spPr>
                </pic:pic>
              </a:graphicData>
            </a:graphic>
          </wp:inline>
        </w:drawing>
      </w:r>
    </w:p>
    <w:p w:rsidR="00286241" w:rsidRDefault="00FC31FA">
      <w:pPr>
        <w:rPr>
          <w:rFonts w:ascii="Arial" w:hAnsi="Arial" w:cs="Arial"/>
          <w:noProof/>
          <w:u w:val="none"/>
          <w:lang w:val="bg-BG"/>
        </w:rPr>
      </w:pPr>
      <w:r>
        <w:rPr>
          <w:rFonts w:ascii="Arial" w:hAnsi="Arial" w:cs="Arial"/>
          <w:noProof/>
          <w:u w:val="none"/>
          <w:lang w:val="bg-BG"/>
        </w:rPr>
        <w:t>Икономическият и паричен съюз е в основата на процеса на интеграция на ЕС. Постигането на икономически и паричен съюз не е самоцел, а средство за осигуряване на стабилност и на по-силен, по-устойчив и по-приобщаващ растеж в еврозоната и в целия ЕС с оглед подобряване на живота на всички граждани.</w:t>
      </w:r>
    </w:p>
    <w:p w:rsidR="00286241" w:rsidRDefault="00FC31FA">
      <w:pPr>
        <w:rPr>
          <w:rFonts w:ascii="Arial" w:hAnsi="Arial" w:cs="Arial"/>
          <w:noProof/>
          <w:u w:val="none"/>
          <w:lang w:val="bg-BG"/>
        </w:rPr>
      </w:pPr>
      <w:r>
        <w:rPr>
          <w:rFonts w:ascii="Arial" w:hAnsi="Arial" w:cs="Arial"/>
          <w:noProof/>
          <w:u w:val="none"/>
          <w:lang w:val="bg-BG"/>
        </w:rPr>
        <w:t>В отговор на финансовата и икономическа криза от 2008 г. бяха приети различни правни актове (</w:t>
      </w:r>
      <w:hyperlink r:id="rId140">
        <w:r>
          <w:rPr>
            <w:rStyle w:val="Hyperlink"/>
            <w:rFonts w:ascii="Arial" w:hAnsi="Arial" w:cs="Arial"/>
            <w:noProof/>
            <w:lang w:val="bg-BG"/>
          </w:rPr>
          <w:t>пакетът от шест законодателни акта от 2011 г.</w:t>
        </w:r>
      </w:hyperlink>
      <w:r>
        <w:rPr>
          <w:rFonts w:ascii="Arial" w:hAnsi="Arial" w:cs="Arial"/>
          <w:noProof/>
          <w:u w:val="none"/>
          <w:lang w:val="bg-BG"/>
        </w:rPr>
        <w:t xml:space="preserve"> и </w:t>
      </w:r>
      <w:hyperlink r:id="rId141">
        <w:r>
          <w:rPr>
            <w:rStyle w:val="Hyperlink"/>
            <w:rFonts w:ascii="Arial" w:hAnsi="Arial" w:cs="Arial"/>
            <w:noProof/>
            <w:lang w:val="bg-BG"/>
          </w:rPr>
          <w:t>пакетът от два законодателни акта от 2013 г.</w:t>
        </w:r>
      </w:hyperlink>
      <w:r>
        <w:rPr>
          <w:rFonts w:ascii="Arial" w:hAnsi="Arial" w:cs="Arial"/>
          <w:noProof/>
          <w:u w:val="none"/>
          <w:lang w:val="bg-BG"/>
        </w:rPr>
        <w:t xml:space="preserve">) с цел да се укрепи рамката на ЕС за икономическо управление. През 2017 г. Комисията обърна специално внимание на транспонирането на </w:t>
      </w:r>
      <w:hyperlink r:id="rId142">
        <w:r>
          <w:rPr>
            <w:rStyle w:val="Hyperlink"/>
            <w:rFonts w:ascii="Arial" w:hAnsi="Arial" w:cs="Arial"/>
            <w:noProof/>
            <w:lang w:val="bg-BG"/>
          </w:rPr>
          <w:t>Директивата относно изискванията за бюджетните рамки на държавите членки</w:t>
        </w:r>
      </w:hyperlink>
      <w:r>
        <w:rPr>
          <w:rFonts w:ascii="Arial" w:hAnsi="Arial" w:cs="Arial"/>
          <w:noProof/>
          <w:u w:val="none"/>
          <w:lang w:val="bg-BG"/>
        </w:rPr>
        <w:t>.</w:t>
      </w:r>
    </w:p>
    <w:p w:rsidR="00286241" w:rsidRDefault="00FC31FA">
      <w:pPr>
        <w:rPr>
          <w:rFonts w:ascii="Arial" w:hAnsi="Arial" w:cs="Arial"/>
          <w:noProof/>
          <w:u w:val="none"/>
          <w:lang w:val="bg-BG"/>
        </w:rPr>
      </w:pPr>
      <w:r>
        <w:rPr>
          <w:rFonts w:ascii="Arial" w:hAnsi="Arial" w:cs="Arial"/>
          <w:noProof/>
          <w:u w:val="none"/>
          <w:lang w:val="bg-BG"/>
        </w:rPr>
        <w:t xml:space="preserve">Освен това според обществеността и предприятията еврото може да бъде силна и надеждна валута само ако е подходящо защитено срещу подправяне. През 2017 г. Комисията провери как държавите членки прилагат </w:t>
      </w:r>
      <w:hyperlink r:id="rId143">
        <w:r>
          <w:rPr>
            <w:rStyle w:val="Hyperlink"/>
            <w:rFonts w:ascii="Arial" w:hAnsi="Arial" w:cs="Arial"/>
            <w:noProof/>
            <w:lang w:val="bg-BG"/>
          </w:rPr>
          <w:t>Директивата защитата по наказателноправен ред на еврото и на другите парични знаци срещу подправяне</w:t>
        </w:r>
      </w:hyperlink>
      <w:r>
        <w:rPr>
          <w:rFonts w:ascii="Arial" w:hAnsi="Arial" w:cs="Arial"/>
          <w:noProof/>
          <w:u w:val="none"/>
          <w:lang w:val="bg-BG"/>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Комисията започна производства за установяване на неизпълнение на задължения срещу България, Хърватия, Люксембург и Словения поради липса на своевременно прилагане в националното им законодателство на Директивата относно защита на еврото и други парични знаци срещу подправяне.</w:t>
            </w:r>
          </w:p>
        </w:tc>
      </w:tr>
    </w:tbl>
    <w:p w:rsidR="00286241" w:rsidRDefault="00FC31FA">
      <w:pPr>
        <w:spacing w:after="0" w:line="240" w:lineRule="auto"/>
        <w:rPr>
          <w:rFonts w:ascii="Arial" w:eastAsia="Arial Unicode MS" w:hAnsi="Arial" w:cs="Arial"/>
          <w:i/>
          <w:noProof/>
          <w:color w:val="4F81BD"/>
          <w:sz w:val="22"/>
          <w:szCs w:val="22"/>
          <w:u w:val="none"/>
          <w:lang w:val="bg-BG"/>
        </w:rPr>
      </w:pPr>
      <w:r>
        <w:rPr>
          <w:rFonts w:ascii="Arial" w:hAnsi="Arial" w:cs="Arial"/>
          <w:noProof/>
          <w:lang w:val="bg-BG"/>
        </w:rPr>
        <w:br w:type="page"/>
      </w:r>
      <w:r>
        <w:rPr>
          <w:rFonts w:ascii="Arial" w:hAnsi="Arial" w:cs="Arial"/>
          <w:i/>
          <w:noProof/>
          <w:color w:val="4F81BD"/>
          <w:sz w:val="22"/>
          <w:u w:val="none"/>
          <w:lang w:val="bg-BG"/>
        </w:rPr>
        <w:t>Прилагане на правилата за банковия съюз</w:t>
      </w:r>
    </w:p>
    <w:p w:rsidR="00286241" w:rsidRDefault="00FC31FA">
      <w:pPr>
        <w:spacing w:before="200"/>
        <w:rPr>
          <w:rFonts w:ascii="Arial" w:hAnsi="Arial" w:cs="Arial"/>
          <w:i/>
          <w:noProof/>
          <w:u w:val="none"/>
          <w:lang w:val="bg-BG"/>
        </w:rPr>
      </w:pPr>
      <w:r>
        <w:rPr>
          <w:rFonts w:ascii="Arial" w:hAnsi="Arial" w:cs="Arial"/>
          <w:i/>
          <w:noProof/>
          <w:color w:val="FF0000"/>
          <w:u w:val="none"/>
        </w:rPr>
        <w:drawing>
          <wp:inline distT="0" distB="0" distL="0" distR="0">
            <wp:extent cx="5759450" cy="3839845"/>
            <wp:effectExtent l="0" t="0" r="0" b="825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 Fotolia_122239848_Subscription_Monthly_L.jpg"/>
                    <pic:cNvPicPr/>
                  </pic:nvPicPr>
                  <pic:blipFill>
                    <a:blip r:embed="rId144" cstate="email">
                      <a:extLst>
                        <a:ext uri="{28A0092B-C50C-407E-A947-70E740481C1C}">
                          <a14:useLocalDpi xmlns:a14="http://schemas.microsoft.com/office/drawing/2010/main"/>
                        </a:ext>
                      </a:extLst>
                    </a:blip>
                    <a:stretch>
                      <a:fillRect/>
                    </a:stretch>
                  </pic:blipFill>
                  <pic:spPr>
                    <a:xfrm>
                      <a:off x="0" y="0"/>
                      <a:ext cx="5759450" cy="3839845"/>
                    </a:xfrm>
                    <a:prstGeom prst="rect">
                      <a:avLst/>
                    </a:prstGeom>
                  </pic:spPr>
                </pic:pic>
              </a:graphicData>
            </a:graphic>
          </wp:inline>
        </w:drawing>
      </w:r>
    </w:p>
    <w:p w:rsidR="00286241" w:rsidRDefault="00FC31FA">
      <w:pPr>
        <w:spacing w:before="200"/>
        <w:rPr>
          <w:rFonts w:ascii="Arial" w:hAnsi="Arial" w:cs="Arial"/>
          <w:noProof/>
          <w:u w:val="none"/>
          <w:lang w:val="bg-BG"/>
        </w:rPr>
      </w:pPr>
      <w:r>
        <w:rPr>
          <w:rFonts w:ascii="Arial" w:hAnsi="Arial" w:cs="Arial"/>
          <w:noProof/>
          <w:u w:val="none"/>
          <w:lang w:val="bg-BG"/>
        </w:rPr>
        <w:t xml:space="preserve">Що се отнася до банковия съюз, Комисията продължи да проверява прилагането на </w:t>
      </w:r>
      <w:hyperlink r:id="rId145">
        <w:r>
          <w:rPr>
            <w:rStyle w:val="Hyperlink"/>
            <w:rFonts w:ascii="Arial" w:hAnsi="Arial" w:cs="Arial"/>
            <w:noProof/>
            <w:u w:val="none"/>
            <w:lang w:val="bg-BG"/>
          </w:rPr>
          <w:t>Директивата за капиталовите изисквания IV</w:t>
        </w:r>
      </w:hyperlink>
      <w:r>
        <w:rPr>
          <w:rFonts w:ascii="Arial" w:hAnsi="Arial" w:cs="Arial"/>
          <w:noProof/>
          <w:u w:val="none"/>
          <w:lang w:val="bg-BG"/>
        </w:rPr>
        <w:t xml:space="preserve">, </w:t>
      </w:r>
      <w:hyperlink r:id="rId146">
        <w:r>
          <w:rPr>
            <w:rStyle w:val="Hyperlink"/>
            <w:rFonts w:ascii="Arial" w:hAnsi="Arial" w:cs="Arial"/>
            <w:noProof/>
            <w:u w:val="none"/>
            <w:lang w:val="bg-BG"/>
          </w:rPr>
          <w:t>Директивата относно схемите за гарантиране на депозити</w:t>
        </w:r>
      </w:hyperlink>
      <w:r>
        <w:rPr>
          <w:rFonts w:ascii="Arial" w:hAnsi="Arial" w:cs="Arial"/>
          <w:noProof/>
          <w:u w:val="none"/>
          <w:lang w:val="bg-BG"/>
        </w:rPr>
        <w:t xml:space="preserve"> и </w:t>
      </w:r>
      <w:hyperlink r:id="rId147">
        <w:r>
          <w:rPr>
            <w:rStyle w:val="Hyperlink"/>
            <w:rFonts w:ascii="Arial" w:hAnsi="Arial" w:cs="Arial"/>
            <w:noProof/>
            <w:u w:val="none"/>
            <w:lang w:val="bg-BG"/>
          </w:rPr>
          <w:t>Директивата за възстановяване и преструктуриране на банки</w:t>
        </w:r>
      </w:hyperlink>
      <w:r>
        <w:rPr>
          <w:rFonts w:ascii="Arial" w:hAnsi="Arial" w:cs="Arial"/>
          <w:noProof/>
          <w:u w:val="none"/>
          <w:lang w:val="bg-BG"/>
        </w:rPr>
        <w:t>. С тези инструменти на ЕС се цели да се гарантира, че банките са по-силни и върху тях се осъществява по-добър надзор, както и че проблемите могат да се разрешават по-лесно, без да се използват пари на данъкоплатците.</w:t>
      </w:r>
    </w:p>
    <w:p w:rsidR="00286241" w:rsidRDefault="00FC31FA">
      <w:pPr>
        <w:rPr>
          <w:rFonts w:ascii="Arial" w:hAnsi="Arial" w:cs="Arial"/>
          <w:noProof/>
          <w:u w:val="none"/>
          <w:lang w:val="bg-BG"/>
        </w:rPr>
      </w:pPr>
      <w:r>
        <w:rPr>
          <w:rFonts w:ascii="Arial" w:hAnsi="Arial" w:cs="Arial"/>
          <w:noProof/>
          <w:u w:val="none"/>
          <w:lang w:val="bg-BG"/>
        </w:rPr>
        <w:t>За изграждането на един по-силен икономически и паричен съюз, както и на банков съюз, е необходимо също така държавите членки да следят за поддържането и зачитането на независимото и самостоятелно функциониране на централните банки. Тази независимост им дава възможност да допринасят за и да изпълняват многобройните задачи, възложени им съгласно законодателството на ЕС в областта на паричната политика и банковия надзор. Поради това Комисията продължава да отделя внимание на този въпрос.</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В предварително наказателно разследване словенските органи са иззели информация, включително документи на ЕЦБ, от Националната банка на Словения. През 2017 г. Комисията започна </w:t>
            </w:r>
            <w:hyperlink r:id="rId148">
              <w:r>
                <w:rPr>
                  <w:rStyle w:val="Hyperlink"/>
                  <w:rFonts w:ascii="Arial" w:hAnsi="Arial" w:cs="Arial"/>
                  <w:noProof/>
                  <w:lang w:val="bg-BG"/>
                </w:rPr>
                <w:t>производство за установяване на неизпълнение на задължения</w:t>
              </w:r>
            </w:hyperlink>
            <w:r>
              <w:rPr>
                <w:rFonts w:ascii="Arial" w:hAnsi="Arial" w:cs="Arial"/>
                <w:noProof/>
                <w:color w:val="FFFFFF"/>
                <w:u w:val="none"/>
                <w:lang w:val="bg-BG"/>
              </w:rPr>
              <w:t xml:space="preserve"> срещу Словения във връзка с инцидент, по отношение на който се твърди, че представлява нарушение от страна на публичните органи на Протокол № 7 за привилегиите и имунитета на ЕС. Значението на този случай се състои в потенциалното въздействие на изземвания в централните банки върху тяхната независимост и автономност по отношение на паричната политика и банковия надзор. То трябва да бъде балансирано със задължението за лоялно сътрудничество между централните банки и публичните органи при наказателни разследвания.</w:t>
            </w:r>
          </w:p>
        </w:tc>
      </w:tr>
    </w:tbl>
    <w:p w:rsidR="00286241" w:rsidRDefault="00286241">
      <w:pPr>
        <w:pStyle w:val="kop3"/>
        <w:numPr>
          <w:ilvl w:val="0"/>
          <w:numId w:val="0"/>
        </w:numPr>
        <w:spacing w:before="360" w:after="240"/>
        <w:rPr>
          <w:rFonts w:ascii="Arial" w:eastAsia="Calibri" w:hAnsi="Arial" w:cs="Arial"/>
          <w:bCs w:val="0"/>
          <w:noProof/>
          <w:color w:val="auto"/>
          <w:sz w:val="20"/>
          <w:u w:val="none"/>
          <w:lang w:val="bg-BG"/>
        </w:rPr>
      </w:pPr>
      <w:bookmarkStart w:id="63" w:name="_Toc506199723"/>
      <w:bookmarkStart w:id="64" w:name="_Toc506199744"/>
      <w:bookmarkStart w:id="65" w:name="_Toc506209840"/>
      <w:bookmarkStart w:id="66" w:name="_Toc506218381"/>
      <w:bookmarkStart w:id="67" w:name="_Toc506309253"/>
    </w:p>
    <w:p w:rsidR="00286241" w:rsidRDefault="00FC31FA">
      <w:pPr>
        <w:spacing w:after="0" w:line="240" w:lineRule="auto"/>
        <w:rPr>
          <w:rFonts w:ascii="Arial" w:hAnsi="Arial" w:cs="Arial"/>
          <w:noProof/>
          <w:lang w:val="bg-BG"/>
        </w:rPr>
      </w:pPr>
      <w:r>
        <w:rPr>
          <w:rFonts w:ascii="Arial" w:hAnsi="Arial" w:cs="Arial"/>
          <w:noProof/>
          <w:lang w:val="bg-BG"/>
        </w:rPr>
        <w:br w:type="page"/>
      </w:r>
    </w:p>
    <w:p w:rsidR="00286241" w:rsidRDefault="00FC31FA">
      <w:pPr>
        <w:pStyle w:val="kop3"/>
        <w:spacing w:before="360" w:after="240"/>
        <w:ind w:left="357" w:hanging="357"/>
        <w:rPr>
          <w:rFonts w:ascii="Arial" w:hAnsi="Arial" w:cs="Arial"/>
          <w:noProof/>
          <w:u w:val="none"/>
          <w:lang w:val="bg-BG"/>
        </w:rPr>
      </w:pPr>
      <w:bookmarkStart w:id="68" w:name="_Toc510011723"/>
      <w:bookmarkStart w:id="69" w:name="_Toc519697624"/>
      <w:bookmarkStart w:id="70" w:name="_Toc519698068"/>
      <w:r>
        <w:rPr>
          <w:rFonts w:ascii="Arial" w:hAnsi="Arial" w:cs="Arial"/>
          <w:noProof/>
          <w:u w:val="none"/>
          <w:lang w:val="bg-BG"/>
        </w:rPr>
        <w:t>Пространство на правосъдие и основни права, изградено върху взаимно доверие</w:t>
      </w:r>
      <w:bookmarkEnd w:id="62"/>
      <w:bookmarkEnd w:id="63"/>
      <w:bookmarkEnd w:id="64"/>
      <w:bookmarkEnd w:id="65"/>
      <w:bookmarkEnd w:id="66"/>
      <w:bookmarkEnd w:id="67"/>
      <w:bookmarkEnd w:id="68"/>
      <w:bookmarkEnd w:id="69"/>
      <w:bookmarkEnd w:id="70"/>
    </w:p>
    <w:p w:rsidR="00286241" w:rsidRDefault="00FC31FA">
      <w:pPr>
        <w:rPr>
          <w:rFonts w:ascii="Arial" w:hAnsi="Arial" w:cs="Arial"/>
          <w:noProof/>
          <w:u w:val="none"/>
          <w:lang w:val="bg-BG"/>
        </w:rPr>
      </w:pPr>
      <w:r>
        <w:rPr>
          <w:rFonts w:ascii="Arial" w:hAnsi="Arial" w:cs="Arial"/>
          <w:noProof/>
          <w:u w:val="none"/>
          <w:lang w:val="bg-BG"/>
        </w:rPr>
        <w:t>В областта на правосъдието Комисията гарантира спазването на принципите на правовата държава и на Хартата на основните права. Тя гарантира също така и спазването на конкретни права като правото на свободно движение, на защита на данните, на равенство между половете, на недискриминация, правата на жертвите и правото на справедлив процес в наказателни производства. Тези теми заемат водещо място в програмата на Комисията, тъй като засягат живота на хората.</w:t>
      </w:r>
    </w:p>
    <w:p w:rsidR="00286241" w:rsidRDefault="00FC31FA">
      <w:pPr>
        <w:rPr>
          <w:rFonts w:ascii="Arial" w:hAnsi="Arial" w:cs="Arial"/>
          <w:noProof/>
          <w:u w:val="none"/>
          <w:lang w:val="bg-BG"/>
        </w:rPr>
      </w:pPr>
      <w:r>
        <w:rPr>
          <w:rFonts w:ascii="Arial" w:hAnsi="Arial" w:cs="Arial"/>
          <w:noProof/>
          <w:u w:val="none"/>
          <w:lang w:val="bg-BG"/>
        </w:rPr>
        <w:t xml:space="preserve">В рамките на </w:t>
      </w:r>
      <w:hyperlink r:id="rId149">
        <w:r>
          <w:rPr>
            <w:rStyle w:val="Hyperlink"/>
            <w:rFonts w:ascii="Arial" w:hAnsi="Arial" w:cs="Arial"/>
            <w:noProof/>
            <w:lang w:val="bg-BG"/>
          </w:rPr>
          <w:t>европейския семестър</w:t>
        </w:r>
      </w:hyperlink>
      <w:r>
        <w:rPr>
          <w:rStyle w:val="Hyperlink"/>
          <w:rFonts w:ascii="Arial" w:hAnsi="Arial" w:cs="Arial"/>
          <w:noProof/>
          <w:u w:val="none"/>
          <w:lang w:val="bg-BG"/>
        </w:rPr>
        <w:t xml:space="preserve"> </w:t>
      </w:r>
      <w:r>
        <w:rPr>
          <w:rStyle w:val="Hyperlink"/>
          <w:rFonts w:ascii="Arial" w:hAnsi="Arial" w:cs="Arial"/>
          <w:noProof/>
          <w:color w:val="auto"/>
          <w:u w:val="none"/>
          <w:lang w:val="bg-BG"/>
        </w:rPr>
        <w:t>Комисията</w:t>
      </w:r>
      <w:r>
        <w:rPr>
          <w:rFonts w:ascii="Arial" w:hAnsi="Arial" w:cs="Arial"/>
          <w:noProof/>
          <w:u w:val="none"/>
          <w:lang w:val="bg-BG"/>
        </w:rPr>
        <w:t xml:space="preserve"> продължи да насърчава държавите членки да подобряват ефективността на капацитета си за правоприлагане. Това по-специално касае независимостта, качеството и ефикасността на техните национални съдебни системи.</w:t>
      </w:r>
    </w:p>
    <w:p w:rsidR="00286241" w:rsidRDefault="00FC31FA">
      <w:pPr>
        <w:spacing w:after="0" w:line="240" w:lineRule="auto"/>
        <w:rPr>
          <w:rFonts w:ascii="Arial" w:eastAsia="Arial Unicode MS" w:hAnsi="Arial" w:cs="Arial"/>
          <w:i/>
          <w:noProof/>
          <w:color w:val="4F81BD"/>
          <w:sz w:val="22"/>
          <w:szCs w:val="22"/>
          <w:u w:val="none"/>
          <w:lang w:val="bg-BG"/>
        </w:rPr>
      </w:pPr>
      <w:r>
        <w:rPr>
          <w:rFonts w:ascii="Arial" w:hAnsi="Arial" w:cs="Arial"/>
          <w:i/>
          <w:noProof/>
          <w:color w:val="4F81BD"/>
          <w:sz w:val="22"/>
          <w:u w:val="none"/>
          <w:lang w:val="bg-BG"/>
        </w:rPr>
        <w:t>Подкрепа за принципите на правовата държава и за основните права</w:t>
      </w:r>
    </w:p>
    <w:p w:rsidR="00286241" w:rsidRDefault="00FC31FA">
      <w:pPr>
        <w:rPr>
          <w:rFonts w:ascii="Arial" w:hAnsi="Arial" w:cs="Arial"/>
          <w:noProof/>
          <w:u w:val="none"/>
          <w:lang w:val="bg-BG"/>
        </w:rPr>
      </w:pPr>
      <w:r>
        <w:rPr>
          <w:rFonts w:ascii="Arial" w:hAnsi="Arial" w:cs="Arial"/>
          <w:noProof/>
          <w:u w:val="none"/>
        </w:rPr>
        <w:drawing>
          <wp:anchor distT="0" distB="0" distL="114300" distR="114300" simplePos="0" relativeHeight="251646976" behindDoc="1" locked="0" layoutInCell="1" allowOverlap="1">
            <wp:simplePos x="0" y="0"/>
            <wp:positionH relativeFrom="column">
              <wp:posOffset>0</wp:posOffset>
            </wp:positionH>
            <wp:positionV relativeFrom="paragraph">
              <wp:posOffset>5080</wp:posOffset>
            </wp:positionV>
            <wp:extent cx="3950335" cy="2633980"/>
            <wp:effectExtent l="0" t="0" r="0" b="0"/>
            <wp:wrapTight wrapText="bothSides">
              <wp:wrapPolygon edited="0">
                <wp:start x="0" y="0"/>
                <wp:lineTo x="0" y="21402"/>
                <wp:lineTo x="21458" y="21402"/>
                <wp:lineTo x="21458"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150" cstate="email">
                      <a:extLst>
                        <a:ext uri="{28A0092B-C50C-407E-A947-70E740481C1C}">
                          <a14:useLocalDpi xmlns:a14="http://schemas.microsoft.com/office/drawing/2010/main"/>
                        </a:ext>
                      </a:extLst>
                    </a:blip>
                    <a:stretch>
                      <a:fillRect/>
                    </a:stretch>
                  </pic:blipFill>
                  <pic:spPr>
                    <a:xfrm>
                      <a:off x="0" y="0"/>
                      <a:ext cx="3950335" cy="26339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u w:val="none"/>
          <w:lang w:val="bg-BG"/>
        </w:rPr>
        <w:t>През 2017 г. Комисията продължи да полага усилия за насърчаване и подкрепа на спазването на принципите на правовата държава в целия ЕС. Тя продължи по-специално диалога с полските органи в рамките на Уредбата за укрепване на принципите на правовата държава.</w:t>
      </w:r>
    </w:p>
    <w:p w:rsidR="00286241" w:rsidRDefault="00FC31FA">
      <w:pPr>
        <w:rPr>
          <w:rFonts w:ascii="Arial" w:hAnsi="Arial" w:cs="Arial"/>
          <w:noProof/>
          <w:u w:val="none"/>
          <w:lang w:val="bg-BG"/>
        </w:rPr>
      </w:pPr>
      <w:r>
        <w:rPr>
          <w:rFonts w:ascii="Arial" w:hAnsi="Arial" w:cs="Arial"/>
          <w:noProof/>
          <w:u w:val="none"/>
          <w:lang w:val="bg-BG"/>
        </w:rPr>
        <w:t>Комисията действаше решително, когато политически и законодателни събития в някои държави членки заплашваха общите основи на ЕС.</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szCs w:val="24"/>
                <w:u w:val="none"/>
                <w:lang w:val="bg-BG"/>
              </w:rPr>
            </w:pPr>
            <w:r>
              <w:rPr>
                <w:rFonts w:ascii="Arial" w:hAnsi="Arial" w:cs="Arial"/>
                <w:noProof/>
                <w:color w:val="FFFFFF"/>
                <w:u w:val="none"/>
                <w:lang w:val="bg-BG"/>
              </w:rPr>
              <w:t xml:space="preserve">Тя започна </w:t>
            </w:r>
            <w:hyperlink r:id="rId151">
              <w:r>
                <w:rPr>
                  <w:rStyle w:val="Hyperlink"/>
                  <w:rFonts w:ascii="Arial" w:hAnsi="Arial" w:cs="Arial"/>
                  <w:noProof/>
                  <w:lang w:val="bg-BG"/>
                </w:rPr>
                <w:t>производство за установяване на неизпълнение на задължения</w:t>
              </w:r>
            </w:hyperlink>
            <w:r>
              <w:rPr>
                <w:rFonts w:ascii="Arial" w:hAnsi="Arial" w:cs="Arial"/>
                <w:noProof/>
                <w:color w:val="FFFFFF"/>
                <w:u w:val="none"/>
                <w:lang w:val="bg-BG"/>
              </w:rPr>
              <w:t xml:space="preserve"> срещу Полша поради нарушения на правото на ЕС в полския Закон за организация на общите съдилища.</w:t>
            </w:r>
          </w:p>
          <w:p w:rsidR="00286241" w:rsidRDefault="00FC31FA">
            <w:pPr>
              <w:spacing w:before="60" w:after="60" w:line="240" w:lineRule="auto"/>
              <w:rPr>
                <w:rFonts w:ascii="Arial" w:hAnsi="Arial" w:cs="Arial"/>
                <w:noProof/>
                <w:color w:val="FFFFFF"/>
                <w:szCs w:val="24"/>
                <w:u w:val="none"/>
                <w:lang w:val="bg-BG"/>
              </w:rPr>
            </w:pPr>
            <w:r>
              <w:rPr>
                <w:rFonts w:ascii="Arial" w:hAnsi="Arial" w:cs="Arial"/>
                <w:noProof/>
                <w:color w:val="FFFFFF"/>
                <w:u w:val="none"/>
                <w:lang w:val="bg-BG"/>
              </w:rPr>
              <w:t>Най-същественото притеснение от правен характер на Комисията относно този закон е свързано с дискриминацията въз основа на пола поради въвеждането на различна възраст за пенсиониране на съдиите жени (60 години) и съдиите мъже (65 години). Това противоречи на член 157 от Договора за функционирането на Европейския съюз (ДФЕС) и на Директивата за равенството между половете в областта на заетостта.</w:t>
            </w:r>
          </w:p>
          <w:p w:rsidR="00286241" w:rsidRDefault="00FC31FA">
            <w:pPr>
              <w:pStyle w:val="NormalWeb"/>
              <w:spacing w:before="60" w:beforeAutospacing="0" w:after="60" w:afterAutospacing="0"/>
              <w:rPr>
                <w:rFonts w:ascii="Arial" w:hAnsi="Arial" w:cs="Arial"/>
                <w:noProof/>
                <w:color w:val="FFFFFF"/>
                <w:sz w:val="20"/>
                <w:u w:val="none"/>
                <w:lang w:val="bg-BG"/>
              </w:rPr>
            </w:pPr>
            <w:r>
              <w:rPr>
                <w:rFonts w:ascii="Arial" w:hAnsi="Arial" w:cs="Arial"/>
                <w:noProof/>
                <w:color w:val="FFFFFF"/>
                <w:sz w:val="20"/>
                <w:u w:val="none"/>
                <w:lang w:val="bg-BG"/>
              </w:rPr>
              <w:t>Комисията също така изрази опасения, че независимостта на полските съдилища ще бъде подкопана поради факта, че на министъра на правосъдието е предоставено право на преценка относно удължаването на мандата на съдии, които са достигнали пенсионна възраст.</w:t>
            </w:r>
          </w:p>
        </w:tc>
      </w:tr>
    </w:tbl>
    <w:p w:rsidR="00286241" w:rsidRDefault="00286241">
      <w:pPr>
        <w:pStyle w:val="NormalWeb"/>
        <w:spacing w:before="120" w:beforeAutospacing="0" w:after="120" w:afterAutospacing="0" w:line="276" w:lineRule="auto"/>
        <w:rPr>
          <w:rFonts w:ascii="Arial" w:hAnsi="Arial" w:cs="Arial"/>
          <w:noProof/>
          <w:sz w:val="20"/>
          <w:u w:val="none"/>
          <w:lang w:val="bg-BG"/>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pStyle w:val="NormalWeb"/>
              <w:spacing w:before="60" w:beforeAutospacing="0" w:after="60" w:afterAutospacing="0"/>
              <w:rPr>
                <w:rFonts w:ascii="Arial" w:hAnsi="Arial" w:cs="Arial"/>
                <w:noProof/>
                <w:color w:val="FFFFFF"/>
                <w:sz w:val="20"/>
                <w:u w:val="none"/>
                <w:lang w:val="bg-BG"/>
              </w:rPr>
            </w:pPr>
            <w:r>
              <w:rPr>
                <w:rFonts w:ascii="Arial" w:hAnsi="Arial" w:cs="Arial"/>
                <w:noProof/>
                <w:color w:val="FFFFFF"/>
                <w:sz w:val="20"/>
                <w:u w:val="none"/>
                <w:lang w:val="bg-BG"/>
              </w:rPr>
              <w:t>Комисията</w:t>
            </w:r>
            <w:r>
              <w:rPr>
                <w:rFonts w:ascii="Arial" w:hAnsi="Arial" w:cs="Arial"/>
                <w:noProof/>
                <w:color w:val="FFFFFF"/>
                <w:u w:val="none"/>
                <w:lang w:val="bg-BG"/>
              </w:rPr>
              <w:t xml:space="preserve"> </w:t>
            </w:r>
            <w:r>
              <w:rPr>
                <w:rFonts w:ascii="Arial" w:hAnsi="Arial" w:cs="Arial"/>
                <w:noProof/>
                <w:color w:val="FFFFFF"/>
                <w:sz w:val="20"/>
                <w:u w:val="none"/>
                <w:lang w:val="bg-BG"/>
              </w:rPr>
              <w:t xml:space="preserve">започна </w:t>
            </w:r>
            <w:hyperlink r:id="rId152">
              <w:r>
                <w:rPr>
                  <w:rStyle w:val="Hyperlink"/>
                  <w:rFonts w:ascii="Arial" w:hAnsi="Arial" w:cs="Arial"/>
                  <w:noProof/>
                  <w:sz w:val="20"/>
                  <w:lang w:val="bg-BG"/>
                </w:rPr>
                <w:t>производство за установяване на неизпълнение на задължения</w:t>
              </w:r>
            </w:hyperlink>
            <w:r>
              <w:rPr>
                <w:rFonts w:ascii="Arial" w:hAnsi="Arial" w:cs="Arial"/>
                <w:noProof/>
                <w:color w:val="FFFFFF"/>
                <w:sz w:val="20"/>
                <w:u w:val="none"/>
                <w:lang w:val="bg-BG"/>
              </w:rPr>
              <w:t xml:space="preserve"> срещу Унгария поради унгарски закони, с които на учредените в чужбина организации на гражданското общество се налагат задължения за регистрация, докладване и прозрачност. Производството засяга съвместимостта на законите с разпоредбите на Договора за ЕС относно свободното движение на капитали, както и с правото на свобода на сдруженията и правото на защита на личния живот и на личните данни, залегнали в Хартата на основните права на ЕС. </w:t>
            </w:r>
          </w:p>
        </w:tc>
      </w:tr>
    </w:tbl>
    <w:p w:rsidR="00286241" w:rsidRDefault="00286241">
      <w:pPr>
        <w:spacing w:before="240"/>
        <w:rPr>
          <w:rFonts w:ascii="Arial" w:eastAsia="Arial Unicode MS" w:hAnsi="Arial" w:cs="Arial"/>
          <w:i/>
          <w:noProof/>
          <w:color w:val="8DB3E2" w:themeColor="text2" w:themeTint="66"/>
          <w:sz w:val="22"/>
          <w:szCs w:val="22"/>
          <w:u w:val="none"/>
          <w:lang w:val="bg-BG"/>
        </w:rPr>
      </w:pPr>
    </w:p>
    <w:p w:rsidR="00286241" w:rsidRDefault="00FC31FA">
      <w:pPr>
        <w:spacing w:line="240" w:lineRule="auto"/>
        <w:rPr>
          <w:rFonts w:ascii="Arial" w:eastAsia="Arial Unicode MS" w:hAnsi="Arial" w:cs="Arial"/>
          <w:i/>
          <w:noProof/>
          <w:color w:val="4F81BD"/>
          <w:sz w:val="22"/>
          <w:szCs w:val="22"/>
          <w:u w:val="none"/>
          <w:lang w:val="bg-BG"/>
        </w:rPr>
      </w:pPr>
      <w:r>
        <w:rPr>
          <w:rFonts w:ascii="Arial" w:hAnsi="Arial" w:cs="Arial"/>
          <w:i/>
          <w:noProof/>
          <w:color w:val="4F81BD"/>
          <w:sz w:val="22"/>
          <w:u w:val="none"/>
          <w:lang w:val="bg-BG"/>
        </w:rPr>
        <w:t>По-добра защита на данните</w:t>
      </w:r>
    </w:p>
    <w:p w:rsidR="00286241" w:rsidRDefault="00FC31FA">
      <w:pPr>
        <w:pStyle w:val="NormalWeb"/>
        <w:spacing w:before="0" w:beforeAutospacing="0" w:after="200" w:afterAutospacing="0" w:line="276" w:lineRule="auto"/>
        <w:rPr>
          <w:rFonts w:ascii="Arial" w:hAnsi="Arial" w:cs="Arial"/>
          <w:noProof/>
          <w:sz w:val="20"/>
          <w:u w:val="none"/>
          <w:lang w:val="bg-BG"/>
        </w:rPr>
      </w:pPr>
      <w:r>
        <w:rPr>
          <w:rFonts w:ascii="Arial" w:hAnsi="Arial" w:cs="Arial"/>
          <w:noProof/>
          <w:sz w:val="20"/>
          <w:u w:val="none"/>
        </w:rPr>
        <w:drawing>
          <wp:inline distT="0" distB="0" distL="0" distR="0">
            <wp:extent cx="5759450" cy="383857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Fotolia_103055322_Subscription_Monthly_XXL.jpg"/>
                    <pic:cNvPicPr/>
                  </pic:nvPicPr>
                  <pic:blipFill>
                    <a:blip r:embed="rId153" cstate="email">
                      <a:extLst>
                        <a:ext uri="{28A0092B-C50C-407E-A947-70E740481C1C}">
                          <a14:useLocalDpi xmlns:a14="http://schemas.microsoft.com/office/drawing/2010/main"/>
                        </a:ext>
                      </a:extLst>
                    </a:blip>
                    <a:stretch>
                      <a:fillRect/>
                    </a:stretch>
                  </pic:blipFill>
                  <pic:spPr>
                    <a:xfrm>
                      <a:off x="0" y="0"/>
                      <a:ext cx="5759450" cy="3838575"/>
                    </a:xfrm>
                    <a:prstGeom prst="rect">
                      <a:avLst/>
                    </a:prstGeom>
                  </pic:spPr>
                </pic:pic>
              </a:graphicData>
            </a:graphic>
          </wp:inline>
        </w:drawing>
      </w:r>
    </w:p>
    <w:p w:rsidR="00286241" w:rsidRDefault="00FC31FA">
      <w:pPr>
        <w:pStyle w:val="NormalWeb"/>
        <w:spacing w:before="0" w:beforeAutospacing="0" w:after="200" w:afterAutospacing="0" w:line="276" w:lineRule="auto"/>
        <w:rPr>
          <w:rFonts w:ascii="Arial" w:hAnsi="Arial" w:cs="Arial"/>
          <w:noProof/>
          <w:sz w:val="20"/>
          <w:u w:val="none"/>
          <w:lang w:val="bg-BG"/>
        </w:rPr>
      </w:pPr>
      <w:r>
        <w:rPr>
          <w:rFonts w:ascii="Arial" w:hAnsi="Arial" w:cs="Arial"/>
          <w:noProof/>
          <w:sz w:val="20"/>
          <w:u w:val="none"/>
          <w:lang w:val="bg-BG"/>
        </w:rPr>
        <w:t xml:space="preserve">През 2017 г. Комисията подкрепяше държавите членки в подготовката за прилагането от май 2018 г. на </w:t>
      </w:r>
      <w:hyperlink r:id="rId154">
        <w:r>
          <w:rPr>
            <w:rStyle w:val="Hyperlink"/>
            <w:rFonts w:ascii="Arial" w:hAnsi="Arial" w:cs="Arial"/>
            <w:noProof/>
            <w:sz w:val="20"/>
            <w:lang w:val="bg-BG"/>
          </w:rPr>
          <w:t>Общия регламент относно защитата на данните</w:t>
        </w:r>
      </w:hyperlink>
      <w:r>
        <w:rPr>
          <w:rFonts w:ascii="Arial" w:hAnsi="Arial" w:cs="Arial"/>
          <w:noProof/>
          <w:sz w:val="20"/>
          <w:u w:val="none"/>
          <w:lang w:val="bg-BG"/>
        </w:rPr>
        <w:t>. С Регламента ще се въведе единен набор от правила на ЕС относно защитата на данните, ще се засили доверието и сигурността на физическите лица и ще се създадат еднакви правила за предприятията. Съгласуваното прилагане на тези правила е от съществено значение.</w:t>
      </w:r>
    </w:p>
    <w:p w:rsidR="00286241" w:rsidRDefault="00FC31FA">
      <w:pPr>
        <w:pStyle w:val="NormalWeb"/>
        <w:spacing w:before="0" w:beforeAutospacing="0" w:after="200" w:afterAutospacing="0" w:line="276" w:lineRule="auto"/>
        <w:rPr>
          <w:rFonts w:ascii="Arial" w:hAnsi="Arial" w:cs="Arial"/>
          <w:noProof/>
          <w:sz w:val="20"/>
          <w:u w:val="none"/>
          <w:lang w:val="bg-BG"/>
        </w:rPr>
      </w:pPr>
      <w:r>
        <w:rPr>
          <w:rFonts w:ascii="Arial" w:hAnsi="Arial" w:cs="Arial"/>
          <w:noProof/>
          <w:sz w:val="20"/>
          <w:u w:val="none"/>
          <w:lang w:val="bg-BG"/>
        </w:rPr>
        <w:t xml:space="preserve">Комисията също така оказа помощ на държавите членки да се подготвят за транспониране на </w:t>
      </w:r>
      <w:hyperlink r:id="rId155">
        <w:r>
          <w:rPr>
            <w:rStyle w:val="Hyperlink"/>
            <w:rFonts w:ascii="Arial" w:hAnsi="Arial" w:cs="Arial"/>
            <w:noProof/>
            <w:sz w:val="20"/>
            <w:lang w:val="bg-BG"/>
          </w:rPr>
          <w:t>Директивата относно защитата на физическите лица във връзка с обработването на лични данни от компетентните органи</w:t>
        </w:r>
      </w:hyperlink>
      <w:r>
        <w:rPr>
          <w:rFonts w:ascii="Arial" w:hAnsi="Arial" w:cs="Arial"/>
          <w:noProof/>
          <w:sz w:val="20"/>
          <w:u w:val="none"/>
          <w:lang w:val="bg-BG"/>
        </w:rPr>
        <w:t xml:space="preserve"> за целите на предотвратяването, разследването, разкриването или наказателното преследване на престъпления или изпълнението на наказания и относно свободното движение на такива данни. С тази директива ще се гарантира, че данните на жертвите, свидетелите и заподозрените в престъпления лица ще бъдат надлежно защитени в контекста на криминално разследване или действие по правоприлагане. Същевременно по-голямата хармонизация на законодателствата ще улесни и трансграничното сътрудничество между полицията и прокуратурата в борбата с престъпността и тероризма.</w:t>
      </w:r>
    </w:p>
    <w:p w:rsidR="00286241" w:rsidRDefault="00FC31FA">
      <w:pPr>
        <w:pStyle w:val="NormalWeb"/>
        <w:spacing w:line="276" w:lineRule="auto"/>
        <w:rPr>
          <w:rFonts w:ascii="Arial" w:hAnsi="Arial" w:cs="Arial"/>
          <w:i/>
          <w:noProof/>
          <w:sz w:val="20"/>
          <w:u w:val="none"/>
          <w:lang w:val="bg-BG"/>
        </w:rPr>
      </w:pPr>
      <w:r>
        <w:rPr>
          <w:rFonts w:ascii="Arial" w:hAnsi="Arial" w:cs="Arial"/>
          <w:noProof/>
          <w:sz w:val="20"/>
          <w:u w:val="none"/>
          <w:lang w:val="bg-BG"/>
        </w:rPr>
        <w:t xml:space="preserve">През януари 2017 г. Комисията прие </w:t>
      </w:r>
      <w:hyperlink r:id="rId156">
        <w:r>
          <w:rPr>
            <w:rStyle w:val="Hyperlink"/>
            <w:rFonts w:ascii="Arial" w:hAnsi="Arial" w:cs="Arial"/>
            <w:noProof/>
            <w:sz w:val="20"/>
            <w:lang w:val="bg-BG"/>
          </w:rPr>
          <w:t>съобщение относно международните потоци от данни</w:t>
        </w:r>
      </w:hyperlink>
      <w:r>
        <w:rPr>
          <w:rFonts w:ascii="Arial" w:hAnsi="Arial" w:cs="Arial"/>
          <w:noProof/>
          <w:sz w:val="20"/>
          <w:u w:val="none"/>
          <w:lang w:val="bg-BG"/>
        </w:rPr>
        <w:t>. В него се определя политиката на Комисията за улесняване на увеличаващото се международно предаване на данни в областта на търговията и правоприлагането, като едновременно с това се гарантира високо ниво на защита на данните.</w:t>
      </w:r>
    </w:p>
    <w:p w:rsidR="00286241" w:rsidRDefault="00FC31FA">
      <w:pPr>
        <w:spacing w:after="0" w:line="240" w:lineRule="auto"/>
        <w:rPr>
          <w:rFonts w:ascii="Arial" w:eastAsia="Arial Unicode MS" w:hAnsi="Arial" w:cs="Arial"/>
          <w:i/>
          <w:noProof/>
          <w:color w:val="8DB3E2" w:themeColor="text2" w:themeTint="66"/>
          <w:sz w:val="22"/>
          <w:szCs w:val="22"/>
          <w:u w:val="none"/>
          <w:lang w:val="bg-BG"/>
        </w:rPr>
      </w:pPr>
      <w:r>
        <w:rPr>
          <w:rFonts w:ascii="Arial" w:hAnsi="Arial" w:cs="Arial"/>
          <w:noProof/>
          <w:lang w:val="bg-BG"/>
        </w:rPr>
        <w:br w:type="page"/>
      </w:r>
    </w:p>
    <w:p w:rsidR="00286241" w:rsidRDefault="00FC31FA">
      <w:pPr>
        <w:spacing w:after="0" w:line="240" w:lineRule="auto"/>
        <w:rPr>
          <w:rFonts w:ascii="Arial" w:eastAsia="Arial Unicode MS" w:hAnsi="Arial" w:cs="Arial"/>
          <w:i/>
          <w:noProof/>
          <w:color w:val="4F81BD"/>
          <w:sz w:val="22"/>
          <w:szCs w:val="22"/>
          <w:u w:val="none"/>
          <w:lang w:val="bg-BG"/>
        </w:rPr>
      </w:pPr>
      <w:r>
        <w:rPr>
          <w:rFonts w:ascii="Arial" w:hAnsi="Arial" w:cs="Arial"/>
          <w:i/>
          <w:noProof/>
          <w:color w:val="4F81BD"/>
          <w:sz w:val="22"/>
          <w:u w:val="none"/>
          <w:lang w:val="bg-BG"/>
        </w:rPr>
        <w:t>Борба с дискриминацията.</w:t>
      </w:r>
    </w:p>
    <w:p w:rsidR="00286241" w:rsidRDefault="00FC31FA">
      <w:pPr>
        <w:spacing w:before="200"/>
        <w:rPr>
          <w:rFonts w:ascii="Arial" w:hAnsi="Arial" w:cs="Arial"/>
          <w:i/>
          <w:noProof/>
          <w:color w:val="FF0000"/>
          <w:u w:val="none"/>
          <w:lang w:val="bg-BG"/>
        </w:rPr>
      </w:pPr>
      <w:r>
        <w:rPr>
          <w:rFonts w:ascii="Arial" w:hAnsi="Arial" w:cs="Arial"/>
          <w:i/>
          <w:noProof/>
          <w:color w:val="FF0000"/>
          <w:u w:val="none"/>
        </w:rPr>
        <w:drawing>
          <wp:inline distT="0" distB="0" distL="0" distR="0">
            <wp:extent cx="5759450" cy="289623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157" cstate="email">
                      <a:extLst>
                        <a:ext uri="{28A0092B-C50C-407E-A947-70E740481C1C}">
                          <a14:useLocalDpi xmlns:a14="http://schemas.microsoft.com/office/drawing/2010/main"/>
                        </a:ext>
                      </a:extLst>
                    </a:blip>
                    <a:stretch>
                      <a:fillRect/>
                    </a:stretch>
                  </pic:blipFill>
                  <pic:spPr>
                    <a:xfrm>
                      <a:off x="0" y="0"/>
                      <a:ext cx="5759450" cy="2896235"/>
                    </a:xfrm>
                    <a:prstGeom prst="rect">
                      <a:avLst/>
                    </a:prstGeom>
                  </pic:spPr>
                </pic:pic>
              </a:graphicData>
            </a:graphic>
          </wp:inline>
        </w:drawing>
      </w:r>
    </w:p>
    <w:p w:rsidR="00286241" w:rsidRDefault="00FC31FA">
      <w:pPr>
        <w:rPr>
          <w:rFonts w:ascii="Arial" w:hAnsi="Arial" w:cs="Arial"/>
          <w:noProof/>
          <w:u w:val="none"/>
          <w:lang w:val="bg-BG"/>
        </w:rPr>
      </w:pPr>
      <w:r>
        <w:rPr>
          <w:rFonts w:ascii="Arial" w:hAnsi="Arial" w:cs="Arial"/>
          <w:noProof/>
          <w:u w:val="none"/>
          <w:lang w:val="bg-BG"/>
        </w:rPr>
        <w:t xml:space="preserve">Комисията наблюдаваше внимателно прилагането на </w:t>
      </w:r>
      <w:hyperlink r:id="rId158">
        <w:r>
          <w:rPr>
            <w:rStyle w:val="Hyperlink"/>
            <w:rFonts w:ascii="Arial" w:hAnsi="Arial" w:cs="Arial"/>
            <w:noProof/>
            <w:lang w:val="bg-BG"/>
          </w:rPr>
          <w:t>Директивата за расовото равенство</w:t>
        </w:r>
      </w:hyperlink>
      <w:r>
        <w:rPr>
          <w:rFonts w:ascii="Arial" w:hAnsi="Arial" w:cs="Arial"/>
          <w:noProof/>
          <w:u w:val="none"/>
          <w:lang w:val="bg-BG"/>
        </w:rPr>
        <w:t>, по-специално по отношение на достъпа на ромската общност до образование и жилищно настаняване. Тази директива е ключова част от законодателството на ЕС за борба с дискриминацията, основана на расов или етнически произход, и за прилагане на принципа на равно третиране.</w:t>
      </w:r>
    </w:p>
    <w:p w:rsidR="00286241" w:rsidRDefault="00FC31FA">
      <w:pPr>
        <w:rPr>
          <w:rFonts w:ascii="Arial" w:hAnsi="Arial" w:cs="Arial"/>
          <w:noProof/>
          <w:u w:val="none"/>
          <w:lang w:val="bg-BG"/>
        </w:rPr>
      </w:pPr>
      <w:r>
        <w:rPr>
          <w:rFonts w:ascii="Arial" w:hAnsi="Arial" w:cs="Arial"/>
          <w:noProof/>
          <w:u w:val="none"/>
          <w:lang w:val="bg-BG"/>
        </w:rPr>
        <w:t>През 2017 г. Съдът на ЕС направи нова стъпка към изясняване на правилата на ЕС, които се прилагат във връзка с недопускането на дискриминация на работното място. В две дела, касаещи жени, уволнени от работодателите заради носене на ислямски забрадки на работното място (</w:t>
      </w:r>
      <w:hyperlink r:id="rId159">
        <w:r>
          <w:rPr>
            <w:rStyle w:val="Hyperlink"/>
            <w:rFonts w:ascii="Arial" w:hAnsi="Arial" w:cs="Arial"/>
            <w:noProof/>
            <w:lang w:val="bg-BG"/>
          </w:rPr>
          <w:t>Achbita</w:t>
        </w:r>
      </w:hyperlink>
      <w:r>
        <w:rPr>
          <w:rFonts w:ascii="Arial" w:hAnsi="Arial" w:cs="Arial"/>
          <w:noProof/>
          <w:u w:val="none"/>
          <w:lang w:val="bg-BG"/>
        </w:rPr>
        <w:t xml:space="preserve"> и </w:t>
      </w:r>
      <w:hyperlink r:id="rId160">
        <w:r>
          <w:rPr>
            <w:rStyle w:val="Hyperlink"/>
            <w:rFonts w:ascii="Arial" w:hAnsi="Arial" w:cs="Arial"/>
            <w:noProof/>
            <w:lang w:val="bg-BG"/>
          </w:rPr>
          <w:t>Bougnaoui</w:t>
        </w:r>
      </w:hyperlink>
      <w:r>
        <w:rPr>
          <w:rFonts w:ascii="Arial" w:hAnsi="Arial" w:cs="Arial"/>
          <w:noProof/>
          <w:u w:val="none"/>
          <w:lang w:val="bg-BG"/>
        </w:rPr>
        <w:t>), Съдът установи деликатен баланс между свободата на религията, свободата на стопанска инициатива и принципа за недопускане на дискриминация.</w:t>
      </w:r>
    </w:p>
    <w:p w:rsidR="00286241" w:rsidRDefault="00FC31FA">
      <w:pPr>
        <w:rPr>
          <w:rFonts w:ascii="Arial" w:hAnsi="Arial" w:cs="Arial"/>
          <w:noProof/>
          <w:u w:val="none"/>
          <w:lang w:val="bg-BG"/>
        </w:rPr>
      </w:pPr>
      <w:r>
        <w:rPr>
          <w:rFonts w:ascii="Arial" w:hAnsi="Arial" w:cs="Arial"/>
          <w:noProof/>
          <w:u w:val="none"/>
          <w:lang w:val="bg-BG"/>
        </w:rPr>
        <w:t>Съдът постанови, че дружествата могат да забранят на служителите да носят видими религиозни символи на работното си място като част от общата политика на дружеството за изключване на всички религиозни и политически символи. Политика на политически, философски или религиозен неутралитет може да представлява легитимна цел, обосноваваща разлика в третирането, при условие че средствата за нейното постигане са подходящи и пропорционални. Съдът поясни също така, че клиентите не могат просто да поискат работничките да махнат забрадките, ако дружеството не е въвело политика, с която се забраняват религиозните символи.</w:t>
      </w:r>
    </w:p>
    <w:p w:rsidR="00286241" w:rsidRDefault="00286241">
      <w:pPr>
        <w:spacing w:before="240"/>
        <w:rPr>
          <w:rFonts w:ascii="Arial" w:eastAsia="Arial Unicode MS" w:hAnsi="Arial" w:cs="Arial"/>
          <w:i/>
          <w:noProof/>
          <w:color w:val="8DB3E2" w:themeColor="text2" w:themeTint="66"/>
          <w:sz w:val="22"/>
          <w:szCs w:val="22"/>
          <w:u w:val="none"/>
          <w:lang w:val="bg-BG"/>
        </w:rPr>
      </w:pPr>
      <w:bookmarkStart w:id="71" w:name="_Toc444796652"/>
    </w:p>
    <w:p w:rsidR="00286241" w:rsidRDefault="00286241">
      <w:pPr>
        <w:spacing w:before="240"/>
        <w:rPr>
          <w:rFonts w:ascii="Arial" w:eastAsia="Arial Unicode MS" w:hAnsi="Arial" w:cs="Arial"/>
          <w:i/>
          <w:noProof/>
          <w:color w:val="8DB3E2" w:themeColor="text2" w:themeTint="66"/>
          <w:sz w:val="22"/>
          <w:szCs w:val="22"/>
          <w:u w:val="none"/>
          <w:lang w:val="bg-BG"/>
        </w:rPr>
      </w:pPr>
    </w:p>
    <w:p w:rsidR="00286241" w:rsidRDefault="00286241">
      <w:pPr>
        <w:spacing w:before="240"/>
        <w:rPr>
          <w:rFonts w:ascii="Arial" w:eastAsia="Arial Unicode MS" w:hAnsi="Arial" w:cs="Arial"/>
          <w:i/>
          <w:noProof/>
          <w:color w:val="8DB3E2" w:themeColor="text2" w:themeTint="66"/>
          <w:sz w:val="22"/>
          <w:szCs w:val="22"/>
          <w:u w:val="none"/>
          <w:lang w:val="bg-BG"/>
        </w:rPr>
      </w:pPr>
    </w:p>
    <w:p w:rsidR="00286241" w:rsidRDefault="00FC31FA">
      <w:pPr>
        <w:widowControl/>
        <w:adjustRightInd/>
        <w:spacing w:after="0" w:line="240" w:lineRule="auto"/>
        <w:jc w:val="left"/>
        <w:textAlignment w:val="auto"/>
        <w:rPr>
          <w:rFonts w:ascii="Arial" w:eastAsia="Arial Unicode MS" w:hAnsi="Arial" w:cs="Arial"/>
          <w:i/>
          <w:noProof/>
          <w:color w:val="8DB3E2" w:themeColor="text2" w:themeTint="66"/>
          <w:sz w:val="22"/>
          <w:szCs w:val="22"/>
          <w:u w:val="none"/>
          <w:lang w:val="bg-BG"/>
        </w:rPr>
      </w:pPr>
      <w:r>
        <w:rPr>
          <w:rFonts w:ascii="Arial" w:eastAsia="Arial Unicode MS" w:hAnsi="Arial" w:cs="Arial"/>
          <w:i/>
          <w:noProof/>
          <w:color w:val="8DB3E2" w:themeColor="text2" w:themeTint="66"/>
          <w:sz w:val="22"/>
          <w:szCs w:val="22"/>
          <w:u w:val="none"/>
          <w:lang w:val="bg-BG"/>
        </w:rPr>
        <w:br w:type="page"/>
      </w:r>
    </w:p>
    <w:p w:rsidR="00286241" w:rsidRDefault="00FC31FA">
      <w:pPr>
        <w:spacing w:before="240"/>
        <w:rPr>
          <w:rFonts w:ascii="Arial" w:eastAsia="Arial Unicode MS" w:hAnsi="Arial" w:cs="Arial"/>
          <w:i/>
          <w:noProof/>
          <w:color w:val="4F81BD"/>
          <w:sz w:val="22"/>
          <w:szCs w:val="22"/>
          <w:u w:val="none"/>
          <w:lang w:val="bg-BG"/>
        </w:rPr>
      </w:pPr>
      <w:r>
        <w:rPr>
          <w:rFonts w:ascii="Arial" w:hAnsi="Arial" w:cs="Arial"/>
          <w:i/>
          <w:noProof/>
          <w:color w:val="4F81BD"/>
          <w:sz w:val="22"/>
          <w:u w:val="none"/>
          <w:lang w:val="bg-BG"/>
        </w:rPr>
        <w:t>Прилагане на правилата в областта на сигурността</w:t>
      </w:r>
    </w:p>
    <w:p w:rsidR="00286241" w:rsidRDefault="00FC31FA">
      <w:pPr>
        <w:rPr>
          <w:rFonts w:ascii="Arial" w:hAnsi="Arial" w:cs="Arial"/>
          <w:noProof/>
          <w:u w:val="none"/>
          <w:lang w:val="bg-BG"/>
        </w:rPr>
      </w:pPr>
      <w:r>
        <w:rPr>
          <w:rFonts w:ascii="Arial" w:hAnsi="Arial" w:cs="Arial"/>
          <w:i/>
          <w:noProof/>
          <w:u w:val="none"/>
        </w:rPr>
        <w:drawing>
          <wp:anchor distT="0" distB="0" distL="114300" distR="114300" simplePos="0" relativeHeight="251673600" behindDoc="1" locked="0" layoutInCell="1" allowOverlap="1">
            <wp:simplePos x="0" y="0"/>
            <wp:positionH relativeFrom="column">
              <wp:posOffset>4445</wp:posOffset>
            </wp:positionH>
            <wp:positionV relativeFrom="paragraph">
              <wp:posOffset>-2540</wp:posOffset>
            </wp:positionV>
            <wp:extent cx="3814445" cy="2543175"/>
            <wp:effectExtent l="0" t="0" r="0" b="9525"/>
            <wp:wrapTight wrapText="bothSides">
              <wp:wrapPolygon edited="0">
                <wp:start x="0" y="0"/>
                <wp:lineTo x="0" y="21519"/>
                <wp:lineTo x="21467" y="21519"/>
                <wp:lineTo x="21467"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61" cstate="email">
                      <a:extLst>
                        <a:ext uri="{28A0092B-C50C-407E-A947-70E740481C1C}">
                          <a14:useLocalDpi xmlns:a14="http://schemas.microsoft.com/office/drawing/2010/main" val="0"/>
                        </a:ext>
                      </a:extLst>
                    </a:blip>
                    <a:stretch>
                      <a:fillRect/>
                    </a:stretch>
                  </pic:blipFill>
                  <pic:spPr>
                    <a:xfrm>
                      <a:off x="0" y="0"/>
                      <a:ext cx="3814445" cy="25431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u w:val="none"/>
          <w:lang w:val="bg-BG"/>
        </w:rPr>
        <w:t xml:space="preserve">През 2017 г. работата в областта на правоприлагането продължи в контекста на </w:t>
      </w:r>
      <w:hyperlink r:id="rId162">
        <w:r>
          <w:rPr>
            <w:rStyle w:val="Hyperlink"/>
            <w:rFonts w:ascii="Arial" w:hAnsi="Arial" w:cs="Arial"/>
            <w:noProof/>
            <w:lang w:val="bg-BG"/>
          </w:rPr>
          <w:t>Европейската програма за сигурност</w:t>
        </w:r>
      </w:hyperlink>
      <w:r>
        <w:rPr>
          <w:rFonts w:ascii="Arial" w:hAnsi="Arial" w:cs="Arial"/>
          <w:noProof/>
          <w:u w:val="none"/>
          <w:lang w:val="bg-BG"/>
        </w:rPr>
        <w:t xml:space="preserve"> и изграждането на Съюза на сигурност. Прилагането на правилата на ЕС в тази област е от основно значение за гарантиране на високо ниво на сигурност в целия ЕС. Редовните доклади за напредъка относно Съюза на сигурност отразяват продължаващите усилия да се гарантира пълното и правилно прилагане на правилата.</w:t>
      </w:r>
    </w:p>
    <w:p w:rsidR="00286241" w:rsidRDefault="00286241">
      <w:pPr>
        <w:rPr>
          <w:rFonts w:ascii="Arial" w:hAnsi="Arial" w:cs="Arial"/>
          <w:noProof/>
          <w:u w:val="none"/>
          <w:lang w:val="bg-BG"/>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През 2017 г. Комисията продължи да предприема последващи действия по производствата за установяване на неизпълнение на задължения, започнати през 2016 г. във връзка с инструментите за полицейско сътрудничество, попадащи в обхвата на предишния „трети стълб“. Тя отдаде приоритет на прилагането на рамката от Прюм (инструмент за обмен на информация, който може да предложи автоматизирано сравняване на ДНК профили, дактилоскопични данни и данни за регистрацията на превозни средства) и на „Шведската инициатива“ (която дава възможност органите по правоприлагане да обменят информация и разузнавателни данни по ефективен начин при провеждането на наказателни разследвания или на операции по събиране на сведения за целите на наказателните разследвания). Действията на Комисията включваха по-нататъшни стъпки по започнатите производства срещу </w:t>
            </w:r>
            <w:hyperlink r:id="rId163">
              <w:r>
                <w:rPr>
                  <w:rStyle w:val="Hyperlink"/>
                  <w:rFonts w:ascii="Arial" w:hAnsi="Arial" w:cs="Arial"/>
                  <w:noProof/>
                  <w:lang w:val="bg-BG"/>
                </w:rPr>
                <w:t>Гърция</w:t>
              </w:r>
            </w:hyperlink>
            <w:r>
              <w:rPr>
                <w:rFonts w:ascii="Arial" w:hAnsi="Arial" w:cs="Arial"/>
                <w:noProof/>
                <w:color w:val="FFFFFF"/>
                <w:u w:val="none"/>
                <w:lang w:val="bg-BG"/>
              </w:rPr>
              <w:t xml:space="preserve">, </w:t>
            </w:r>
            <w:hyperlink r:id="rId164">
              <w:r>
                <w:rPr>
                  <w:rStyle w:val="Hyperlink"/>
                  <w:rFonts w:ascii="Arial" w:hAnsi="Arial" w:cs="Arial"/>
                  <w:noProof/>
                  <w:lang w:val="bg-BG"/>
                </w:rPr>
                <w:t>Ирландия, Хърватия, Италия</w:t>
              </w:r>
            </w:hyperlink>
            <w:r>
              <w:rPr>
                <w:rFonts w:ascii="Arial" w:hAnsi="Arial" w:cs="Arial"/>
                <w:noProof/>
                <w:color w:val="FFFFFF"/>
                <w:u w:val="none"/>
                <w:lang w:val="bg-BG"/>
              </w:rPr>
              <w:t xml:space="preserve"> и </w:t>
            </w:r>
            <w:hyperlink r:id="rId165">
              <w:r>
                <w:rPr>
                  <w:rStyle w:val="Hyperlink"/>
                  <w:rFonts w:ascii="Arial" w:hAnsi="Arial" w:cs="Arial"/>
                  <w:noProof/>
                  <w:lang w:val="bg-BG"/>
                </w:rPr>
                <w:t>Люксембург</w:t>
              </w:r>
            </w:hyperlink>
            <w:r>
              <w:rPr>
                <w:rFonts w:ascii="Arial" w:hAnsi="Arial" w:cs="Arial"/>
                <w:noProof/>
                <w:color w:val="FFFFFF"/>
                <w:u w:val="none"/>
                <w:lang w:val="bg-BG"/>
              </w:rPr>
              <w:t>.</w:t>
            </w:r>
          </w:p>
        </w:tc>
      </w:tr>
    </w:tbl>
    <w:p w:rsidR="00286241" w:rsidRDefault="00FC31FA">
      <w:pPr>
        <w:spacing w:before="200"/>
        <w:rPr>
          <w:rFonts w:ascii="Arial" w:hAnsi="Arial" w:cs="Arial"/>
          <w:noProof/>
          <w:u w:val="none"/>
          <w:lang w:val="bg-BG"/>
        </w:rPr>
      </w:pPr>
      <w:r>
        <w:rPr>
          <w:rFonts w:ascii="Arial" w:hAnsi="Arial" w:cs="Arial"/>
          <w:noProof/>
          <w:u w:val="none"/>
          <w:lang w:val="bg-BG"/>
        </w:rPr>
        <w:t>Комисията редовно докладва на Европейския парламент, Европейския съвет и Съвета на ЕС за напредъка в създаването на ефективен и истински Съюз на сигурност. Това включва използването на нейните инструменти за правоприлагане като принос към консолидирането на Съюза на сигурност.</w:t>
      </w:r>
    </w:p>
    <w:p w:rsidR="00286241" w:rsidRDefault="00FC31FA">
      <w:pPr>
        <w:rPr>
          <w:rFonts w:ascii="Arial" w:hAnsi="Arial" w:cs="Arial"/>
          <w:noProof/>
          <w:u w:val="none"/>
          <w:lang w:val="bg-BG"/>
        </w:rPr>
      </w:pPr>
      <w:r>
        <w:rPr>
          <w:rFonts w:ascii="Arial" w:hAnsi="Arial" w:cs="Arial"/>
          <w:noProof/>
          <w:u w:val="none"/>
          <w:lang w:val="bg-BG"/>
        </w:rPr>
        <w:t xml:space="preserve">Директивата относно </w:t>
      </w:r>
      <w:hyperlink r:id="rId166">
        <w:r>
          <w:rPr>
            <w:rStyle w:val="Hyperlink"/>
            <w:rFonts w:ascii="Arial" w:hAnsi="Arial" w:cs="Arial"/>
            <w:noProof/>
            <w:lang w:val="bg-BG"/>
          </w:rPr>
          <w:t>Европейската заповед за разследване</w:t>
        </w:r>
      </w:hyperlink>
      <w:r>
        <w:rPr>
          <w:rFonts w:ascii="Arial" w:hAnsi="Arial" w:cs="Arial"/>
          <w:noProof/>
          <w:u w:val="none"/>
          <w:lang w:val="bg-BG"/>
        </w:rPr>
        <w:t xml:space="preserve"> по наказателноправни въпроси и </w:t>
      </w:r>
      <w:hyperlink r:id="rId167">
        <w:r>
          <w:rPr>
            <w:rStyle w:val="Hyperlink"/>
            <w:rFonts w:ascii="Arial" w:hAnsi="Arial" w:cs="Arial"/>
            <w:noProof/>
            <w:lang w:val="bg-BG"/>
          </w:rPr>
          <w:t>Четвъртата директива относно борбата с изпирането на пари</w:t>
        </w:r>
      </w:hyperlink>
      <w:r>
        <w:rPr>
          <w:rFonts w:ascii="Arial" w:hAnsi="Arial" w:cs="Arial"/>
          <w:noProof/>
          <w:u w:val="none"/>
          <w:lang w:val="bg-BG"/>
        </w:rPr>
        <w:t xml:space="preserve"> са основни инструменти за ефективно сътрудничество в борбата с трансграничната престъпност и тероризма. Тези директиви допринасят за целите на програмата за сигурност.</w:t>
      </w:r>
    </w:p>
    <w:p w:rsidR="00286241" w:rsidRDefault="00FC31FA">
      <w:pPr>
        <w:rPr>
          <w:rFonts w:ascii="Arial" w:hAnsi="Arial" w:cs="Arial"/>
          <w:noProof/>
          <w:u w:val="none"/>
          <w:lang w:val="bg-BG"/>
        </w:rPr>
      </w:pPr>
      <w:r>
        <w:rPr>
          <w:rFonts w:ascii="Arial" w:hAnsi="Arial" w:cs="Arial"/>
          <w:noProof/>
          <w:u w:val="none"/>
          <w:lang w:val="bg-BG"/>
        </w:rPr>
        <w:t>Четвъртата директива относно борбата с изпирането на пари укрепва съществуващите правила и прави борбата срещу изпирането на пари и финансирането на тероризма по-ефективна и по-прозрачна.</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През 2017 г. Комисията започна производства за установяване на неизпълнение на задължения срещу 18 държави членки поради липса на своевременно прилагане в националното им законодателство на Четвъртата директива относно борбата с изпирането на пари. През декември 2017 г. Комисията предприе по-нататъшни стъпки по </w:t>
            </w:r>
            <w:hyperlink r:id="rId168">
              <w:r>
                <w:rPr>
                  <w:rStyle w:val="Hyperlink"/>
                  <w:rFonts w:ascii="Arial" w:hAnsi="Arial" w:cs="Arial"/>
                  <w:noProof/>
                  <w:lang w:val="bg-BG"/>
                </w:rPr>
                <w:t>производствата за установяване на неизпълнение на задължения</w:t>
              </w:r>
            </w:hyperlink>
            <w:r>
              <w:rPr>
                <w:rFonts w:ascii="Arial" w:hAnsi="Arial" w:cs="Arial"/>
                <w:noProof/>
                <w:color w:val="FFFFFF"/>
                <w:u w:val="none"/>
                <w:lang w:val="bg-BG"/>
              </w:rPr>
              <w:t xml:space="preserve"> срещу България, Гърция, Кипър, Люксембург, Малта, Нидерландия, Полша и Румъния, тъй като те не уведомиха Комисията за въведени мерки за транспониране и законопроектите им все още се разглеждат в рамките на националните законодателни процедури. </w:t>
            </w:r>
          </w:p>
        </w:tc>
      </w:tr>
    </w:tbl>
    <w:p w:rsidR="00286241" w:rsidRDefault="00FC31FA">
      <w:pPr>
        <w:spacing w:before="200"/>
        <w:rPr>
          <w:rFonts w:ascii="Arial" w:hAnsi="Arial" w:cs="Arial"/>
          <w:noProof/>
          <w:u w:val="none"/>
          <w:lang w:val="bg-BG"/>
        </w:rPr>
      </w:pPr>
      <w:r>
        <w:rPr>
          <w:rFonts w:ascii="Arial" w:hAnsi="Arial" w:cs="Arial"/>
          <w:noProof/>
          <w:u w:val="none"/>
          <w:lang w:val="bg-BG"/>
        </w:rPr>
        <w:t>С Европейската заповед за разследване се опростява работата на съдебните органи, когато търсят доказателства в друга държава от ЕС. Ако например френските съдебни органи издирват заподозрени терористи, които се укриват в Германия, те могат да поискат от германските органи да разпитат свидетели или да извършат претърсване на домове от тяхно име. С този нов инструмент ще се опростят и ускорят трансграничните наказателни разследвания и наказателни преследвания.</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През 2017 г. Комисията започна производства за установяване на неизпълнение на задължения срещу 14 държави членки поради липса на своевременно прилагане в националното им законодателство на Директивата относно Европейската заповед за разследване.</w:t>
            </w:r>
          </w:p>
        </w:tc>
      </w:tr>
    </w:tbl>
    <w:p w:rsidR="00286241" w:rsidRDefault="00286241">
      <w:pPr>
        <w:spacing w:before="240"/>
        <w:rPr>
          <w:rFonts w:ascii="Arial" w:eastAsia="Arial Unicode MS" w:hAnsi="Arial" w:cs="Arial"/>
          <w:i/>
          <w:noProof/>
          <w:color w:val="8DB3E2" w:themeColor="text2" w:themeTint="66"/>
          <w:sz w:val="22"/>
          <w:szCs w:val="22"/>
          <w:u w:val="none"/>
          <w:lang w:val="bg-BG"/>
        </w:rPr>
      </w:pPr>
    </w:p>
    <w:p w:rsidR="00286241" w:rsidRDefault="00FC31FA">
      <w:pPr>
        <w:rPr>
          <w:rFonts w:ascii="Arial" w:hAnsi="Arial" w:cs="Arial"/>
          <w:noProof/>
          <w:lang w:val="bg-BG"/>
        </w:rPr>
      </w:pPr>
      <w:r>
        <w:rPr>
          <w:rFonts w:ascii="Arial" w:hAnsi="Arial" w:cs="Arial"/>
          <w:noProof/>
          <w:lang w:val="bg-BG"/>
        </w:rPr>
        <w:br w:type="page"/>
      </w:r>
    </w:p>
    <w:p w:rsidR="00286241" w:rsidRDefault="00FC31FA">
      <w:pPr>
        <w:pStyle w:val="kop3"/>
        <w:spacing w:before="120" w:after="120"/>
        <w:ind w:left="357" w:hanging="357"/>
        <w:rPr>
          <w:rFonts w:ascii="Arial" w:hAnsi="Arial" w:cs="Arial"/>
          <w:noProof/>
          <w:u w:val="none"/>
          <w:lang w:val="bg-BG"/>
        </w:rPr>
      </w:pPr>
      <w:bookmarkStart w:id="72" w:name="_Toc506199724"/>
      <w:bookmarkStart w:id="73" w:name="_Toc506199745"/>
      <w:bookmarkStart w:id="74" w:name="_Toc506209841"/>
      <w:bookmarkStart w:id="75" w:name="_Toc506218382"/>
      <w:bookmarkStart w:id="76" w:name="_Toc506309254"/>
      <w:bookmarkStart w:id="77" w:name="_Toc510011724"/>
      <w:bookmarkStart w:id="78" w:name="_Toc519697625"/>
      <w:bookmarkStart w:id="79" w:name="_Toc519698069"/>
      <w:r>
        <w:rPr>
          <w:rFonts w:ascii="Arial" w:hAnsi="Arial" w:cs="Arial"/>
          <w:noProof/>
          <w:u w:val="none"/>
          <w:lang w:val="bg-BG"/>
        </w:rPr>
        <w:t>Към нова политика за миграцията</w:t>
      </w:r>
      <w:bookmarkEnd w:id="71"/>
      <w:bookmarkEnd w:id="72"/>
      <w:bookmarkEnd w:id="73"/>
      <w:bookmarkEnd w:id="74"/>
      <w:bookmarkEnd w:id="75"/>
      <w:bookmarkEnd w:id="76"/>
      <w:bookmarkEnd w:id="77"/>
      <w:bookmarkEnd w:id="78"/>
      <w:bookmarkEnd w:id="79"/>
    </w:p>
    <w:p w:rsidR="00286241" w:rsidRDefault="00FC31FA">
      <w:pPr>
        <w:rPr>
          <w:rFonts w:ascii="Arial" w:hAnsi="Arial" w:cs="Arial"/>
          <w:noProof/>
          <w:u w:val="none"/>
          <w:lang w:val="bg-BG"/>
        </w:rPr>
      </w:pPr>
      <w:r>
        <w:rPr>
          <w:rFonts w:ascii="Arial" w:hAnsi="Arial" w:cs="Arial"/>
          <w:noProof/>
          <w:u w:val="none"/>
          <w:lang w:val="bg-BG"/>
        </w:rPr>
        <w:t>Политиката на Комисията по отношение на миграцията има за цел да предостави на ЕС инструменти за по-добро управление на миграцията в средносрочен и дългосрочен план. Тя обхваща незаконната миграция, границите, убежището и законната миграция</w:t>
      </w:r>
    </w:p>
    <w:p w:rsidR="00286241" w:rsidRDefault="00FC31FA">
      <w:pPr>
        <w:rPr>
          <w:rFonts w:ascii="Arial" w:hAnsi="Arial" w:cs="Arial"/>
          <w:noProof/>
          <w:u w:val="none"/>
          <w:lang w:val="bg-BG"/>
        </w:rPr>
      </w:pPr>
      <w:r>
        <w:rPr>
          <w:rFonts w:ascii="Arial" w:hAnsi="Arial" w:cs="Arial"/>
          <w:noProof/>
          <w:u w:val="none"/>
        </w:rPr>
        <w:drawing>
          <wp:inline distT="0" distB="0" distL="0" distR="0">
            <wp:extent cx="5759450" cy="32404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gration final_small.jpg"/>
                    <pic:cNvPicPr/>
                  </pic:nvPicPr>
                  <pic:blipFill>
                    <a:blip r:embed="rId169">
                      <a:extLst>
                        <a:ext uri="{28A0092B-C50C-407E-A947-70E740481C1C}">
                          <a14:useLocalDpi xmlns:a14="http://schemas.microsoft.com/office/drawing/2010/main" val="0"/>
                        </a:ext>
                      </a:extLst>
                    </a:blip>
                    <a:stretch>
                      <a:fillRect/>
                    </a:stretch>
                  </pic:blipFill>
                  <pic:spPr>
                    <a:xfrm>
                      <a:off x="0" y="0"/>
                      <a:ext cx="5759450" cy="3240405"/>
                    </a:xfrm>
                    <a:prstGeom prst="rect">
                      <a:avLst/>
                    </a:prstGeom>
                  </pic:spPr>
                </pic:pic>
              </a:graphicData>
            </a:graphic>
          </wp:inline>
        </w:drawing>
      </w:r>
    </w:p>
    <w:p w:rsidR="00286241" w:rsidRDefault="00FC31FA">
      <w:pPr>
        <w:rPr>
          <w:rFonts w:ascii="Arial" w:hAnsi="Arial" w:cs="Arial"/>
          <w:noProof/>
          <w:u w:val="none"/>
          <w:lang w:val="bg-BG"/>
        </w:rPr>
      </w:pPr>
      <w:r>
        <w:rPr>
          <w:rFonts w:ascii="Arial" w:hAnsi="Arial" w:cs="Arial"/>
          <w:noProof/>
          <w:u w:val="none"/>
          <w:lang w:val="bg-BG"/>
        </w:rPr>
        <w:t>През 2017 г. Европейската комисия засили работата по изпълнението на Европейската програма за миграцията, за да се справи с непосредствените предизвикателства, свързани с продължаващата миграционна и бежанска криза. Вниманието на Комисията беше съсредоточено върху прилагането на създадената през 2015 г. временна схема за спешно преместване с цел да се облекчи натискът върху Италия и Гърция. С редовните доклади относно преместването и презаселването на държавите членки беше напомнено за техните задължения съгласно решението на Съвета относно преместването. В докладите държавите членки, които все още не са преместили или поели ангажимент да преместят мигранти от Гърция и Италия, се призовават да го направят незабавно.</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spacing w:val="-4"/>
                <w:u w:val="none"/>
                <w:lang w:val="bg-BG"/>
              </w:rPr>
            </w:pPr>
            <w:r>
              <w:rPr>
                <w:rFonts w:ascii="Arial" w:hAnsi="Arial" w:cs="Arial"/>
                <w:noProof/>
                <w:color w:val="FFFFFF"/>
                <w:spacing w:val="-4"/>
                <w:u w:val="none"/>
                <w:lang w:val="bg-BG"/>
              </w:rPr>
              <w:t>С решенията на Съвета относно преместването от държавите членки се изисква на всеки три месеца да поемат ангажимент за налични места за преместване, с което да се осигури бърза и методична процедура за преместване. Докато всички останали държави членки осъществиха преместване или поеха ангажимент, Унгария не е предприела никакви действия от самото начало на схемата за преместване, а Полша не е преместила нито едно лице и не е поемала никакъв ангажимент от декември 2015 г. насам. Чешката република не е извършила никакви премествания от август 2016 г. и вече повече от година не е поемала никакви нови ангажименти. Предвид продължаващото неизпълнение от страна на Чешката република, Унгария и Полша на задълженията им</w:t>
            </w:r>
            <w:r>
              <w:rPr>
                <w:rFonts w:ascii="Arial" w:hAnsi="Arial" w:cs="Arial"/>
                <w:noProof/>
                <w:color w:val="FFFFFF"/>
                <w:spacing w:val="-4"/>
                <w:sz w:val="18"/>
                <w:u w:val="none"/>
                <w:lang w:val="bg-BG"/>
              </w:rPr>
              <w:t xml:space="preserve"> </w:t>
            </w:r>
            <w:r>
              <w:rPr>
                <w:rFonts w:ascii="Arial" w:hAnsi="Arial" w:cs="Arial"/>
                <w:noProof/>
                <w:color w:val="FFFFFF"/>
                <w:spacing w:val="-4"/>
                <w:u w:val="none"/>
                <w:lang w:val="bg-BG"/>
              </w:rPr>
              <w:t xml:space="preserve">съгласно решенията на Съвета относно преместването, Комисията започна </w:t>
            </w:r>
            <w:hyperlink r:id="rId170">
              <w:r>
                <w:rPr>
                  <w:rStyle w:val="Hyperlink"/>
                  <w:rFonts w:ascii="Arial" w:hAnsi="Arial" w:cs="Arial"/>
                  <w:noProof/>
                  <w:spacing w:val="-4"/>
                  <w:lang w:val="bg-BG"/>
                </w:rPr>
                <w:t>производства за установяване на неизпълнение на задължения</w:t>
              </w:r>
            </w:hyperlink>
            <w:r>
              <w:rPr>
                <w:rFonts w:ascii="Arial" w:hAnsi="Arial" w:cs="Arial"/>
                <w:noProof/>
                <w:color w:val="FFFFFF"/>
                <w:spacing w:val="-4"/>
                <w:u w:val="none"/>
                <w:lang w:val="bg-BG"/>
              </w:rPr>
              <w:t xml:space="preserve"> срещу тези три държави членки.</w:t>
            </w:r>
          </w:p>
        </w:tc>
      </w:tr>
    </w:tbl>
    <w:p w:rsidR="00286241" w:rsidRDefault="00FC31FA">
      <w:pPr>
        <w:spacing w:before="200"/>
        <w:rPr>
          <w:rFonts w:ascii="Arial" w:hAnsi="Arial" w:cs="Arial"/>
          <w:noProof/>
          <w:u w:val="none"/>
          <w:lang w:val="bg-BG"/>
        </w:rPr>
      </w:pPr>
      <w:r>
        <w:rPr>
          <w:rFonts w:ascii="Arial" w:hAnsi="Arial" w:cs="Arial"/>
          <w:noProof/>
          <w:u w:val="none"/>
          <w:lang w:val="bg-BG"/>
        </w:rPr>
        <w:t xml:space="preserve">Комисията продължи да наблюдава прилагането на правото на ЕС в областта на миграцията и убежището, по-специално на </w:t>
      </w:r>
      <w:hyperlink r:id="rId171">
        <w:r>
          <w:rPr>
            <w:rStyle w:val="Hyperlink"/>
            <w:rFonts w:ascii="Arial" w:hAnsi="Arial" w:cs="Arial"/>
            <w:noProof/>
            <w:lang w:val="bg-BG"/>
          </w:rPr>
          <w:t>Директивата за процедурите за убежище</w:t>
        </w:r>
      </w:hyperlink>
      <w:r>
        <w:rPr>
          <w:rFonts w:ascii="Arial" w:hAnsi="Arial" w:cs="Arial"/>
          <w:noProof/>
          <w:u w:val="none"/>
          <w:lang w:val="bg-BG"/>
        </w:rPr>
        <w:t xml:space="preserve">, </w:t>
      </w:r>
      <w:hyperlink r:id="rId172">
        <w:r>
          <w:rPr>
            <w:rStyle w:val="Hyperlink"/>
            <w:rFonts w:ascii="Arial" w:hAnsi="Arial" w:cs="Arial"/>
            <w:noProof/>
            <w:lang w:val="bg-BG"/>
          </w:rPr>
          <w:t>Директивата за условията на приемане</w:t>
        </w:r>
      </w:hyperlink>
      <w:r>
        <w:rPr>
          <w:rFonts w:ascii="Arial" w:hAnsi="Arial" w:cs="Arial"/>
          <w:noProof/>
          <w:u w:val="none"/>
          <w:lang w:val="bg-BG"/>
        </w:rPr>
        <w:t xml:space="preserve"> и </w:t>
      </w:r>
      <w:hyperlink r:id="rId173">
        <w:r>
          <w:rPr>
            <w:rStyle w:val="Hyperlink"/>
            <w:rFonts w:ascii="Arial" w:hAnsi="Arial" w:cs="Arial"/>
            <w:noProof/>
            <w:lang w:val="bg-BG"/>
          </w:rPr>
          <w:t>Директивата относно връщането</w:t>
        </w:r>
      </w:hyperlink>
      <w:r>
        <w:rPr>
          <w:rFonts w:ascii="Arial" w:hAnsi="Arial" w:cs="Arial"/>
          <w:noProof/>
          <w:u w:val="none"/>
          <w:lang w:val="bg-BG"/>
        </w:rPr>
        <w:t>.</w:t>
      </w:r>
    </w:p>
    <w:p w:rsidR="00286241" w:rsidRDefault="00FC31FA">
      <w:pPr>
        <w:rPr>
          <w:rFonts w:ascii="Arial" w:hAnsi="Arial" w:cs="Arial"/>
          <w:noProof/>
          <w:u w:val="none"/>
          <w:lang w:val="bg-BG"/>
        </w:rPr>
      </w:pPr>
      <w:r>
        <w:rPr>
          <w:rFonts w:ascii="Arial" w:hAnsi="Arial" w:cs="Arial"/>
          <w:noProof/>
          <w:u w:val="none"/>
          <w:lang w:val="bg-BG"/>
        </w:rPr>
        <w:t>В Директивата за процедурите за убежище се определят правила във връзка с процеса на подаване на молба за убежище. Те включват начините за кандидатстване и за разглеждане на молбата, вида помощ, която ще бъде предоставена на кандидата за убежище, начините за обжалване и начините на действие при повтарящи се молби.</w:t>
      </w:r>
    </w:p>
    <w:p w:rsidR="00286241" w:rsidRDefault="00FC31FA">
      <w:pPr>
        <w:rPr>
          <w:rFonts w:ascii="Arial" w:hAnsi="Arial" w:cs="Arial"/>
          <w:noProof/>
          <w:u w:val="none"/>
          <w:lang w:val="bg-BG"/>
        </w:rPr>
      </w:pPr>
      <w:r>
        <w:rPr>
          <w:rFonts w:ascii="Arial" w:hAnsi="Arial" w:cs="Arial"/>
          <w:noProof/>
          <w:u w:val="none"/>
          <w:lang w:val="bg-BG"/>
        </w:rPr>
        <w:t>С Директивата за условията на приемане се цели да се гарантира достоен стандарт на живот за лицата, търсещи убежище в ЕС, и зачитане на човешките им права. С нея се гарантира, че лицата, търсещи убежище, имат достъп до жилищно настаняване, образование за ненавършилите пълнолетие и достъп до заетост при определени условия.</w:t>
      </w:r>
    </w:p>
    <w:p w:rsidR="00286241" w:rsidRDefault="00FC31FA">
      <w:pPr>
        <w:rPr>
          <w:rFonts w:ascii="Arial" w:hAnsi="Arial" w:cs="Arial"/>
          <w:noProof/>
          <w:u w:val="none"/>
          <w:lang w:val="bg-BG"/>
        </w:rPr>
      </w:pPr>
      <w:r>
        <w:rPr>
          <w:rFonts w:ascii="Arial" w:hAnsi="Arial" w:cs="Arial"/>
          <w:noProof/>
          <w:u w:val="none"/>
          <w:lang w:val="bg-BG"/>
        </w:rPr>
        <w:t>В Директивата относно връщането се определят общи стандарти и процедури за държавите от ЕС, съгласно които граждани на трети държави, чийто престой е незаконен, могат да бъдат извеждани от територията на държавите членки. В нея се определят разпоредби за прекратяване на незаконен престой и за задържане на граждани на трети държави с цел тяхното извеждане, както и се осигуряват процедурни гаранции.</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6"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Комисията реагира на опасенията във връзка с измененията в законодателството на Унгария относно убежището и миграцията, въведени през март 2017 г. Тези опасения бяха свързани с това доколко измененията са в съответствие с правото на ЕС в областта на миграцията и убежището, по-специално с Директивата за процедурите за убежище, Директивата за условията на приемане и Директивата относно връщането, както и с няколко разпоредби от Хартата на основните права. След редица обсъждания с унгарските органи както на политическо, така и на техническо равнище Комисията предприе допълнителни стъпки по </w:t>
            </w:r>
            <w:hyperlink r:id="rId174">
              <w:r>
                <w:rPr>
                  <w:rStyle w:val="Hyperlink"/>
                  <w:rFonts w:ascii="Arial" w:hAnsi="Arial" w:cs="Arial"/>
                  <w:noProof/>
                  <w:lang w:val="bg-BG"/>
                </w:rPr>
                <w:t>производството за установяване на неизпълнение на задължения</w:t>
              </w:r>
            </w:hyperlink>
            <w:r>
              <w:rPr>
                <w:rFonts w:ascii="Arial" w:hAnsi="Arial" w:cs="Arial"/>
                <w:noProof/>
                <w:color w:val="FFFFFF"/>
                <w:u w:val="none"/>
                <w:lang w:val="bg-BG"/>
              </w:rPr>
              <w:t xml:space="preserve"> срещу Унгария.</w:t>
            </w:r>
          </w:p>
        </w:tc>
      </w:tr>
    </w:tbl>
    <w:p w:rsidR="00286241" w:rsidRDefault="00FC31FA">
      <w:pPr>
        <w:spacing w:before="200"/>
        <w:rPr>
          <w:rFonts w:ascii="Arial" w:hAnsi="Arial" w:cs="Arial"/>
          <w:noProof/>
          <w:u w:val="none"/>
          <w:lang w:val="bg-BG"/>
        </w:rPr>
      </w:pPr>
      <w:r>
        <w:rPr>
          <w:rFonts w:ascii="Arial" w:hAnsi="Arial" w:cs="Arial"/>
          <w:noProof/>
          <w:u w:val="none"/>
          <w:lang w:val="bg-BG"/>
        </w:rPr>
        <w:t>Комисията продължи да наблюдава правилното прилагане на Регламента за Евродак, с който от държавите членки се изисква да вземат пръстови отпечатъци от незаконните мигранти и кандидатите за убежище. Ефективното прилагане на Регламента за Евродак е от съществено значение за функционирането на Регламента от Дъблин и на схемите на ЕС за преместване при определянето коя държава от ЕС отговаря за разглеждането на дадена молба за убежище.</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През 2017 г. Комисията предприе допълнителни действия по </w:t>
            </w:r>
            <w:hyperlink r:id="rId175">
              <w:r>
                <w:rPr>
                  <w:rStyle w:val="Hyperlink"/>
                  <w:rFonts w:ascii="Arial" w:hAnsi="Arial" w:cs="Arial"/>
                  <w:noProof/>
                  <w:lang w:val="bg-BG"/>
                </w:rPr>
                <w:t>производство за установяване на неизпълнение на задължения</w:t>
              </w:r>
            </w:hyperlink>
            <w:r>
              <w:rPr>
                <w:rFonts w:ascii="Arial" w:hAnsi="Arial" w:cs="Arial"/>
                <w:noProof/>
                <w:color w:val="FFFFFF"/>
                <w:u w:val="none"/>
                <w:lang w:val="bg-BG"/>
              </w:rPr>
              <w:t xml:space="preserve"> срещу Хърватия</w:t>
            </w:r>
            <w:r>
              <w:rPr>
                <w:rFonts w:ascii="Arial" w:hAnsi="Arial" w:cs="Arial"/>
                <w:noProof/>
                <w:color w:val="FFFFFF"/>
                <w:sz w:val="18"/>
                <w:u w:val="none"/>
                <w:lang w:val="bg-BG"/>
              </w:rPr>
              <w:t xml:space="preserve"> </w:t>
            </w:r>
            <w:r>
              <w:rPr>
                <w:rFonts w:ascii="Arial" w:hAnsi="Arial" w:cs="Arial"/>
                <w:noProof/>
                <w:color w:val="FFFFFF"/>
                <w:u w:val="none"/>
                <w:lang w:val="bg-BG"/>
              </w:rPr>
              <w:t>заради неправилно вземане на пръстови отпечатъци от лица, търсещи убежище, и от незаконни мигранти, задържани след пресичане на външната граница, както и заради непрехвърлянето на тези данни към централната база данни на Евродак.</w:t>
            </w:r>
          </w:p>
        </w:tc>
      </w:tr>
    </w:tbl>
    <w:p w:rsidR="00286241" w:rsidRDefault="00FC31FA">
      <w:pPr>
        <w:spacing w:before="200"/>
        <w:rPr>
          <w:rFonts w:ascii="Arial" w:hAnsi="Arial" w:cs="Arial"/>
          <w:noProof/>
          <w:u w:val="none"/>
          <w:lang w:val="bg-BG"/>
        </w:rPr>
      </w:pPr>
      <w:r>
        <w:rPr>
          <w:rFonts w:ascii="Arial" w:hAnsi="Arial" w:cs="Arial"/>
          <w:noProof/>
          <w:u w:val="none"/>
          <w:lang w:val="bg-BG"/>
        </w:rPr>
        <w:t>Политически приоритет в областта на законната миграция е подобряването на способността на ЕС да привлича и задържа висококвалифицирани работници. Това е необходимо с оглед подобряване на конкурентоспособността на икономиката на ЕС и справяне с демографските предизвикателства. Поради това е важно да се гарантира пълното и правилно прилагане на директивите на ЕС относно законната миграция. С тях се определят общи условия за приемането и пребиваването на граждани на трети държави.</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 xml:space="preserve">През 2017 г. Комисията започна производства за установяване на неизпълнение на задължения срещу 17 държави членки поради неуведомяване за националните мерки за прилагане на </w:t>
            </w:r>
            <w:hyperlink r:id="rId176">
              <w:r>
                <w:rPr>
                  <w:rStyle w:val="Hyperlink"/>
                  <w:rFonts w:ascii="Arial" w:hAnsi="Arial" w:cs="Arial"/>
                  <w:noProof/>
                  <w:lang w:val="bg-BG"/>
                </w:rPr>
                <w:t>Директивата относно условията за влизане и пребиваване на граждани на трети държави в рамките на вътрешнокорпоративен трансфер</w:t>
              </w:r>
            </w:hyperlink>
            <w:r>
              <w:rPr>
                <w:rStyle w:val="Hyperlink"/>
                <w:rFonts w:ascii="Arial" w:hAnsi="Arial" w:cs="Arial"/>
                <w:noProof/>
                <w:sz w:val="18"/>
                <w:lang w:val="bg-BG"/>
              </w:rPr>
              <w:t>.</w:t>
            </w:r>
            <w:r>
              <w:rPr>
                <w:rStyle w:val="Hyperlink"/>
                <w:rFonts w:ascii="Arial" w:hAnsi="Arial" w:cs="Arial"/>
                <w:noProof/>
                <w:color w:val="auto"/>
                <w:sz w:val="18"/>
                <w:u w:val="none"/>
                <w:lang w:val="bg-BG"/>
              </w:rPr>
              <w:t xml:space="preserve"> </w:t>
            </w:r>
            <w:r>
              <w:rPr>
                <w:rFonts w:ascii="Arial" w:hAnsi="Arial" w:cs="Arial"/>
                <w:noProof/>
                <w:color w:val="FFFFFF"/>
                <w:u w:val="none"/>
                <w:lang w:val="bg-BG"/>
              </w:rPr>
              <w:t>Тези граждани на трети държави често са висококвалифицирани.</w:t>
            </w:r>
          </w:p>
        </w:tc>
      </w:tr>
    </w:tbl>
    <w:p w:rsidR="00286241" w:rsidRDefault="00FC31FA">
      <w:pPr>
        <w:spacing w:before="200"/>
        <w:rPr>
          <w:rFonts w:ascii="Arial" w:hAnsi="Arial" w:cs="Arial"/>
          <w:noProof/>
          <w:u w:val="none"/>
          <w:lang w:val="bg-BG"/>
        </w:rPr>
      </w:pPr>
      <w:r>
        <w:rPr>
          <w:rFonts w:ascii="Arial" w:hAnsi="Arial" w:cs="Arial"/>
          <w:noProof/>
          <w:u w:val="none"/>
          <w:lang w:val="bg-BG"/>
        </w:rPr>
        <w:t xml:space="preserve">Комисията продължи да наблюдава прилагането и на други директиви и започна </w:t>
      </w:r>
      <w:hyperlink r:id="rId177">
        <w:r>
          <w:rPr>
            <w:rStyle w:val="Hyperlink"/>
            <w:rFonts w:ascii="Arial" w:hAnsi="Arial" w:cs="Arial"/>
            <w:noProof/>
            <w:lang w:val="bg-BG"/>
          </w:rPr>
          <w:t>производства за установяване на неизпълнение на задължения</w:t>
        </w:r>
      </w:hyperlink>
      <w:r>
        <w:rPr>
          <w:rFonts w:ascii="Arial" w:hAnsi="Arial" w:cs="Arial"/>
          <w:noProof/>
          <w:u w:val="none"/>
          <w:lang w:val="bg-BG"/>
        </w:rPr>
        <w:t xml:space="preserve"> във връзка по-специално с непропорционални такси, събирани от държави членки за издаване на разрешения за пребиваване на граждани на трети държави.</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rsidR="00286241" w:rsidRPr="00DE62F9">
        <w:tc>
          <w:tcPr>
            <w:tcW w:w="9288" w:type="dxa"/>
            <w:shd w:val="clear" w:color="auto" w:fill="8DB3E2" w:themeFill="text2" w:themeFillTint="66"/>
          </w:tcPr>
          <w:p w:rsidR="00286241" w:rsidRDefault="00FC31FA">
            <w:pPr>
              <w:spacing w:before="60" w:after="60" w:line="240" w:lineRule="auto"/>
              <w:rPr>
                <w:rFonts w:ascii="Arial" w:hAnsi="Arial" w:cs="Arial"/>
                <w:noProof/>
                <w:color w:val="FFFFFF"/>
                <w:u w:val="none"/>
                <w:lang w:val="bg-BG"/>
              </w:rPr>
            </w:pPr>
            <w:r>
              <w:rPr>
                <w:rFonts w:ascii="Arial" w:hAnsi="Arial" w:cs="Arial"/>
                <w:noProof/>
                <w:color w:val="FFFFFF"/>
                <w:u w:val="none"/>
                <w:lang w:val="bg-BG"/>
              </w:rPr>
              <w:t>През 2017 г. Комисията приключи производствата за установяване на неизпълнение на задължения срещу България и Италия, тъй като те въведоха изменения в националното си законодателство с цел намаляване на таксите за издаване на разрешения за пребиваване на граждани на трети държави.</w:t>
            </w:r>
          </w:p>
        </w:tc>
      </w:tr>
      <w:bookmarkEnd w:id="15"/>
    </w:tbl>
    <w:p w:rsidR="00286241" w:rsidRDefault="00286241">
      <w:pPr>
        <w:rPr>
          <w:rFonts w:ascii="Arial" w:hAnsi="Arial" w:cs="Arial"/>
          <w:noProof/>
          <w:lang w:val="bg-BG"/>
        </w:rPr>
      </w:pPr>
    </w:p>
    <w:sectPr w:rsidR="00286241">
      <w:headerReference w:type="even" r:id="rId178"/>
      <w:headerReference w:type="default" r:id="rId179"/>
      <w:footerReference w:type="even" r:id="rId180"/>
      <w:footerReference w:type="default" r:id="rId181"/>
      <w:headerReference w:type="first" r:id="rId182"/>
      <w:footerReference w:type="first" r:id="rId183"/>
      <w:pgSz w:w="11906" w:h="16838" w:code="9"/>
      <w:pgMar w:top="1418" w:right="1418" w:bottom="1418" w:left="1418" w:header="454" w:footer="70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241" w:rsidRDefault="00FC31FA">
      <w:pPr>
        <w:spacing w:after="0" w:line="240" w:lineRule="auto"/>
      </w:pPr>
      <w:r>
        <w:separator/>
      </w:r>
    </w:p>
  </w:endnote>
  <w:endnote w:type="continuationSeparator" w:id="0">
    <w:p w:rsidR="00286241" w:rsidRDefault="00FC31FA">
      <w:pPr>
        <w:spacing w:after="0" w:line="240" w:lineRule="auto"/>
      </w:pPr>
      <w:r>
        <w:continuationSeparator/>
      </w:r>
    </w:p>
  </w:endnote>
  <w:endnote w:type="continuationNotice" w:id="1">
    <w:p w:rsidR="00286241" w:rsidRDefault="002862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241" w:rsidRDefault="002862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241" w:rsidRDefault="00FC31FA">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241" w:rsidRDefault="00286241">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241" w:rsidRDefault="0028624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241" w:rsidRDefault="00FC31FA">
    <w:pPr>
      <w:pStyle w:val="Footer"/>
      <w:jc w:val="center"/>
    </w:pPr>
    <w:r>
      <w:rPr>
        <w:u w:val="none"/>
      </w:rPr>
      <w:fldChar w:fldCharType="begin"/>
    </w:r>
    <w:r>
      <w:rPr>
        <w:u w:val="none"/>
      </w:rPr>
      <w:instrText xml:space="preserve"> PAGE   \* MERGEFORMAT </w:instrText>
    </w:r>
    <w:r>
      <w:rPr>
        <w:u w:val="none"/>
      </w:rPr>
      <w:fldChar w:fldCharType="separate"/>
    </w:r>
    <w:r w:rsidR="00DE62F9">
      <w:rPr>
        <w:noProof/>
        <w:u w:val="none"/>
      </w:rPr>
      <w:t>41</w:t>
    </w:r>
    <w:r>
      <w:rPr>
        <w:u w:val="none"/>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241" w:rsidRDefault="00FC31FA">
    <w:pPr>
      <w:pStyle w:val="Footer"/>
      <w:jc w:val="center"/>
      <w:rPr>
        <w:u w:val="none"/>
      </w:rPr>
    </w:pPr>
    <w:r>
      <w:rPr>
        <w:u w:val="none"/>
      </w:rPr>
      <w:fldChar w:fldCharType="begin"/>
    </w:r>
    <w:r>
      <w:rPr>
        <w:u w:val="none"/>
      </w:rPr>
      <w:instrText xml:space="preserve"> PAGE   \* MERGEFORMAT </w:instrText>
    </w:r>
    <w:r>
      <w:rPr>
        <w:u w:val="none"/>
      </w:rPr>
      <w:fldChar w:fldCharType="separate"/>
    </w:r>
    <w:r w:rsidR="00DE62F9">
      <w:rPr>
        <w:noProof/>
        <w:u w:val="none"/>
      </w:rPr>
      <w:t>1</w:t>
    </w:r>
    <w:r>
      <w:rPr>
        <w:u w: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241" w:rsidRDefault="00FC31FA">
      <w:pPr>
        <w:spacing w:after="0" w:line="240" w:lineRule="auto"/>
      </w:pPr>
      <w:r>
        <w:separator/>
      </w:r>
    </w:p>
  </w:footnote>
  <w:footnote w:type="continuationSeparator" w:id="0">
    <w:p w:rsidR="00286241" w:rsidRDefault="00FC31FA">
      <w:pPr>
        <w:spacing w:after="0" w:line="240" w:lineRule="auto"/>
      </w:pPr>
      <w:r>
        <w:continuationSeparator/>
      </w:r>
    </w:p>
  </w:footnote>
  <w:footnote w:type="continuationNotice" w:id="1">
    <w:p w:rsidR="00286241" w:rsidRDefault="0028624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241" w:rsidRDefault="002862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241" w:rsidRDefault="00286241">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241" w:rsidRDefault="00286241">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241" w:rsidRDefault="0028624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241" w:rsidRDefault="00FC31FA">
    <w:pPr>
      <w:tabs>
        <w:tab w:val="center" w:pos="4153"/>
        <w:tab w:val="left" w:pos="7513"/>
        <w:tab w:val="right" w:pos="8306"/>
      </w:tabs>
      <w:spacing w:after="0"/>
      <w:ind w:left="4153" w:hanging="4153"/>
      <w:jc w:val="center"/>
    </w:pPr>
    <w:r>
      <w:rPr>
        <w:noProof/>
      </w:rPr>
      <mc:AlternateContent>
        <mc:Choice Requires="wps">
          <w:drawing>
            <wp:anchor distT="0" distB="0" distL="114300" distR="114300" simplePos="0" relativeHeight="251681280" behindDoc="0" locked="0" layoutInCell="1" allowOverlap="1">
              <wp:simplePos x="0" y="0"/>
              <wp:positionH relativeFrom="column">
                <wp:posOffset>4814570</wp:posOffset>
              </wp:positionH>
              <wp:positionV relativeFrom="paragraph">
                <wp:posOffset>214630</wp:posOffset>
              </wp:positionV>
              <wp:extent cx="1884680" cy="219075"/>
              <wp:effectExtent l="0" t="0" r="1270"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4680" cy="219075"/>
                      </a:xfrm>
                      <a:prstGeom prst="rect">
                        <a:avLst/>
                      </a:prstGeom>
                      <a:solidFill>
                        <a:srgbClr val="004194"/>
                      </a:solidFill>
                      <a:ln w="25400" cap="flat" cmpd="sng" algn="ctr">
                        <a:noFill/>
                        <a:prstDash val="solid"/>
                      </a:ln>
                      <a:effectLst/>
                    </wps:spPr>
                    <wps:txbx>
                      <w:txbxContent>
                        <w:p w:rsidR="00286241" w:rsidRDefault="002862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2" o:spid="_x0000_s1026" style="position:absolute;left:0;text-align:left;margin-left:379.1pt;margin-top:16.9pt;width:148.4pt;height:17.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" fillcolor="#004194" stroked="f" strokeweight="2pt">
              <v:path arrowok="t"/>
              <v:textbox>
                <w:txbxContent>
                  <w:p>
                    <w:pPr>
                      <w:jc w:val="center"/>
                    </w:pPr>
                  </w:p>
                </w:txbxContent>
              </v:textbox>
            </v:rect>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-1007110</wp:posOffset>
              </wp:positionH>
              <wp:positionV relativeFrom="paragraph">
                <wp:posOffset>214630</wp:posOffset>
              </wp:positionV>
              <wp:extent cx="1803400" cy="219075"/>
              <wp:effectExtent l="0" t="0" r="6350" b="952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79.3pt;margin-top:16.9pt;width:142pt;height:1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" fillcolor="#004194" stroked="f" strokeweight="2pt">
              <v:path arrowok="t"/>
            </v:rect>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207645</wp:posOffset>
              </wp:positionH>
              <wp:positionV relativeFrom="paragraph">
                <wp:posOffset>-64770</wp:posOffset>
              </wp:positionV>
              <wp:extent cx="5473700" cy="4445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444500"/>
                      </a:xfrm>
                      <a:prstGeom prst="rect">
                        <a:avLst/>
                      </a:prstGeom>
                      <a:noFill/>
                      <a:ln w="9525">
                        <a:noFill/>
                        <a:miter lim="800000"/>
                        <a:headEnd/>
                        <a:tailEnd/>
                      </a:ln>
                    </wps:spPr>
                    <wps:txbx>
                      <w:txbxContent>
                        <w:p w:rsidR="00286241" w:rsidRDefault="00FC31FA">
                          <w:pPr>
                            <w:spacing w:after="0"/>
                            <w:jc w:val="center"/>
                            <w:rPr>
                              <w:rFonts w:ascii="Arial" w:hAnsi="Arial" w:cs="Arial"/>
                              <w:b/>
                              <w:color w:val="004194"/>
                              <w:u w:val="none"/>
                            </w:rPr>
                          </w:pPr>
                          <w:r>
                            <w:rPr>
                              <w:rFonts w:ascii="Arial" w:hAnsi="Arial" w:cs="Arial"/>
                              <w:color w:val="004194"/>
                              <w:u w:val="none"/>
                            </w:rPr>
                            <w:t>Мониторинг върху прилагането на правото на Европейския съюз</w:t>
                          </w:r>
                        </w:p>
                        <w:p w:rsidR="00286241" w:rsidRDefault="00FC31FA">
                          <w:pPr>
                            <w:spacing w:after="0"/>
                            <w:jc w:val="center"/>
                            <w:rPr>
                              <w:rFonts w:ascii="Arial" w:hAnsi="Arial" w:cs="Arial"/>
                              <w:b/>
                              <w:color w:val="004194"/>
                              <w:u w:val="none"/>
                            </w:rPr>
                          </w:pPr>
                          <w:r>
                            <w:rPr>
                              <w:rFonts w:ascii="Arial" w:hAnsi="Arial" w:cs="Arial"/>
                              <w:color w:val="004194"/>
                              <w:u w:val="none"/>
                            </w:rPr>
                            <w:t>Годишен доклад за 2017 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6.35pt;margin-top:-5.1pt;width:431pt;height: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" filled="f" stroked="f">
              <v:textbox>
                <w:txbxContent>
                  <w:p>
                    <w:pPr>
                      <w:spacing w:after="0"/>
                      <w:jc w:val="center"/>
                      <w:rPr>
                        <w:rFonts w:ascii="Arial" w:hAnsi="Arial" w:cs="Arial"/>
                        <w:b/>
                        <w:color w:val="004194"/>
                        <w:u w:val="none"/>
                      </w:rPr>
                    </w:pPr>
                    <w:r>
                      <w:rPr>
                        <w:rFonts w:ascii="Arial" w:hAnsi="Arial" w:cs="Arial"/>
                        <w:color w:val="004194"/>
                        <w:u w:val="none"/>
                      </w:rPr>
                      <w:t>Мониторинг върху прилагането на правото на Европейския съюз</w:t>
                    </w:r>
                  </w:p>
                  <w:p>
                    <w:pPr>
                      <w:spacing w:after="0"/>
                      <w:jc w:val="center"/>
                      <w:rPr>
                        <w:rFonts w:ascii="Arial" w:hAnsi="Arial" w:cs="Arial"/>
                        <w:b/>
                        <w:color w:val="004194"/>
                        <w:u w:val="none"/>
                      </w:rPr>
                    </w:pPr>
                    <w:r>
                      <w:rPr>
                        <w:rFonts w:ascii="Arial" w:hAnsi="Arial" w:cs="Arial"/>
                        <w:color w:val="004194"/>
                        <w:u w:val="none"/>
                      </w:rPr>
                      <w:t>Годишен доклад за 2017 г.</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241" w:rsidRDefault="00FC31FA">
    <w:pPr>
      <w:tabs>
        <w:tab w:val="center" w:pos="4153"/>
        <w:tab w:val="left" w:pos="7513"/>
        <w:tab w:val="right" w:pos="8306"/>
      </w:tabs>
      <w:spacing w:after="0"/>
      <w:ind w:left="4153" w:hanging="4153"/>
      <w:jc w:val="center"/>
    </w:pPr>
    <w:r>
      <w:rPr>
        <w:noProof/>
      </w:rPr>
      <mc:AlternateContent>
        <mc:Choice Requires="wps">
          <w:drawing>
            <wp:anchor distT="0" distB="0" distL="114300" distR="114300" simplePos="0" relativeHeight="251683328" behindDoc="0" locked="0" layoutInCell="1" allowOverlap="1">
              <wp:simplePos x="0" y="0"/>
              <wp:positionH relativeFrom="column">
                <wp:posOffset>140970</wp:posOffset>
              </wp:positionH>
              <wp:positionV relativeFrom="paragraph">
                <wp:posOffset>-42545</wp:posOffset>
              </wp:positionV>
              <wp:extent cx="5473700" cy="4445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444500"/>
                      </a:xfrm>
                      <a:prstGeom prst="rect">
                        <a:avLst/>
                      </a:prstGeom>
                      <a:noFill/>
                      <a:ln w="9525">
                        <a:noFill/>
                        <a:miter lim="800000"/>
                        <a:headEnd/>
                        <a:tailEnd/>
                      </a:ln>
                    </wps:spPr>
                    <wps:txbx>
                      <w:txbxContent>
                        <w:p w:rsidR="00286241" w:rsidRDefault="00FC31FA">
                          <w:pPr>
                            <w:spacing w:after="0"/>
                            <w:jc w:val="center"/>
                            <w:rPr>
                              <w:rFonts w:ascii="Arial" w:hAnsi="Arial" w:cs="Arial"/>
                              <w:b/>
                              <w:color w:val="004194"/>
                              <w:u w:val="none"/>
                            </w:rPr>
                          </w:pPr>
                          <w:r>
                            <w:rPr>
                              <w:rFonts w:ascii="Arial" w:hAnsi="Arial" w:cs="Arial"/>
                              <w:color w:val="004194"/>
                              <w:u w:val="none"/>
                            </w:rPr>
                            <w:t>Мониторинг върху прилагането на правото на Европейския съюз</w:t>
                          </w:r>
                        </w:p>
                        <w:p w:rsidR="00286241" w:rsidRDefault="00FC31FA">
                          <w:pPr>
                            <w:spacing w:after="0"/>
                            <w:jc w:val="center"/>
                            <w:rPr>
                              <w:rFonts w:ascii="Arial" w:hAnsi="Arial" w:cs="Arial"/>
                              <w:b/>
                              <w:color w:val="004194"/>
                              <w:u w:val="none"/>
                            </w:rPr>
                          </w:pPr>
                          <w:r>
                            <w:rPr>
                              <w:rFonts w:ascii="Arial" w:hAnsi="Arial" w:cs="Arial"/>
                              <w:color w:val="004194"/>
                              <w:u w:val="none"/>
                            </w:rPr>
                            <w:t>Годишен доклад за 2017 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1.1pt;margin-top:-3.35pt;width:431pt;height: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" filled="f" stroked="f">
              <v:textbox>
                <w:txbxContent>
                  <w:p>
                    <w:pPr>
                      <w:spacing w:after="0"/>
                      <w:jc w:val="center"/>
                      <w:rPr>
                        <w:rFonts w:ascii="Arial" w:hAnsi="Arial" w:cs="Arial"/>
                        <w:b/>
                        <w:color w:val="004194"/>
                        <w:u w:val="none"/>
                      </w:rPr>
                    </w:pPr>
                    <w:r>
                      <w:rPr>
                        <w:rFonts w:ascii="Arial" w:hAnsi="Arial" w:cs="Arial"/>
                        <w:color w:val="004194"/>
                        <w:u w:val="none"/>
                      </w:rPr>
                      <w:t>Мониторинг върху прилагането на правото на Европейския съюз</w:t>
                    </w:r>
                  </w:p>
                  <w:p>
                    <w:pPr>
                      <w:spacing w:after="0"/>
                      <w:jc w:val="center"/>
                      <w:rPr>
                        <w:rFonts w:ascii="Arial" w:hAnsi="Arial" w:cs="Arial"/>
                        <w:b/>
                        <w:color w:val="004194"/>
                        <w:u w:val="none"/>
                      </w:rPr>
                    </w:pPr>
                    <w:r>
                      <w:rPr>
                        <w:rFonts w:ascii="Arial" w:hAnsi="Arial" w:cs="Arial"/>
                        <w:color w:val="004194"/>
                        <w:u w:val="none"/>
                      </w:rPr>
                      <w:t>Годишен доклад за 2017 г.</w:t>
                    </w:r>
                  </w:p>
                </w:txbxContent>
              </v:textbox>
            </v:shape>
          </w:pict>
        </mc:Fallback>
      </mc:AlternateContent>
    </w:r>
  </w:p>
  <w:p w:rsidR="00286241" w:rsidRDefault="00FC31FA">
    <w:pPr>
      <w:pStyle w:val="Header"/>
    </w:pPr>
    <w:r>
      <w:rPr>
        <w:noProof/>
      </w:rPr>
      <mc:AlternateContent>
        <mc:Choice Requires="wps">
          <w:drawing>
            <wp:anchor distT="0" distB="0" distL="114300" distR="114300" simplePos="0" relativeHeight="251685376" behindDoc="0" locked="0" layoutInCell="1" allowOverlap="1">
              <wp:simplePos x="0" y="0"/>
              <wp:positionH relativeFrom="column">
                <wp:posOffset>4814570</wp:posOffset>
              </wp:positionH>
              <wp:positionV relativeFrom="paragraph">
                <wp:posOffset>62865</wp:posOffset>
              </wp:positionV>
              <wp:extent cx="1835150" cy="219075"/>
              <wp:effectExtent l="0" t="0" r="0" b="952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6" o:spid="_x0000_s1026" style="position:absolute;margin-left:379.1pt;margin-top:4.95pt;width:144.5pt;height:17.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" fillcolor="#004194" stroked="f" strokeweight="2pt">
              <v:path arrowok="t"/>
            </v:rect>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-900430</wp:posOffset>
              </wp:positionH>
              <wp:positionV relativeFrom="paragraph">
                <wp:posOffset>75565</wp:posOffset>
              </wp:positionV>
              <wp:extent cx="1803400" cy="219075"/>
              <wp:effectExtent l="0" t="0" r="6350" b="952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70.9pt;margin-top:5.95pt;width:142pt;height:1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" fillcolor="#004194" stroked="f" strokeweight="2pt">
              <v:path arrowok="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8D7BEA"/>
    <w:multiLevelType w:val="hybridMultilevel"/>
    <w:tmpl w:val="D3808FF6"/>
    <w:lvl w:ilvl="0" w:tplc="53649850">
      <w:start w:val="1"/>
      <w:numFmt w:val="lowerLetter"/>
      <w:pStyle w:val="Lijstje"/>
      <w:lvlText w:val="%1)"/>
      <w:lvlJc w:val="left"/>
      <w:pPr>
        <w:ind w:left="1419" w:hanging="705"/>
      </w:pPr>
      <w:rPr>
        <w:rFonts w:hint="default"/>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4">
    <w:nsid w:val="17F54380"/>
    <w:multiLevelType w:val="hybridMultilevel"/>
    <w:tmpl w:val="7DFA5CD4"/>
    <w:lvl w:ilvl="0" w:tplc="7A7A0B3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F1E081D"/>
    <w:multiLevelType w:val="hybridMultilevel"/>
    <w:tmpl w:val="F3FE0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734306"/>
    <w:multiLevelType w:val="multilevel"/>
    <w:tmpl w:val="406E0E7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6BF1488"/>
    <w:multiLevelType w:val="multilevel"/>
    <w:tmpl w:val="A60C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1">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3">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A7730C4"/>
    <w:multiLevelType w:val="singleLevel"/>
    <w:tmpl w:val="456C96DE"/>
    <w:lvl w:ilvl="0">
      <w:start w:val="1"/>
      <w:numFmt w:val="bullet"/>
      <w:lvlText w:val=""/>
      <w:lvlJc w:val="left"/>
      <w:pPr>
        <w:tabs>
          <w:tab w:val="num" w:pos="765"/>
        </w:tabs>
        <w:ind w:left="765" w:hanging="283"/>
      </w:pPr>
      <w:rPr>
        <w:rFonts w:ascii="Symbol" w:hAnsi="Symbol"/>
      </w:rPr>
    </w:lvl>
  </w:abstractNum>
  <w:abstractNum w:abstractNumId="15">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6">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7">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8">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20">
    <w:nsid w:val="507B4F44"/>
    <w:multiLevelType w:val="hybridMultilevel"/>
    <w:tmpl w:val="7308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2">
    <w:nsid w:val="5B1F74FB"/>
    <w:multiLevelType w:val="hybridMultilevel"/>
    <w:tmpl w:val="1BD8B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4">
    <w:nsid w:val="5EA36AE3"/>
    <w:multiLevelType w:val="hybridMultilevel"/>
    <w:tmpl w:val="C172E006"/>
    <w:lvl w:ilvl="0" w:tplc="BF86F04E">
      <w:start w:val="1"/>
      <w:numFmt w:val="bullet"/>
      <w:pStyle w:val="Lijstje2"/>
      <w:lvlText w:val=""/>
      <w:lvlJc w:val="left"/>
      <w:pPr>
        <w:ind w:left="2137" w:hanging="360"/>
      </w:pPr>
      <w:rPr>
        <w:rFonts w:ascii="Symbol" w:hAnsi="Symbol" w:hint="default"/>
      </w:rPr>
    </w:lvl>
    <w:lvl w:ilvl="1" w:tplc="EDDCC440">
      <w:start w:val="1"/>
      <w:numFmt w:val="bullet"/>
      <w:pStyle w:val="Lijstje3"/>
      <w:lvlText w:val="o"/>
      <w:lvlJc w:val="left"/>
      <w:pPr>
        <w:ind w:left="2857" w:hanging="360"/>
      </w:pPr>
      <w:rPr>
        <w:rFonts w:ascii="Courier New" w:hAnsi="Courier New" w:cs="Courier New"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25">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6">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7">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8">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73B8387B"/>
    <w:multiLevelType w:val="hybridMultilevel"/>
    <w:tmpl w:val="73E6A5A2"/>
    <w:lvl w:ilvl="0" w:tplc="E1147942">
      <w:start w:val="1"/>
      <w:numFmt w:val="upperRoman"/>
      <w:pStyle w:val="kop2"/>
      <w:lvlText w:val="%1."/>
      <w:lvlJc w:val="righ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74A3558"/>
    <w:multiLevelType w:val="hybridMultilevel"/>
    <w:tmpl w:val="4BE2B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B9674C5"/>
    <w:multiLevelType w:val="multilevel"/>
    <w:tmpl w:val="C7FA39E2"/>
    <w:lvl w:ilvl="0">
      <w:start w:val="1"/>
      <w:numFmt w:val="decimal"/>
      <w:pStyle w:val="kop3"/>
      <w:lvlText w:val="%1."/>
      <w:lvlJc w:val="left"/>
      <w:pPr>
        <w:ind w:left="360" w:hanging="360"/>
      </w:pPr>
    </w:lvl>
    <w:lvl w:ilvl="1">
      <w:start w:val="1"/>
      <w:numFmt w:val="decimal"/>
      <w:pStyle w:val="Kop4"/>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7"/>
  </w:num>
  <w:num w:numId="4">
    <w:abstractNumId w:val="16"/>
  </w:num>
  <w:num w:numId="5">
    <w:abstractNumId w:val="10"/>
  </w:num>
  <w:num w:numId="6">
    <w:abstractNumId w:val="15"/>
  </w:num>
  <w:num w:numId="7">
    <w:abstractNumId w:val="26"/>
  </w:num>
  <w:num w:numId="8">
    <w:abstractNumId w:val="27"/>
  </w:num>
  <w:num w:numId="9">
    <w:abstractNumId w:val="12"/>
  </w:num>
  <w:num w:numId="10">
    <w:abstractNumId w:val="25"/>
  </w:num>
  <w:num w:numId="11">
    <w:abstractNumId w:val="23"/>
  </w:num>
  <w:num w:numId="12">
    <w:abstractNumId w:val="17"/>
  </w:num>
  <w:num w:numId="13">
    <w:abstractNumId w:val="21"/>
  </w:num>
  <w:num w:numId="14">
    <w:abstractNumId w:val="8"/>
  </w:num>
  <w:num w:numId="15">
    <w:abstractNumId w:val="13"/>
  </w:num>
  <w:num w:numId="16">
    <w:abstractNumId w:val="5"/>
  </w:num>
  <w:num w:numId="17">
    <w:abstractNumId w:val="11"/>
  </w:num>
  <w:num w:numId="18">
    <w:abstractNumId w:val="28"/>
  </w:num>
  <w:num w:numId="19">
    <w:abstractNumId w:val="18"/>
  </w:num>
  <w:num w:numId="20">
    <w:abstractNumId w:val="2"/>
  </w:num>
  <w:num w:numId="21">
    <w:abstractNumId w:val="19"/>
  </w:num>
  <w:num w:numId="22">
    <w:abstractNumId w:val="3"/>
  </w:num>
  <w:num w:numId="23">
    <w:abstractNumId w:val="24"/>
  </w:num>
  <w:num w:numId="24">
    <w:abstractNumId w:val="29"/>
  </w:num>
  <w:num w:numId="25">
    <w:abstractNumId w:val="31"/>
  </w:num>
  <w:num w:numId="26">
    <w:abstractNumId w:val="4"/>
  </w:num>
  <w:num w:numId="27">
    <w:abstractNumId w:val="6"/>
  </w:num>
  <w:num w:numId="28">
    <w:abstractNumId w:val="20"/>
  </w:num>
  <w:num w:numId="29">
    <w:abstractNumId w:val="31"/>
  </w:num>
  <w:num w:numId="30">
    <w:abstractNumId w:val="9"/>
  </w:num>
  <w:num w:numId="31">
    <w:abstractNumId w:val="30"/>
  </w:num>
  <w:num w:numId="32">
    <w:abstractNumId w:val="22"/>
  </w:num>
  <w:num w:numId="33">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A90548E2-47D0-401E-9B10-E95B29D9D9BF"/>
    <w:docVar w:name="LW_COVERPAGE_TYPE" w:val="1"/>
    <w:docVar w:name="LW_CROSSREFERENCE" w:val="{SWD(2018) 377 final}_x000b_{SWD(2018) 378 final}_x000b_{SWD(2018) 379 final}"/>
    <w:docVar w:name="LW_DocType" w:val="NORMAL"/>
    <w:docVar w:name="LW_EMISSION" w:val="12.7.2018"/>
    <w:docVar w:name="LW_EMISSION_ISODATE" w:val="2018-07-12"/>
    <w:docVar w:name="LW_EMISSION_LOCATION" w:val="BRX"/>
    <w:docVar w:name="LW_EMISSION_PREFIX" w:val="Брюксел, "/>
    <w:docVar w:name="LW_EMISSION_SUFFIX" w:val="\u1075?."/>
    <w:docVar w:name="LW_ID_DOCTYPE_NONLW" w:val="CP-003"/>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8) 54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u1052?\u1086?\u1085?\u1080?\u1090?\u1086?\u1088?\u1080?\u1085?\u1075? \u1074?\u1098?\u1088?\u1093?\u1091? \u1087?\u1088?\u1080?\u1083?\u1072?\u1075?\u1072?\u1085?\u1077?\u1090?\u1086? \u1085?\u1072? \u1087?\u1088?\u1072?\u1074?\u1086?\u1090?\u1086? \u1085?\u1072? \u1045?\u1074?\u1088?\u1086?\u1087?\u1077?\u1081?\u1089?\u1082?\u1080?\u1103? \u1089?\u1098?\u1102?\u1079?&lt;/FMT&gt;_x000d__x000d__x000d__x000b_&lt;FMT:Bold&gt;\u1043?\u1086?\u1076?\u1080?\u1096?\u1077?\u1085? \u1076?\u1086?\u1082?\u1083?\u1072?\u1076? \u1079?\u1072? 2017 \u1075?.&lt;/FMT&gt;"/>
    <w:docVar w:name="LW_TYPE.DOC.CP" w:val="\u1044?\u1054?\u1050?\u1051?\u1040?\u1044? \u1053?\u1040? \u1050?\u1054?\u1052?\u1048?\u1057?\u1048?\u1071?\u1058?\u1040?"/>
  </w:docVars>
  <w:rsids>
    <w:rsidRoot w:val="00286241"/>
    <w:rsid w:val="00286241"/>
    <w:rsid w:val="00DE62F9"/>
    <w:rsid w:val="00FC31FA"/>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bg-BG" w:eastAsia="bg-BG" w:bidi="bg-BG"/>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footnote text" w:uiPriority="99" w:qFormat="1"/>
    <w:lsdException w:name="annotation text" w:uiPriority="99"/>
    <w:lsdException w:name="header" w:uiPriority="99"/>
    <w:lsdException w:name="footer" w:uiPriority="99"/>
    <w:lsdException w:name="caption" w:qFormat="1"/>
    <w:lsdException w:name="footnote reference"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djustRightInd w:val="0"/>
      <w:spacing w:after="200" w:line="276" w:lineRule="auto"/>
      <w:jc w:val="both"/>
      <w:textAlignment w:val="baseline"/>
    </w:pPr>
    <w:rPr>
      <w:rFonts w:ascii="Times New Roman" w:eastAsia="Times New Roman" w:hAnsi="Times New Roman"/>
      <w:u w:val="single"/>
      <w:lang w:val="en-GB" w:eastAsia="en-GB" w:bidi="ar-SA"/>
    </w:rPr>
  </w:style>
  <w:style w:type="paragraph" w:styleId="Heading1">
    <w:name w:val="heading 1"/>
    <w:basedOn w:val="Normal"/>
    <w:next w:val="Text1"/>
    <w:link w:val="Heading1Char"/>
    <w:pPr>
      <w:keepNext/>
      <w:numPr>
        <w:numId w:val="3"/>
      </w:numPr>
      <w:spacing w:before="240" w:after="240" w:line="240" w:lineRule="auto"/>
      <w:outlineLvl w:val="0"/>
    </w:pPr>
    <w:rPr>
      <w:b/>
      <w:smallCaps/>
      <w:sz w:val="24"/>
    </w:rPr>
  </w:style>
  <w:style w:type="paragraph" w:styleId="Heading2">
    <w:name w:val="heading 2"/>
    <w:basedOn w:val="Normal"/>
    <w:next w:val="Text2"/>
    <w:link w:val="Heading2Char"/>
    <w:pPr>
      <w:keepNext/>
      <w:numPr>
        <w:ilvl w:val="1"/>
        <w:numId w:val="3"/>
      </w:numPr>
      <w:spacing w:after="240" w:line="240" w:lineRule="auto"/>
      <w:outlineLvl w:val="1"/>
    </w:pPr>
    <w:rPr>
      <w:b/>
      <w:sz w:val="24"/>
    </w:rPr>
  </w:style>
  <w:style w:type="paragraph" w:styleId="Heading3">
    <w:name w:val="heading 3"/>
    <w:basedOn w:val="Normal"/>
    <w:next w:val="Text3"/>
    <w:link w:val="Heading3Char"/>
    <w:pPr>
      <w:keepNext/>
      <w:numPr>
        <w:ilvl w:val="2"/>
        <w:numId w:val="3"/>
      </w:numPr>
      <w:spacing w:after="240" w:line="240" w:lineRule="auto"/>
      <w:outlineLvl w:val="2"/>
    </w:pPr>
    <w:rPr>
      <w:i/>
      <w:sz w:val="24"/>
    </w:rPr>
  </w:style>
  <w:style w:type="paragraph" w:styleId="Heading4">
    <w:name w:val="heading 4"/>
    <w:basedOn w:val="Normal"/>
    <w:next w:val="Text4"/>
    <w:link w:val="Heading4Char"/>
    <w:pPr>
      <w:keepNext/>
      <w:numPr>
        <w:ilvl w:val="3"/>
        <w:numId w:val="3"/>
      </w:numPr>
      <w:spacing w:after="240" w:line="240" w:lineRule="auto"/>
      <w:outlineLvl w:val="3"/>
    </w:pPr>
    <w:rPr>
      <w:sz w:val="24"/>
    </w:rPr>
  </w:style>
  <w:style w:type="paragraph" w:styleId="Heading5">
    <w:name w:val="heading 5"/>
    <w:basedOn w:val="Normal"/>
    <w:next w:val="Normal"/>
    <w:link w:val="Heading5Char"/>
    <w:pPr>
      <w:tabs>
        <w:tab w:val="num" w:pos="0"/>
      </w:tabs>
      <w:spacing w:before="240" w:after="60" w:line="240" w:lineRule="auto"/>
      <w:outlineLvl w:val="4"/>
    </w:pPr>
  </w:style>
  <w:style w:type="paragraph" w:styleId="Heading6">
    <w:name w:val="heading 6"/>
    <w:basedOn w:val="Normal"/>
    <w:next w:val="Normal"/>
    <w:link w:val="Heading6Char"/>
    <w:pPr>
      <w:tabs>
        <w:tab w:val="num" w:pos="0"/>
      </w:tabs>
      <w:spacing w:before="240" w:after="60" w:line="240" w:lineRule="auto"/>
      <w:outlineLvl w:val="5"/>
    </w:pPr>
    <w:rPr>
      <w:i/>
    </w:rPr>
  </w:style>
  <w:style w:type="paragraph" w:styleId="Heading7">
    <w:name w:val="heading 7"/>
    <w:basedOn w:val="Normal"/>
    <w:next w:val="Normal"/>
    <w:link w:val="Heading7Char"/>
    <w:pPr>
      <w:tabs>
        <w:tab w:val="num" w:pos="0"/>
      </w:tabs>
      <w:spacing w:before="240" w:after="60" w:line="240" w:lineRule="auto"/>
      <w:outlineLvl w:val="6"/>
    </w:pPr>
  </w:style>
  <w:style w:type="paragraph" w:styleId="Heading8">
    <w:name w:val="heading 8"/>
    <w:basedOn w:val="Normal"/>
    <w:next w:val="Normal"/>
    <w:link w:val="Heading8Char"/>
    <w:pPr>
      <w:tabs>
        <w:tab w:val="num" w:pos="0"/>
      </w:tabs>
      <w:spacing w:before="240" w:after="60" w:line="240" w:lineRule="auto"/>
      <w:outlineLvl w:val="7"/>
    </w:pPr>
    <w:rPr>
      <w:i/>
    </w:rPr>
  </w:style>
  <w:style w:type="paragraph" w:styleId="Heading9">
    <w:name w:val="heading 9"/>
    <w:basedOn w:val="Normal"/>
    <w:next w:val="Normal"/>
    <w:link w:val="Heading9Char"/>
    <w:pPr>
      <w:tabs>
        <w:tab w:val="num" w:pos="0"/>
      </w:tabs>
      <w:spacing w:before="240" w:after="60" w:line="240" w:lineRule="auto"/>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widowControl w:val="0"/>
      <w:adjustRightInd w:val="0"/>
      <w:spacing w:line="360" w:lineRule="atLeast"/>
      <w:jc w:val="both"/>
      <w:textAlignment w:val="baseline"/>
    </w:pPr>
    <w:rPr>
      <w:rFonts w:ascii="Times New Roman" w:eastAsia="MS Mincho" w:hAnsi="Times New Roman"/>
      <w:u w:val="single"/>
      <w:lang w:val="en-GB" w:eastAsia="en-GB" w:bidi="ar-SA"/>
    </w:rPr>
  </w:style>
  <w:style w:type="character" w:customStyle="1" w:styleId="NoSpacingChar">
    <w:name w:val="No Spacing Char"/>
    <w:link w:val="NoSpacing"/>
    <w:uiPriority w:val="1"/>
    <w:rPr>
      <w:rFonts w:eastAsia="MS Mincho"/>
      <w:lang w:val="bg-BG" w:eastAsia="bg-BG"/>
    </w:r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rPr>
      <w:rFonts w:ascii="Times New Roman" w:eastAsia="Times New Roman" w:hAnsi="Times New Roman" w:cs="Times New Roman"/>
      <w:b/>
      <w:smallCaps/>
      <w:sz w:val="24"/>
      <w:szCs w:val="20"/>
    </w:rPr>
  </w:style>
  <w:style w:type="character" w:customStyle="1" w:styleId="Heading2Char">
    <w:name w:val="Heading 2 Char"/>
    <w:link w:val="Heading2"/>
    <w:rPr>
      <w:rFonts w:ascii="Times New Roman" w:eastAsia="Times New Roman" w:hAnsi="Times New Roman" w:cs="Times New Roman"/>
      <w:b/>
      <w:sz w:val="24"/>
      <w:szCs w:val="20"/>
    </w:rPr>
  </w:style>
  <w:style w:type="character" w:customStyle="1" w:styleId="Heading3Char">
    <w:name w:val="Heading 3 Char"/>
    <w:link w:val="Heading3"/>
    <w:rPr>
      <w:rFonts w:ascii="Times New Roman" w:eastAsia="Times New Roman" w:hAnsi="Times New Roman" w:cs="Times New Roman"/>
      <w:i/>
      <w:sz w:val="24"/>
      <w:szCs w:val="20"/>
    </w:rPr>
  </w:style>
  <w:style w:type="character" w:customStyle="1" w:styleId="Heading4Char">
    <w:name w:val="Heading 4 Char"/>
    <w:link w:val="Heading4"/>
    <w:rPr>
      <w:rFonts w:ascii="Times New Roman" w:eastAsia="Times New Roman" w:hAnsi="Times New Roman" w:cs="Times New Roman"/>
      <w:sz w:val="24"/>
      <w:szCs w:val="20"/>
    </w:rPr>
  </w:style>
  <w:style w:type="character" w:customStyle="1" w:styleId="Heading5Char">
    <w:name w:val="Heading 5 Char"/>
    <w:link w:val="Heading5"/>
    <w:rPr>
      <w:rFonts w:ascii="Arial" w:eastAsia="Times New Roman" w:hAnsi="Arial" w:cs="Times New Roman"/>
      <w:szCs w:val="20"/>
    </w:rPr>
  </w:style>
  <w:style w:type="character" w:customStyle="1" w:styleId="Heading6Char">
    <w:name w:val="Heading 6 Char"/>
    <w:link w:val="Heading6"/>
    <w:rPr>
      <w:rFonts w:ascii="Arial" w:eastAsia="Times New Roman" w:hAnsi="Arial" w:cs="Times New Roman"/>
      <w:i/>
      <w:szCs w:val="20"/>
    </w:rPr>
  </w:style>
  <w:style w:type="character" w:customStyle="1" w:styleId="Heading7Char">
    <w:name w:val="Heading 7 Char"/>
    <w:link w:val="Heading7"/>
    <w:rPr>
      <w:rFonts w:ascii="Arial" w:eastAsia="Times New Roman" w:hAnsi="Arial" w:cs="Times New Roman"/>
      <w:sz w:val="20"/>
      <w:szCs w:val="20"/>
    </w:rPr>
  </w:style>
  <w:style w:type="character" w:customStyle="1" w:styleId="Heading8Char">
    <w:name w:val="Heading 8 Char"/>
    <w:link w:val="Heading8"/>
    <w:rPr>
      <w:rFonts w:ascii="Arial" w:eastAsia="Times New Roman" w:hAnsi="Arial" w:cs="Times New Roman"/>
      <w:i/>
      <w:sz w:val="20"/>
      <w:szCs w:val="20"/>
    </w:rPr>
  </w:style>
  <w:style w:type="character" w:customStyle="1" w:styleId="Heading9Char">
    <w:name w:val="Heading 9 Char"/>
    <w:link w:val="Heading9"/>
    <w:rPr>
      <w:rFonts w:ascii="Arial" w:eastAsia="Times New Roman" w:hAnsi="Arial" w:cs="Times New Roman"/>
      <w:i/>
      <w:sz w:val="18"/>
      <w:szCs w:val="20"/>
    </w:rPr>
  </w:style>
  <w:style w:type="paragraph" w:customStyle="1" w:styleId="Text1">
    <w:name w:val="Text 1"/>
    <w:basedOn w:val="Normal"/>
    <w:pPr>
      <w:spacing w:after="240" w:line="240" w:lineRule="auto"/>
      <w:ind w:left="482"/>
    </w:pPr>
    <w:rPr>
      <w:sz w:val="24"/>
    </w:rPr>
  </w:style>
  <w:style w:type="paragraph" w:customStyle="1" w:styleId="Text2">
    <w:name w:val="Text 2"/>
    <w:basedOn w:val="Normal"/>
    <w:pPr>
      <w:tabs>
        <w:tab w:val="left" w:pos="2302"/>
      </w:tabs>
      <w:spacing w:after="240" w:line="240" w:lineRule="auto"/>
      <w:ind w:left="1202"/>
    </w:pPr>
    <w:rPr>
      <w:sz w:val="24"/>
    </w:rPr>
  </w:style>
  <w:style w:type="paragraph" w:customStyle="1" w:styleId="Text3">
    <w:name w:val="Text 3"/>
    <w:basedOn w:val="Normal"/>
    <w:pPr>
      <w:tabs>
        <w:tab w:val="left" w:pos="2302"/>
      </w:tabs>
      <w:spacing w:after="240" w:line="240" w:lineRule="auto"/>
      <w:ind w:left="1202"/>
    </w:pPr>
    <w:rPr>
      <w:sz w:val="24"/>
    </w:rPr>
  </w:style>
  <w:style w:type="paragraph" w:customStyle="1" w:styleId="Text4">
    <w:name w:val="Text 4"/>
    <w:basedOn w:val="Normal"/>
    <w:pPr>
      <w:tabs>
        <w:tab w:val="left" w:pos="2302"/>
      </w:tabs>
      <w:spacing w:after="240" w:line="240" w:lineRule="auto"/>
      <w:ind w:left="1202"/>
    </w:pPr>
    <w:rPr>
      <w:sz w:val="24"/>
    </w:rPr>
  </w:style>
  <w:style w:type="paragraph" w:customStyle="1" w:styleId="Address">
    <w:name w:val="Address"/>
    <w:basedOn w:val="Normal"/>
    <w:pPr>
      <w:spacing w:after="0" w:line="240" w:lineRule="auto"/>
    </w:pPr>
    <w:rPr>
      <w:sz w:val="24"/>
    </w:rPr>
  </w:style>
  <w:style w:type="paragraph" w:customStyle="1" w:styleId="AddressTL">
    <w:name w:val="AddressTL"/>
    <w:basedOn w:val="Normal"/>
    <w:next w:val="Normal"/>
    <w:pPr>
      <w:spacing w:after="720" w:line="240" w:lineRule="auto"/>
    </w:pPr>
    <w:rPr>
      <w:sz w:val="24"/>
    </w:rPr>
  </w:style>
  <w:style w:type="paragraph" w:customStyle="1" w:styleId="AddressTR">
    <w:name w:val="AddressTR"/>
    <w:basedOn w:val="Normal"/>
    <w:next w:val="Normal"/>
    <w:pPr>
      <w:spacing w:after="720" w:line="240" w:lineRule="auto"/>
      <w:ind w:left="5103"/>
    </w:pPr>
    <w:rPr>
      <w:sz w:val="24"/>
    </w:rPr>
  </w:style>
  <w:style w:type="paragraph" w:styleId="BlockText">
    <w:name w:val="Block Text"/>
    <w:basedOn w:val="Normal"/>
    <w:pPr>
      <w:spacing w:after="120" w:line="240" w:lineRule="auto"/>
      <w:ind w:left="1440" w:right="1440"/>
    </w:pPr>
    <w:rPr>
      <w:sz w:val="24"/>
    </w:rPr>
  </w:style>
  <w:style w:type="paragraph" w:styleId="BodyText">
    <w:name w:val="Body Text"/>
    <w:basedOn w:val="Normal"/>
    <w:link w:val="BodyTextChar"/>
    <w:pPr>
      <w:spacing w:after="120" w:line="240" w:lineRule="auto"/>
    </w:pPr>
    <w:rPr>
      <w:sz w:val="24"/>
    </w:rPr>
  </w:style>
  <w:style w:type="character" w:customStyle="1" w:styleId="BodyTextChar">
    <w:name w:val="Body Text Char"/>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rPr>
      <w:sz w:val="24"/>
    </w:rPr>
  </w:style>
  <w:style w:type="character" w:customStyle="1" w:styleId="BodyText2Char">
    <w:name w:val="Body Text 2 Char"/>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pPr>
    <w:rPr>
      <w:sz w:val="16"/>
    </w:rPr>
  </w:style>
  <w:style w:type="character" w:customStyle="1" w:styleId="BodyText3Char">
    <w:name w:val="Body Text 3 Char"/>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line="240" w:lineRule="auto"/>
      <w:ind w:left="283"/>
    </w:pPr>
    <w:rPr>
      <w:sz w:val="24"/>
    </w:rPr>
  </w:style>
  <w:style w:type="character" w:customStyle="1" w:styleId="BodyTextIndentChar">
    <w:name w:val="Body Text Indent Char"/>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rPr>
      <w:sz w:val="24"/>
    </w:rPr>
  </w:style>
  <w:style w:type="character" w:customStyle="1" w:styleId="BodyTextIndent2Char">
    <w:name w:val="Body Text Indent 2 Char"/>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pPr>
    <w:rPr>
      <w:sz w:val="16"/>
    </w:rPr>
  </w:style>
  <w:style w:type="character" w:customStyle="1" w:styleId="BodyTextIndent3Char">
    <w:name w:val="Body Text Indent 3 Char"/>
    <w:link w:val="BodyTextIndent3"/>
    <w:rPr>
      <w:rFonts w:ascii="Times New Roman" w:eastAsia="Times New Roman" w:hAnsi="Times New Roman" w:cs="Times New Roman"/>
      <w:sz w:val="16"/>
      <w:szCs w:val="20"/>
    </w:rPr>
  </w:style>
  <w:style w:type="paragraph" w:styleId="Caption">
    <w:name w:val="caption"/>
    <w:basedOn w:val="Normal"/>
    <w:next w:val="Normal"/>
    <w:pPr>
      <w:spacing w:before="120" w:after="120" w:line="240" w:lineRule="auto"/>
    </w:pPr>
    <w:rPr>
      <w:b/>
      <w:sz w:val="24"/>
    </w:rPr>
  </w:style>
  <w:style w:type="paragraph" w:customStyle="1" w:styleId="ChapterTitle">
    <w:name w:val="ChapterTitle"/>
    <w:basedOn w:val="Normal"/>
    <w:next w:val="SectionTitle"/>
    <w:pPr>
      <w:keepNext/>
      <w:spacing w:after="480" w:line="240" w:lineRule="auto"/>
      <w:jc w:val="center"/>
    </w:pPr>
    <w:rPr>
      <w:b/>
      <w:sz w:val="32"/>
    </w:rPr>
  </w:style>
  <w:style w:type="paragraph" w:customStyle="1" w:styleId="SectionTitle">
    <w:name w:val="SectionTitle"/>
    <w:basedOn w:val="Normal"/>
    <w:next w:val="Heading1"/>
    <w:pPr>
      <w:keepNext/>
      <w:spacing w:after="480" w:line="240" w:lineRule="auto"/>
      <w:jc w:val="center"/>
    </w:pPr>
    <w:rPr>
      <w:b/>
      <w:smallCaps/>
      <w:sz w:val="28"/>
    </w:rPr>
  </w:style>
  <w:style w:type="paragraph" w:styleId="Closing">
    <w:name w:val="Closing"/>
    <w:basedOn w:val="Normal"/>
    <w:link w:val="ClosingChar"/>
    <w:pPr>
      <w:spacing w:after="240" w:line="240" w:lineRule="auto"/>
      <w:ind w:left="4252"/>
    </w:pPr>
    <w:rPr>
      <w:sz w:val="24"/>
    </w:rPr>
  </w:style>
  <w:style w:type="character" w:customStyle="1" w:styleId="ClosingChar">
    <w:name w:val="Closing Char"/>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semiHidden/>
    <w:pPr>
      <w:spacing w:after="240" w:line="240" w:lineRule="auto"/>
    </w:pPr>
  </w:style>
  <w:style w:type="character" w:customStyle="1" w:styleId="CommentTextChar">
    <w:name w:val="Comment Text Char"/>
    <w:link w:val="CommentText"/>
    <w:uiPriority w:val="99"/>
    <w:semiHidden/>
    <w:rPr>
      <w:rFonts w:ascii="Times New Roman" w:eastAsia="Times New Roman" w:hAnsi="Times New Roman" w:cs="Times New Roman"/>
      <w:sz w:val="20"/>
      <w:szCs w:val="20"/>
    </w:rPr>
  </w:style>
  <w:style w:type="paragraph" w:styleId="Date">
    <w:name w:val="Date"/>
    <w:basedOn w:val="Normal"/>
    <w:next w:val="References"/>
    <w:link w:val="DateChar"/>
    <w:pPr>
      <w:spacing w:after="0" w:line="240" w:lineRule="auto"/>
      <w:ind w:left="5103" w:right="-567"/>
    </w:pPr>
    <w:rPr>
      <w:sz w:val="24"/>
    </w:rPr>
  </w:style>
  <w:style w:type="character" w:customStyle="1" w:styleId="DateChar">
    <w:name w:val="Date Char"/>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style>
  <w:style w:type="paragraph" w:styleId="DocumentMap">
    <w:name w:val="Document Map"/>
    <w:basedOn w:val="Normal"/>
    <w:link w:val="DocumentMapChar"/>
    <w:semiHidden/>
    <w:pPr>
      <w:shd w:val="clear" w:color="auto" w:fill="000080"/>
      <w:spacing w:after="240" w:line="240" w:lineRule="auto"/>
    </w:pPr>
    <w:rPr>
      <w:rFonts w:ascii="Tahoma" w:hAnsi="Tahoma"/>
      <w:sz w:val="24"/>
    </w:rPr>
  </w:style>
  <w:style w:type="character" w:customStyle="1" w:styleId="DocumentMapChar">
    <w:name w:val="Document Map Char"/>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line="240" w:lineRule="auto"/>
    </w:pPr>
    <w:rPr>
      <w:sz w:val="24"/>
    </w:rPr>
  </w:style>
  <w:style w:type="paragraph" w:customStyle="1" w:styleId="Enclosures">
    <w:name w:val="Enclosures"/>
    <w:basedOn w:val="Normal"/>
    <w:pPr>
      <w:keepNext/>
      <w:keepLines/>
      <w:tabs>
        <w:tab w:val="left" w:pos="5642"/>
      </w:tabs>
      <w:spacing w:before="480" w:after="0" w:line="240" w:lineRule="auto"/>
      <w:ind w:left="1191" w:hanging="1191"/>
    </w:pPr>
    <w:rPr>
      <w:sz w:val="24"/>
    </w:rPr>
  </w:style>
  <w:style w:type="paragraph" w:styleId="EndnoteText">
    <w:name w:val="endnote text"/>
    <w:basedOn w:val="Normal"/>
    <w:link w:val="EndnoteTextChar"/>
    <w:semiHidden/>
    <w:pPr>
      <w:spacing w:after="240" w:line="240" w:lineRule="auto"/>
    </w:pPr>
  </w:style>
  <w:style w:type="character" w:customStyle="1" w:styleId="EndnoteTextChar">
    <w:name w:val="Endnote Text Char"/>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pPr>
    <w:rPr>
      <w:sz w:val="24"/>
    </w:rPr>
  </w:style>
  <w:style w:type="paragraph" w:styleId="EnvelopeReturn">
    <w:name w:val="envelope return"/>
    <w:basedOn w:val="Normal"/>
    <w:pPr>
      <w:spacing w:after="0" w:line="240" w:lineRule="auto"/>
    </w:pPr>
  </w:style>
  <w:style w:type="paragraph" w:styleId="Footer">
    <w:name w:val="footer"/>
    <w:basedOn w:val="Normal"/>
    <w:link w:val="FooterChar"/>
    <w:uiPriority w:val="99"/>
    <w:pPr>
      <w:spacing w:after="0" w:line="240" w:lineRule="auto"/>
      <w:ind w:right="-567"/>
    </w:pPr>
    <w:rPr>
      <w:sz w:val="16"/>
    </w:rPr>
  </w:style>
  <w:style w:type="character" w:customStyle="1" w:styleId="FooterChar">
    <w:name w:val="Footer Char"/>
    <w:link w:val="Footer"/>
    <w:uiPriority w:val="99"/>
    <w:rPr>
      <w:rFonts w:ascii="Arial" w:eastAsia="Times New Roman" w:hAnsi="Arial" w:cs="Times New Roman"/>
      <w:sz w:val="16"/>
      <w:szCs w:val="20"/>
    </w:rPr>
  </w:style>
  <w:style w:type="paragraph" w:styleId="FootnoteText">
    <w:name w:val="footnote text"/>
    <w:basedOn w:val="Normal"/>
    <w:link w:val="FootnoteTextChar"/>
    <w:uiPriority w:val="99"/>
    <w:qFormat/>
    <w:pPr>
      <w:spacing w:after="0" w:line="240" w:lineRule="auto"/>
      <w:ind w:left="357" w:hanging="357"/>
    </w:pPr>
    <w:rPr>
      <w:rFonts w:cs="Arial"/>
      <w:sz w:val="18"/>
      <w:szCs w:val="18"/>
    </w:rPr>
  </w:style>
  <w:style w:type="character" w:customStyle="1" w:styleId="FootnoteTextChar">
    <w:name w:val="Footnote Text Char"/>
    <w:link w:val="FootnoteText"/>
    <w:uiPriority w:val="99"/>
    <w:rPr>
      <w:rFonts w:ascii="Arial" w:eastAsia="Times New Roman" w:hAnsi="Arial" w:cs="Arial"/>
      <w:sz w:val="18"/>
      <w:szCs w:val="18"/>
    </w:rPr>
  </w:style>
  <w:style w:type="paragraph" w:styleId="Header">
    <w:name w:val="header"/>
    <w:basedOn w:val="Normal"/>
    <w:link w:val="HeaderChar"/>
    <w:uiPriority w:val="99"/>
    <w:pPr>
      <w:tabs>
        <w:tab w:val="center" w:pos="4153"/>
        <w:tab w:val="right" w:pos="8306"/>
      </w:tabs>
      <w:spacing w:after="240" w:line="240" w:lineRule="auto"/>
    </w:pPr>
    <w:rPr>
      <w:sz w:val="24"/>
    </w:rPr>
  </w:style>
  <w:style w:type="character" w:customStyle="1" w:styleId="HeaderChar">
    <w:name w:val="Header Char"/>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spacing w:after="240" w:line="240" w:lineRule="auto"/>
      <w:ind w:left="240" w:hanging="240"/>
    </w:pPr>
    <w:rPr>
      <w:sz w:val="24"/>
    </w:rPr>
  </w:style>
  <w:style w:type="paragraph" w:styleId="Index2">
    <w:name w:val="index 2"/>
    <w:basedOn w:val="Normal"/>
    <w:next w:val="Normal"/>
    <w:autoRedefine/>
    <w:semiHidden/>
    <w:pPr>
      <w:spacing w:after="240" w:line="240" w:lineRule="auto"/>
      <w:ind w:left="480" w:hanging="240"/>
    </w:pPr>
    <w:rPr>
      <w:sz w:val="24"/>
    </w:rPr>
  </w:style>
  <w:style w:type="paragraph" w:styleId="Index3">
    <w:name w:val="index 3"/>
    <w:basedOn w:val="Normal"/>
    <w:next w:val="Normal"/>
    <w:autoRedefine/>
    <w:semiHidden/>
    <w:pPr>
      <w:spacing w:after="240" w:line="240" w:lineRule="auto"/>
      <w:ind w:left="720" w:hanging="240"/>
    </w:pPr>
    <w:rPr>
      <w:sz w:val="24"/>
    </w:rPr>
  </w:style>
  <w:style w:type="paragraph" w:styleId="Index4">
    <w:name w:val="index 4"/>
    <w:basedOn w:val="Normal"/>
    <w:next w:val="Normal"/>
    <w:autoRedefine/>
    <w:semiHidden/>
    <w:pPr>
      <w:spacing w:after="240" w:line="240" w:lineRule="auto"/>
      <w:ind w:left="960" w:hanging="240"/>
    </w:pPr>
    <w:rPr>
      <w:sz w:val="24"/>
    </w:rPr>
  </w:style>
  <w:style w:type="paragraph" w:styleId="Index5">
    <w:name w:val="index 5"/>
    <w:basedOn w:val="Normal"/>
    <w:next w:val="Normal"/>
    <w:autoRedefine/>
    <w:semiHidden/>
    <w:pPr>
      <w:spacing w:after="240" w:line="240" w:lineRule="auto"/>
      <w:ind w:left="1200" w:hanging="240"/>
    </w:pPr>
    <w:rPr>
      <w:sz w:val="24"/>
    </w:rPr>
  </w:style>
  <w:style w:type="paragraph" w:styleId="Index6">
    <w:name w:val="index 6"/>
    <w:basedOn w:val="Normal"/>
    <w:next w:val="Normal"/>
    <w:autoRedefine/>
    <w:semiHidden/>
    <w:pPr>
      <w:spacing w:after="240" w:line="240" w:lineRule="auto"/>
      <w:ind w:left="1440" w:hanging="240"/>
    </w:pPr>
    <w:rPr>
      <w:sz w:val="24"/>
    </w:rPr>
  </w:style>
  <w:style w:type="paragraph" w:styleId="Index7">
    <w:name w:val="index 7"/>
    <w:basedOn w:val="Normal"/>
    <w:next w:val="Normal"/>
    <w:autoRedefine/>
    <w:semiHidden/>
    <w:pPr>
      <w:spacing w:after="240" w:line="240" w:lineRule="auto"/>
      <w:ind w:left="1680" w:hanging="240"/>
    </w:pPr>
    <w:rPr>
      <w:sz w:val="24"/>
    </w:rPr>
  </w:style>
  <w:style w:type="paragraph" w:styleId="Index8">
    <w:name w:val="index 8"/>
    <w:basedOn w:val="Normal"/>
    <w:next w:val="Normal"/>
    <w:autoRedefine/>
    <w:semiHidden/>
    <w:pPr>
      <w:spacing w:after="240" w:line="240" w:lineRule="auto"/>
      <w:ind w:left="1920" w:hanging="240"/>
    </w:pPr>
    <w:rPr>
      <w:sz w:val="24"/>
    </w:rPr>
  </w:style>
  <w:style w:type="paragraph" w:styleId="Index9">
    <w:name w:val="index 9"/>
    <w:basedOn w:val="Normal"/>
    <w:next w:val="Normal"/>
    <w:autoRedefine/>
    <w:semiHidden/>
    <w:pPr>
      <w:spacing w:after="240" w:line="240" w:lineRule="auto"/>
      <w:ind w:left="2160" w:hanging="240"/>
    </w:pPr>
    <w:rPr>
      <w:sz w:val="24"/>
    </w:rPr>
  </w:style>
  <w:style w:type="paragraph" w:styleId="IndexHeading">
    <w:name w:val="index heading"/>
    <w:basedOn w:val="Normal"/>
    <w:next w:val="Index1"/>
    <w:semiHidden/>
    <w:pPr>
      <w:spacing w:after="240" w:line="240" w:lineRule="auto"/>
    </w:pPr>
    <w:rPr>
      <w:b/>
      <w:sz w:val="24"/>
    </w:rPr>
  </w:style>
  <w:style w:type="paragraph" w:styleId="List">
    <w:name w:val="List"/>
    <w:basedOn w:val="Normal"/>
    <w:pPr>
      <w:spacing w:after="240" w:line="240" w:lineRule="auto"/>
      <w:ind w:left="283" w:hanging="283"/>
    </w:pPr>
    <w:rPr>
      <w:sz w:val="24"/>
    </w:rPr>
  </w:style>
  <w:style w:type="paragraph" w:styleId="List2">
    <w:name w:val="List 2"/>
    <w:basedOn w:val="Normal"/>
    <w:pPr>
      <w:spacing w:after="240" w:line="240" w:lineRule="auto"/>
      <w:ind w:left="566" w:hanging="283"/>
    </w:pPr>
    <w:rPr>
      <w:sz w:val="24"/>
    </w:rPr>
  </w:style>
  <w:style w:type="paragraph" w:styleId="List3">
    <w:name w:val="List 3"/>
    <w:basedOn w:val="Normal"/>
    <w:pPr>
      <w:spacing w:after="240" w:line="240" w:lineRule="auto"/>
      <w:ind w:left="849" w:hanging="283"/>
    </w:pPr>
    <w:rPr>
      <w:sz w:val="24"/>
    </w:rPr>
  </w:style>
  <w:style w:type="paragraph" w:styleId="List4">
    <w:name w:val="List 4"/>
    <w:basedOn w:val="Normal"/>
    <w:pPr>
      <w:spacing w:after="240" w:line="240" w:lineRule="auto"/>
      <w:ind w:left="1132" w:hanging="283"/>
    </w:pPr>
    <w:rPr>
      <w:sz w:val="24"/>
    </w:rPr>
  </w:style>
  <w:style w:type="paragraph" w:styleId="List5">
    <w:name w:val="List 5"/>
    <w:basedOn w:val="Normal"/>
    <w:pPr>
      <w:spacing w:after="240" w:line="240" w:lineRule="auto"/>
      <w:ind w:left="1415" w:hanging="283"/>
    </w:pPr>
    <w:rPr>
      <w:sz w:val="24"/>
    </w:rPr>
  </w:style>
  <w:style w:type="paragraph" w:styleId="ListBullet">
    <w:name w:val="List Bullet"/>
    <w:basedOn w:val="Normal"/>
    <w:pPr>
      <w:numPr>
        <w:numId w:val="4"/>
      </w:numPr>
      <w:spacing w:after="240" w:line="240" w:lineRule="auto"/>
    </w:pPr>
    <w:rPr>
      <w:sz w:val="24"/>
    </w:r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spacing w:after="240" w:line="240" w:lineRule="auto"/>
    </w:pPr>
    <w:rPr>
      <w:sz w:val="24"/>
    </w:rPr>
  </w:style>
  <w:style w:type="paragraph" w:styleId="ListContinue">
    <w:name w:val="List Continue"/>
    <w:basedOn w:val="Normal"/>
    <w:pPr>
      <w:spacing w:after="120" w:line="240" w:lineRule="auto"/>
      <w:ind w:left="283"/>
    </w:pPr>
    <w:rPr>
      <w:sz w:val="24"/>
    </w:rPr>
  </w:style>
  <w:style w:type="paragraph" w:styleId="ListContinue2">
    <w:name w:val="List Continue 2"/>
    <w:basedOn w:val="Normal"/>
    <w:pPr>
      <w:spacing w:after="120" w:line="240" w:lineRule="auto"/>
      <w:ind w:left="566"/>
    </w:pPr>
    <w:rPr>
      <w:sz w:val="24"/>
    </w:rPr>
  </w:style>
  <w:style w:type="paragraph" w:styleId="ListContinue3">
    <w:name w:val="List Continue 3"/>
    <w:basedOn w:val="Normal"/>
    <w:pPr>
      <w:spacing w:after="120" w:line="240" w:lineRule="auto"/>
      <w:ind w:left="849"/>
    </w:pPr>
    <w:rPr>
      <w:sz w:val="24"/>
    </w:rPr>
  </w:style>
  <w:style w:type="paragraph" w:styleId="ListContinue4">
    <w:name w:val="List Continue 4"/>
    <w:basedOn w:val="Normal"/>
    <w:pPr>
      <w:spacing w:after="120" w:line="240" w:lineRule="auto"/>
      <w:ind w:left="1132"/>
    </w:pPr>
    <w:rPr>
      <w:sz w:val="24"/>
    </w:rPr>
  </w:style>
  <w:style w:type="paragraph" w:styleId="ListContinue5">
    <w:name w:val="List Continue 5"/>
    <w:basedOn w:val="Normal"/>
    <w:pPr>
      <w:spacing w:after="120" w:line="240" w:lineRule="auto"/>
      <w:ind w:left="1415"/>
    </w:pPr>
    <w:rPr>
      <w:sz w:val="24"/>
    </w:rPr>
  </w:style>
  <w:style w:type="paragraph" w:styleId="ListNumber">
    <w:name w:val="List Number"/>
    <w:basedOn w:val="Normal"/>
    <w:pPr>
      <w:numPr>
        <w:numId w:val="14"/>
      </w:numPr>
      <w:spacing w:after="240" w:line="240" w:lineRule="auto"/>
    </w:pPr>
    <w:rPr>
      <w:sz w:val="24"/>
    </w:r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spacing w:after="240" w:line="240" w:lineRule="auto"/>
    </w:pPr>
    <w:rPr>
      <w:sz w:val="24"/>
    </w:rPr>
  </w:style>
  <w:style w:type="paragraph" w:styleId="MacroText">
    <w:name w:val="macro"/>
    <w:link w:val="MacroTextChar"/>
    <w:semiHidden/>
    <w:pPr>
      <w:widowControl w:val="0"/>
      <w:tabs>
        <w:tab w:val="left" w:pos="480"/>
        <w:tab w:val="left" w:pos="960"/>
        <w:tab w:val="left" w:pos="1440"/>
        <w:tab w:val="left" w:pos="1920"/>
        <w:tab w:val="left" w:pos="2400"/>
        <w:tab w:val="left" w:pos="2880"/>
        <w:tab w:val="left" w:pos="3360"/>
        <w:tab w:val="left" w:pos="3840"/>
        <w:tab w:val="left" w:pos="4320"/>
      </w:tabs>
      <w:adjustRightInd w:val="0"/>
      <w:spacing w:after="240" w:line="360" w:lineRule="atLeast"/>
      <w:jc w:val="both"/>
      <w:textAlignment w:val="baseline"/>
    </w:pPr>
    <w:rPr>
      <w:rFonts w:ascii="Courier New" w:eastAsia="Times New Roman" w:hAnsi="Courier New"/>
      <w:u w:val="single"/>
      <w:lang w:val="en-GB" w:eastAsia="en-GB" w:bidi="ar-SA"/>
    </w:rPr>
  </w:style>
  <w:style w:type="character" w:customStyle="1" w:styleId="MacroTextChar">
    <w:name w:val="Macro Text Char"/>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pPr>
    <w:rPr>
      <w:sz w:val="24"/>
    </w:rPr>
  </w:style>
  <w:style w:type="character" w:customStyle="1" w:styleId="MessageHeaderChar">
    <w:name w:val="Message Header Char"/>
    <w:link w:val="MessageHeader"/>
    <w:rPr>
      <w:rFonts w:ascii="Arial" w:eastAsia="Times New Roman" w:hAnsi="Arial" w:cs="Times New Roman"/>
      <w:sz w:val="24"/>
      <w:szCs w:val="20"/>
      <w:shd w:val="pct20" w:color="auto" w:fill="auto"/>
    </w:rPr>
  </w:style>
  <w:style w:type="paragraph" w:styleId="NormalIndent">
    <w:name w:val="Normal Indent"/>
    <w:basedOn w:val="Normal"/>
    <w:link w:val="NormalIndentChar"/>
    <w:pPr>
      <w:spacing w:after="240" w:line="240" w:lineRule="auto"/>
      <w:ind w:left="720"/>
    </w:pPr>
    <w:rPr>
      <w:sz w:val="24"/>
    </w:rPr>
  </w:style>
  <w:style w:type="paragraph" w:styleId="NoteHeading">
    <w:name w:val="Note Heading"/>
    <w:basedOn w:val="Normal"/>
    <w:next w:val="Normal"/>
    <w:link w:val="NoteHeadingChar"/>
    <w:pPr>
      <w:spacing w:after="240" w:line="240" w:lineRule="auto"/>
    </w:pPr>
    <w:rPr>
      <w:sz w:val="24"/>
    </w:rPr>
  </w:style>
  <w:style w:type="character" w:customStyle="1" w:styleId="NoteHeadingChar">
    <w:name w:val="Note Heading Char"/>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b/>
      <w:smallCaps/>
      <w:sz w:val="24"/>
    </w:rPr>
  </w:style>
  <w:style w:type="paragraph" w:customStyle="1" w:styleId="Subject">
    <w:name w:val="Subject"/>
    <w:basedOn w:val="Normal"/>
    <w:next w:val="Normal"/>
    <w:pPr>
      <w:spacing w:after="480" w:line="240" w:lineRule="auto"/>
      <w:ind w:left="1531" w:hanging="1531"/>
    </w:pPr>
    <w:rPr>
      <w:b/>
      <w:sz w:val="24"/>
    </w:rPr>
  </w:style>
  <w:style w:type="paragraph" w:customStyle="1" w:styleId="NoteList">
    <w:name w:val="NoteList"/>
    <w:basedOn w:val="Normal"/>
    <w:next w:val="Subject"/>
    <w:pPr>
      <w:tabs>
        <w:tab w:val="left" w:pos="5823"/>
      </w:tabs>
      <w:spacing w:before="720" w:after="720" w:line="240" w:lineRule="auto"/>
      <w:ind w:left="5104" w:hanging="3119"/>
    </w:pPr>
    <w:rPr>
      <w:b/>
      <w:smallCaps/>
      <w:sz w:val="24"/>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line="240" w:lineRule="auto"/>
      <w:jc w:val="center"/>
    </w:pPr>
    <w:rPr>
      <w:b/>
      <w:sz w:val="36"/>
    </w:rPr>
  </w:style>
  <w:style w:type="paragraph" w:styleId="PlainText">
    <w:name w:val="Plain Text"/>
    <w:basedOn w:val="Normal"/>
    <w:link w:val="PlainTextChar"/>
    <w:pPr>
      <w:spacing w:after="240" w:line="240" w:lineRule="auto"/>
    </w:pPr>
    <w:rPr>
      <w:rFonts w:ascii="Courier New" w:hAnsi="Courier New"/>
    </w:rPr>
  </w:style>
  <w:style w:type="character" w:customStyle="1" w:styleId="PlainTextChar">
    <w:name w:val="Plain Text Char"/>
    <w:link w:val="PlainText"/>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pPr>
    <w:rPr>
      <w:sz w:val="24"/>
    </w:rPr>
  </w:style>
  <w:style w:type="character" w:customStyle="1" w:styleId="SalutationChar">
    <w:name w:val="Salutation Char"/>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sz w:val="24"/>
    </w:rPr>
  </w:style>
  <w:style w:type="character" w:customStyle="1" w:styleId="SignatureChar">
    <w:name w:val="Signature Char"/>
    <w:link w:val="Signature"/>
    <w:rPr>
      <w:rFonts w:ascii="Times New Roman" w:eastAsia="Times New Roman" w:hAnsi="Times New Roman" w:cs="Times New Roman"/>
      <w:sz w:val="24"/>
      <w:szCs w:val="20"/>
    </w:rPr>
  </w:style>
  <w:style w:type="paragraph" w:styleId="Subtitle">
    <w:name w:val="Subtitle"/>
    <w:basedOn w:val="Normal"/>
    <w:link w:val="SubtitleChar"/>
    <w:pPr>
      <w:spacing w:after="60" w:line="240" w:lineRule="auto"/>
      <w:jc w:val="center"/>
      <w:outlineLvl w:val="1"/>
    </w:pPr>
    <w:rPr>
      <w:sz w:val="24"/>
    </w:rPr>
  </w:style>
  <w:style w:type="character" w:customStyle="1" w:styleId="SubtitleChar">
    <w:name w:val="Subtitle Char"/>
    <w:link w:val="Subtitle"/>
    <w:rPr>
      <w:rFonts w:ascii="Arial" w:eastAsia="Times New Roman" w:hAnsi="Arial" w:cs="Times New Roman"/>
      <w:sz w:val="24"/>
      <w:szCs w:val="20"/>
    </w:rPr>
  </w:style>
  <w:style w:type="paragraph" w:customStyle="1" w:styleId="SubTitle1">
    <w:name w:val="SubTitle 1"/>
    <w:basedOn w:val="Normal"/>
    <w:next w:val="SubTitle2"/>
    <w:pPr>
      <w:spacing w:after="240" w:line="240" w:lineRule="auto"/>
      <w:jc w:val="center"/>
    </w:pPr>
    <w:rPr>
      <w:b/>
      <w:sz w:val="40"/>
    </w:rPr>
  </w:style>
  <w:style w:type="paragraph" w:customStyle="1" w:styleId="SubTitle2">
    <w:name w:val="SubTitle 2"/>
    <w:basedOn w:val="Normal"/>
    <w:pPr>
      <w:spacing w:after="240" w:line="240" w:lineRule="auto"/>
      <w:jc w:val="center"/>
    </w:pPr>
    <w:rPr>
      <w:b/>
      <w:sz w:val="32"/>
    </w:rPr>
  </w:style>
  <w:style w:type="paragraph" w:styleId="TableofAuthorities">
    <w:name w:val="table of authorities"/>
    <w:basedOn w:val="Normal"/>
    <w:next w:val="Normal"/>
    <w:semiHidden/>
    <w:pPr>
      <w:spacing w:after="240" w:line="240" w:lineRule="auto"/>
      <w:ind w:left="240" w:hanging="240"/>
    </w:pPr>
    <w:rPr>
      <w:sz w:val="24"/>
    </w:rPr>
  </w:style>
  <w:style w:type="paragraph" w:styleId="TableofFigures">
    <w:name w:val="table of figures"/>
    <w:basedOn w:val="Normal"/>
    <w:next w:val="Normal"/>
    <w:semiHidden/>
    <w:pPr>
      <w:spacing w:after="240" w:line="240" w:lineRule="auto"/>
      <w:ind w:left="480" w:hanging="480"/>
    </w:pPr>
    <w:rPr>
      <w:sz w:val="24"/>
    </w:rPr>
  </w:style>
  <w:style w:type="paragraph" w:styleId="Title">
    <w:name w:val="Title"/>
    <w:basedOn w:val="Normal"/>
    <w:next w:val="SubTitle1"/>
    <w:link w:val="TitleChar"/>
    <w:pPr>
      <w:spacing w:after="480" w:line="240" w:lineRule="auto"/>
      <w:jc w:val="center"/>
    </w:pPr>
    <w:rPr>
      <w:b/>
      <w:kern w:val="28"/>
      <w:sz w:val="48"/>
    </w:rPr>
  </w:style>
  <w:style w:type="character" w:customStyle="1" w:styleId="TitleChar">
    <w:name w:val="Title Char"/>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after="240" w:line="240" w:lineRule="auto"/>
    </w:pPr>
    <w:rPr>
      <w:b/>
      <w:sz w:val="24"/>
    </w:rPr>
  </w:style>
  <w:style w:type="paragraph" w:styleId="TOC1">
    <w:name w:val="toc 1"/>
    <w:basedOn w:val="Normal"/>
    <w:next w:val="Normal"/>
    <w:autoRedefine/>
    <w:uiPriority w:val="39"/>
    <w:qFormat/>
    <w:pPr>
      <w:spacing w:before="240" w:after="120" w:line="240" w:lineRule="auto"/>
    </w:pPr>
    <w:rPr>
      <w:b/>
      <w:bCs/>
    </w:rPr>
  </w:style>
  <w:style w:type="paragraph" w:styleId="TOC2">
    <w:name w:val="toc 2"/>
    <w:basedOn w:val="Normal"/>
    <w:next w:val="Normal"/>
    <w:autoRedefine/>
    <w:uiPriority w:val="39"/>
    <w:qFormat/>
    <w:pPr>
      <w:tabs>
        <w:tab w:val="left" w:pos="720"/>
        <w:tab w:val="right" w:leader="dot" w:pos="8873"/>
      </w:tabs>
      <w:spacing w:before="120" w:after="0" w:line="240" w:lineRule="auto"/>
      <w:ind w:left="238"/>
      <w:jc w:val="center"/>
    </w:pPr>
    <w:rPr>
      <w:rFonts w:cs="Arial"/>
      <w:bCs/>
      <w:iCs/>
      <w:noProof/>
    </w:rPr>
  </w:style>
  <w:style w:type="paragraph" w:styleId="TOC3">
    <w:name w:val="toc 3"/>
    <w:basedOn w:val="Normal"/>
    <w:next w:val="Normal"/>
    <w:uiPriority w:val="39"/>
    <w:pPr>
      <w:spacing w:after="0" w:line="240" w:lineRule="auto"/>
      <w:ind w:left="480"/>
    </w:pPr>
    <w:rPr>
      <w:rFonts w:ascii="Calibri" w:hAnsi="Calibri"/>
    </w:rPr>
  </w:style>
  <w:style w:type="paragraph" w:styleId="TOC4">
    <w:name w:val="toc 4"/>
    <w:basedOn w:val="Normal"/>
    <w:next w:val="Normal"/>
    <w:semiHidden/>
    <w:pPr>
      <w:spacing w:after="0" w:line="240" w:lineRule="auto"/>
      <w:ind w:left="720"/>
    </w:pPr>
    <w:rPr>
      <w:rFonts w:ascii="Calibri" w:hAnsi="Calibri"/>
    </w:rPr>
  </w:style>
  <w:style w:type="paragraph" w:styleId="TOC5">
    <w:name w:val="toc 5"/>
    <w:basedOn w:val="Normal"/>
    <w:next w:val="Normal"/>
    <w:semiHidden/>
    <w:pPr>
      <w:spacing w:after="0" w:line="240" w:lineRule="auto"/>
      <w:ind w:left="960"/>
    </w:pPr>
    <w:rPr>
      <w:rFonts w:ascii="Calibri" w:hAnsi="Calibri"/>
    </w:rPr>
  </w:style>
  <w:style w:type="paragraph" w:styleId="TOC6">
    <w:name w:val="toc 6"/>
    <w:basedOn w:val="Normal"/>
    <w:next w:val="Normal"/>
    <w:autoRedefine/>
    <w:semiHidden/>
    <w:pPr>
      <w:spacing w:after="0" w:line="240" w:lineRule="auto"/>
      <w:ind w:left="1200"/>
    </w:pPr>
    <w:rPr>
      <w:rFonts w:ascii="Calibri" w:hAnsi="Calibri"/>
    </w:rPr>
  </w:style>
  <w:style w:type="paragraph" w:styleId="TOC7">
    <w:name w:val="toc 7"/>
    <w:basedOn w:val="Normal"/>
    <w:next w:val="Normal"/>
    <w:autoRedefine/>
    <w:semiHidden/>
    <w:pPr>
      <w:spacing w:after="0" w:line="240" w:lineRule="auto"/>
      <w:ind w:left="1440"/>
    </w:pPr>
    <w:rPr>
      <w:rFonts w:ascii="Calibri" w:hAnsi="Calibri"/>
    </w:rPr>
  </w:style>
  <w:style w:type="paragraph" w:styleId="TOC8">
    <w:name w:val="toc 8"/>
    <w:basedOn w:val="Normal"/>
    <w:next w:val="Normal"/>
    <w:autoRedefine/>
    <w:semiHidden/>
    <w:pPr>
      <w:spacing w:after="0" w:line="240" w:lineRule="auto"/>
      <w:ind w:left="1680"/>
    </w:pPr>
    <w:rPr>
      <w:rFonts w:ascii="Calibri" w:hAnsi="Calibri"/>
    </w:rPr>
  </w:style>
  <w:style w:type="paragraph" w:styleId="TOC9">
    <w:name w:val="toc 9"/>
    <w:basedOn w:val="Normal"/>
    <w:next w:val="Normal"/>
    <w:autoRedefine/>
    <w:semiHidden/>
    <w:pPr>
      <w:spacing w:after="0" w:line="240" w:lineRule="auto"/>
      <w:ind w:left="1920"/>
    </w:pPr>
    <w:rPr>
      <w:rFonts w:ascii="Calibri" w:hAnsi="Calibri"/>
    </w:rPr>
  </w:style>
  <w:style w:type="paragraph" w:customStyle="1" w:styleId="YReferences">
    <w:name w:val="YReferences"/>
    <w:basedOn w:val="Normal"/>
    <w:next w:val="Normal"/>
    <w:pPr>
      <w:spacing w:after="480" w:line="240" w:lineRule="auto"/>
      <w:ind w:left="1531" w:hanging="1531"/>
    </w:pPr>
    <w:rPr>
      <w:sz w:val="24"/>
    </w:rPr>
  </w:style>
  <w:style w:type="paragraph" w:customStyle="1" w:styleId="ListBullet1">
    <w:name w:val="List Bullet 1"/>
    <w:basedOn w:val="Text1"/>
    <w:pPr>
      <w:numPr>
        <w:numId w:val="5"/>
      </w:numPr>
    </w:pPr>
  </w:style>
  <w:style w:type="paragraph" w:customStyle="1" w:styleId="ListDash">
    <w:name w:val="List Dash"/>
    <w:basedOn w:val="Normal"/>
    <w:pPr>
      <w:numPr>
        <w:numId w:val="9"/>
      </w:numPr>
      <w:spacing w:after="240" w:line="240" w:lineRule="auto"/>
    </w:pPr>
    <w:rPr>
      <w:sz w:val="24"/>
    </w:r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spacing w:after="240" w:line="240" w:lineRule="auto"/>
    </w:pPr>
    <w:rPr>
      <w:sz w:val="24"/>
    </w:rPr>
  </w:style>
  <w:style w:type="paragraph" w:customStyle="1" w:styleId="ListNumberLevel3">
    <w:name w:val="List Number (Level 3)"/>
    <w:basedOn w:val="Normal"/>
    <w:pPr>
      <w:numPr>
        <w:ilvl w:val="2"/>
        <w:numId w:val="14"/>
      </w:numPr>
      <w:spacing w:after="240" w:line="240" w:lineRule="auto"/>
    </w:pPr>
    <w:rPr>
      <w:sz w:val="24"/>
    </w:rPr>
  </w:style>
  <w:style w:type="paragraph" w:customStyle="1" w:styleId="ListNumberLevel4">
    <w:name w:val="List Number (Level 4)"/>
    <w:basedOn w:val="Normal"/>
    <w:pPr>
      <w:numPr>
        <w:ilvl w:val="3"/>
        <w:numId w:val="14"/>
      </w:numPr>
      <w:spacing w:after="240" w:line="240" w:lineRule="auto"/>
    </w:pPr>
    <w:rPr>
      <w:sz w:val="24"/>
    </w:r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customStyle="1" w:styleId="TOCHeading1">
    <w:name w:val="TOC Heading1"/>
    <w:basedOn w:val="Normal"/>
    <w:next w:val="Normal"/>
    <w:pPr>
      <w:keepNext/>
      <w:spacing w:before="240" w:after="240" w:line="240" w:lineRule="auto"/>
      <w:jc w:val="center"/>
    </w:pPr>
    <w:rPr>
      <w:b/>
      <w:sz w:val="24"/>
    </w:rPr>
  </w:style>
  <w:style w:type="paragraph" w:customStyle="1" w:styleId="Contact">
    <w:name w:val="Contact"/>
    <w:basedOn w:val="Normal"/>
    <w:next w:val="Normal"/>
    <w:pPr>
      <w:spacing w:after="480" w:line="240" w:lineRule="auto"/>
      <w:ind w:left="567" w:hanging="567"/>
    </w:pPr>
    <w:rPr>
      <w:sz w:val="24"/>
    </w:rPr>
  </w:style>
  <w:style w:type="paragraph" w:customStyle="1" w:styleId="ZCom">
    <w:name w:val="Z_Com"/>
    <w:basedOn w:val="Normal"/>
    <w:next w:val="ZDGName"/>
    <w:pPr>
      <w:autoSpaceDE w:val="0"/>
      <w:autoSpaceDN w:val="0"/>
      <w:spacing w:after="0" w:line="240" w:lineRule="auto"/>
      <w:ind w:right="85"/>
    </w:pPr>
    <w:rPr>
      <w:rFonts w:cs="Arial"/>
      <w:sz w:val="24"/>
      <w:szCs w:val="24"/>
    </w:rPr>
  </w:style>
  <w:style w:type="paragraph" w:customStyle="1" w:styleId="ZDGName">
    <w:name w:val="Z_DGName"/>
    <w:basedOn w:val="Normal"/>
    <w:pPr>
      <w:autoSpaceDE w:val="0"/>
      <w:autoSpaceDN w:val="0"/>
      <w:spacing w:after="0" w:line="240" w:lineRule="auto"/>
      <w:ind w:right="85"/>
    </w:pPr>
    <w:rPr>
      <w:rFonts w:cs="Arial"/>
      <w:sz w:val="16"/>
      <w:szCs w:val="16"/>
    </w:rPr>
  </w:style>
  <w:style w:type="character" w:styleId="Hyperlink">
    <w:name w:val="Hyperlink"/>
    <w:uiPriority w:val="99"/>
    <w:rPr>
      <w:color w:val="0000FF"/>
      <w:u w:val="single"/>
    </w:rPr>
  </w:style>
  <w:style w:type="character" w:styleId="FootnoteReference">
    <w:name w:val="footnote reference"/>
    <w:aliases w:val="BVI fnr,SUPERS,Footnote symbol,(Footnote Reference),Footnote,Voetnootverwijzing,Times 10 Point,Exposant 3 Point,Footnote reference number,note TESI,Odwołanie przypisu, BVI fnr,Appel note de bas de p,Nota,16 Point,Superscript 6 Point"/>
    <w:qFormat/>
    <w:rPr>
      <w:vertAlign w:val="superscript"/>
    </w:rPr>
  </w:style>
  <w:style w:type="table" w:styleId="ColorfulGrid-Accent3">
    <w:name w:val="Colorful Grid Accent 3"/>
    <w:basedOn w:val="TableNormal"/>
    <w:uiPriority w:val="69"/>
    <w:rPr>
      <w:rFonts w:ascii="Verdana" w:eastAsia="Times New Roman"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pPr>
      <w:spacing w:after="240" w:line="240" w:lineRule="auto"/>
      <w:jc w:val="center"/>
    </w:pPr>
    <w:rPr>
      <w:rFonts w:ascii="Verdana" w:hAnsi="Verdana"/>
      <w:b/>
      <w:sz w:val="52"/>
    </w:rPr>
  </w:style>
  <w:style w:type="paragraph" w:customStyle="1" w:styleId="Footerapproval">
    <w:name w:val="Footer approval"/>
    <w:basedOn w:val="Footer"/>
    <w:pPr>
      <w:tabs>
        <w:tab w:val="left" w:pos="6804"/>
      </w:tabs>
    </w:pPr>
    <w:rPr>
      <w:rFonts w:ascii="Verdana" w:hAnsi="Verdana"/>
      <w:sz w:val="13"/>
    </w:rPr>
  </w:style>
  <w:style w:type="character" w:customStyle="1" w:styleId="DocumentTitleChar">
    <w:name w:val="Document Title Char"/>
    <w:link w:val="DocumentTitle"/>
    <w:rPr>
      <w:rFonts w:ascii="Verdana" w:eastAsia="Times New Roman" w:hAnsi="Verdana" w:cs="Times New Roman"/>
      <w:b/>
      <w:sz w:val="52"/>
      <w:szCs w:val="20"/>
    </w:rPr>
  </w:style>
  <w:style w:type="paragraph" w:customStyle="1" w:styleId="FooterDate">
    <w:name w:val="Footer Date"/>
    <w:basedOn w:val="Footer"/>
    <w:link w:val="FooterDateChar"/>
    <w:pPr>
      <w:tabs>
        <w:tab w:val="right" w:pos="9240"/>
      </w:tabs>
    </w:pPr>
    <w:rPr>
      <w:rFonts w:ascii="Verdana" w:hAnsi="Verdana"/>
    </w:rPr>
  </w:style>
  <w:style w:type="character" w:customStyle="1" w:styleId="ApprovalfooterChar">
    <w:name w:val="Approval_footer Char"/>
    <w:rPr>
      <w:rFonts w:ascii="Verdana" w:eastAsia="Times New Roman" w:hAnsi="Verdana" w:cs="Times New Roman"/>
      <w:sz w:val="13"/>
      <w:szCs w:val="20"/>
      <w:lang w:val="bg-BG"/>
    </w:rPr>
  </w:style>
  <w:style w:type="paragraph" w:customStyle="1" w:styleId="PageNumber1">
    <w:name w:val="Page Number1"/>
    <w:basedOn w:val="Footer"/>
    <w:pPr>
      <w:tabs>
        <w:tab w:val="right" w:pos="9240"/>
      </w:tabs>
      <w:ind w:right="-622"/>
    </w:pPr>
    <w:rPr>
      <w:rFonts w:ascii="Verdana" w:hAnsi="Verdana"/>
    </w:rPr>
  </w:style>
  <w:style w:type="character" w:customStyle="1" w:styleId="FooterDateChar">
    <w:name w:val="Footer Date Char"/>
    <w:link w:val="FooterDate"/>
    <w:rPr>
      <w:rFonts w:ascii="Verdana" w:eastAsia="Times New Roman" w:hAnsi="Verdana" w:cs="Times New Roman"/>
      <w:sz w:val="16"/>
      <w:szCs w:val="20"/>
      <w:lang w:val="bg-BG"/>
    </w:rPr>
  </w:style>
  <w:style w:type="character" w:customStyle="1" w:styleId="PagenumberChar">
    <w:name w:val="Page number Char"/>
    <w:rPr>
      <w:rFonts w:ascii="Verdana" w:eastAsia="Times New Roman" w:hAnsi="Verdana" w:cs="Times New Roman"/>
      <w:sz w:val="16"/>
      <w:szCs w:val="20"/>
      <w:lang w:val="bg-BG"/>
    </w:rPr>
  </w:style>
  <w:style w:type="paragraph" w:customStyle="1" w:styleId="DocumentSubtitle">
    <w:name w:val="Document Subtitle"/>
    <w:basedOn w:val="DocumentTitle"/>
    <w:link w:val="DocumentSubtitleChar"/>
    <w:rPr>
      <w:b w:val="0"/>
      <w:sz w:val="32"/>
      <w:szCs w:val="36"/>
    </w:rPr>
  </w:style>
  <w:style w:type="paragraph" w:customStyle="1" w:styleId="HeaderTitle">
    <w:name w:val="Header Title"/>
    <w:basedOn w:val="Normal"/>
    <w:link w:val="HeaderTitleChar"/>
    <w:pPr>
      <w:spacing w:after="240" w:line="240" w:lineRule="auto"/>
      <w:jc w:val="center"/>
    </w:pPr>
    <w:rPr>
      <w:rFonts w:ascii="Verdana" w:hAnsi="Verdana"/>
      <w:b/>
      <w:color w:val="808080"/>
      <w:sz w:val="18"/>
      <w:szCs w:val="18"/>
    </w:rPr>
  </w:style>
  <w:style w:type="character" w:customStyle="1" w:styleId="DocumentSubtitleChar">
    <w:name w:val="Document Subtitle Char"/>
    <w:link w:val="DocumentSubtitle"/>
    <w:rPr>
      <w:rFonts w:ascii="Verdana" w:eastAsia="Times New Roman" w:hAnsi="Verdana" w:cs="Times New Roman"/>
      <w:sz w:val="32"/>
      <w:szCs w:val="36"/>
    </w:rPr>
  </w:style>
  <w:style w:type="paragraph" w:customStyle="1" w:styleId="Bulletpoint1">
    <w:name w:val="Bullet point1"/>
    <w:basedOn w:val="NormalIndent"/>
    <w:link w:val="Bulletpoint1Char"/>
    <w:pPr>
      <w:numPr>
        <w:numId w:val="20"/>
      </w:numPr>
      <w:spacing w:after="120"/>
      <w:jc w:val="left"/>
    </w:pPr>
    <w:rPr>
      <w:rFonts w:ascii="Verdana" w:hAnsi="Verdana"/>
      <w:sz w:val="18"/>
    </w:rPr>
  </w:style>
  <w:style w:type="character" w:customStyle="1" w:styleId="HeaderTitleChar">
    <w:name w:val="Header Title Char"/>
    <w:link w:val="HeaderTitle"/>
    <w:rPr>
      <w:rFonts w:ascii="Verdana" w:eastAsia="Times New Roman" w:hAnsi="Verdana" w:cs="Times New Roman"/>
      <w:b/>
      <w:color w:val="808080"/>
      <w:sz w:val="18"/>
      <w:szCs w:val="18"/>
    </w:rPr>
  </w:style>
  <w:style w:type="paragraph" w:customStyle="1" w:styleId="Heading">
    <w:name w:val="Heading"/>
    <w:basedOn w:val="TOC1"/>
    <w:link w:val="HeadingChar"/>
    <w:pPr>
      <w:autoSpaceDE w:val="0"/>
      <w:autoSpaceDN w:val="0"/>
      <w:spacing w:after="0"/>
    </w:pPr>
    <w:rPr>
      <w:b w:val="0"/>
    </w:rPr>
  </w:style>
  <w:style w:type="character" w:customStyle="1" w:styleId="NormalIndentChar">
    <w:name w:val="Normal Indent Char"/>
    <w:link w:val="NormalIndent"/>
    <w:rPr>
      <w:rFonts w:ascii="Times New Roman" w:eastAsia="Times New Roman" w:hAnsi="Times New Roman" w:cs="Times New Roman"/>
      <w:sz w:val="24"/>
      <w:szCs w:val="20"/>
    </w:rPr>
  </w:style>
  <w:style w:type="character" w:customStyle="1" w:styleId="Bulletpoint1Char">
    <w:name w:val="Bullet point1 Char"/>
    <w:link w:val="Bulletpoint1"/>
    <w:rPr>
      <w:rFonts w:ascii="Verdana" w:eastAsia="Times New Roman" w:hAnsi="Verdana" w:cs="Times New Roman"/>
      <w:sz w:val="18"/>
      <w:szCs w:val="20"/>
    </w:rPr>
  </w:style>
  <w:style w:type="paragraph" w:customStyle="1" w:styleId="BulletPoint2">
    <w:name w:val="Bullet Point 2"/>
    <w:basedOn w:val="NormalIndent"/>
    <w:link w:val="BulletPoint2Char"/>
    <w:pPr>
      <w:numPr>
        <w:numId w:val="19"/>
      </w:numPr>
      <w:spacing w:after="120"/>
      <w:ind w:left="1077" w:hanging="357"/>
      <w:jc w:val="left"/>
    </w:pPr>
    <w:rPr>
      <w:rFonts w:ascii="Verdana" w:hAnsi="Verdana"/>
      <w:sz w:val="18"/>
    </w:rPr>
  </w:style>
  <w:style w:type="character" w:customStyle="1" w:styleId="HeadingChar">
    <w:name w:val="Heading Char"/>
    <w:link w:val="Heading"/>
    <w:rPr>
      <w:rFonts w:ascii="Calibri" w:eastAsia="Times New Roman" w:hAnsi="Calibri" w:cs="Times New Roman"/>
      <w:bCs/>
      <w:sz w:val="20"/>
      <w:szCs w:val="20"/>
      <w:u w:val="single"/>
    </w:rPr>
  </w:style>
  <w:style w:type="paragraph" w:customStyle="1" w:styleId="Body">
    <w:name w:val="Body"/>
    <w:basedOn w:val="Normal"/>
    <w:link w:val="BodyChar"/>
    <w:qFormat/>
    <w:pPr>
      <w:spacing w:after="240" w:line="240" w:lineRule="auto"/>
      <w:ind w:left="357"/>
    </w:pPr>
    <w:rPr>
      <w:rFonts w:cs="Arial"/>
    </w:rPr>
  </w:style>
  <w:style w:type="character" w:customStyle="1" w:styleId="BulletPoint2Char">
    <w:name w:val="Bullet Point 2 Char"/>
    <w:link w:val="BulletPoint2"/>
    <w:rPr>
      <w:rFonts w:ascii="Verdana" w:eastAsia="Times New Roman" w:hAnsi="Verdana" w:cs="Times New Roman"/>
      <w:sz w:val="18"/>
      <w:szCs w:val="20"/>
    </w:rPr>
  </w:style>
  <w:style w:type="paragraph" w:customStyle="1" w:styleId="Heading20">
    <w:name w:val="Heading2"/>
    <w:basedOn w:val="Title2"/>
    <w:link w:val="Heading2Char0"/>
    <w:pPr>
      <w:numPr>
        <w:numId w:val="0"/>
      </w:numPr>
    </w:pPr>
    <w:rPr>
      <w:rFonts w:ascii="Verdana" w:hAnsi="Verdana"/>
      <w:b/>
      <w:i/>
    </w:rPr>
  </w:style>
  <w:style w:type="character" w:customStyle="1" w:styleId="BodyChar">
    <w:name w:val="Body Char"/>
    <w:link w:val="Body"/>
    <w:rPr>
      <w:rFonts w:ascii="Arial" w:eastAsia="Times New Roman" w:hAnsi="Arial" w:cs="Arial"/>
      <w:sz w:val="20"/>
      <w:szCs w:val="20"/>
    </w:rPr>
  </w:style>
  <w:style w:type="table" w:styleId="TableGrid">
    <w:name w:val="Table Grid"/>
    <w:aliases w:val="Document Table"/>
    <w:basedOn w:val="TableNormal"/>
    <w:rPr>
      <w:rFonts w:ascii="Verdana" w:eastAsia="Times New Roman"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0">
    <w:name w:val="Heading2 Char"/>
    <w:link w:val="Heading20"/>
    <w:rPr>
      <w:rFonts w:ascii="Verdana" w:eastAsia="Times New Roman" w:hAnsi="Verdana" w:cs="Times New Roman"/>
      <w:b/>
      <w:i/>
      <w:sz w:val="24"/>
      <w:szCs w:val="20"/>
    </w:rPr>
  </w:style>
  <w:style w:type="table" w:customStyle="1" w:styleId="Style1">
    <w:name w:val="Style1"/>
    <w:basedOn w:val="TableNormal"/>
    <w:rPr>
      <w:rFonts w:ascii="Times New Roman" w:eastAsia="Times New Roman" w:hAnsi="Times New Roman"/>
    </w:rPr>
    <w:tblPr/>
  </w:style>
  <w:style w:type="table" w:styleId="TableElegant">
    <w:name w:val="Table Elegant"/>
    <w:basedOn w:val="TableNormal"/>
    <w:pPr>
      <w:spacing w:after="240"/>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rPr>
  </w:style>
  <w:style w:type="character" w:customStyle="1" w:styleId="FooterDocumentChar">
    <w:name w:val="Footer Document Char"/>
    <w:link w:val="FooterDocument"/>
    <w:rPr>
      <w:rFonts w:ascii="Arial" w:eastAsia="Times New Roman" w:hAnsi="Arial" w:cs="Arial"/>
      <w:i/>
      <w:noProof/>
      <w:sz w:val="13"/>
      <w:szCs w:val="20"/>
    </w:rPr>
  </w:style>
  <w:style w:type="paragraph" w:styleId="TOCHeading">
    <w:name w:val="TOC Heading"/>
    <w:basedOn w:val="Heading1"/>
    <w:next w:val="Normal"/>
    <w:uiPriority w:val="39"/>
    <w:unhideWhenUsed/>
    <w:qFormat/>
    <w:pPr>
      <w:keepLines/>
      <w:numPr>
        <w:numId w:val="0"/>
      </w:numPr>
      <w:spacing w:before="480" w:after="0" w:line="276" w:lineRule="auto"/>
      <w:jc w:val="left"/>
      <w:outlineLvl w:val="9"/>
    </w:pPr>
    <w:rPr>
      <w:rFonts w:ascii="Cambria" w:eastAsia="MS Gothic" w:hAnsi="Cambria"/>
      <w:bCs/>
      <w:smallCaps w:val="0"/>
      <w:color w:val="435186"/>
      <w:sz w:val="28"/>
      <w:szCs w:val="28"/>
    </w:rPr>
  </w:style>
  <w:style w:type="paragraph" w:customStyle="1" w:styleId="Title2">
    <w:name w:val="Title 2"/>
    <w:basedOn w:val="Normal"/>
    <w:pPr>
      <w:numPr>
        <w:numId w:val="21"/>
      </w:numPr>
      <w:spacing w:after="240" w:line="240" w:lineRule="auto"/>
    </w:pPr>
    <w:rPr>
      <w:sz w:val="24"/>
    </w:rPr>
  </w:style>
  <w:style w:type="paragraph" w:customStyle="1" w:styleId="Subtitle0">
    <w:name w:val="Subtitle_"/>
    <w:basedOn w:val="TOC2"/>
    <w:link w:val="SubtitleChar0"/>
    <w:pPr>
      <w:ind w:left="0"/>
    </w:pPr>
    <w:rPr>
      <w:b/>
      <w:i/>
    </w:rPr>
  </w:style>
  <w:style w:type="character" w:customStyle="1" w:styleId="SubtitleChar0">
    <w:name w:val="Subtitle_ Char"/>
    <w:link w:val="Subtitle0"/>
    <w:rPr>
      <w:rFonts w:ascii="Calibri" w:eastAsia="Times New Roman" w:hAnsi="Calibri" w:cs="Times New Roman"/>
      <w:b/>
      <w:iCs/>
      <w:sz w:val="20"/>
      <w:szCs w:val="20"/>
    </w:rPr>
  </w:style>
  <w:style w:type="paragraph" w:customStyle="1" w:styleId="HeadingBody">
    <w:name w:val="Heading Body"/>
    <w:basedOn w:val="Normal"/>
    <w:link w:val="HeadingBodyChar"/>
    <w:pPr>
      <w:spacing w:after="120" w:line="240" w:lineRule="auto"/>
    </w:pPr>
    <w:rPr>
      <w:rFonts w:ascii="Verdana" w:hAnsi="Verdana"/>
      <w:b/>
      <w:szCs w:val="18"/>
    </w:rPr>
  </w:style>
  <w:style w:type="paragraph" w:customStyle="1" w:styleId="Titlepublication">
    <w:name w:val="Title publication"/>
    <w:basedOn w:val="Normal"/>
    <w:link w:val="TitlepublicationChar"/>
    <w:pPr>
      <w:spacing w:after="240" w:line="240" w:lineRule="auto"/>
      <w:jc w:val="center"/>
    </w:pPr>
    <w:rPr>
      <w:rFonts w:ascii="Verdana" w:hAnsi="Verdana"/>
      <w:b/>
      <w:color w:val="FF0000"/>
      <w:sz w:val="52"/>
      <w:szCs w:val="52"/>
    </w:rPr>
  </w:style>
  <w:style w:type="character" w:customStyle="1" w:styleId="HeadingBodyChar">
    <w:name w:val="Heading Body Char"/>
    <w:link w:val="HeadingBody"/>
    <w:rPr>
      <w:rFonts w:ascii="Verdana" w:eastAsia="Times New Roman" w:hAnsi="Verdana" w:cs="Times New Roman"/>
      <w:b/>
      <w:sz w:val="20"/>
      <w:szCs w:val="18"/>
    </w:rPr>
  </w:style>
  <w:style w:type="paragraph" w:customStyle="1" w:styleId="Subtitlepublication">
    <w:name w:val="Subtitle publication"/>
    <w:basedOn w:val="Normal"/>
    <w:link w:val="SubtitlepublicationChar"/>
    <w:pPr>
      <w:spacing w:after="240" w:line="240" w:lineRule="auto"/>
      <w:jc w:val="center"/>
    </w:pPr>
    <w:rPr>
      <w:rFonts w:ascii="Verdana" w:hAnsi="Verdana"/>
      <w:b/>
      <w:i/>
      <w:color w:val="FF0000"/>
      <w:sz w:val="32"/>
    </w:rPr>
  </w:style>
  <w:style w:type="character" w:customStyle="1" w:styleId="TitlepublicationChar">
    <w:name w:val="Title publication Char"/>
    <w:link w:val="Titlepublication"/>
    <w:rPr>
      <w:rFonts w:ascii="Verdana" w:eastAsia="Times New Roman" w:hAnsi="Verdana" w:cs="Times New Roman"/>
      <w:b/>
      <w:color w:val="FF0000"/>
      <w:sz w:val="52"/>
      <w:szCs w:val="52"/>
    </w:rPr>
  </w:style>
  <w:style w:type="paragraph" w:customStyle="1" w:styleId="Editorname">
    <w:name w:val="Editor name"/>
    <w:basedOn w:val="Normal"/>
    <w:link w:val="EditornameChar"/>
    <w:pPr>
      <w:spacing w:after="240" w:line="240" w:lineRule="auto"/>
      <w:jc w:val="center"/>
    </w:pPr>
    <w:rPr>
      <w:rFonts w:ascii="Verdana" w:hAnsi="Verdana"/>
      <w:color w:val="FF0000"/>
      <w:sz w:val="24"/>
    </w:rPr>
  </w:style>
  <w:style w:type="character" w:customStyle="1" w:styleId="SubtitlepublicationChar">
    <w:name w:val="Subtitle publication Char"/>
    <w:link w:val="Subtitlepublication"/>
    <w:rPr>
      <w:rFonts w:ascii="Verdana" w:eastAsia="Times New Roman" w:hAnsi="Verdana" w:cs="Times New Roman"/>
      <w:b/>
      <w:i/>
      <w:color w:val="FF0000"/>
      <w:sz w:val="32"/>
      <w:szCs w:val="20"/>
    </w:rPr>
  </w:style>
  <w:style w:type="paragraph" w:customStyle="1" w:styleId="Backcoversummary">
    <w:name w:val="Backcover_summary"/>
    <w:basedOn w:val="Normal"/>
    <w:link w:val="BackcoversummaryChar"/>
    <w:pPr>
      <w:spacing w:after="240" w:line="240" w:lineRule="auto"/>
    </w:pPr>
    <w:rPr>
      <w:rFonts w:ascii="Verdana" w:hAnsi="Verdana"/>
      <w:color w:val="FF0000"/>
      <w:sz w:val="24"/>
    </w:rPr>
  </w:style>
  <w:style w:type="character" w:customStyle="1" w:styleId="EditornameChar">
    <w:name w:val="Editor name Char"/>
    <w:link w:val="Editorname"/>
    <w:rPr>
      <w:rFonts w:ascii="Verdana" w:eastAsia="Times New Roman" w:hAnsi="Verdana" w:cs="Times New Roman"/>
      <w:color w:val="FF0000"/>
      <w:sz w:val="24"/>
      <w:szCs w:val="20"/>
    </w:rPr>
  </w:style>
  <w:style w:type="paragraph" w:customStyle="1" w:styleId="Backcovercategory">
    <w:name w:val="Backcover_category"/>
    <w:basedOn w:val="Normal"/>
    <w:link w:val="BackcovercategoryChar"/>
    <w:pPr>
      <w:spacing w:after="240" w:line="240" w:lineRule="auto"/>
      <w:ind w:right="28"/>
    </w:pPr>
    <w:rPr>
      <w:rFonts w:ascii="Verdana" w:hAnsi="Verdana"/>
      <w:i/>
      <w:color w:val="FF0000"/>
      <w:sz w:val="18"/>
    </w:rPr>
  </w:style>
  <w:style w:type="character" w:customStyle="1" w:styleId="BackcoversummaryChar">
    <w:name w:val="Backcover_summary Char"/>
    <w:link w:val="Backcoversummary"/>
    <w:rPr>
      <w:rFonts w:ascii="Verdana" w:eastAsia="Times New Roman" w:hAnsi="Verdana" w:cs="Times New Roman"/>
      <w:color w:val="FF0000"/>
      <w:sz w:val="24"/>
      <w:szCs w:val="20"/>
    </w:rPr>
  </w:style>
  <w:style w:type="character" w:customStyle="1" w:styleId="BackcovercategoryChar">
    <w:name w:val="Backcover_category Char"/>
    <w:link w:val="Backcovercategory"/>
    <w:rPr>
      <w:rFonts w:ascii="Verdana" w:eastAsia="Times New Roman" w:hAnsi="Verdana" w:cs="Times New Roman"/>
      <w:i/>
      <w:color w:val="FF0000"/>
      <w:sz w:val="18"/>
      <w:szCs w:val="20"/>
    </w:rPr>
  </w:style>
  <w:style w:type="paragraph" w:customStyle="1" w:styleId="kop2">
    <w:name w:val="kop 2"/>
    <w:basedOn w:val="Normal"/>
    <w:next w:val="Normal"/>
    <w:link w:val="kop2Char"/>
    <w:uiPriority w:val="1"/>
    <w:unhideWhenUsed/>
    <w:qFormat/>
    <w:pPr>
      <w:keepNext/>
      <w:keepLines/>
      <w:numPr>
        <w:numId w:val="24"/>
      </w:numPr>
      <w:spacing w:after="120" w:line="240" w:lineRule="auto"/>
      <w:outlineLvl w:val="1"/>
    </w:pPr>
    <w:rPr>
      <w:rFonts w:eastAsia="MS Gothic" w:cs="Arial"/>
      <w:caps/>
      <w:color w:val="4F81BD"/>
      <w:kern w:val="20"/>
      <w:sz w:val="24"/>
      <w:szCs w:val="24"/>
    </w:rPr>
  </w:style>
  <w:style w:type="paragraph" w:customStyle="1" w:styleId="kop3">
    <w:name w:val="kop 3"/>
    <w:basedOn w:val="StyleSubtitleBoldAccent1Left1"/>
    <w:next w:val="Normal"/>
    <w:link w:val="kop3Char"/>
    <w:uiPriority w:val="1"/>
    <w:unhideWhenUsed/>
    <w:qFormat/>
    <w:pPr>
      <w:numPr>
        <w:numId w:val="25"/>
      </w:numPr>
    </w:pPr>
    <w:rPr>
      <w:b w:val="0"/>
    </w:rPr>
  </w:style>
  <w:style w:type="character" w:customStyle="1" w:styleId="kop2Char">
    <w:name w:val="kop 2 Char"/>
    <w:link w:val="kop2"/>
    <w:uiPriority w:val="1"/>
    <w:rPr>
      <w:rFonts w:ascii="Arial" w:eastAsia="MS Gothic" w:hAnsi="Arial" w:cs="Arial"/>
      <w:caps/>
      <w:color w:val="4F81BD"/>
      <w:kern w:val="20"/>
      <w:sz w:val="24"/>
      <w:szCs w:val="24"/>
    </w:rPr>
  </w:style>
  <w:style w:type="character" w:customStyle="1" w:styleId="kop3Char">
    <w:name w:val="kop 3 Char"/>
    <w:link w:val="kop3"/>
    <w:uiPriority w:val="1"/>
    <w:rPr>
      <w:rFonts w:ascii="Arial" w:eastAsia="Times New Roman" w:hAnsi="Arial" w:cs="Times New Roman"/>
      <w:bCs/>
      <w:color w:val="4F81BD"/>
      <w:sz w:val="24"/>
      <w:szCs w:val="20"/>
    </w:rPr>
  </w:style>
  <w:style w:type="paragraph" w:customStyle="1" w:styleId="Lijstje">
    <w:name w:val="Lijstje"/>
    <w:basedOn w:val="NoSpacing"/>
    <w:uiPriority w:val="1"/>
    <w:unhideWhenUsed/>
    <w:qFormat/>
    <w:locked/>
    <w:pPr>
      <w:numPr>
        <w:numId w:val="22"/>
      </w:numPr>
      <w:tabs>
        <w:tab w:val="num" w:pos="1485"/>
      </w:tabs>
      <w:spacing w:after="240"/>
      <w:ind w:left="1412" w:hanging="703"/>
    </w:pPr>
    <w:rPr>
      <w:rFonts w:ascii="Verdana" w:eastAsia="Calibri" w:hAnsi="Verdana"/>
      <w:kern w:val="20"/>
    </w:rPr>
  </w:style>
  <w:style w:type="paragraph" w:customStyle="1" w:styleId="Lijstje3">
    <w:name w:val="Lijstje 3"/>
    <w:basedOn w:val="Lijstje2"/>
    <w:uiPriority w:val="1"/>
    <w:unhideWhenUsed/>
    <w:locked/>
    <w:pPr>
      <w:numPr>
        <w:ilvl w:val="1"/>
      </w:numPr>
      <w:tabs>
        <w:tab w:val="num" w:pos="765"/>
      </w:tabs>
      <w:ind w:left="1069" w:hanging="283"/>
    </w:pPr>
  </w:style>
  <w:style w:type="paragraph" w:customStyle="1" w:styleId="Lijstje2">
    <w:name w:val="Lijstje2"/>
    <w:basedOn w:val="ListParagraph"/>
    <w:uiPriority w:val="1"/>
    <w:unhideWhenUsed/>
    <w:locked/>
    <w:pPr>
      <w:numPr>
        <w:numId w:val="23"/>
      </w:numPr>
      <w:tabs>
        <w:tab w:val="num" w:pos="765"/>
      </w:tabs>
      <w:spacing w:after="200"/>
      <w:ind w:left="1797" w:hanging="357"/>
    </w:pPr>
    <w:rPr>
      <w:rFonts w:ascii="Verdana" w:eastAsia="Calibri" w:hAnsi="Verdana"/>
      <w:kern w:val="20"/>
      <w:sz w:val="20"/>
    </w:rPr>
  </w:style>
  <w:style w:type="paragraph" w:customStyle="1" w:styleId="Koptekstmetarcering">
    <w:name w:val="Koptekst met arcering"/>
    <w:basedOn w:val="Normal"/>
    <w:uiPriority w:val="19"/>
    <w:locked/>
    <w:pPr>
      <w:pBdr>
        <w:top w:val="single" w:sz="2" w:space="2" w:color="5F70AF"/>
        <w:left w:val="single" w:sz="2" w:space="6" w:color="5F70AF"/>
        <w:bottom w:val="single" w:sz="2" w:space="2" w:color="5F70AF"/>
        <w:right w:val="single" w:sz="2" w:space="6" w:color="5F70AF"/>
      </w:pBdr>
      <w:shd w:val="clear" w:color="auto" w:fill="5F70AF"/>
      <w:spacing w:after="0" w:line="240" w:lineRule="auto"/>
      <w:ind w:left="-360" w:right="-360"/>
    </w:pPr>
    <w:rPr>
      <w:rFonts w:ascii="Cambria" w:eastAsia="MS Gothic" w:hAnsi="Cambria"/>
      <w:caps/>
      <w:color w:val="FFFFFF"/>
      <w:kern w:val="20"/>
      <w:sz w:val="48"/>
    </w:rPr>
  </w:style>
  <w:style w:type="character" w:styleId="Strong">
    <w:name w:val="Strong"/>
    <w:aliases w:val="Gewoon,sub subtitle"/>
    <w:uiPriority w:val="22"/>
    <w:qFormat/>
    <w:rPr>
      <w:rFonts w:ascii="Arial" w:hAnsi="Arial" w:cs="Arial"/>
      <w:i/>
      <w:color w:val="95B3D7"/>
    </w:rPr>
  </w:style>
  <w:style w:type="paragraph" w:styleId="ListParagraph">
    <w:name w:val="List Paragraph"/>
    <w:basedOn w:val="Normal"/>
    <w:uiPriority w:val="34"/>
    <w:qFormat/>
    <w:pPr>
      <w:spacing w:after="240" w:line="240" w:lineRule="auto"/>
      <w:ind w:left="720"/>
      <w:contextualSpacing/>
    </w:pPr>
    <w:rPr>
      <w:sz w:val="24"/>
    </w:rPr>
  </w:style>
  <w:style w:type="paragraph" w:customStyle="1" w:styleId="kop1">
    <w:name w:val="kop 1"/>
    <w:basedOn w:val="Normal"/>
    <w:next w:val="Normal"/>
    <w:link w:val="Tekensvoorkop1"/>
    <w:uiPriority w:val="1"/>
    <w:locked/>
    <w:pPr>
      <w:pageBreakBefore/>
      <w:spacing w:after="360" w:line="240" w:lineRule="auto"/>
      <w:ind w:left="-360" w:right="-360"/>
      <w:outlineLvl w:val="0"/>
    </w:pPr>
    <w:rPr>
      <w:rFonts w:ascii="Calibri" w:hAnsi="Calibri"/>
      <w:kern w:val="20"/>
      <w:sz w:val="36"/>
    </w:rPr>
  </w:style>
  <w:style w:type="paragraph" w:customStyle="1" w:styleId="Geenregelafstand">
    <w:name w:val="Geen regelafstand"/>
    <w:link w:val="Tekensvoorgeenregelafstand"/>
    <w:uiPriority w:val="1"/>
    <w:locked/>
    <w:pPr>
      <w:widowControl w:val="0"/>
      <w:adjustRightInd w:val="0"/>
      <w:spacing w:before="40" w:line="360" w:lineRule="atLeast"/>
      <w:jc w:val="both"/>
      <w:textAlignment w:val="baseline"/>
    </w:pPr>
    <w:rPr>
      <w:rFonts w:ascii="Calibri" w:eastAsia="Times New Roman" w:hAnsi="Calibri"/>
      <w:color w:val="595959"/>
      <w:u w:val="single"/>
      <w:lang w:val="en-GB" w:eastAsia="en-GB" w:bidi="ar-SA"/>
    </w:rPr>
  </w:style>
  <w:style w:type="character" w:customStyle="1" w:styleId="Tekensvoorkop1">
    <w:name w:val="Tekens voor kop 1"/>
    <w:link w:val="kop1"/>
    <w:uiPriority w:val="1"/>
    <w:rPr>
      <w:rFonts w:ascii="Calibri" w:eastAsia="Calibri" w:hAnsi="Calibri" w:cs="Times New Roman"/>
      <w:kern w:val="20"/>
      <w:sz w:val="36"/>
      <w:szCs w:val="20"/>
      <w:lang w:val="bg-BG"/>
    </w:rPr>
  </w:style>
  <w:style w:type="character" w:customStyle="1" w:styleId="Extranadruk">
    <w:name w:val="Extra nadruk"/>
    <w:uiPriority w:val="1"/>
    <w:unhideWhenUsed/>
    <w:locked/>
    <w:rPr>
      <w:b/>
      <w:bCs/>
    </w:rPr>
  </w:style>
  <w:style w:type="character" w:customStyle="1" w:styleId="Tekensvoorgeenregelafstand">
    <w:name w:val="Tekens voor geen regelafstand"/>
    <w:link w:val="Geenregelafstand"/>
    <w:uiPriority w:val="1"/>
    <w:rPr>
      <w:rFonts w:ascii="Calibri" w:eastAsia="Calibri" w:hAnsi="Calibri" w:cs="Times New Roman"/>
      <w:color w:val="595959"/>
      <w:sz w:val="20"/>
      <w:szCs w:val="20"/>
      <w:lang w:val="bg-BG"/>
    </w:rPr>
  </w:style>
  <w:style w:type="paragraph" w:customStyle="1" w:styleId="Tabeltekst">
    <w:name w:val="Tabeltekst"/>
    <w:basedOn w:val="Normal"/>
    <w:uiPriority w:val="9"/>
    <w:locked/>
    <w:pPr>
      <w:spacing w:before="60" w:after="60" w:line="240" w:lineRule="auto"/>
      <w:ind w:left="144" w:right="144"/>
    </w:pPr>
    <w:rPr>
      <w:rFonts w:ascii="Calibri" w:hAnsi="Calibri"/>
      <w:kern w:val="20"/>
    </w:rPr>
  </w:style>
  <w:style w:type="paragraph" w:customStyle="1" w:styleId="Kopvooromgekeerdetabel">
    <w:name w:val="Kop voor omgekeerde tabel"/>
    <w:basedOn w:val="Normal"/>
    <w:uiPriority w:val="9"/>
    <w:locked/>
    <w:pPr>
      <w:spacing w:after="40" w:line="240" w:lineRule="auto"/>
      <w:ind w:left="144" w:right="144"/>
    </w:pPr>
    <w:rPr>
      <w:rFonts w:ascii="Cambria" w:eastAsia="MS Gothic" w:hAnsi="Cambria"/>
      <w:caps/>
      <w:color w:val="FFFFFF"/>
      <w:kern w:val="20"/>
      <w:sz w:val="24"/>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link w:val="CommentSubject"/>
    <w:semiHidden/>
    <w:rPr>
      <w:rFonts w:ascii="Times New Roman" w:eastAsia="Times New Roman" w:hAnsi="Times New Roman" w:cs="Times New Roman"/>
      <w:b/>
      <w:bCs/>
      <w:sz w:val="20"/>
      <w:szCs w:val="20"/>
    </w:rPr>
  </w:style>
  <w:style w:type="paragraph" w:styleId="Revision">
    <w:name w:val="Revision"/>
    <w:hidden/>
    <w:uiPriority w:val="99"/>
    <w:semiHidden/>
    <w:pPr>
      <w:widowControl w:val="0"/>
      <w:adjustRightInd w:val="0"/>
      <w:spacing w:line="360" w:lineRule="atLeast"/>
      <w:jc w:val="both"/>
      <w:textAlignment w:val="baseline"/>
    </w:pPr>
    <w:rPr>
      <w:rFonts w:ascii="Times New Roman" w:eastAsia="Times New Roman" w:hAnsi="Times New Roman"/>
      <w:sz w:val="24"/>
      <w:u w:val="single"/>
      <w:lang w:val="en-GB" w:eastAsia="en-GB" w:bidi="ar-SA"/>
    </w:rPr>
  </w:style>
  <w:style w:type="character" w:styleId="FollowedHyperlink">
    <w:name w:val="FollowedHyperlink"/>
    <w:semiHidden/>
    <w:unhideWhenUsed/>
    <w:rPr>
      <w:color w:val="3EBBF0"/>
      <w:u w:val="single"/>
    </w:rPr>
  </w:style>
  <w:style w:type="character" w:customStyle="1" w:styleId="affairetitle">
    <w:name w:val="affaire_title"/>
    <w:basedOn w:val="DefaultParagraphFont"/>
  </w:style>
  <w:style w:type="paragraph" w:customStyle="1" w:styleId="Kop4">
    <w:name w:val="Kop 4"/>
    <w:basedOn w:val="kop3"/>
    <w:link w:val="Kop4Char"/>
    <w:qFormat/>
    <w:pPr>
      <w:numPr>
        <w:ilvl w:val="1"/>
      </w:numPr>
    </w:pPr>
    <w:rPr>
      <w:rFonts w:cs="Arial"/>
      <w:b/>
      <w:bCs w:val="0"/>
      <w:i/>
      <w:color w:val="95B3D7"/>
    </w:rPr>
  </w:style>
  <w:style w:type="paragraph" w:customStyle="1" w:styleId="Kop5">
    <w:name w:val="Kop 5"/>
    <w:basedOn w:val="Normal"/>
    <w:link w:val="Kop5Char"/>
    <w:qFormat/>
    <w:pPr>
      <w:spacing w:after="240" w:line="240" w:lineRule="auto"/>
      <w:ind w:left="709"/>
    </w:pPr>
    <w:rPr>
      <w:rFonts w:ascii="Verdana" w:hAnsi="Verdana"/>
      <w:color w:val="7BCCFF"/>
      <w:sz w:val="24"/>
    </w:rPr>
  </w:style>
  <w:style w:type="character" w:customStyle="1" w:styleId="Kop4Char">
    <w:name w:val="Kop 4 Char"/>
    <w:link w:val="Kop4"/>
    <w:rPr>
      <w:rFonts w:ascii="Arial" w:eastAsia="Times New Roman" w:hAnsi="Arial" w:cs="Arial"/>
      <w:b/>
      <w:i/>
      <w:color w:val="95B3D7"/>
      <w:sz w:val="24"/>
      <w:szCs w:val="20"/>
    </w:rPr>
  </w:style>
  <w:style w:type="character" w:customStyle="1" w:styleId="Kop5Char">
    <w:name w:val="Kop 5 Char"/>
    <w:link w:val="Kop5"/>
    <w:rPr>
      <w:rFonts w:ascii="Verdana" w:eastAsia="Times New Roman" w:hAnsi="Verdana" w:cs="Times New Roman"/>
      <w:color w:val="7BCCFF"/>
      <w:sz w:val="24"/>
      <w:szCs w:val="20"/>
    </w:rPr>
  </w:style>
  <w:style w:type="paragraph" w:customStyle="1" w:styleId="MemberStateHeader">
    <w:name w:val="Member State Header"/>
    <w:basedOn w:val="Normal"/>
    <w:link w:val="MemberStateHeaderChar"/>
    <w:qFormat/>
    <w:pPr>
      <w:keepNext/>
      <w:keepLines/>
      <w:spacing w:after="0" w:line="240" w:lineRule="auto"/>
      <w:jc w:val="center"/>
      <w:outlineLvl w:val="1"/>
    </w:pPr>
    <w:rPr>
      <w:rFonts w:ascii="Verdana" w:eastAsia="MS Gothic" w:hAnsi="Verdana"/>
      <w:caps/>
      <w:color w:val="242852"/>
      <w:kern w:val="20"/>
      <w:sz w:val="28"/>
    </w:rPr>
  </w:style>
  <w:style w:type="character" w:customStyle="1" w:styleId="MemberStateHeaderChar">
    <w:name w:val="Member State Header Char"/>
    <w:link w:val="MemberStateHeader"/>
    <w:rPr>
      <w:rFonts w:ascii="Verdana" w:eastAsia="MS Gothic" w:hAnsi="Verdana" w:cs="Times New Roman"/>
      <w:caps/>
      <w:color w:val="242852"/>
      <w:kern w:val="20"/>
      <w:sz w:val="28"/>
      <w:szCs w:val="20"/>
      <w:lang w:val="bg-BG"/>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link w:val="PagedecouvertureChar"/>
    <w:pPr>
      <w:spacing w:after="0" w:line="240" w:lineRule="auto"/>
    </w:pPr>
    <w:rPr>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u w:val="none"/>
    </w:rPr>
  </w:style>
  <w:style w:type="character" w:customStyle="1" w:styleId="FooterCoverPageChar">
    <w:name w:val="Footer Cover Page Char"/>
    <w:link w:val="FooterCoverPage"/>
    <w:rPr>
      <w:rFonts w:ascii="Times New Roman" w:eastAsia="Times New Roman" w:hAnsi="Times New Roman"/>
      <w:sz w:val="24"/>
      <w:lang w:val="en-GB" w:eastAsia="en-GB" w:bidi="ar-SA"/>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u w:val="none"/>
    </w:rPr>
  </w:style>
  <w:style w:type="character" w:customStyle="1" w:styleId="HeaderCoverPageChar">
    <w:name w:val="Header Cover Page Char"/>
    <w:link w:val="HeaderCoverPage"/>
    <w:rPr>
      <w:rFonts w:ascii="Times New Roman" w:eastAsia="Times New Roman" w:hAnsi="Times New Roman"/>
      <w:sz w:val="24"/>
      <w:lang w:val="en-GB" w:eastAsia="en-GB" w:bidi="ar-SA"/>
    </w:rPr>
  </w:style>
  <w:style w:type="paragraph" w:customStyle="1" w:styleId="Title1">
    <w:name w:val="Title1"/>
    <w:basedOn w:val="Normal"/>
    <w:next w:val="Normal"/>
    <w:autoRedefine/>
    <w:uiPriority w:val="1"/>
    <w:unhideWhenUsed/>
    <w:pPr>
      <w:keepNext/>
      <w:keepLines/>
      <w:spacing w:after="240" w:line="240" w:lineRule="auto"/>
      <w:outlineLvl w:val="1"/>
    </w:pPr>
    <w:rPr>
      <w:rFonts w:eastAsia="MS Gothic" w:cs="Arial"/>
      <w:caps/>
      <w:color w:val="4F81BD"/>
      <w:kern w:val="20"/>
      <w:sz w:val="28"/>
    </w:rPr>
  </w:style>
  <w:style w:type="character" w:customStyle="1" w:styleId="TITLEChar0">
    <w:name w:val="TITLE Char"/>
    <w:uiPriority w:val="1"/>
    <w:rPr>
      <w:rFonts w:ascii="Arial" w:eastAsia="MS Gothic" w:hAnsi="Arial" w:cs="Arial"/>
      <w:caps/>
      <w:color w:val="4F81BD"/>
      <w:kern w:val="20"/>
      <w:sz w:val="28"/>
      <w:szCs w:val="20"/>
    </w:rPr>
  </w:style>
  <w:style w:type="paragraph" w:customStyle="1" w:styleId="Stylekop2LatinArialCustomColorRGB79129189After">
    <w:name w:val="Style kop 2 + (Latin) Arial Custom Color(RGB(79129189)) After: ..."/>
    <w:basedOn w:val="kop2"/>
    <w:rPr>
      <w:rFonts w:eastAsia="Times New Roman"/>
    </w:rPr>
  </w:style>
  <w:style w:type="paragraph" w:customStyle="1" w:styleId="Style2">
    <w:name w:val="Style2"/>
    <w:basedOn w:val="kop2"/>
    <w:link w:val="Style2Char"/>
  </w:style>
  <w:style w:type="paragraph" w:customStyle="1" w:styleId="StyleSubtitleBoldAccent1Left">
    <w:name w:val="Style Subtitle + Bold Accent 1 Left"/>
    <w:basedOn w:val="Subtitle"/>
    <w:qFormat/>
    <w:pPr>
      <w:jc w:val="left"/>
    </w:pPr>
    <w:rPr>
      <w:b/>
      <w:bCs/>
      <w:color w:val="4F81BD"/>
    </w:rPr>
  </w:style>
  <w:style w:type="character" w:customStyle="1" w:styleId="Style2Char">
    <w:name w:val="Style2 Char"/>
    <w:link w:val="Style2"/>
    <w:rPr>
      <w:rFonts w:ascii="Arial" w:eastAsia="MS Gothic" w:hAnsi="Arial" w:cs="Arial"/>
      <w:caps/>
      <w:color w:val="4F81BD"/>
      <w:kern w:val="20"/>
      <w:sz w:val="24"/>
      <w:szCs w:val="24"/>
    </w:rPr>
  </w:style>
  <w:style w:type="paragraph" w:customStyle="1" w:styleId="StyleSubtitleBoldAccent1Left1">
    <w:name w:val="Style Subtitle + Bold Accent 1 Left1"/>
    <w:basedOn w:val="Subtitle"/>
    <w:qFormat/>
    <w:pPr>
      <w:jc w:val="left"/>
    </w:pPr>
    <w:rPr>
      <w:b/>
      <w:bCs/>
      <w:color w:val="4F81BD"/>
    </w:rPr>
  </w:style>
  <w:style w:type="character" w:customStyle="1" w:styleId="bluetext11">
    <w:name w:val="bluetext11"/>
    <w:basedOn w:val="DefaultParagraphFont"/>
  </w:style>
  <w:style w:type="table" w:customStyle="1" w:styleId="Style12">
    <w:name w:val="Style12"/>
    <w:basedOn w:val="TableNormal"/>
    <w:rPr>
      <w:rFonts w:ascii="Times New Roman" w:eastAsia="Times New Roman" w:hAnsi="Times New Roman"/>
    </w:rPr>
    <w:tblPr/>
  </w:style>
  <w:style w:type="paragraph" w:styleId="NormalWeb">
    <w:name w:val="Normal (Web)"/>
    <w:basedOn w:val="Normal"/>
    <w:uiPriority w:val="99"/>
    <w:unhideWhenUsed/>
    <w:pPr>
      <w:spacing w:before="100" w:beforeAutospacing="1" w:after="100" w:afterAutospacing="1" w:line="240" w:lineRule="auto"/>
    </w:pPr>
    <w:rPr>
      <w:sz w:val="24"/>
      <w:szCs w:val="24"/>
    </w:rPr>
  </w:style>
  <w:style w:type="character" w:customStyle="1" w:styleId="at1">
    <w:name w:val="a__t1"/>
    <w:basedOn w:val="DefaultParagraphFont"/>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u w:val="none"/>
    </w:rPr>
  </w:style>
  <w:style w:type="character" w:customStyle="1" w:styleId="PagedecouvertureChar">
    <w:name w:val="Page de couverture Char"/>
    <w:link w:val="Pagedecouverture"/>
    <w:rPr>
      <w:rFonts w:ascii="Times New Roman" w:eastAsia="Calibri" w:hAnsi="Times New Roman" w:cs="Times New Roman"/>
      <w:sz w:val="24"/>
    </w:rPr>
  </w:style>
  <w:style w:type="character" w:customStyle="1" w:styleId="FooterSensitivityChar">
    <w:name w:val="Footer Sensitivity Char"/>
    <w:link w:val="FooterSensitivity"/>
    <w:rPr>
      <w:rFonts w:ascii="Times New Roman" w:eastAsia="Times New Roman" w:hAnsi="Times New Roman"/>
      <w:b/>
      <w:sz w:val="32"/>
      <w:lang w:val="en-GB" w:eastAsia="en-GB" w:bidi="ar-SA"/>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u w:val="none"/>
    </w:rPr>
  </w:style>
  <w:style w:type="character" w:customStyle="1" w:styleId="HeaderSensitivityChar">
    <w:name w:val="Header Sensitivity Char"/>
    <w:link w:val="HeaderSensitivity"/>
    <w:rPr>
      <w:rFonts w:ascii="Times New Roman" w:eastAsia="Times New Roman" w:hAnsi="Times New Roman"/>
      <w:b/>
      <w:sz w:val="32"/>
      <w:lang w:val="en-GB" w:eastAsia="en-GB" w:bidi="ar-SA"/>
    </w:rPr>
  </w:style>
  <w:style w:type="character" w:customStyle="1" w:styleId="apple-converted-space">
    <w:name w:val="apple-converted-space"/>
    <w:basedOn w:val="DefaultParagraphFont"/>
  </w:style>
  <w:style w:type="paragraph" w:customStyle="1" w:styleId="Default">
    <w:name w:val="Default"/>
    <w:pPr>
      <w:widowControl w:val="0"/>
      <w:autoSpaceDE w:val="0"/>
      <w:autoSpaceDN w:val="0"/>
      <w:adjustRightInd w:val="0"/>
      <w:spacing w:line="360" w:lineRule="atLeast"/>
      <w:jc w:val="both"/>
      <w:textAlignment w:val="baseline"/>
    </w:pPr>
    <w:rPr>
      <w:rFonts w:ascii="EUAlbertina" w:eastAsia="Times New Roman" w:hAnsi="EUAlbertina"/>
      <w:color w:val="000000"/>
      <w:sz w:val="24"/>
      <w:szCs w:val="24"/>
      <w:lang w:val="en-GB" w:eastAsia="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bg-BG" w:eastAsia="bg-BG" w:bidi="bg-BG"/>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footnote text" w:uiPriority="99" w:qFormat="1"/>
    <w:lsdException w:name="annotation text" w:uiPriority="99"/>
    <w:lsdException w:name="header" w:uiPriority="99"/>
    <w:lsdException w:name="footer" w:uiPriority="99"/>
    <w:lsdException w:name="caption" w:qFormat="1"/>
    <w:lsdException w:name="footnote reference"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djustRightInd w:val="0"/>
      <w:spacing w:after="200" w:line="276" w:lineRule="auto"/>
      <w:jc w:val="both"/>
      <w:textAlignment w:val="baseline"/>
    </w:pPr>
    <w:rPr>
      <w:rFonts w:ascii="Times New Roman" w:eastAsia="Times New Roman" w:hAnsi="Times New Roman"/>
      <w:u w:val="single"/>
      <w:lang w:val="en-GB" w:eastAsia="en-GB" w:bidi="ar-SA"/>
    </w:rPr>
  </w:style>
  <w:style w:type="paragraph" w:styleId="Heading1">
    <w:name w:val="heading 1"/>
    <w:basedOn w:val="Normal"/>
    <w:next w:val="Text1"/>
    <w:link w:val="Heading1Char"/>
    <w:pPr>
      <w:keepNext/>
      <w:numPr>
        <w:numId w:val="3"/>
      </w:numPr>
      <w:spacing w:before="240" w:after="240" w:line="240" w:lineRule="auto"/>
      <w:outlineLvl w:val="0"/>
    </w:pPr>
    <w:rPr>
      <w:b/>
      <w:smallCaps/>
      <w:sz w:val="24"/>
    </w:rPr>
  </w:style>
  <w:style w:type="paragraph" w:styleId="Heading2">
    <w:name w:val="heading 2"/>
    <w:basedOn w:val="Normal"/>
    <w:next w:val="Text2"/>
    <w:link w:val="Heading2Char"/>
    <w:pPr>
      <w:keepNext/>
      <w:numPr>
        <w:ilvl w:val="1"/>
        <w:numId w:val="3"/>
      </w:numPr>
      <w:spacing w:after="240" w:line="240" w:lineRule="auto"/>
      <w:outlineLvl w:val="1"/>
    </w:pPr>
    <w:rPr>
      <w:b/>
      <w:sz w:val="24"/>
    </w:rPr>
  </w:style>
  <w:style w:type="paragraph" w:styleId="Heading3">
    <w:name w:val="heading 3"/>
    <w:basedOn w:val="Normal"/>
    <w:next w:val="Text3"/>
    <w:link w:val="Heading3Char"/>
    <w:pPr>
      <w:keepNext/>
      <w:numPr>
        <w:ilvl w:val="2"/>
        <w:numId w:val="3"/>
      </w:numPr>
      <w:spacing w:after="240" w:line="240" w:lineRule="auto"/>
      <w:outlineLvl w:val="2"/>
    </w:pPr>
    <w:rPr>
      <w:i/>
      <w:sz w:val="24"/>
    </w:rPr>
  </w:style>
  <w:style w:type="paragraph" w:styleId="Heading4">
    <w:name w:val="heading 4"/>
    <w:basedOn w:val="Normal"/>
    <w:next w:val="Text4"/>
    <w:link w:val="Heading4Char"/>
    <w:pPr>
      <w:keepNext/>
      <w:numPr>
        <w:ilvl w:val="3"/>
        <w:numId w:val="3"/>
      </w:numPr>
      <w:spacing w:after="240" w:line="240" w:lineRule="auto"/>
      <w:outlineLvl w:val="3"/>
    </w:pPr>
    <w:rPr>
      <w:sz w:val="24"/>
    </w:rPr>
  </w:style>
  <w:style w:type="paragraph" w:styleId="Heading5">
    <w:name w:val="heading 5"/>
    <w:basedOn w:val="Normal"/>
    <w:next w:val="Normal"/>
    <w:link w:val="Heading5Char"/>
    <w:pPr>
      <w:tabs>
        <w:tab w:val="num" w:pos="0"/>
      </w:tabs>
      <w:spacing w:before="240" w:after="60" w:line="240" w:lineRule="auto"/>
      <w:outlineLvl w:val="4"/>
    </w:pPr>
  </w:style>
  <w:style w:type="paragraph" w:styleId="Heading6">
    <w:name w:val="heading 6"/>
    <w:basedOn w:val="Normal"/>
    <w:next w:val="Normal"/>
    <w:link w:val="Heading6Char"/>
    <w:pPr>
      <w:tabs>
        <w:tab w:val="num" w:pos="0"/>
      </w:tabs>
      <w:spacing w:before="240" w:after="60" w:line="240" w:lineRule="auto"/>
      <w:outlineLvl w:val="5"/>
    </w:pPr>
    <w:rPr>
      <w:i/>
    </w:rPr>
  </w:style>
  <w:style w:type="paragraph" w:styleId="Heading7">
    <w:name w:val="heading 7"/>
    <w:basedOn w:val="Normal"/>
    <w:next w:val="Normal"/>
    <w:link w:val="Heading7Char"/>
    <w:pPr>
      <w:tabs>
        <w:tab w:val="num" w:pos="0"/>
      </w:tabs>
      <w:spacing w:before="240" w:after="60" w:line="240" w:lineRule="auto"/>
      <w:outlineLvl w:val="6"/>
    </w:pPr>
  </w:style>
  <w:style w:type="paragraph" w:styleId="Heading8">
    <w:name w:val="heading 8"/>
    <w:basedOn w:val="Normal"/>
    <w:next w:val="Normal"/>
    <w:link w:val="Heading8Char"/>
    <w:pPr>
      <w:tabs>
        <w:tab w:val="num" w:pos="0"/>
      </w:tabs>
      <w:spacing w:before="240" w:after="60" w:line="240" w:lineRule="auto"/>
      <w:outlineLvl w:val="7"/>
    </w:pPr>
    <w:rPr>
      <w:i/>
    </w:rPr>
  </w:style>
  <w:style w:type="paragraph" w:styleId="Heading9">
    <w:name w:val="heading 9"/>
    <w:basedOn w:val="Normal"/>
    <w:next w:val="Normal"/>
    <w:link w:val="Heading9Char"/>
    <w:pPr>
      <w:tabs>
        <w:tab w:val="num" w:pos="0"/>
      </w:tabs>
      <w:spacing w:before="240" w:after="60" w:line="240" w:lineRule="auto"/>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widowControl w:val="0"/>
      <w:adjustRightInd w:val="0"/>
      <w:spacing w:line="360" w:lineRule="atLeast"/>
      <w:jc w:val="both"/>
      <w:textAlignment w:val="baseline"/>
    </w:pPr>
    <w:rPr>
      <w:rFonts w:ascii="Times New Roman" w:eastAsia="MS Mincho" w:hAnsi="Times New Roman"/>
      <w:u w:val="single"/>
      <w:lang w:val="en-GB" w:eastAsia="en-GB" w:bidi="ar-SA"/>
    </w:rPr>
  </w:style>
  <w:style w:type="character" w:customStyle="1" w:styleId="NoSpacingChar">
    <w:name w:val="No Spacing Char"/>
    <w:link w:val="NoSpacing"/>
    <w:uiPriority w:val="1"/>
    <w:rPr>
      <w:rFonts w:eastAsia="MS Mincho"/>
      <w:lang w:val="bg-BG" w:eastAsia="bg-BG"/>
    </w:r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rPr>
      <w:rFonts w:ascii="Times New Roman" w:eastAsia="Times New Roman" w:hAnsi="Times New Roman" w:cs="Times New Roman"/>
      <w:b/>
      <w:smallCaps/>
      <w:sz w:val="24"/>
      <w:szCs w:val="20"/>
    </w:rPr>
  </w:style>
  <w:style w:type="character" w:customStyle="1" w:styleId="Heading2Char">
    <w:name w:val="Heading 2 Char"/>
    <w:link w:val="Heading2"/>
    <w:rPr>
      <w:rFonts w:ascii="Times New Roman" w:eastAsia="Times New Roman" w:hAnsi="Times New Roman" w:cs="Times New Roman"/>
      <w:b/>
      <w:sz w:val="24"/>
      <w:szCs w:val="20"/>
    </w:rPr>
  </w:style>
  <w:style w:type="character" w:customStyle="1" w:styleId="Heading3Char">
    <w:name w:val="Heading 3 Char"/>
    <w:link w:val="Heading3"/>
    <w:rPr>
      <w:rFonts w:ascii="Times New Roman" w:eastAsia="Times New Roman" w:hAnsi="Times New Roman" w:cs="Times New Roman"/>
      <w:i/>
      <w:sz w:val="24"/>
      <w:szCs w:val="20"/>
    </w:rPr>
  </w:style>
  <w:style w:type="character" w:customStyle="1" w:styleId="Heading4Char">
    <w:name w:val="Heading 4 Char"/>
    <w:link w:val="Heading4"/>
    <w:rPr>
      <w:rFonts w:ascii="Times New Roman" w:eastAsia="Times New Roman" w:hAnsi="Times New Roman" w:cs="Times New Roman"/>
      <w:sz w:val="24"/>
      <w:szCs w:val="20"/>
    </w:rPr>
  </w:style>
  <w:style w:type="character" w:customStyle="1" w:styleId="Heading5Char">
    <w:name w:val="Heading 5 Char"/>
    <w:link w:val="Heading5"/>
    <w:rPr>
      <w:rFonts w:ascii="Arial" w:eastAsia="Times New Roman" w:hAnsi="Arial" w:cs="Times New Roman"/>
      <w:szCs w:val="20"/>
    </w:rPr>
  </w:style>
  <w:style w:type="character" w:customStyle="1" w:styleId="Heading6Char">
    <w:name w:val="Heading 6 Char"/>
    <w:link w:val="Heading6"/>
    <w:rPr>
      <w:rFonts w:ascii="Arial" w:eastAsia="Times New Roman" w:hAnsi="Arial" w:cs="Times New Roman"/>
      <w:i/>
      <w:szCs w:val="20"/>
    </w:rPr>
  </w:style>
  <w:style w:type="character" w:customStyle="1" w:styleId="Heading7Char">
    <w:name w:val="Heading 7 Char"/>
    <w:link w:val="Heading7"/>
    <w:rPr>
      <w:rFonts w:ascii="Arial" w:eastAsia="Times New Roman" w:hAnsi="Arial" w:cs="Times New Roman"/>
      <w:sz w:val="20"/>
      <w:szCs w:val="20"/>
    </w:rPr>
  </w:style>
  <w:style w:type="character" w:customStyle="1" w:styleId="Heading8Char">
    <w:name w:val="Heading 8 Char"/>
    <w:link w:val="Heading8"/>
    <w:rPr>
      <w:rFonts w:ascii="Arial" w:eastAsia="Times New Roman" w:hAnsi="Arial" w:cs="Times New Roman"/>
      <w:i/>
      <w:sz w:val="20"/>
      <w:szCs w:val="20"/>
    </w:rPr>
  </w:style>
  <w:style w:type="character" w:customStyle="1" w:styleId="Heading9Char">
    <w:name w:val="Heading 9 Char"/>
    <w:link w:val="Heading9"/>
    <w:rPr>
      <w:rFonts w:ascii="Arial" w:eastAsia="Times New Roman" w:hAnsi="Arial" w:cs="Times New Roman"/>
      <w:i/>
      <w:sz w:val="18"/>
      <w:szCs w:val="20"/>
    </w:rPr>
  </w:style>
  <w:style w:type="paragraph" w:customStyle="1" w:styleId="Text1">
    <w:name w:val="Text 1"/>
    <w:basedOn w:val="Normal"/>
    <w:pPr>
      <w:spacing w:after="240" w:line="240" w:lineRule="auto"/>
      <w:ind w:left="482"/>
    </w:pPr>
    <w:rPr>
      <w:sz w:val="24"/>
    </w:rPr>
  </w:style>
  <w:style w:type="paragraph" w:customStyle="1" w:styleId="Text2">
    <w:name w:val="Text 2"/>
    <w:basedOn w:val="Normal"/>
    <w:pPr>
      <w:tabs>
        <w:tab w:val="left" w:pos="2302"/>
      </w:tabs>
      <w:spacing w:after="240" w:line="240" w:lineRule="auto"/>
      <w:ind w:left="1202"/>
    </w:pPr>
    <w:rPr>
      <w:sz w:val="24"/>
    </w:rPr>
  </w:style>
  <w:style w:type="paragraph" w:customStyle="1" w:styleId="Text3">
    <w:name w:val="Text 3"/>
    <w:basedOn w:val="Normal"/>
    <w:pPr>
      <w:tabs>
        <w:tab w:val="left" w:pos="2302"/>
      </w:tabs>
      <w:spacing w:after="240" w:line="240" w:lineRule="auto"/>
      <w:ind w:left="1202"/>
    </w:pPr>
    <w:rPr>
      <w:sz w:val="24"/>
    </w:rPr>
  </w:style>
  <w:style w:type="paragraph" w:customStyle="1" w:styleId="Text4">
    <w:name w:val="Text 4"/>
    <w:basedOn w:val="Normal"/>
    <w:pPr>
      <w:tabs>
        <w:tab w:val="left" w:pos="2302"/>
      </w:tabs>
      <w:spacing w:after="240" w:line="240" w:lineRule="auto"/>
      <w:ind w:left="1202"/>
    </w:pPr>
    <w:rPr>
      <w:sz w:val="24"/>
    </w:rPr>
  </w:style>
  <w:style w:type="paragraph" w:customStyle="1" w:styleId="Address">
    <w:name w:val="Address"/>
    <w:basedOn w:val="Normal"/>
    <w:pPr>
      <w:spacing w:after="0" w:line="240" w:lineRule="auto"/>
    </w:pPr>
    <w:rPr>
      <w:sz w:val="24"/>
    </w:rPr>
  </w:style>
  <w:style w:type="paragraph" w:customStyle="1" w:styleId="AddressTL">
    <w:name w:val="AddressTL"/>
    <w:basedOn w:val="Normal"/>
    <w:next w:val="Normal"/>
    <w:pPr>
      <w:spacing w:after="720" w:line="240" w:lineRule="auto"/>
    </w:pPr>
    <w:rPr>
      <w:sz w:val="24"/>
    </w:rPr>
  </w:style>
  <w:style w:type="paragraph" w:customStyle="1" w:styleId="AddressTR">
    <w:name w:val="AddressTR"/>
    <w:basedOn w:val="Normal"/>
    <w:next w:val="Normal"/>
    <w:pPr>
      <w:spacing w:after="720" w:line="240" w:lineRule="auto"/>
      <w:ind w:left="5103"/>
    </w:pPr>
    <w:rPr>
      <w:sz w:val="24"/>
    </w:rPr>
  </w:style>
  <w:style w:type="paragraph" w:styleId="BlockText">
    <w:name w:val="Block Text"/>
    <w:basedOn w:val="Normal"/>
    <w:pPr>
      <w:spacing w:after="120" w:line="240" w:lineRule="auto"/>
      <w:ind w:left="1440" w:right="1440"/>
    </w:pPr>
    <w:rPr>
      <w:sz w:val="24"/>
    </w:rPr>
  </w:style>
  <w:style w:type="paragraph" w:styleId="BodyText">
    <w:name w:val="Body Text"/>
    <w:basedOn w:val="Normal"/>
    <w:link w:val="BodyTextChar"/>
    <w:pPr>
      <w:spacing w:after="120" w:line="240" w:lineRule="auto"/>
    </w:pPr>
    <w:rPr>
      <w:sz w:val="24"/>
    </w:rPr>
  </w:style>
  <w:style w:type="character" w:customStyle="1" w:styleId="BodyTextChar">
    <w:name w:val="Body Text Char"/>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rPr>
      <w:sz w:val="24"/>
    </w:rPr>
  </w:style>
  <w:style w:type="character" w:customStyle="1" w:styleId="BodyText2Char">
    <w:name w:val="Body Text 2 Char"/>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pPr>
    <w:rPr>
      <w:sz w:val="16"/>
    </w:rPr>
  </w:style>
  <w:style w:type="character" w:customStyle="1" w:styleId="BodyText3Char">
    <w:name w:val="Body Text 3 Char"/>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line="240" w:lineRule="auto"/>
      <w:ind w:left="283"/>
    </w:pPr>
    <w:rPr>
      <w:sz w:val="24"/>
    </w:rPr>
  </w:style>
  <w:style w:type="character" w:customStyle="1" w:styleId="BodyTextIndentChar">
    <w:name w:val="Body Text Indent Char"/>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rPr>
      <w:sz w:val="24"/>
    </w:rPr>
  </w:style>
  <w:style w:type="character" w:customStyle="1" w:styleId="BodyTextIndent2Char">
    <w:name w:val="Body Text Indent 2 Char"/>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pPr>
    <w:rPr>
      <w:sz w:val="16"/>
    </w:rPr>
  </w:style>
  <w:style w:type="character" w:customStyle="1" w:styleId="BodyTextIndent3Char">
    <w:name w:val="Body Text Indent 3 Char"/>
    <w:link w:val="BodyTextIndent3"/>
    <w:rPr>
      <w:rFonts w:ascii="Times New Roman" w:eastAsia="Times New Roman" w:hAnsi="Times New Roman" w:cs="Times New Roman"/>
      <w:sz w:val="16"/>
      <w:szCs w:val="20"/>
    </w:rPr>
  </w:style>
  <w:style w:type="paragraph" w:styleId="Caption">
    <w:name w:val="caption"/>
    <w:basedOn w:val="Normal"/>
    <w:next w:val="Normal"/>
    <w:pPr>
      <w:spacing w:before="120" w:after="120" w:line="240" w:lineRule="auto"/>
    </w:pPr>
    <w:rPr>
      <w:b/>
      <w:sz w:val="24"/>
    </w:rPr>
  </w:style>
  <w:style w:type="paragraph" w:customStyle="1" w:styleId="ChapterTitle">
    <w:name w:val="ChapterTitle"/>
    <w:basedOn w:val="Normal"/>
    <w:next w:val="SectionTitle"/>
    <w:pPr>
      <w:keepNext/>
      <w:spacing w:after="480" w:line="240" w:lineRule="auto"/>
      <w:jc w:val="center"/>
    </w:pPr>
    <w:rPr>
      <w:b/>
      <w:sz w:val="32"/>
    </w:rPr>
  </w:style>
  <w:style w:type="paragraph" w:customStyle="1" w:styleId="SectionTitle">
    <w:name w:val="SectionTitle"/>
    <w:basedOn w:val="Normal"/>
    <w:next w:val="Heading1"/>
    <w:pPr>
      <w:keepNext/>
      <w:spacing w:after="480" w:line="240" w:lineRule="auto"/>
      <w:jc w:val="center"/>
    </w:pPr>
    <w:rPr>
      <w:b/>
      <w:smallCaps/>
      <w:sz w:val="28"/>
    </w:rPr>
  </w:style>
  <w:style w:type="paragraph" w:styleId="Closing">
    <w:name w:val="Closing"/>
    <w:basedOn w:val="Normal"/>
    <w:link w:val="ClosingChar"/>
    <w:pPr>
      <w:spacing w:after="240" w:line="240" w:lineRule="auto"/>
      <w:ind w:left="4252"/>
    </w:pPr>
    <w:rPr>
      <w:sz w:val="24"/>
    </w:rPr>
  </w:style>
  <w:style w:type="character" w:customStyle="1" w:styleId="ClosingChar">
    <w:name w:val="Closing Char"/>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semiHidden/>
    <w:pPr>
      <w:spacing w:after="240" w:line="240" w:lineRule="auto"/>
    </w:pPr>
  </w:style>
  <w:style w:type="character" w:customStyle="1" w:styleId="CommentTextChar">
    <w:name w:val="Comment Text Char"/>
    <w:link w:val="CommentText"/>
    <w:uiPriority w:val="99"/>
    <w:semiHidden/>
    <w:rPr>
      <w:rFonts w:ascii="Times New Roman" w:eastAsia="Times New Roman" w:hAnsi="Times New Roman" w:cs="Times New Roman"/>
      <w:sz w:val="20"/>
      <w:szCs w:val="20"/>
    </w:rPr>
  </w:style>
  <w:style w:type="paragraph" w:styleId="Date">
    <w:name w:val="Date"/>
    <w:basedOn w:val="Normal"/>
    <w:next w:val="References"/>
    <w:link w:val="DateChar"/>
    <w:pPr>
      <w:spacing w:after="0" w:line="240" w:lineRule="auto"/>
      <w:ind w:left="5103" w:right="-567"/>
    </w:pPr>
    <w:rPr>
      <w:sz w:val="24"/>
    </w:rPr>
  </w:style>
  <w:style w:type="character" w:customStyle="1" w:styleId="DateChar">
    <w:name w:val="Date Char"/>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style>
  <w:style w:type="paragraph" w:styleId="DocumentMap">
    <w:name w:val="Document Map"/>
    <w:basedOn w:val="Normal"/>
    <w:link w:val="DocumentMapChar"/>
    <w:semiHidden/>
    <w:pPr>
      <w:shd w:val="clear" w:color="auto" w:fill="000080"/>
      <w:spacing w:after="240" w:line="240" w:lineRule="auto"/>
    </w:pPr>
    <w:rPr>
      <w:rFonts w:ascii="Tahoma" w:hAnsi="Tahoma"/>
      <w:sz w:val="24"/>
    </w:rPr>
  </w:style>
  <w:style w:type="character" w:customStyle="1" w:styleId="DocumentMapChar">
    <w:name w:val="Document Map Char"/>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line="240" w:lineRule="auto"/>
    </w:pPr>
    <w:rPr>
      <w:sz w:val="24"/>
    </w:rPr>
  </w:style>
  <w:style w:type="paragraph" w:customStyle="1" w:styleId="Enclosures">
    <w:name w:val="Enclosures"/>
    <w:basedOn w:val="Normal"/>
    <w:pPr>
      <w:keepNext/>
      <w:keepLines/>
      <w:tabs>
        <w:tab w:val="left" w:pos="5642"/>
      </w:tabs>
      <w:spacing w:before="480" w:after="0" w:line="240" w:lineRule="auto"/>
      <w:ind w:left="1191" w:hanging="1191"/>
    </w:pPr>
    <w:rPr>
      <w:sz w:val="24"/>
    </w:rPr>
  </w:style>
  <w:style w:type="paragraph" w:styleId="EndnoteText">
    <w:name w:val="endnote text"/>
    <w:basedOn w:val="Normal"/>
    <w:link w:val="EndnoteTextChar"/>
    <w:semiHidden/>
    <w:pPr>
      <w:spacing w:after="240" w:line="240" w:lineRule="auto"/>
    </w:pPr>
  </w:style>
  <w:style w:type="character" w:customStyle="1" w:styleId="EndnoteTextChar">
    <w:name w:val="Endnote Text Char"/>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pPr>
    <w:rPr>
      <w:sz w:val="24"/>
    </w:rPr>
  </w:style>
  <w:style w:type="paragraph" w:styleId="EnvelopeReturn">
    <w:name w:val="envelope return"/>
    <w:basedOn w:val="Normal"/>
    <w:pPr>
      <w:spacing w:after="0" w:line="240" w:lineRule="auto"/>
    </w:pPr>
  </w:style>
  <w:style w:type="paragraph" w:styleId="Footer">
    <w:name w:val="footer"/>
    <w:basedOn w:val="Normal"/>
    <w:link w:val="FooterChar"/>
    <w:uiPriority w:val="99"/>
    <w:pPr>
      <w:spacing w:after="0" w:line="240" w:lineRule="auto"/>
      <w:ind w:right="-567"/>
    </w:pPr>
    <w:rPr>
      <w:sz w:val="16"/>
    </w:rPr>
  </w:style>
  <w:style w:type="character" w:customStyle="1" w:styleId="FooterChar">
    <w:name w:val="Footer Char"/>
    <w:link w:val="Footer"/>
    <w:uiPriority w:val="99"/>
    <w:rPr>
      <w:rFonts w:ascii="Arial" w:eastAsia="Times New Roman" w:hAnsi="Arial" w:cs="Times New Roman"/>
      <w:sz w:val="16"/>
      <w:szCs w:val="20"/>
    </w:rPr>
  </w:style>
  <w:style w:type="paragraph" w:styleId="FootnoteText">
    <w:name w:val="footnote text"/>
    <w:basedOn w:val="Normal"/>
    <w:link w:val="FootnoteTextChar"/>
    <w:uiPriority w:val="99"/>
    <w:qFormat/>
    <w:pPr>
      <w:spacing w:after="0" w:line="240" w:lineRule="auto"/>
      <w:ind w:left="357" w:hanging="357"/>
    </w:pPr>
    <w:rPr>
      <w:rFonts w:cs="Arial"/>
      <w:sz w:val="18"/>
      <w:szCs w:val="18"/>
    </w:rPr>
  </w:style>
  <w:style w:type="character" w:customStyle="1" w:styleId="FootnoteTextChar">
    <w:name w:val="Footnote Text Char"/>
    <w:link w:val="FootnoteText"/>
    <w:uiPriority w:val="99"/>
    <w:rPr>
      <w:rFonts w:ascii="Arial" w:eastAsia="Times New Roman" w:hAnsi="Arial" w:cs="Arial"/>
      <w:sz w:val="18"/>
      <w:szCs w:val="18"/>
    </w:rPr>
  </w:style>
  <w:style w:type="paragraph" w:styleId="Header">
    <w:name w:val="header"/>
    <w:basedOn w:val="Normal"/>
    <w:link w:val="HeaderChar"/>
    <w:uiPriority w:val="99"/>
    <w:pPr>
      <w:tabs>
        <w:tab w:val="center" w:pos="4153"/>
        <w:tab w:val="right" w:pos="8306"/>
      </w:tabs>
      <w:spacing w:after="240" w:line="240" w:lineRule="auto"/>
    </w:pPr>
    <w:rPr>
      <w:sz w:val="24"/>
    </w:rPr>
  </w:style>
  <w:style w:type="character" w:customStyle="1" w:styleId="HeaderChar">
    <w:name w:val="Header Char"/>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spacing w:after="240" w:line="240" w:lineRule="auto"/>
      <w:ind w:left="240" w:hanging="240"/>
    </w:pPr>
    <w:rPr>
      <w:sz w:val="24"/>
    </w:rPr>
  </w:style>
  <w:style w:type="paragraph" w:styleId="Index2">
    <w:name w:val="index 2"/>
    <w:basedOn w:val="Normal"/>
    <w:next w:val="Normal"/>
    <w:autoRedefine/>
    <w:semiHidden/>
    <w:pPr>
      <w:spacing w:after="240" w:line="240" w:lineRule="auto"/>
      <w:ind w:left="480" w:hanging="240"/>
    </w:pPr>
    <w:rPr>
      <w:sz w:val="24"/>
    </w:rPr>
  </w:style>
  <w:style w:type="paragraph" w:styleId="Index3">
    <w:name w:val="index 3"/>
    <w:basedOn w:val="Normal"/>
    <w:next w:val="Normal"/>
    <w:autoRedefine/>
    <w:semiHidden/>
    <w:pPr>
      <w:spacing w:after="240" w:line="240" w:lineRule="auto"/>
      <w:ind w:left="720" w:hanging="240"/>
    </w:pPr>
    <w:rPr>
      <w:sz w:val="24"/>
    </w:rPr>
  </w:style>
  <w:style w:type="paragraph" w:styleId="Index4">
    <w:name w:val="index 4"/>
    <w:basedOn w:val="Normal"/>
    <w:next w:val="Normal"/>
    <w:autoRedefine/>
    <w:semiHidden/>
    <w:pPr>
      <w:spacing w:after="240" w:line="240" w:lineRule="auto"/>
      <w:ind w:left="960" w:hanging="240"/>
    </w:pPr>
    <w:rPr>
      <w:sz w:val="24"/>
    </w:rPr>
  </w:style>
  <w:style w:type="paragraph" w:styleId="Index5">
    <w:name w:val="index 5"/>
    <w:basedOn w:val="Normal"/>
    <w:next w:val="Normal"/>
    <w:autoRedefine/>
    <w:semiHidden/>
    <w:pPr>
      <w:spacing w:after="240" w:line="240" w:lineRule="auto"/>
      <w:ind w:left="1200" w:hanging="240"/>
    </w:pPr>
    <w:rPr>
      <w:sz w:val="24"/>
    </w:rPr>
  </w:style>
  <w:style w:type="paragraph" w:styleId="Index6">
    <w:name w:val="index 6"/>
    <w:basedOn w:val="Normal"/>
    <w:next w:val="Normal"/>
    <w:autoRedefine/>
    <w:semiHidden/>
    <w:pPr>
      <w:spacing w:after="240" w:line="240" w:lineRule="auto"/>
      <w:ind w:left="1440" w:hanging="240"/>
    </w:pPr>
    <w:rPr>
      <w:sz w:val="24"/>
    </w:rPr>
  </w:style>
  <w:style w:type="paragraph" w:styleId="Index7">
    <w:name w:val="index 7"/>
    <w:basedOn w:val="Normal"/>
    <w:next w:val="Normal"/>
    <w:autoRedefine/>
    <w:semiHidden/>
    <w:pPr>
      <w:spacing w:after="240" w:line="240" w:lineRule="auto"/>
      <w:ind w:left="1680" w:hanging="240"/>
    </w:pPr>
    <w:rPr>
      <w:sz w:val="24"/>
    </w:rPr>
  </w:style>
  <w:style w:type="paragraph" w:styleId="Index8">
    <w:name w:val="index 8"/>
    <w:basedOn w:val="Normal"/>
    <w:next w:val="Normal"/>
    <w:autoRedefine/>
    <w:semiHidden/>
    <w:pPr>
      <w:spacing w:after="240" w:line="240" w:lineRule="auto"/>
      <w:ind w:left="1920" w:hanging="240"/>
    </w:pPr>
    <w:rPr>
      <w:sz w:val="24"/>
    </w:rPr>
  </w:style>
  <w:style w:type="paragraph" w:styleId="Index9">
    <w:name w:val="index 9"/>
    <w:basedOn w:val="Normal"/>
    <w:next w:val="Normal"/>
    <w:autoRedefine/>
    <w:semiHidden/>
    <w:pPr>
      <w:spacing w:after="240" w:line="240" w:lineRule="auto"/>
      <w:ind w:left="2160" w:hanging="240"/>
    </w:pPr>
    <w:rPr>
      <w:sz w:val="24"/>
    </w:rPr>
  </w:style>
  <w:style w:type="paragraph" w:styleId="IndexHeading">
    <w:name w:val="index heading"/>
    <w:basedOn w:val="Normal"/>
    <w:next w:val="Index1"/>
    <w:semiHidden/>
    <w:pPr>
      <w:spacing w:after="240" w:line="240" w:lineRule="auto"/>
    </w:pPr>
    <w:rPr>
      <w:b/>
      <w:sz w:val="24"/>
    </w:rPr>
  </w:style>
  <w:style w:type="paragraph" w:styleId="List">
    <w:name w:val="List"/>
    <w:basedOn w:val="Normal"/>
    <w:pPr>
      <w:spacing w:after="240" w:line="240" w:lineRule="auto"/>
      <w:ind w:left="283" w:hanging="283"/>
    </w:pPr>
    <w:rPr>
      <w:sz w:val="24"/>
    </w:rPr>
  </w:style>
  <w:style w:type="paragraph" w:styleId="List2">
    <w:name w:val="List 2"/>
    <w:basedOn w:val="Normal"/>
    <w:pPr>
      <w:spacing w:after="240" w:line="240" w:lineRule="auto"/>
      <w:ind w:left="566" w:hanging="283"/>
    </w:pPr>
    <w:rPr>
      <w:sz w:val="24"/>
    </w:rPr>
  </w:style>
  <w:style w:type="paragraph" w:styleId="List3">
    <w:name w:val="List 3"/>
    <w:basedOn w:val="Normal"/>
    <w:pPr>
      <w:spacing w:after="240" w:line="240" w:lineRule="auto"/>
      <w:ind w:left="849" w:hanging="283"/>
    </w:pPr>
    <w:rPr>
      <w:sz w:val="24"/>
    </w:rPr>
  </w:style>
  <w:style w:type="paragraph" w:styleId="List4">
    <w:name w:val="List 4"/>
    <w:basedOn w:val="Normal"/>
    <w:pPr>
      <w:spacing w:after="240" w:line="240" w:lineRule="auto"/>
      <w:ind w:left="1132" w:hanging="283"/>
    </w:pPr>
    <w:rPr>
      <w:sz w:val="24"/>
    </w:rPr>
  </w:style>
  <w:style w:type="paragraph" w:styleId="List5">
    <w:name w:val="List 5"/>
    <w:basedOn w:val="Normal"/>
    <w:pPr>
      <w:spacing w:after="240" w:line="240" w:lineRule="auto"/>
      <w:ind w:left="1415" w:hanging="283"/>
    </w:pPr>
    <w:rPr>
      <w:sz w:val="24"/>
    </w:rPr>
  </w:style>
  <w:style w:type="paragraph" w:styleId="ListBullet">
    <w:name w:val="List Bullet"/>
    <w:basedOn w:val="Normal"/>
    <w:pPr>
      <w:numPr>
        <w:numId w:val="4"/>
      </w:numPr>
      <w:spacing w:after="240" w:line="240" w:lineRule="auto"/>
    </w:pPr>
    <w:rPr>
      <w:sz w:val="24"/>
    </w:r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spacing w:after="240" w:line="240" w:lineRule="auto"/>
    </w:pPr>
    <w:rPr>
      <w:sz w:val="24"/>
    </w:rPr>
  </w:style>
  <w:style w:type="paragraph" w:styleId="ListContinue">
    <w:name w:val="List Continue"/>
    <w:basedOn w:val="Normal"/>
    <w:pPr>
      <w:spacing w:after="120" w:line="240" w:lineRule="auto"/>
      <w:ind w:left="283"/>
    </w:pPr>
    <w:rPr>
      <w:sz w:val="24"/>
    </w:rPr>
  </w:style>
  <w:style w:type="paragraph" w:styleId="ListContinue2">
    <w:name w:val="List Continue 2"/>
    <w:basedOn w:val="Normal"/>
    <w:pPr>
      <w:spacing w:after="120" w:line="240" w:lineRule="auto"/>
      <w:ind w:left="566"/>
    </w:pPr>
    <w:rPr>
      <w:sz w:val="24"/>
    </w:rPr>
  </w:style>
  <w:style w:type="paragraph" w:styleId="ListContinue3">
    <w:name w:val="List Continue 3"/>
    <w:basedOn w:val="Normal"/>
    <w:pPr>
      <w:spacing w:after="120" w:line="240" w:lineRule="auto"/>
      <w:ind w:left="849"/>
    </w:pPr>
    <w:rPr>
      <w:sz w:val="24"/>
    </w:rPr>
  </w:style>
  <w:style w:type="paragraph" w:styleId="ListContinue4">
    <w:name w:val="List Continue 4"/>
    <w:basedOn w:val="Normal"/>
    <w:pPr>
      <w:spacing w:after="120" w:line="240" w:lineRule="auto"/>
      <w:ind w:left="1132"/>
    </w:pPr>
    <w:rPr>
      <w:sz w:val="24"/>
    </w:rPr>
  </w:style>
  <w:style w:type="paragraph" w:styleId="ListContinue5">
    <w:name w:val="List Continue 5"/>
    <w:basedOn w:val="Normal"/>
    <w:pPr>
      <w:spacing w:after="120" w:line="240" w:lineRule="auto"/>
      <w:ind w:left="1415"/>
    </w:pPr>
    <w:rPr>
      <w:sz w:val="24"/>
    </w:rPr>
  </w:style>
  <w:style w:type="paragraph" w:styleId="ListNumber">
    <w:name w:val="List Number"/>
    <w:basedOn w:val="Normal"/>
    <w:pPr>
      <w:numPr>
        <w:numId w:val="14"/>
      </w:numPr>
      <w:spacing w:after="240" w:line="240" w:lineRule="auto"/>
    </w:pPr>
    <w:rPr>
      <w:sz w:val="24"/>
    </w:r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spacing w:after="240" w:line="240" w:lineRule="auto"/>
    </w:pPr>
    <w:rPr>
      <w:sz w:val="24"/>
    </w:rPr>
  </w:style>
  <w:style w:type="paragraph" w:styleId="MacroText">
    <w:name w:val="macro"/>
    <w:link w:val="MacroTextChar"/>
    <w:semiHidden/>
    <w:pPr>
      <w:widowControl w:val="0"/>
      <w:tabs>
        <w:tab w:val="left" w:pos="480"/>
        <w:tab w:val="left" w:pos="960"/>
        <w:tab w:val="left" w:pos="1440"/>
        <w:tab w:val="left" w:pos="1920"/>
        <w:tab w:val="left" w:pos="2400"/>
        <w:tab w:val="left" w:pos="2880"/>
        <w:tab w:val="left" w:pos="3360"/>
        <w:tab w:val="left" w:pos="3840"/>
        <w:tab w:val="left" w:pos="4320"/>
      </w:tabs>
      <w:adjustRightInd w:val="0"/>
      <w:spacing w:after="240" w:line="360" w:lineRule="atLeast"/>
      <w:jc w:val="both"/>
      <w:textAlignment w:val="baseline"/>
    </w:pPr>
    <w:rPr>
      <w:rFonts w:ascii="Courier New" w:eastAsia="Times New Roman" w:hAnsi="Courier New"/>
      <w:u w:val="single"/>
      <w:lang w:val="en-GB" w:eastAsia="en-GB" w:bidi="ar-SA"/>
    </w:rPr>
  </w:style>
  <w:style w:type="character" w:customStyle="1" w:styleId="MacroTextChar">
    <w:name w:val="Macro Text Char"/>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pPr>
    <w:rPr>
      <w:sz w:val="24"/>
    </w:rPr>
  </w:style>
  <w:style w:type="character" w:customStyle="1" w:styleId="MessageHeaderChar">
    <w:name w:val="Message Header Char"/>
    <w:link w:val="MessageHeader"/>
    <w:rPr>
      <w:rFonts w:ascii="Arial" w:eastAsia="Times New Roman" w:hAnsi="Arial" w:cs="Times New Roman"/>
      <w:sz w:val="24"/>
      <w:szCs w:val="20"/>
      <w:shd w:val="pct20" w:color="auto" w:fill="auto"/>
    </w:rPr>
  </w:style>
  <w:style w:type="paragraph" w:styleId="NormalIndent">
    <w:name w:val="Normal Indent"/>
    <w:basedOn w:val="Normal"/>
    <w:link w:val="NormalIndentChar"/>
    <w:pPr>
      <w:spacing w:after="240" w:line="240" w:lineRule="auto"/>
      <w:ind w:left="720"/>
    </w:pPr>
    <w:rPr>
      <w:sz w:val="24"/>
    </w:rPr>
  </w:style>
  <w:style w:type="paragraph" w:styleId="NoteHeading">
    <w:name w:val="Note Heading"/>
    <w:basedOn w:val="Normal"/>
    <w:next w:val="Normal"/>
    <w:link w:val="NoteHeadingChar"/>
    <w:pPr>
      <w:spacing w:after="240" w:line="240" w:lineRule="auto"/>
    </w:pPr>
    <w:rPr>
      <w:sz w:val="24"/>
    </w:rPr>
  </w:style>
  <w:style w:type="character" w:customStyle="1" w:styleId="NoteHeadingChar">
    <w:name w:val="Note Heading Char"/>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b/>
      <w:smallCaps/>
      <w:sz w:val="24"/>
    </w:rPr>
  </w:style>
  <w:style w:type="paragraph" w:customStyle="1" w:styleId="Subject">
    <w:name w:val="Subject"/>
    <w:basedOn w:val="Normal"/>
    <w:next w:val="Normal"/>
    <w:pPr>
      <w:spacing w:after="480" w:line="240" w:lineRule="auto"/>
      <w:ind w:left="1531" w:hanging="1531"/>
    </w:pPr>
    <w:rPr>
      <w:b/>
      <w:sz w:val="24"/>
    </w:rPr>
  </w:style>
  <w:style w:type="paragraph" w:customStyle="1" w:styleId="NoteList">
    <w:name w:val="NoteList"/>
    <w:basedOn w:val="Normal"/>
    <w:next w:val="Subject"/>
    <w:pPr>
      <w:tabs>
        <w:tab w:val="left" w:pos="5823"/>
      </w:tabs>
      <w:spacing w:before="720" w:after="720" w:line="240" w:lineRule="auto"/>
      <w:ind w:left="5104" w:hanging="3119"/>
    </w:pPr>
    <w:rPr>
      <w:b/>
      <w:smallCaps/>
      <w:sz w:val="24"/>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line="240" w:lineRule="auto"/>
      <w:jc w:val="center"/>
    </w:pPr>
    <w:rPr>
      <w:b/>
      <w:sz w:val="36"/>
    </w:rPr>
  </w:style>
  <w:style w:type="paragraph" w:styleId="PlainText">
    <w:name w:val="Plain Text"/>
    <w:basedOn w:val="Normal"/>
    <w:link w:val="PlainTextChar"/>
    <w:pPr>
      <w:spacing w:after="240" w:line="240" w:lineRule="auto"/>
    </w:pPr>
    <w:rPr>
      <w:rFonts w:ascii="Courier New" w:hAnsi="Courier New"/>
    </w:rPr>
  </w:style>
  <w:style w:type="character" w:customStyle="1" w:styleId="PlainTextChar">
    <w:name w:val="Plain Text Char"/>
    <w:link w:val="PlainText"/>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pPr>
    <w:rPr>
      <w:sz w:val="24"/>
    </w:rPr>
  </w:style>
  <w:style w:type="character" w:customStyle="1" w:styleId="SalutationChar">
    <w:name w:val="Salutation Char"/>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sz w:val="24"/>
    </w:rPr>
  </w:style>
  <w:style w:type="character" w:customStyle="1" w:styleId="SignatureChar">
    <w:name w:val="Signature Char"/>
    <w:link w:val="Signature"/>
    <w:rPr>
      <w:rFonts w:ascii="Times New Roman" w:eastAsia="Times New Roman" w:hAnsi="Times New Roman" w:cs="Times New Roman"/>
      <w:sz w:val="24"/>
      <w:szCs w:val="20"/>
    </w:rPr>
  </w:style>
  <w:style w:type="paragraph" w:styleId="Subtitle">
    <w:name w:val="Subtitle"/>
    <w:basedOn w:val="Normal"/>
    <w:link w:val="SubtitleChar"/>
    <w:pPr>
      <w:spacing w:after="60" w:line="240" w:lineRule="auto"/>
      <w:jc w:val="center"/>
      <w:outlineLvl w:val="1"/>
    </w:pPr>
    <w:rPr>
      <w:sz w:val="24"/>
    </w:rPr>
  </w:style>
  <w:style w:type="character" w:customStyle="1" w:styleId="SubtitleChar">
    <w:name w:val="Subtitle Char"/>
    <w:link w:val="Subtitle"/>
    <w:rPr>
      <w:rFonts w:ascii="Arial" w:eastAsia="Times New Roman" w:hAnsi="Arial" w:cs="Times New Roman"/>
      <w:sz w:val="24"/>
      <w:szCs w:val="20"/>
    </w:rPr>
  </w:style>
  <w:style w:type="paragraph" w:customStyle="1" w:styleId="SubTitle1">
    <w:name w:val="SubTitle 1"/>
    <w:basedOn w:val="Normal"/>
    <w:next w:val="SubTitle2"/>
    <w:pPr>
      <w:spacing w:after="240" w:line="240" w:lineRule="auto"/>
      <w:jc w:val="center"/>
    </w:pPr>
    <w:rPr>
      <w:b/>
      <w:sz w:val="40"/>
    </w:rPr>
  </w:style>
  <w:style w:type="paragraph" w:customStyle="1" w:styleId="SubTitle2">
    <w:name w:val="SubTitle 2"/>
    <w:basedOn w:val="Normal"/>
    <w:pPr>
      <w:spacing w:after="240" w:line="240" w:lineRule="auto"/>
      <w:jc w:val="center"/>
    </w:pPr>
    <w:rPr>
      <w:b/>
      <w:sz w:val="32"/>
    </w:rPr>
  </w:style>
  <w:style w:type="paragraph" w:styleId="TableofAuthorities">
    <w:name w:val="table of authorities"/>
    <w:basedOn w:val="Normal"/>
    <w:next w:val="Normal"/>
    <w:semiHidden/>
    <w:pPr>
      <w:spacing w:after="240" w:line="240" w:lineRule="auto"/>
      <w:ind w:left="240" w:hanging="240"/>
    </w:pPr>
    <w:rPr>
      <w:sz w:val="24"/>
    </w:rPr>
  </w:style>
  <w:style w:type="paragraph" w:styleId="TableofFigures">
    <w:name w:val="table of figures"/>
    <w:basedOn w:val="Normal"/>
    <w:next w:val="Normal"/>
    <w:semiHidden/>
    <w:pPr>
      <w:spacing w:after="240" w:line="240" w:lineRule="auto"/>
      <w:ind w:left="480" w:hanging="480"/>
    </w:pPr>
    <w:rPr>
      <w:sz w:val="24"/>
    </w:rPr>
  </w:style>
  <w:style w:type="paragraph" w:styleId="Title">
    <w:name w:val="Title"/>
    <w:basedOn w:val="Normal"/>
    <w:next w:val="SubTitle1"/>
    <w:link w:val="TitleChar"/>
    <w:pPr>
      <w:spacing w:after="480" w:line="240" w:lineRule="auto"/>
      <w:jc w:val="center"/>
    </w:pPr>
    <w:rPr>
      <w:b/>
      <w:kern w:val="28"/>
      <w:sz w:val="48"/>
    </w:rPr>
  </w:style>
  <w:style w:type="character" w:customStyle="1" w:styleId="TitleChar">
    <w:name w:val="Title Char"/>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after="240" w:line="240" w:lineRule="auto"/>
    </w:pPr>
    <w:rPr>
      <w:b/>
      <w:sz w:val="24"/>
    </w:rPr>
  </w:style>
  <w:style w:type="paragraph" w:styleId="TOC1">
    <w:name w:val="toc 1"/>
    <w:basedOn w:val="Normal"/>
    <w:next w:val="Normal"/>
    <w:autoRedefine/>
    <w:uiPriority w:val="39"/>
    <w:qFormat/>
    <w:pPr>
      <w:spacing w:before="240" w:after="120" w:line="240" w:lineRule="auto"/>
    </w:pPr>
    <w:rPr>
      <w:b/>
      <w:bCs/>
    </w:rPr>
  </w:style>
  <w:style w:type="paragraph" w:styleId="TOC2">
    <w:name w:val="toc 2"/>
    <w:basedOn w:val="Normal"/>
    <w:next w:val="Normal"/>
    <w:autoRedefine/>
    <w:uiPriority w:val="39"/>
    <w:qFormat/>
    <w:pPr>
      <w:tabs>
        <w:tab w:val="left" w:pos="720"/>
        <w:tab w:val="right" w:leader="dot" w:pos="8873"/>
      </w:tabs>
      <w:spacing w:before="120" w:after="0" w:line="240" w:lineRule="auto"/>
      <w:ind w:left="238"/>
      <w:jc w:val="center"/>
    </w:pPr>
    <w:rPr>
      <w:rFonts w:cs="Arial"/>
      <w:bCs/>
      <w:iCs/>
      <w:noProof/>
    </w:rPr>
  </w:style>
  <w:style w:type="paragraph" w:styleId="TOC3">
    <w:name w:val="toc 3"/>
    <w:basedOn w:val="Normal"/>
    <w:next w:val="Normal"/>
    <w:uiPriority w:val="39"/>
    <w:pPr>
      <w:spacing w:after="0" w:line="240" w:lineRule="auto"/>
      <w:ind w:left="480"/>
    </w:pPr>
    <w:rPr>
      <w:rFonts w:ascii="Calibri" w:hAnsi="Calibri"/>
    </w:rPr>
  </w:style>
  <w:style w:type="paragraph" w:styleId="TOC4">
    <w:name w:val="toc 4"/>
    <w:basedOn w:val="Normal"/>
    <w:next w:val="Normal"/>
    <w:semiHidden/>
    <w:pPr>
      <w:spacing w:after="0" w:line="240" w:lineRule="auto"/>
      <w:ind w:left="720"/>
    </w:pPr>
    <w:rPr>
      <w:rFonts w:ascii="Calibri" w:hAnsi="Calibri"/>
    </w:rPr>
  </w:style>
  <w:style w:type="paragraph" w:styleId="TOC5">
    <w:name w:val="toc 5"/>
    <w:basedOn w:val="Normal"/>
    <w:next w:val="Normal"/>
    <w:semiHidden/>
    <w:pPr>
      <w:spacing w:after="0" w:line="240" w:lineRule="auto"/>
      <w:ind w:left="960"/>
    </w:pPr>
    <w:rPr>
      <w:rFonts w:ascii="Calibri" w:hAnsi="Calibri"/>
    </w:rPr>
  </w:style>
  <w:style w:type="paragraph" w:styleId="TOC6">
    <w:name w:val="toc 6"/>
    <w:basedOn w:val="Normal"/>
    <w:next w:val="Normal"/>
    <w:autoRedefine/>
    <w:semiHidden/>
    <w:pPr>
      <w:spacing w:after="0" w:line="240" w:lineRule="auto"/>
      <w:ind w:left="1200"/>
    </w:pPr>
    <w:rPr>
      <w:rFonts w:ascii="Calibri" w:hAnsi="Calibri"/>
    </w:rPr>
  </w:style>
  <w:style w:type="paragraph" w:styleId="TOC7">
    <w:name w:val="toc 7"/>
    <w:basedOn w:val="Normal"/>
    <w:next w:val="Normal"/>
    <w:autoRedefine/>
    <w:semiHidden/>
    <w:pPr>
      <w:spacing w:after="0" w:line="240" w:lineRule="auto"/>
      <w:ind w:left="1440"/>
    </w:pPr>
    <w:rPr>
      <w:rFonts w:ascii="Calibri" w:hAnsi="Calibri"/>
    </w:rPr>
  </w:style>
  <w:style w:type="paragraph" w:styleId="TOC8">
    <w:name w:val="toc 8"/>
    <w:basedOn w:val="Normal"/>
    <w:next w:val="Normal"/>
    <w:autoRedefine/>
    <w:semiHidden/>
    <w:pPr>
      <w:spacing w:after="0" w:line="240" w:lineRule="auto"/>
      <w:ind w:left="1680"/>
    </w:pPr>
    <w:rPr>
      <w:rFonts w:ascii="Calibri" w:hAnsi="Calibri"/>
    </w:rPr>
  </w:style>
  <w:style w:type="paragraph" w:styleId="TOC9">
    <w:name w:val="toc 9"/>
    <w:basedOn w:val="Normal"/>
    <w:next w:val="Normal"/>
    <w:autoRedefine/>
    <w:semiHidden/>
    <w:pPr>
      <w:spacing w:after="0" w:line="240" w:lineRule="auto"/>
      <w:ind w:left="1920"/>
    </w:pPr>
    <w:rPr>
      <w:rFonts w:ascii="Calibri" w:hAnsi="Calibri"/>
    </w:rPr>
  </w:style>
  <w:style w:type="paragraph" w:customStyle="1" w:styleId="YReferences">
    <w:name w:val="YReferences"/>
    <w:basedOn w:val="Normal"/>
    <w:next w:val="Normal"/>
    <w:pPr>
      <w:spacing w:after="480" w:line="240" w:lineRule="auto"/>
      <w:ind w:left="1531" w:hanging="1531"/>
    </w:pPr>
    <w:rPr>
      <w:sz w:val="24"/>
    </w:rPr>
  </w:style>
  <w:style w:type="paragraph" w:customStyle="1" w:styleId="ListBullet1">
    <w:name w:val="List Bullet 1"/>
    <w:basedOn w:val="Text1"/>
    <w:pPr>
      <w:numPr>
        <w:numId w:val="5"/>
      </w:numPr>
    </w:pPr>
  </w:style>
  <w:style w:type="paragraph" w:customStyle="1" w:styleId="ListDash">
    <w:name w:val="List Dash"/>
    <w:basedOn w:val="Normal"/>
    <w:pPr>
      <w:numPr>
        <w:numId w:val="9"/>
      </w:numPr>
      <w:spacing w:after="240" w:line="240" w:lineRule="auto"/>
    </w:pPr>
    <w:rPr>
      <w:sz w:val="24"/>
    </w:r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spacing w:after="240" w:line="240" w:lineRule="auto"/>
    </w:pPr>
    <w:rPr>
      <w:sz w:val="24"/>
    </w:rPr>
  </w:style>
  <w:style w:type="paragraph" w:customStyle="1" w:styleId="ListNumberLevel3">
    <w:name w:val="List Number (Level 3)"/>
    <w:basedOn w:val="Normal"/>
    <w:pPr>
      <w:numPr>
        <w:ilvl w:val="2"/>
        <w:numId w:val="14"/>
      </w:numPr>
      <w:spacing w:after="240" w:line="240" w:lineRule="auto"/>
    </w:pPr>
    <w:rPr>
      <w:sz w:val="24"/>
    </w:rPr>
  </w:style>
  <w:style w:type="paragraph" w:customStyle="1" w:styleId="ListNumberLevel4">
    <w:name w:val="List Number (Level 4)"/>
    <w:basedOn w:val="Normal"/>
    <w:pPr>
      <w:numPr>
        <w:ilvl w:val="3"/>
        <w:numId w:val="14"/>
      </w:numPr>
      <w:spacing w:after="240" w:line="240" w:lineRule="auto"/>
    </w:pPr>
    <w:rPr>
      <w:sz w:val="24"/>
    </w:r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customStyle="1" w:styleId="TOCHeading1">
    <w:name w:val="TOC Heading1"/>
    <w:basedOn w:val="Normal"/>
    <w:next w:val="Normal"/>
    <w:pPr>
      <w:keepNext/>
      <w:spacing w:before="240" w:after="240" w:line="240" w:lineRule="auto"/>
      <w:jc w:val="center"/>
    </w:pPr>
    <w:rPr>
      <w:b/>
      <w:sz w:val="24"/>
    </w:rPr>
  </w:style>
  <w:style w:type="paragraph" w:customStyle="1" w:styleId="Contact">
    <w:name w:val="Contact"/>
    <w:basedOn w:val="Normal"/>
    <w:next w:val="Normal"/>
    <w:pPr>
      <w:spacing w:after="480" w:line="240" w:lineRule="auto"/>
      <w:ind w:left="567" w:hanging="567"/>
    </w:pPr>
    <w:rPr>
      <w:sz w:val="24"/>
    </w:rPr>
  </w:style>
  <w:style w:type="paragraph" w:customStyle="1" w:styleId="ZCom">
    <w:name w:val="Z_Com"/>
    <w:basedOn w:val="Normal"/>
    <w:next w:val="ZDGName"/>
    <w:pPr>
      <w:autoSpaceDE w:val="0"/>
      <w:autoSpaceDN w:val="0"/>
      <w:spacing w:after="0" w:line="240" w:lineRule="auto"/>
      <w:ind w:right="85"/>
    </w:pPr>
    <w:rPr>
      <w:rFonts w:cs="Arial"/>
      <w:sz w:val="24"/>
      <w:szCs w:val="24"/>
    </w:rPr>
  </w:style>
  <w:style w:type="paragraph" w:customStyle="1" w:styleId="ZDGName">
    <w:name w:val="Z_DGName"/>
    <w:basedOn w:val="Normal"/>
    <w:pPr>
      <w:autoSpaceDE w:val="0"/>
      <w:autoSpaceDN w:val="0"/>
      <w:spacing w:after="0" w:line="240" w:lineRule="auto"/>
      <w:ind w:right="85"/>
    </w:pPr>
    <w:rPr>
      <w:rFonts w:cs="Arial"/>
      <w:sz w:val="16"/>
      <w:szCs w:val="16"/>
    </w:rPr>
  </w:style>
  <w:style w:type="character" w:styleId="Hyperlink">
    <w:name w:val="Hyperlink"/>
    <w:uiPriority w:val="99"/>
    <w:rPr>
      <w:color w:val="0000FF"/>
      <w:u w:val="single"/>
    </w:rPr>
  </w:style>
  <w:style w:type="character" w:styleId="FootnoteReference">
    <w:name w:val="footnote reference"/>
    <w:aliases w:val="BVI fnr,SUPERS,Footnote symbol,(Footnote Reference),Footnote,Voetnootverwijzing,Times 10 Point,Exposant 3 Point,Footnote reference number,note TESI,Odwołanie przypisu, BVI fnr,Appel note de bas de p,Nota,16 Point,Superscript 6 Point"/>
    <w:qFormat/>
    <w:rPr>
      <w:vertAlign w:val="superscript"/>
    </w:rPr>
  </w:style>
  <w:style w:type="table" w:styleId="ColorfulGrid-Accent3">
    <w:name w:val="Colorful Grid Accent 3"/>
    <w:basedOn w:val="TableNormal"/>
    <w:uiPriority w:val="69"/>
    <w:rPr>
      <w:rFonts w:ascii="Verdana" w:eastAsia="Times New Roman"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pPr>
      <w:spacing w:after="240" w:line="240" w:lineRule="auto"/>
      <w:jc w:val="center"/>
    </w:pPr>
    <w:rPr>
      <w:rFonts w:ascii="Verdana" w:hAnsi="Verdana"/>
      <w:b/>
      <w:sz w:val="52"/>
    </w:rPr>
  </w:style>
  <w:style w:type="paragraph" w:customStyle="1" w:styleId="Footerapproval">
    <w:name w:val="Footer approval"/>
    <w:basedOn w:val="Footer"/>
    <w:pPr>
      <w:tabs>
        <w:tab w:val="left" w:pos="6804"/>
      </w:tabs>
    </w:pPr>
    <w:rPr>
      <w:rFonts w:ascii="Verdana" w:hAnsi="Verdana"/>
      <w:sz w:val="13"/>
    </w:rPr>
  </w:style>
  <w:style w:type="character" w:customStyle="1" w:styleId="DocumentTitleChar">
    <w:name w:val="Document Title Char"/>
    <w:link w:val="DocumentTitle"/>
    <w:rPr>
      <w:rFonts w:ascii="Verdana" w:eastAsia="Times New Roman" w:hAnsi="Verdana" w:cs="Times New Roman"/>
      <w:b/>
      <w:sz w:val="52"/>
      <w:szCs w:val="20"/>
    </w:rPr>
  </w:style>
  <w:style w:type="paragraph" w:customStyle="1" w:styleId="FooterDate">
    <w:name w:val="Footer Date"/>
    <w:basedOn w:val="Footer"/>
    <w:link w:val="FooterDateChar"/>
    <w:pPr>
      <w:tabs>
        <w:tab w:val="right" w:pos="9240"/>
      </w:tabs>
    </w:pPr>
    <w:rPr>
      <w:rFonts w:ascii="Verdana" w:hAnsi="Verdana"/>
    </w:rPr>
  </w:style>
  <w:style w:type="character" w:customStyle="1" w:styleId="ApprovalfooterChar">
    <w:name w:val="Approval_footer Char"/>
    <w:rPr>
      <w:rFonts w:ascii="Verdana" w:eastAsia="Times New Roman" w:hAnsi="Verdana" w:cs="Times New Roman"/>
      <w:sz w:val="13"/>
      <w:szCs w:val="20"/>
      <w:lang w:val="bg-BG"/>
    </w:rPr>
  </w:style>
  <w:style w:type="paragraph" w:customStyle="1" w:styleId="PageNumber1">
    <w:name w:val="Page Number1"/>
    <w:basedOn w:val="Footer"/>
    <w:pPr>
      <w:tabs>
        <w:tab w:val="right" w:pos="9240"/>
      </w:tabs>
      <w:ind w:right="-622"/>
    </w:pPr>
    <w:rPr>
      <w:rFonts w:ascii="Verdana" w:hAnsi="Verdana"/>
    </w:rPr>
  </w:style>
  <w:style w:type="character" w:customStyle="1" w:styleId="FooterDateChar">
    <w:name w:val="Footer Date Char"/>
    <w:link w:val="FooterDate"/>
    <w:rPr>
      <w:rFonts w:ascii="Verdana" w:eastAsia="Times New Roman" w:hAnsi="Verdana" w:cs="Times New Roman"/>
      <w:sz w:val="16"/>
      <w:szCs w:val="20"/>
      <w:lang w:val="bg-BG"/>
    </w:rPr>
  </w:style>
  <w:style w:type="character" w:customStyle="1" w:styleId="PagenumberChar">
    <w:name w:val="Page number Char"/>
    <w:rPr>
      <w:rFonts w:ascii="Verdana" w:eastAsia="Times New Roman" w:hAnsi="Verdana" w:cs="Times New Roman"/>
      <w:sz w:val="16"/>
      <w:szCs w:val="20"/>
      <w:lang w:val="bg-BG"/>
    </w:rPr>
  </w:style>
  <w:style w:type="paragraph" w:customStyle="1" w:styleId="DocumentSubtitle">
    <w:name w:val="Document Subtitle"/>
    <w:basedOn w:val="DocumentTitle"/>
    <w:link w:val="DocumentSubtitleChar"/>
    <w:rPr>
      <w:b w:val="0"/>
      <w:sz w:val="32"/>
      <w:szCs w:val="36"/>
    </w:rPr>
  </w:style>
  <w:style w:type="paragraph" w:customStyle="1" w:styleId="HeaderTitle">
    <w:name w:val="Header Title"/>
    <w:basedOn w:val="Normal"/>
    <w:link w:val="HeaderTitleChar"/>
    <w:pPr>
      <w:spacing w:after="240" w:line="240" w:lineRule="auto"/>
      <w:jc w:val="center"/>
    </w:pPr>
    <w:rPr>
      <w:rFonts w:ascii="Verdana" w:hAnsi="Verdana"/>
      <w:b/>
      <w:color w:val="808080"/>
      <w:sz w:val="18"/>
      <w:szCs w:val="18"/>
    </w:rPr>
  </w:style>
  <w:style w:type="character" w:customStyle="1" w:styleId="DocumentSubtitleChar">
    <w:name w:val="Document Subtitle Char"/>
    <w:link w:val="DocumentSubtitle"/>
    <w:rPr>
      <w:rFonts w:ascii="Verdana" w:eastAsia="Times New Roman" w:hAnsi="Verdana" w:cs="Times New Roman"/>
      <w:sz w:val="32"/>
      <w:szCs w:val="36"/>
    </w:rPr>
  </w:style>
  <w:style w:type="paragraph" w:customStyle="1" w:styleId="Bulletpoint1">
    <w:name w:val="Bullet point1"/>
    <w:basedOn w:val="NormalIndent"/>
    <w:link w:val="Bulletpoint1Char"/>
    <w:pPr>
      <w:numPr>
        <w:numId w:val="20"/>
      </w:numPr>
      <w:spacing w:after="120"/>
      <w:jc w:val="left"/>
    </w:pPr>
    <w:rPr>
      <w:rFonts w:ascii="Verdana" w:hAnsi="Verdana"/>
      <w:sz w:val="18"/>
    </w:rPr>
  </w:style>
  <w:style w:type="character" w:customStyle="1" w:styleId="HeaderTitleChar">
    <w:name w:val="Header Title Char"/>
    <w:link w:val="HeaderTitle"/>
    <w:rPr>
      <w:rFonts w:ascii="Verdana" w:eastAsia="Times New Roman" w:hAnsi="Verdana" w:cs="Times New Roman"/>
      <w:b/>
      <w:color w:val="808080"/>
      <w:sz w:val="18"/>
      <w:szCs w:val="18"/>
    </w:rPr>
  </w:style>
  <w:style w:type="paragraph" w:customStyle="1" w:styleId="Heading">
    <w:name w:val="Heading"/>
    <w:basedOn w:val="TOC1"/>
    <w:link w:val="HeadingChar"/>
    <w:pPr>
      <w:autoSpaceDE w:val="0"/>
      <w:autoSpaceDN w:val="0"/>
      <w:spacing w:after="0"/>
    </w:pPr>
    <w:rPr>
      <w:b w:val="0"/>
    </w:rPr>
  </w:style>
  <w:style w:type="character" w:customStyle="1" w:styleId="NormalIndentChar">
    <w:name w:val="Normal Indent Char"/>
    <w:link w:val="NormalIndent"/>
    <w:rPr>
      <w:rFonts w:ascii="Times New Roman" w:eastAsia="Times New Roman" w:hAnsi="Times New Roman" w:cs="Times New Roman"/>
      <w:sz w:val="24"/>
      <w:szCs w:val="20"/>
    </w:rPr>
  </w:style>
  <w:style w:type="character" w:customStyle="1" w:styleId="Bulletpoint1Char">
    <w:name w:val="Bullet point1 Char"/>
    <w:link w:val="Bulletpoint1"/>
    <w:rPr>
      <w:rFonts w:ascii="Verdana" w:eastAsia="Times New Roman" w:hAnsi="Verdana" w:cs="Times New Roman"/>
      <w:sz w:val="18"/>
      <w:szCs w:val="20"/>
    </w:rPr>
  </w:style>
  <w:style w:type="paragraph" w:customStyle="1" w:styleId="BulletPoint2">
    <w:name w:val="Bullet Point 2"/>
    <w:basedOn w:val="NormalIndent"/>
    <w:link w:val="BulletPoint2Char"/>
    <w:pPr>
      <w:numPr>
        <w:numId w:val="19"/>
      </w:numPr>
      <w:spacing w:after="120"/>
      <w:ind w:left="1077" w:hanging="357"/>
      <w:jc w:val="left"/>
    </w:pPr>
    <w:rPr>
      <w:rFonts w:ascii="Verdana" w:hAnsi="Verdana"/>
      <w:sz w:val="18"/>
    </w:rPr>
  </w:style>
  <w:style w:type="character" w:customStyle="1" w:styleId="HeadingChar">
    <w:name w:val="Heading Char"/>
    <w:link w:val="Heading"/>
    <w:rPr>
      <w:rFonts w:ascii="Calibri" w:eastAsia="Times New Roman" w:hAnsi="Calibri" w:cs="Times New Roman"/>
      <w:bCs/>
      <w:sz w:val="20"/>
      <w:szCs w:val="20"/>
      <w:u w:val="single"/>
    </w:rPr>
  </w:style>
  <w:style w:type="paragraph" w:customStyle="1" w:styleId="Body">
    <w:name w:val="Body"/>
    <w:basedOn w:val="Normal"/>
    <w:link w:val="BodyChar"/>
    <w:qFormat/>
    <w:pPr>
      <w:spacing w:after="240" w:line="240" w:lineRule="auto"/>
      <w:ind w:left="357"/>
    </w:pPr>
    <w:rPr>
      <w:rFonts w:cs="Arial"/>
    </w:rPr>
  </w:style>
  <w:style w:type="character" w:customStyle="1" w:styleId="BulletPoint2Char">
    <w:name w:val="Bullet Point 2 Char"/>
    <w:link w:val="BulletPoint2"/>
    <w:rPr>
      <w:rFonts w:ascii="Verdana" w:eastAsia="Times New Roman" w:hAnsi="Verdana" w:cs="Times New Roman"/>
      <w:sz w:val="18"/>
      <w:szCs w:val="20"/>
    </w:rPr>
  </w:style>
  <w:style w:type="paragraph" w:customStyle="1" w:styleId="Heading20">
    <w:name w:val="Heading2"/>
    <w:basedOn w:val="Title2"/>
    <w:link w:val="Heading2Char0"/>
    <w:pPr>
      <w:numPr>
        <w:numId w:val="0"/>
      </w:numPr>
    </w:pPr>
    <w:rPr>
      <w:rFonts w:ascii="Verdana" w:hAnsi="Verdana"/>
      <w:b/>
      <w:i/>
    </w:rPr>
  </w:style>
  <w:style w:type="character" w:customStyle="1" w:styleId="BodyChar">
    <w:name w:val="Body Char"/>
    <w:link w:val="Body"/>
    <w:rPr>
      <w:rFonts w:ascii="Arial" w:eastAsia="Times New Roman" w:hAnsi="Arial" w:cs="Arial"/>
      <w:sz w:val="20"/>
      <w:szCs w:val="20"/>
    </w:rPr>
  </w:style>
  <w:style w:type="table" w:styleId="TableGrid">
    <w:name w:val="Table Grid"/>
    <w:aliases w:val="Document Table"/>
    <w:basedOn w:val="TableNormal"/>
    <w:rPr>
      <w:rFonts w:ascii="Verdana" w:eastAsia="Times New Roman"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0">
    <w:name w:val="Heading2 Char"/>
    <w:link w:val="Heading20"/>
    <w:rPr>
      <w:rFonts w:ascii="Verdana" w:eastAsia="Times New Roman" w:hAnsi="Verdana" w:cs="Times New Roman"/>
      <w:b/>
      <w:i/>
      <w:sz w:val="24"/>
      <w:szCs w:val="20"/>
    </w:rPr>
  </w:style>
  <w:style w:type="table" w:customStyle="1" w:styleId="Style1">
    <w:name w:val="Style1"/>
    <w:basedOn w:val="TableNormal"/>
    <w:rPr>
      <w:rFonts w:ascii="Times New Roman" w:eastAsia="Times New Roman" w:hAnsi="Times New Roman"/>
    </w:rPr>
    <w:tblPr/>
  </w:style>
  <w:style w:type="table" w:styleId="TableElegant">
    <w:name w:val="Table Elegant"/>
    <w:basedOn w:val="TableNormal"/>
    <w:pPr>
      <w:spacing w:after="240"/>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rPr>
  </w:style>
  <w:style w:type="character" w:customStyle="1" w:styleId="FooterDocumentChar">
    <w:name w:val="Footer Document Char"/>
    <w:link w:val="FooterDocument"/>
    <w:rPr>
      <w:rFonts w:ascii="Arial" w:eastAsia="Times New Roman" w:hAnsi="Arial" w:cs="Arial"/>
      <w:i/>
      <w:noProof/>
      <w:sz w:val="13"/>
      <w:szCs w:val="20"/>
    </w:rPr>
  </w:style>
  <w:style w:type="paragraph" w:styleId="TOCHeading">
    <w:name w:val="TOC Heading"/>
    <w:basedOn w:val="Heading1"/>
    <w:next w:val="Normal"/>
    <w:uiPriority w:val="39"/>
    <w:unhideWhenUsed/>
    <w:qFormat/>
    <w:pPr>
      <w:keepLines/>
      <w:numPr>
        <w:numId w:val="0"/>
      </w:numPr>
      <w:spacing w:before="480" w:after="0" w:line="276" w:lineRule="auto"/>
      <w:jc w:val="left"/>
      <w:outlineLvl w:val="9"/>
    </w:pPr>
    <w:rPr>
      <w:rFonts w:ascii="Cambria" w:eastAsia="MS Gothic" w:hAnsi="Cambria"/>
      <w:bCs/>
      <w:smallCaps w:val="0"/>
      <w:color w:val="435186"/>
      <w:sz w:val="28"/>
      <w:szCs w:val="28"/>
    </w:rPr>
  </w:style>
  <w:style w:type="paragraph" w:customStyle="1" w:styleId="Title2">
    <w:name w:val="Title 2"/>
    <w:basedOn w:val="Normal"/>
    <w:pPr>
      <w:numPr>
        <w:numId w:val="21"/>
      </w:numPr>
      <w:spacing w:after="240" w:line="240" w:lineRule="auto"/>
    </w:pPr>
    <w:rPr>
      <w:sz w:val="24"/>
    </w:rPr>
  </w:style>
  <w:style w:type="paragraph" w:customStyle="1" w:styleId="Subtitle0">
    <w:name w:val="Subtitle_"/>
    <w:basedOn w:val="TOC2"/>
    <w:link w:val="SubtitleChar0"/>
    <w:pPr>
      <w:ind w:left="0"/>
    </w:pPr>
    <w:rPr>
      <w:b/>
      <w:i/>
    </w:rPr>
  </w:style>
  <w:style w:type="character" w:customStyle="1" w:styleId="SubtitleChar0">
    <w:name w:val="Subtitle_ Char"/>
    <w:link w:val="Subtitle0"/>
    <w:rPr>
      <w:rFonts w:ascii="Calibri" w:eastAsia="Times New Roman" w:hAnsi="Calibri" w:cs="Times New Roman"/>
      <w:b/>
      <w:iCs/>
      <w:sz w:val="20"/>
      <w:szCs w:val="20"/>
    </w:rPr>
  </w:style>
  <w:style w:type="paragraph" w:customStyle="1" w:styleId="HeadingBody">
    <w:name w:val="Heading Body"/>
    <w:basedOn w:val="Normal"/>
    <w:link w:val="HeadingBodyChar"/>
    <w:pPr>
      <w:spacing w:after="120" w:line="240" w:lineRule="auto"/>
    </w:pPr>
    <w:rPr>
      <w:rFonts w:ascii="Verdana" w:hAnsi="Verdana"/>
      <w:b/>
      <w:szCs w:val="18"/>
    </w:rPr>
  </w:style>
  <w:style w:type="paragraph" w:customStyle="1" w:styleId="Titlepublication">
    <w:name w:val="Title publication"/>
    <w:basedOn w:val="Normal"/>
    <w:link w:val="TitlepublicationChar"/>
    <w:pPr>
      <w:spacing w:after="240" w:line="240" w:lineRule="auto"/>
      <w:jc w:val="center"/>
    </w:pPr>
    <w:rPr>
      <w:rFonts w:ascii="Verdana" w:hAnsi="Verdana"/>
      <w:b/>
      <w:color w:val="FF0000"/>
      <w:sz w:val="52"/>
      <w:szCs w:val="52"/>
    </w:rPr>
  </w:style>
  <w:style w:type="character" w:customStyle="1" w:styleId="HeadingBodyChar">
    <w:name w:val="Heading Body Char"/>
    <w:link w:val="HeadingBody"/>
    <w:rPr>
      <w:rFonts w:ascii="Verdana" w:eastAsia="Times New Roman" w:hAnsi="Verdana" w:cs="Times New Roman"/>
      <w:b/>
      <w:sz w:val="20"/>
      <w:szCs w:val="18"/>
    </w:rPr>
  </w:style>
  <w:style w:type="paragraph" w:customStyle="1" w:styleId="Subtitlepublication">
    <w:name w:val="Subtitle publication"/>
    <w:basedOn w:val="Normal"/>
    <w:link w:val="SubtitlepublicationChar"/>
    <w:pPr>
      <w:spacing w:after="240" w:line="240" w:lineRule="auto"/>
      <w:jc w:val="center"/>
    </w:pPr>
    <w:rPr>
      <w:rFonts w:ascii="Verdana" w:hAnsi="Verdana"/>
      <w:b/>
      <w:i/>
      <w:color w:val="FF0000"/>
      <w:sz w:val="32"/>
    </w:rPr>
  </w:style>
  <w:style w:type="character" w:customStyle="1" w:styleId="TitlepublicationChar">
    <w:name w:val="Title publication Char"/>
    <w:link w:val="Titlepublication"/>
    <w:rPr>
      <w:rFonts w:ascii="Verdana" w:eastAsia="Times New Roman" w:hAnsi="Verdana" w:cs="Times New Roman"/>
      <w:b/>
      <w:color w:val="FF0000"/>
      <w:sz w:val="52"/>
      <w:szCs w:val="52"/>
    </w:rPr>
  </w:style>
  <w:style w:type="paragraph" w:customStyle="1" w:styleId="Editorname">
    <w:name w:val="Editor name"/>
    <w:basedOn w:val="Normal"/>
    <w:link w:val="EditornameChar"/>
    <w:pPr>
      <w:spacing w:after="240" w:line="240" w:lineRule="auto"/>
      <w:jc w:val="center"/>
    </w:pPr>
    <w:rPr>
      <w:rFonts w:ascii="Verdana" w:hAnsi="Verdana"/>
      <w:color w:val="FF0000"/>
      <w:sz w:val="24"/>
    </w:rPr>
  </w:style>
  <w:style w:type="character" w:customStyle="1" w:styleId="SubtitlepublicationChar">
    <w:name w:val="Subtitle publication Char"/>
    <w:link w:val="Subtitlepublication"/>
    <w:rPr>
      <w:rFonts w:ascii="Verdana" w:eastAsia="Times New Roman" w:hAnsi="Verdana" w:cs="Times New Roman"/>
      <w:b/>
      <w:i/>
      <w:color w:val="FF0000"/>
      <w:sz w:val="32"/>
      <w:szCs w:val="20"/>
    </w:rPr>
  </w:style>
  <w:style w:type="paragraph" w:customStyle="1" w:styleId="Backcoversummary">
    <w:name w:val="Backcover_summary"/>
    <w:basedOn w:val="Normal"/>
    <w:link w:val="BackcoversummaryChar"/>
    <w:pPr>
      <w:spacing w:after="240" w:line="240" w:lineRule="auto"/>
    </w:pPr>
    <w:rPr>
      <w:rFonts w:ascii="Verdana" w:hAnsi="Verdana"/>
      <w:color w:val="FF0000"/>
      <w:sz w:val="24"/>
    </w:rPr>
  </w:style>
  <w:style w:type="character" w:customStyle="1" w:styleId="EditornameChar">
    <w:name w:val="Editor name Char"/>
    <w:link w:val="Editorname"/>
    <w:rPr>
      <w:rFonts w:ascii="Verdana" w:eastAsia="Times New Roman" w:hAnsi="Verdana" w:cs="Times New Roman"/>
      <w:color w:val="FF0000"/>
      <w:sz w:val="24"/>
      <w:szCs w:val="20"/>
    </w:rPr>
  </w:style>
  <w:style w:type="paragraph" w:customStyle="1" w:styleId="Backcovercategory">
    <w:name w:val="Backcover_category"/>
    <w:basedOn w:val="Normal"/>
    <w:link w:val="BackcovercategoryChar"/>
    <w:pPr>
      <w:spacing w:after="240" w:line="240" w:lineRule="auto"/>
      <w:ind w:right="28"/>
    </w:pPr>
    <w:rPr>
      <w:rFonts w:ascii="Verdana" w:hAnsi="Verdana"/>
      <w:i/>
      <w:color w:val="FF0000"/>
      <w:sz w:val="18"/>
    </w:rPr>
  </w:style>
  <w:style w:type="character" w:customStyle="1" w:styleId="BackcoversummaryChar">
    <w:name w:val="Backcover_summary Char"/>
    <w:link w:val="Backcoversummary"/>
    <w:rPr>
      <w:rFonts w:ascii="Verdana" w:eastAsia="Times New Roman" w:hAnsi="Verdana" w:cs="Times New Roman"/>
      <w:color w:val="FF0000"/>
      <w:sz w:val="24"/>
      <w:szCs w:val="20"/>
    </w:rPr>
  </w:style>
  <w:style w:type="character" w:customStyle="1" w:styleId="BackcovercategoryChar">
    <w:name w:val="Backcover_category Char"/>
    <w:link w:val="Backcovercategory"/>
    <w:rPr>
      <w:rFonts w:ascii="Verdana" w:eastAsia="Times New Roman" w:hAnsi="Verdana" w:cs="Times New Roman"/>
      <w:i/>
      <w:color w:val="FF0000"/>
      <w:sz w:val="18"/>
      <w:szCs w:val="20"/>
    </w:rPr>
  </w:style>
  <w:style w:type="paragraph" w:customStyle="1" w:styleId="kop2">
    <w:name w:val="kop 2"/>
    <w:basedOn w:val="Normal"/>
    <w:next w:val="Normal"/>
    <w:link w:val="kop2Char"/>
    <w:uiPriority w:val="1"/>
    <w:unhideWhenUsed/>
    <w:qFormat/>
    <w:pPr>
      <w:keepNext/>
      <w:keepLines/>
      <w:numPr>
        <w:numId w:val="24"/>
      </w:numPr>
      <w:spacing w:after="120" w:line="240" w:lineRule="auto"/>
      <w:outlineLvl w:val="1"/>
    </w:pPr>
    <w:rPr>
      <w:rFonts w:eastAsia="MS Gothic" w:cs="Arial"/>
      <w:caps/>
      <w:color w:val="4F81BD"/>
      <w:kern w:val="20"/>
      <w:sz w:val="24"/>
      <w:szCs w:val="24"/>
    </w:rPr>
  </w:style>
  <w:style w:type="paragraph" w:customStyle="1" w:styleId="kop3">
    <w:name w:val="kop 3"/>
    <w:basedOn w:val="StyleSubtitleBoldAccent1Left1"/>
    <w:next w:val="Normal"/>
    <w:link w:val="kop3Char"/>
    <w:uiPriority w:val="1"/>
    <w:unhideWhenUsed/>
    <w:qFormat/>
    <w:pPr>
      <w:numPr>
        <w:numId w:val="25"/>
      </w:numPr>
    </w:pPr>
    <w:rPr>
      <w:b w:val="0"/>
    </w:rPr>
  </w:style>
  <w:style w:type="character" w:customStyle="1" w:styleId="kop2Char">
    <w:name w:val="kop 2 Char"/>
    <w:link w:val="kop2"/>
    <w:uiPriority w:val="1"/>
    <w:rPr>
      <w:rFonts w:ascii="Arial" w:eastAsia="MS Gothic" w:hAnsi="Arial" w:cs="Arial"/>
      <w:caps/>
      <w:color w:val="4F81BD"/>
      <w:kern w:val="20"/>
      <w:sz w:val="24"/>
      <w:szCs w:val="24"/>
    </w:rPr>
  </w:style>
  <w:style w:type="character" w:customStyle="1" w:styleId="kop3Char">
    <w:name w:val="kop 3 Char"/>
    <w:link w:val="kop3"/>
    <w:uiPriority w:val="1"/>
    <w:rPr>
      <w:rFonts w:ascii="Arial" w:eastAsia="Times New Roman" w:hAnsi="Arial" w:cs="Times New Roman"/>
      <w:bCs/>
      <w:color w:val="4F81BD"/>
      <w:sz w:val="24"/>
      <w:szCs w:val="20"/>
    </w:rPr>
  </w:style>
  <w:style w:type="paragraph" w:customStyle="1" w:styleId="Lijstje">
    <w:name w:val="Lijstje"/>
    <w:basedOn w:val="NoSpacing"/>
    <w:uiPriority w:val="1"/>
    <w:unhideWhenUsed/>
    <w:qFormat/>
    <w:locked/>
    <w:pPr>
      <w:numPr>
        <w:numId w:val="22"/>
      </w:numPr>
      <w:tabs>
        <w:tab w:val="num" w:pos="1485"/>
      </w:tabs>
      <w:spacing w:after="240"/>
      <w:ind w:left="1412" w:hanging="703"/>
    </w:pPr>
    <w:rPr>
      <w:rFonts w:ascii="Verdana" w:eastAsia="Calibri" w:hAnsi="Verdana"/>
      <w:kern w:val="20"/>
    </w:rPr>
  </w:style>
  <w:style w:type="paragraph" w:customStyle="1" w:styleId="Lijstje3">
    <w:name w:val="Lijstje 3"/>
    <w:basedOn w:val="Lijstje2"/>
    <w:uiPriority w:val="1"/>
    <w:unhideWhenUsed/>
    <w:locked/>
    <w:pPr>
      <w:numPr>
        <w:ilvl w:val="1"/>
      </w:numPr>
      <w:tabs>
        <w:tab w:val="num" w:pos="765"/>
      </w:tabs>
      <w:ind w:left="1069" w:hanging="283"/>
    </w:pPr>
  </w:style>
  <w:style w:type="paragraph" w:customStyle="1" w:styleId="Lijstje2">
    <w:name w:val="Lijstje2"/>
    <w:basedOn w:val="ListParagraph"/>
    <w:uiPriority w:val="1"/>
    <w:unhideWhenUsed/>
    <w:locked/>
    <w:pPr>
      <w:numPr>
        <w:numId w:val="23"/>
      </w:numPr>
      <w:tabs>
        <w:tab w:val="num" w:pos="765"/>
      </w:tabs>
      <w:spacing w:after="200"/>
      <w:ind w:left="1797" w:hanging="357"/>
    </w:pPr>
    <w:rPr>
      <w:rFonts w:ascii="Verdana" w:eastAsia="Calibri" w:hAnsi="Verdana"/>
      <w:kern w:val="20"/>
      <w:sz w:val="20"/>
    </w:rPr>
  </w:style>
  <w:style w:type="paragraph" w:customStyle="1" w:styleId="Koptekstmetarcering">
    <w:name w:val="Koptekst met arcering"/>
    <w:basedOn w:val="Normal"/>
    <w:uiPriority w:val="19"/>
    <w:locked/>
    <w:pPr>
      <w:pBdr>
        <w:top w:val="single" w:sz="2" w:space="2" w:color="5F70AF"/>
        <w:left w:val="single" w:sz="2" w:space="6" w:color="5F70AF"/>
        <w:bottom w:val="single" w:sz="2" w:space="2" w:color="5F70AF"/>
        <w:right w:val="single" w:sz="2" w:space="6" w:color="5F70AF"/>
      </w:pBdr>
      <w:shd w:val="clear" w:color="auto" w:fill="5F70AF"/>
      <w:spacing w:after="0" w:line="240" w:lineRule="auto"/>
      <w:ind w:left="-360" w:right="-360"/>
    </w:pPr>
    <w:rPr>
      <w:rFonts w:ascii="Cambria" w:eastAsia="MS Gothic" w:hAnsi="Cambria"/>
      <w:caps/>
      <w:color w:val="FFFFFF"/>
      <w:kern w:val="20"/>
      <w:sz w:val="48"/>
    </w:rPr>
  </w:style>
  <w:style w:type="character" w:styleId="Strong">
    <w:name w:val="Strong"/>
    <w:aliases w:val="Gewoon,sub subtitle"/>
    <w:uiPriority w:val="22"/>
    <w:qFormat/>
    <w:rPr>
      <w:rFonts w:ascii="Arial" w:hAnsi="Arial" w:cs="Arial"/>
      <w:i/>
      <w:color w:val="95B3D7"/>
    </w:rPr>
  </w:style>
  <w:style w:type="paragraph" w:styleId="ListParagraph">
    <w:name w:val="List Paragraph"/>
    <w:basedOn w:val="Normal"/>
    <w:uiPriority w:val="34"/>
    <w:qFormat/>
    <w:pPr>
      <w:spacing w:after="240" w:line="240" w:lineRule="auto"/>
      <w:ind w:left="720"/>
      <w:contextualSpacing/>
    </w:pPr>
    <w:rPr>
      <w:sz w:val="24"/>
    </w:rPr>
  </w:style>
  <w:style w:type="paragraph" w:customStyle="1" w:styleId="kop1">
    <w:name w:val="kop 1"/>
    <w:basedOn w:val="Normal"/>
    <w:next w:val="Normal"/>
    <w:link w:val="Tekensvoorkop1"/>
    <w:uiPriority w:val="1"/>
    <w:locked/>
    <w:pPr>
      <w:pageBreakBefore/>
      <w:spacing w:after="360" w:line="240" w:lineRule="auto"/>
      <w:ind w:left="-360" w:right="-360"/>
      <w:outlineLvl w:val="0"/>
    </w:pPr>
    <w:rPr>
      <w:rFonts w:ascii="Calibri" w:hAnsi="Calibri"/>
      <w:kern w:val="20"/>
      <w:sz w:val="36"/>
    </w:rPr>
  </w:style>
  <w:style w:type="paragraph" w:customStyle="1" w:styleId="Geenregelafstand">
    <w:name w:val="Geen regelafstand"/>
    <w:link w:val="Tekensvoorgeenregelafstand"/>
    <w:uiPriority w:val="1"/>
    <w:locked/>
    <w:pPr>
      <w:widowControl w:val="0"/>
      <w:adjustRightInd w:val="0"/>
      <w:spacing w:before="40" w:line="360" w:lineRule="atLeast"/>
      <w:jc w:val="both"/>
      <w:textAlignment w:val="baseline"/>
    </w:pPr>
    <w:rPr>
      <w:rFonts w:ascii="Calibri" w:eastAsia="Times New Roman" w:hAnsi="Calibri"/>
      <w:color w:val="595959"/>
      <w:u w:val="single"/>
      <w:lang w:val="en-GB" w:eastAsia="en-GB" w:bidi="ar-SA"/>
    </w:rPr>
  </w:style>
  <w:style w:type="character" w:customStyle="1" w:styleId="Tekensvoorkop1">
    <w:name w:val="Tekens voor kop 1"/>
    <w:link w:val="kop1"/>
    <w:uiPriority w:val="1"/>
    <w:rPr>
      <w:rFonts w:ascii="Calibri" w:eastAsia="Calibri" w:hAnsi="Calibri" w:cs="Times New Roman"/>
      <w:kern w:val="20"/>
      <w:sz w:val="36"/>
      <w:szCs w:val="20"/>
      <w:lang w:val="bg-BG"/>
    </w:rPr>
  </w:style>
  <w:style w:type="character" w:customStyle="1" w:styleId="Extranadruk">
    <w:name w:val="Extra nadruk"/>
    <w:uiPriority w:val="1"/>
    <w:unhideWhenUsed/>
    <w:locked/>
    <w:rPr>
      <w:b/>
      <w:bCs/>
    </w:rPr>
  </w:style>
  <w:style w:type="character" w:customStyle="1" w:styleId="Tekensvoorgeenregelafstand">
    <w:name w:val="Tekens voor geen regelafstand"/>
    <w:link w:val="Geenregelafstand"/>
    <w:uiPriority w:val="1"/>
    <w:rPr>
      <w:rFonts w:ascii="Calibri" w:eastAsia="Calibri" w:hAnsi="Calibri" w:cs="Times New Roman"/>
      <w:color w:val="595959"/>
      <w:sz w:val="20"/>
      <w:szCs w:val="20"/>
      <w:lang w:val="bg-BG"/>
    </w:rPr>
  </w:style>
  <w:style w:type="paragraph" w:customStyle="1" w:styleId="Tabeltekst">
    <w:name w:val="Tabeltekst"/>
    <w:basedOn w:val="Normal"/>
    <w:uiPriority w:val="9"/>
    <w:locked/>
    <w:pPr>
      <w:spacing w:before="60" w:after="60" w:line="240" w:lineRule="auto"/>
      <w:ind w:left="144" w:right="144"/>
    </w:pPr>
    <w:rPr>
      <w:rFonts w:ascii="Calibri" w:hAnsi="Calibri"/>
      <w:kern w:val="20"/>
    </w:rPr>
  </w:style>
  <w:style w:type="paragraph" w:customStyle="1" w:styleId="Kopvooromgekeerdetabel">
    <w:name w:val="Kop voor omgekeerde tabel"/>
    <w:basedOn w:val="Normal"/>
    <w:uiPriority w:val="9"/>
    <w:locked/>
    <w:pPr>
      <w:spacing w:after="40" w:line="240" w:lineRule="auto"/>
      <w:ind w:left="144" w:right="144"/>
    </w:pPr>
    <w:rPr>
      <w:rFonts w:ascii="Cambria" w:eastAsia="MS Gothic" w:hAnsi="Cambria"/>
      <w:caps/>
      <w:color w:val="FFFFFF"/>
      <w:kern w:val="20"/>
      <w:sz w:val="24"/>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link w:val="CommentSubject"/>
    <w:semiHidden/>
    <w:rPr>
      <w:rFonts w:ascii="Times New Roman" w:eastAsia="Times New Roman" w:hAnsi="Times New Roman" w:cs="Times New Roman"/>
      <w:b/>
      <w:bCs/>
      <w:sz w:val="20"/>
      <w:szCs w:val="20"/>
    </w:rPr>
  </w:style>
  <w:style w:type="paragraph" w:styleId="Revision">
    <w:name w:val="Revision"/>
    <w:hidden/>
    <w:uiPriority w:val="99"/>
    <w:semiHidden/>
    <w:pPr>
      <w:widowControl w:val="0"/>
      <w:adjustRightInd w:val="0"/>
      <w:spacing w:line="360" w:lineRule="atLeast"/>
      <w:jc w:val="both"/>
      <w:textAlignment w:val="baseline"/>
    </w:pPr>
    <w:rPr>
      <w:rFonts w:ascii="Times New Roman" w:eastAsia="Times New Roman" w:hAnsi="Times New Roman"/>
      <w:sz w:val="24"/>
      <w:u w:val="single"/>
      <w:lang w:val="en-GB" w:eastAsia="en-GB" w:bidi="ar-SA"/>
    </w:rPr>
  </w:style>
  <w:style w:type="character" w:styleId="FollowedHyperlink">
    <w:name w:val="FollowedHyperlink"/>
    <w:semiHidden/>
    <w:unhideWhenUsed/>
    <w:rPr>
      <w:color w:val="3EBBF0"/>
      <w:u w:val="single"/>
    </w:rPr>
  </w:style>
  <w:style w:type="character" w:customStyle="1" w:styleId="affairetitle">
    <w:name w:val="affaire_title"/>
    <w:basedOn w:val="DefaultParagraphFont"/>
  </w:style>
  <w:style w:type="paragraph" w:customStyle="1" w:styleId="Kop4">
    <w:name w:val="Kop 4"/>
    <w:basedOn w:val="kop3"/>
    <w:link w:val="Kop4Char"/>
    <w:qFormat/>
    <w:pPr>
      <w:numPr>
        <w:ilvl w:val="1"/>
      </w:numPr>
    </w:pPr>
    <w:rPr>
      <w:rFonts w:cs="Arial"/>
      <w:b/>
      <w:bCs w:val="0"/>
      <w:i/>
      <w:color w:val="95B3D7"/>
    </w:rPr>
  </w:style>
  <w:style w:type="paragraph" w:customStyle="1" w:styleId="Kop5">
    <w:name w:val="Kop 5"/>
    <w:basedOn w:val="Normal"/>
    <w:link w:val="Kop5Char"/>
    <w:qFormat/>
    <w:pPr>
      <w:spacing w:after="240" w:line="240" w:lineRule="auto"/>
      <w:ind w:left="709"/>
    </w:pPr>
    <w:rPr>
      <w:rFonts w:ascii="Verdana" w:hAnsi="Verdana"/>
      <w:color w:val="7BCCFF"/>
      <w:sz w:val="24"/>
    </w:rPr>
  </w:style>
  <w:style w:type="character" w:customStyle="1" w:styleId="Kop4Char">
    <w:name w:val="Kop 4 Char"/>
    <w:link w:val="Kop4"/>
    <w:rPr>
      <w:rFonts w:ascii="Arial" w:eastAsia="Times New Roman" w:hAnsi="Arial" w:cs="Arial"/>
      <w:b/>
      <w:i/>
      <w:color w:val="95B3D7"/>
      <w:sz w:val="24"/>
      <w:szCs w:val="20"/>
    </w:rPr>
  </w:style>
  <w:style w:type="character" w:customStyle="1" w:styleId="Kop5Char">
    <w:name w:val="Kop 5 Char"/>
    <w:link w:val="Kop5"/>
    <w:rPr>
      <w:rFonts w:ascii="Verdana" w:eastAsia="Times New Roman" w:hAnsi="Verdana" w:cs="Times New Roman"/>
      <w:color w:val="7BCCFF"/>
      <w:sz w:val="24"/>
      <w:szCs w:val="20"/>
    </w:rPr>
  </w:style>
  <w:style w:type="paragraph" w:customStyle="1" w:styleId="MemberStateHeader">
    <w:name w:val="Member State Header"/>
    <w:basedOn w:val="Normal"/>
    <w:link w:val="MemberStateHeaderChar"/>
    <w:qFormat/>
    <w:pPr>
      <w:keepNext/>
      <w:keepLines/>
      <w:spacing w:after="0" w:line="240" w:lineRule="auto"/>
      <w:jc w:val="center"/>
      <w:outlineLvl w:val="1"/>
    </w:pPr>
    <w:rPr>
      <w:rFonts w:ascii="Verdana" w:eastAsia="MS Gothic" w:hAnsi="Verdana"/>
      <w:caps/>
      <w:color w:val="242852"/>
      <w:kern w:val="20"/>
      <w:sz w:val="28"/>
    </w:rPr>
  </w:style>
  <w:style w:type="character" w:customStyle="1" w:styleId="MemberStateHeaderChar">
    <w:name w:val="Member State Header Char"/>
    <w:link w:val="MemberStateHeader"/>
    <w:rPr>
      <w:rFonts w:ascii="Verdana" w:eastAsia="MS Gothic" w:hAnsi="Verdana" w:cs="Times New Roman"/>
      <w:caps/>
      <w:color w:val="242852"/>
      <w:kern w:val="20"/>
      <w:sz w:val="28"/>
      <w:szCs w:val="20"/>
      <w:lang w:val="bg-BG"/>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link w:val="PagedecouvertureChar"/>
    <w:pPr>
      <w:spacing w:after="0" w:line="240" w:lineRule="auto"/>
    </w:pPr>
    <w:rPr>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u w:val="none"/>
    </w:rPr>
  </w:style>
  <w:style w:type="character" w:customStyle="1" w:styleId="FooterCoverPageChar">
    <w:name w:val="Footer Cover Page Char"/>
    <w:link w:val="FooterCoverPage"/>
    <w:rPr>
      <w:rFonts w:ascii="Times New Roman" w:eastAsia="Times New Roman" w:hAnsi="Times New Roman"/>
      <w:sz w:val="24"/>
      <w:lang w:val="en-GB" w:eastAsia="en-GB" w:bidi="ar-SA"/>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u w:val="none"/>
    </w:rPr>
  </w:style>
  <w:style w:type="character" w:customStyle="1" w:styleId="HeaderCoverPageChar">
    <w:name w:val="Header Cover Page Char"/>
    <w:link w:val="HeaderCoverPage"/>
    <w:rPr>
      <w:rFonts w:ascii="Times New Roman" w:eastAsia="Times New Roman" w:hAnsi="Times New Roman"/>
      <w:sz w:val="24"/>
      <w:lang w:val="en-GB" w:eastAsia="en-GB" w:bidi="ar-SA"/>
    </w:rPr>
  </w:style>
  <w:style w:type="paragraph" w:customStyle="1" w:styleId="Title1">
    <w:name w:val="Title1"/>
    <w:basedOn w:val="Normal"/>
    <w:next w:val="Normal"/>
    <w:autoRedefine/>
    <w:uiPriority w:val="1"/>
    <w:unhideWhenUsed/>
    <w:pPr>
      <w:keepNext/>
      <w:keepLines/>
      <w:spacing w:after="240" w:line="240" w:lineRule="auto"/>
      <w:outlineLvl w:val="1"/>
    </w:pPr>
    <w:rPr>
      <w:rFonts w:eastAsia="MS Gothic" w:cs="Arial"/>
      <w:caps/>
      <w:color w:val="4F81BD"/>
      <w:kern w:val="20"/>
      <w:sz w:val="28"/>
    </w:rPr>
  </w:style>
  <w:style w:type="character" w:customStyle="1" w:styleId="TITLEChar0">
    <w:name w:val="TITLE Char"/>
    <w:uiPriority w:val="1"/>
    <w:rPr>
      <w:rFonts w:ascii="Arial" w:eastAsia="MS Gothic" w:hAnsi="Arial" w:cs="Arial"/>
      <w:caps/>
      <w:color w:val="4F81BD"/>
      <w:kern w:val="20"/>
      <w:sz w:val="28"/>
      <w:szCs w:val="20"/>
    </w:rPr>
  </w:style>
  <w:style w:type="paragraph" w:customStyle="1" w:styleId="Stylekop2LatinArialCustomColorRGB79129189After">
    <w:name w:val="Style kop 2 + (Latin) Arial Custom Color(RGB(79129189)) After: ..."/>
    <w:basedOn w:val="kop2"/>
    <w:rPr>
      <w:rFonts w:eastAsia="Times New Roman"/>
    </w:rPr>
  </w:style>
  <w:style w:type="paragraph" w:customStyle="1" w:styleId="Style2">
    <w:name w:val="Style2"/>
    <w:basedOn w:val="kop2"/>
    <w:link w:val="Style2Char"/>
  </w:style>
  <w:style w:type="paragraph" w:customStyle="1" w:styleId="StyleSubtitleBoldAccent1Left">
    <w:name w:val="Style Subtitle + Bold Accent 1 Left"/>
    <w:basedOn w:val="Subtitle"/>
    <w:qFormat/>
    <w:pPr>
      <w:jc w:val="left"/>
    </w:pPr>
    <w:rPr>
      <w:b/>
      <w:bCs/>
      <w:color w:val="4F81BD"/>
    </w:rPr>
  </w:style>
  <w:style w:type="character" w:customStyle="1" w:styleId="Style2Char">
    <w:name w:val="Style2 Char"/>
    <w:link w:val="Style2"/>
    <w:rPr>
      <w:rFonts w:ascii="Arial" w:eastAsia="MS Gothic" w:hAnsi="Arial" w:cs="Arial"/>
      <w:caps/>
      <w:color w:val="4F81BD"/>
      <w:kern w:val="20"/>
      <w:sz w:val="24"/>
      <w:szCs w:val="24"/>
    </w:rPr>
  </w:style>
  <w:style w:type="paragraph" w:customStyle="1" w:styleId="StyleSubtitleBoldAccent1Left1">
    <w:name w:val="Style Subtitle + Bold Accent 1 Left1"/>
    <w:basedOn w:val="Subtitle"/>
    <w:qFormat/>
    <w:pPr>
      <w:jc w:val="left"/>
    </w:pPr>
    <w:rPr>
      <w:b/>
      <w:bCs/>
      <w:color w:val="4F81BD"/>
    </w:rPr>
  </w:style>
  <w:style w:type="character" w:customStyle="1" w:styleId="bluetext11">
    <w:name w:val="bluetext11"/>
    <w:basedOn w:val="DefaultParagraphFont"/>
  </w:style>
  <w:style w:type="table" w:customStyle="1" w:styleId="Style12">
    <w:name w:val="Style12"/>
    <w:basedOn w:val="TableNormal"/>
    <w:rPr>
      <w:rFonts w:ascii="Times New Roman" w:eastAsia="Times New Roman" w:hAnsi="Times New Roman"/>
    </w:rPr>
    <w:tblPr/>
  </w:style>
  <w:style w:type="paragraph" w:styleId="NormalWeb">
    <w:name w:val="Normal (Web)"/>
    <w:basedOn w:val="Normal"/>
    <w:uiPriority w:val="99"/>
    <w:unhideWhenUsed/>
    <w:pPr>
      <w:spacing w:before="100" w:beforeAutospacing="1" w:after="100" w:afterAutospacing="1" w:line="240" w:lineRule="auto"/>
    </w:pPr>
    <w:rPr>
      <w:sz w:val="24"/>
      <w:szCs w:val="24"/>
    </w:rPr>
  </w:style>
  <w:style w:type="character" w:customStyle="1" w:styleId="at1">
    <w:name w:val="a__t1"/>
    <w:basedOn w:val="DefaultParagraphFont"/>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u w:val="none"/>
    </w:rPr>
  </w:style>
  <w:style w:type="character" w:customStyle="1" w:styleId="PagedecouvertureChar">
    <w:name w:val="Page de couverture Char"/>
    <w:link w:val="Pagedecouverture"/>
    <w:rPr>
      <w:rFonts w:ascii="Times New Roman" w:eastAsia="Calibri" w:hAnsi="Times New Roman" w:cs="Times New Roman"/>
      <w:sz w:val="24"/>
    </w:rPr>
  </w:style>
  <w:style w:type="character" w:customStyle="1" w:styleId="FooterSensitivityChar">
    <w:name w:val="Footer Sensitivity Char"/>
    <w:link w:val="FooterSensitivity"/>
    <w:rPr>
      <w:rFonts w:ascii="Times New Roman" w:eastAsia="Times New Roman" w:hAnsi="Times New Roman"/>
      <w:b/>
      <w:sz w:val="32"/>
      <w:lang w:val="en-GB" w:eastAsia="en-GB" w:bidi="ar-SA"/>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u w:val="none"/>
    </w:rPr>
  </w:style>
  <w:style w:type="character" w:customStyle="1" w:styleId="HeaderSensitivityChar">
    <w:name w:val="Header Sensitivity Char"/>
    <w:link w:val="HeaderSensitivity"/>
    <w:rPr>
      <w:rFonts w:ascii="Times New Roman" w:eastAsia="Times New Roman" w:hAnsi="Times New Roman"/>
      <w:b/>
      <w:sz w:val="32"/>
      <w:lang w:val="en-GB" w:eastAsia="en-GB" w:bidi="ar-SA"/>
    </w:rPr>
  </w:style>
  <w:style w:type="character" w:customStyle="1" w:styleId="apple-converted-space">
    <w:name w:val="apple-converted-space"/>
    <w:basedOn w:val="DefaultParagraphFont"/>
  </w:style>
  <w:style w:type="paragraph" w:customStyle="1" w:styleId="Default">
    <w:name w:val="Default"/>
    <w:pPr>
      <w:widowControl w:val="0"/>
      <w:autoSpaceDE w:val="0"/>
      <w:autoSpaceDN w:val="0"/>
      <w:adjustRightInd w:val="0"/>
      <w:spacing w:line="360" w:lineRule="atLeast"/>
      <w:jc w:val="both"/>
      <w:textAlignment w:val="baseline"/>
    </w:pPr>
    <w:rPr>
      <w:rFonts w:ascii="EUAlbertina" w:eastAsia="Times New Roman" w:hAnsi="EUAlbertina"/>
      <w:color w:val="000000"/>
      <w:sz w:val="24"/>
      <w:szCs w:val="24"/>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9271">
      <w:bodyDiv w:val="1"/>
      <w:marLeft w:val="0"/>
      <w:marRight w:val="0"/>
      <w:marTop w:val="0"/>
      <w:marBottom w:val="0"/>
      <w:divBdr>
        <w:top w:val="none" w:sz="0" w:space="0" w:color="auto"/>
        <w:left w:val="none" w:sz="0" w:space="0" w:color="auto"/>
        <w:bottom w:val="none" w:sz="0" w:space="0" w:color="auto"/>
        <w:right w:val="none" w:sz="0" w:space="0" w:color="auto"/>
      </w:divBdr>
      <w:divsChild>
        <w:div w:id="619922827">
          <w:marLeft w:val="0"/>
          <w:marRight w:val="0"/>
          <w:marTop w:val="0"/>
          <w:marBottom w:val="0"/>
          <w:divBdr>
            <w:top w:val="none" w:sz="0" w:space="0" w:color="auto"/>
            <w:left w:val="none" w:sz="0" w:space="0" w:color="auto"/>
            <w:bottom w:val="none" w:sz="0" w:space="0" w:color="auto"/>
            <w:right w:val="none" w:sz="0" w:space="0" w:color="auto"/>
          </w:divBdr>
          <w:divsChild>
            <w:div w:id="1380743217">
              <w:marLeft w:val="0"/>
              <w:marRight w:val="0"/>
              <w:marTop w:val="0"/>
              <w:marBottom w:val="0"/>
              <w:divBdr>
                <w:top w:val="none" w:sz="0" w:space="0" w:color="auto"/>
                <w:left w:val="none" w:sz="0" w:space="0" w:color="auto"/>
                <w:bottom w:val="none" w:sz="0" w:space="0" w:color="auto"/>
                <w:right w:val="none" w:sz="0" w:space="0" w:color="auto"/>
              </w:divBdr>
              <w:divsChild>
                <w:div w:id="195756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2759">
      <w:bodyDiv w:val="1"/>
      <w:marLeft w:val="0"/>
      <w:marRight w:val="0"/>
      <w:marTop w:val="0"/>
      <w:marBottom w:val="0"/>
      <w:divBdr>
        <w:top w:val="none" w:sz="0" w:space="0" w:color="auto"/>
        <w:left w:val="none" w:sz="0" w:space="0" w:color="auto"/>
        <w:bottom w:val="none" w:sz="0" w:space="0" w:color="auto"/>
        <w:right w:val="none" w:sz="0" w:space="0" w:color="auto"/>
      </w:divBdr>
    </w:div>
    <w:div w:id="178666079">
      <w:bodyDiv w:val="1"/>
      <w:marLeft w:val="0"/>
      <w:marRight w:val="0"/>
      <w:marTop w:val="0"/>
      <w:marBottom w:val="0"/>
      <w:divBdr>
        <w:top w:val="none" w:sz="0" w:space="0" w:color="auto"/>
        <w:left w:val="none" w:sz="0" w:space="0" w:color="auto"/>
        <w:bottom w:val="none" w:sz="0" w:space="0" w:color="auto"/>
        <w:right w:val="none" w:sz="0" w:space="0" w:color="auto"/>
      </w:divBdr>
      <w:divsChild>
        <w:div w:id="908463305">
          <w:marLeft w:val="0"/>
          <w:marRight w:val="0"/>
          <w:marTop w:val="0"/>
          <w:marBottom w:val="0"/>
          <w:divBdr>
            <w:top w:val="none" w:sz="0" w:space="0" w:color="auto"/>
            <w:left w:val="none" w:sz="0" w:space="0" w:color="auto"/>
            <w:bottom w:val="none" w:sz="0" w:space="0" w:color="auto"/>
            <w:right w:val="none" w:sz="0" w:space="0" w:color="auto"/>
          </w:divBdr>
          <w:divsChild>
            <w:div w:id="1987396057">
              <w:marLeft w:val="0"/>
              <w:marRight w:val="0"/>
              <w:marTop w:val="0"/>
              <w:marBottom w:val="0"/>
              <w:divBdr>
                <w:top w:val="none" w:sz="0" w:space="0" w:color="auto"/>
                <w:left w:val="none" w:sz="0" w:space="0" w:color="auto"/>
                <w:bottom w:val="none" w:sz="0" w:space="0" w:color="auto"/>
                <w:right w:val="none" w:sz="0" w:space="0" w:color="auto"/>
              </w:divBdr>
              <w:divsChild>
                <w:div w:id="12377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30250">
      <w:bodyDiv w:val="1"/>
      <w:marLeft w:val="0"/>
      <w:marRight w:val="0"/>
      <w:marTop w:val="0"/>
      <w:marBottom w:val="0"/>
      <w:divBdr>
        <w:top w:val="none" w:sz="0" w:space="0" w:color="auto"/>
        <w:left w:val="none" w:sz="0" w:space="0" w:color="auto"/>
        <w:bottom w:val="none" w:sz="0" w:space="0" w:color="auto"/>
        <w:right w:val="none" w:sz="0" w:space="0" w:color="auto"/>
      </w:divBdr>
    </w:div>
    <w:div w:id="296107011">
      <w:bodyDiv w:val="1"/>
      <w:marLeft w:val="0"/>
      <w:marRight w:val="0"/>
      <w:marTop w:val="0"/>
      <w:marBottom w:val="0"/>
      <w:divBdr>
        <w:top w:val="none" w:sz="0" w:space="0" w:color="auto"/>
        <w:left w:val="none" w:sz="0" w:space="0" w:color="auto"/>
        <w:bottom w:val="none" w:sz="0" w:space="0" w:color="auto"/>
        <w:right w:val="none" w:sz="0" w:space="0" w:color="auto"/>
      </w:divBdr>
      <w:divsChild>
        <w:div w:id="707949360">
          <w:marLeft w:val="0"/>
          <w:marRight w:val="0"/>
          <w:marTop w:val="0"/>
          <w:marBottom w:val="0"/>
          <w:divBdr>
            <w:top w:val="none" w:sz="0" w:space="0" w:color="auto"/>
            <w:left w:val="none" w:sz="0" w:space="0" w:color="auto"/>
            <w:bottom w:val="none" w:sz="0" w:space="0" w:color="auto"/>
            <w:right w:val="none" w:sz="0" w:space="0" w:color="auto"/>
          </w:divBdr>
        </w:div>
        <w:div w:id="1458596572">
          <w:marLeft w:val="0"/>
          <w:marRight w:val="0"/>
          <w:marTop w:val="0"/>
          <w:marBottom w:val="0"/>
          <w:divBdr>
            <w:top w:val="none" w:sz="0" w:space="0" w:color="auto"/>
            <w:left w:val="none" w:sz="0" w:space="0" w:color="auto"/>
            <w:bottom w:val="none" w:sz="0" w:space="0" w:color="auto"/>
            <w:right w:val="none" w:sz="0" w:space="0" w:color="auto"/>
          </w:divBdr>
        </w:div>
      </w:divsChild>
    </w:div>
    <w:div w:id="333994518">
      <w:bodyDiv w:val="1"/>
      <w:marLeft w:val="0"/>
      <w:marRight w:val="0"/>
      <w:marTop w:val="0"/>
      <w:marBottom w:val="0"/>
      <w:divBdr>
        <w:top w:val="none" w:sz="0" w:space="0" w:color="auto"/>
        <w:left w:val="none" w:sz="0" w:space="0" w:color="auto"/>
        <w:bottom w:val="none" w:sz="0" w:space="0" w:color="auto"/>
        <w:right w:val="none" w:sz="0" w:space="0" w:color="auto"/>
      </w:divBdr>
    </w:div>
    <w:div w:id="384917119">
      <w:bodyDiv w:val="1"/>
      <w:marLeft w:val="0"/>
      <w:marRight w:val="0"/>
      <w:marTop w:val="0"/>
      <w:marBottom w:val="0"/>
      <w:divBdr>
        <w:top w:val="none" w:sz="0" w:space="0" w:color="auto"/>
        <w:left w:val="none" w:sz="0" w:space="0" w:color="auto"/>
        <w:bottom w:val="none" w:sz="0" w:space="0" w:color="auto"/>
        <w:right w:val="none" w:sz="0" w:space="0" w:color="auto"/>
      </w:divBdr>
    </w:div>
    <w:div w:id="438373628">
      <w:bodyDiv w:val="1"/>
      <w:marLeft w:val="0"/>
      <w:marRight w:val="0"/>
      <w:marTop w:val="0"/>
      <w:marBottom w:val="0"/>
      <w:divBdr>
        <w:top w:val="none" w:sz="0" w:space="0" w:color="auto"/>
        <w:left w:val="none" w:sz="0" w:space="0" w:color="auto"/>
        <w:bottom w:val="none" w:sz="0" w:space="0" w:color="auto"/>
        <w:right w:val="none" w:sz="0" w:space="0" w:color="auto"/>
      </w:divBdr>
    </w:div>
    <w:div w:id="580876016">
      <w:bodyDiv w:val="1"/>
      <w:marLeft w:val="0"/>
      <w:marRight w:val="0"/>
      <w:marTop w:val="0"/>
      <w:marBottom w:val="0"/>
      <w:divBdr>
        <w:top w:val="none" w:sz="0" w:space="0" w:color="auto"/>
        <w:left w:val="none" w:sz="0" w:space="0" w:color="auto"/>
        <w:bottom w:val="none" w:sz="0" w:space="0" w:color="auto"/>
        <w:right w:val="none" w:sz="0" w:space="0" w:color="auto"/>
      </w:divBdr>
    </w:div>
    <w:div w:id="789400513">
      <w:bodyDiv w:val="1"/>
      <w:marLeft w:val="0"/>
      <w:marRight w:val="0"/>
      <w:marTop w:val="0"/>
      <w:marBottom w:val="0"/>
      <w:divBdr>
        <w:top w:val="none" w:sz="0" w:space="0" w:color="auto"/>
        <w:left w:val="none" w:sz="0" w:space="0" w:color="auto"/>
        <w:bottom w:val="none" w:sz="0" w:space="0" w:color="auto"/>
        <w:right w:val="none" w:sz="0" w:space="0" w:color="auto"/>
      </w:divBdr>
    </w:div>
    <w:div w:id="813067644">
      <w:bodyDiv w:val="1"/>
      <w:marLeft w:val="0"/>
      <w:marRight w:val="0"/>
      <w:marTop w:val="0"/>
      <w:marBottom w:val="0"/>
      <w:divBdr>
        <w:top w:val="none" w:sz="0" w:space="0" w:color="auto"/>
        <w:left w:val="none" w:sz="0" w:space="0" w:color="auto"/>
        <w:bottom w:val="none" w:sz="0" w:space="0" w:color="auto"/>
        <w:right w:val="none" w:sz="0" w:space="0" w:color="auto"/>
      </w:divBdr>
    </w:div>
    <w:div w:id="833184855">
      <w:bodyDiv w:val="1"/>
      <w:marLeft w:val="0"/>
      <w:marRight w:val="0"/>
      <w:marTop w:val="0"/>
      <w:marBottom w:val="0"/>
      <w:divBdr>
        <w:top w:val="none" w:sz="0" w:space="0" w:color="auto"/>
        <w:left w:val="none" w:sz="0" w:space="0" w:color="auto"/>
        <w:bottom w:val="none" w:sz="0" w:space="0" w:color="auto"/>
        <w:right w:val="none" w:sz="0" w:space="0" w:color="auto"/>
      </w:divBdr>
    </w:div>
    <w:div w:id="897671428">
      <w:bodyDiv w:val="1"/>
      <w:marLeft w:val="0"/>
      <w:marRight w:val="0"/>
      <w:marTop w:val="0"/>
      <w:marBottom w:val="0"/>
      <w:divBdr>
        <w:top w:val="none" w:sz="0" w:space="0" w:color="auto"/>
        <w:left w:val="none" w:sz="0" w:space="0" w:color="auto"/>
        <w:bottom w:val="none" w:sz="0" w:space="0" w:color="auto"/>
        <w:right w:val="none" w:sz="0" w:space="0" w:color="auto"/>
      </w:divBdr>
    </w:div>
    <w:div w:id="899289766">
      <w:bodyDiv w:val="1"/>
      <w:marLeft w:val="0"/>
      <w:marRight w:val="0"/>
      <w:marTop w:val="0"/>
      <w:marBottom w:val="0"/>
      <w:divBdr>
        <w:top w:val="none" w:sz="0" w:space="0" w:color="auto"/>
        <w:left w:val="none" w:sz="0" w:space="0" w:color="auto"/>
        <w:bottom w:val="none" w:sz="0" w:space="0" w:color="auto"/>
        <w:right w:val="none" w:sz="0" w:space="0" w:color="auto"/>
      </w:divBdr>
    </w:div>
    <w:div w:id="963777478">
      <w:bodyDiv w:val="1"/>
      <w:marLeft w:val="0"/>
      <w:marRight w:val="0"/>
      <w:marTop w:val="0"/>
      <w:marBottom w:val="0"/>
      <w:divBdr>
        <w:top w:val="none" w:sz="0" w:space="0" w:color="auto"/>
        <w:left w:val="none" w:sz="0" w:space="0" w:color="auto"/>
        <w:bottom w:val="none" w:sz="0" w:space="0" w:color="auto"/>
        <w:right w:val="none" w:sz="0" w:space="0" w:color="auto"/>
      </w:divBdr>
    </w:div>
    <w:div w:id="1037395117">
      <w:bodyDiv w:val="1"/>
      <w:marLeft w:val="0"/>
      <w:marRight w:val="0"/>
      <w:marTop w:val="0"/>
      <w:marBottom w:val="0"/>
      <w:divBdr>
        <w:top w:val="none" w:sz="0" w:space="0" w:color="auto"/>
        <w:left w:val="none" w:sz="0" w:space="0" w:color="auto"/>
        <w:bottom w:val="none" w:sz="0" w:space="0" w:color="auto"/>
        <w:right w:val="none" w:sz="0" w:space="0" w:color="auto"/>
      </w:divBdr>
      <w:divsChild>
        <w:div w:id="1152024273">
          <w:marLeft w:val="0"/>
          <w:marRight w:val="0"/>
          <w:marTop w:val="0"/>
          <w:marBottom w:val="0"/>
          <w:divBdr>
            <w:top w:val="none" w:sz="0" w:space="0" w:color="auto"/>
            <w:left w:val="none" w:sz="0" w:space="0" w:color="auto"/>
            <w:bottom w:val="none" w:sz="0" w:space="0" w:color="auto"/>
            <w:right w:val="none" w:sz="0" w:space="0" w:color="auto"/>
          </w:divBdr>
        </w:div>
      </w:divsChild>
    </w:div>
    <w:div w:id="1040059610">
      <w:bodyDiv w:val="1"/>
      <w:marLeft w:val="0"/>
      <w:marRight w:val="0"/>
      <w:marTop w:val="0"/>
      <w:marBottom w:val="0"/>
      <w:divBdr>
        <w:top w:val="none" w:sz="0" w:space="0" w:color="auto"/>
        <w:left w:val="none" w:sz="0" w:space="0" w:color="auto"/>
        <w:bottom w:val="none" w:sz="0" w:space="0" w:color="auto"/>
        <w:right w:val="none" w:sz="0" w:space="0" w:color="auto"/>
      </w:divBdr>
    </w:div>
    <w:div w:id="1125654343">
      <w:bodyDiv w:val="1"/>
      <w:marLeft w:val="0"/>
      <w:marRight w:val="0"/>
      <w:marTop w:val="0"/>
      <w:marBottom w:val="0"/>
      <w:divBdr>
        <w:top w:val="none" w:sz="0" w:space="0" w:color="auto"/>
        <w:left w:val="none" w:sz="0" w:space="0" w:color="auto"/>
        <w:bottom w:val="none" w:sz="0" w:space="0" w:color="auto"/>
        <w:right w:val="none" w:sz="0" w:space="0" w:color="auto"/>
      </w:divBdr>
      <w:divsChild>
        <w:div w:id="1504396843">
          <w:marLeft w:val="0"/>
          <w:marRight w:val="0"/>
          <w:marTop w:val="0"/>
          <w:marBottom w:val="0"/>
          <w:divBdr>
            <w:top w:val="none" w:sz="0" w:space="0" w:color="auto"/>
            <w:left w:val="none" w:sz="0" w:space="0" w:color="auto"/>
            <w:bottom w:val="none" w:sz="0" w:space="0" w:color="auto"/>
            <w:right w:val="none" w:sz="0" w:space="0" w:color="auto"/>
          </w:divBdr>
        </w:div>
        <w:div w:id="2076471649">
          <w:marLeft w:val="0"/>
          <w:marRight w:val="0"/>
          <w:marTop w:val="0"/>
          <w:marBottom w:val="0"/>
          <w:divBdr>
            <w:top w:val="none" w:sz="0" w:space="0" w:color="auto"/>
            <w:left w:val="none" w:sz="0" w:space="0" w:color="auto"/>
            <w:bottom w:val="none" w:sz="0" w:space="0" w:color="auto"/>
            <w:right w:val="none" w:sz="0" w:space="0" w:color="auto"/>
          </w:divBdr>
        </w:div>
      </w:divsChild>
    </w:div>
    <w:div w:id="1225987807">
      <w:bodyDiv w:val="1"/>
      <w:marLeft w:val="0"/>
      <w:marRight w:val="0"/>
      <w:marTop w:val="0"/>
      <w:marBottom w:val="0"/>
      <w:divBdr>
        <w:top w:val="none" w:sz="0" w:space="0" w:color="auto"/>
        <w:left w:val="none" w:sz="0" w:space="0" w:color="auto"/>
        <w:bottom w:val="none" w:sz="0" w:space="0" w:color="auto"/>
        <w:right w:val="none" w:sz="0" w:space="0" w:color="auto"/>
      </w:divBdr>
    </w:div>
    <w:div w:id="1267275818">
      <w:bodyDiv w:val="1"/>
      <w:marLeft w:val="0"/>
      <w:marRight w:val="0"/>
      <w:marTop w:val="0"/>
      <w:marBottom w:val="0"/>
      <w:divBdr>
        <w:top w:val="none" w:sz="0" w:space="0" w:color="auto"/>
        <w:left w:val="none" w:sz="0" w:space="0" w:color="auto"/>
        <w:bottom w:val="none" w:sz="0" w:space="0" w:color="auto"/>
        <w:right w:val="none" w:sz="0" w:space="0" w:color="auto"/>
      </w:divBdr>
      <w:divsChild>
        <w:div w:id="754206681">
          <w:marLeft w:val="0"/>
          <w:marRight w:val="0"/>
          <w:marTop w:val="0"/>
          <w:marBottom w:val="0"/>
          <w:divBdr>
            <w:top w:val="none" w:sz="0" w:space="0" w:color="auto"/>
            <w:left w:val="none" w:sz="0" w:space="0" w:color="auto"/>
            <w:bottom w:val="none" w:sz="0" w:space="0" w:color="auto"/>
            <w:right w:val="none" w:sz="0" w:space="0" w:color="auto"/>
          </w:divBdr>
        </w:div>
        <w:div w:id="1537618396">
          <w:marLeft w:val="0"/>
          <w:marRight w:val="0"/>
          <w:marTop w:val="0"/>
          <w:marBottom w:val="0"/>
          <w:divBdr>
            <w:top w:val="none" w:sz="0" w:space="0" w:color="auto"/>
            <w:left w:val="none" w:sz="0" w:space="0" w:color="auto"/>
            <w:bottom w:val="none" w:sz="0" w:space="0" w:color="auto"/>
            <w:right w:val="none" w:sz="0" w:space="0" w:color="auto"/>
          </w:divBdr>
        </w:div>
      </w:divsChild>
    </w:div>
    <w:div w:id="1270501922">
      <w:bodyDiv w:val="1"/>
      <w:marLeft w:val="0"/>
      <w:marRight w:val="0"/>
      <w:marTop w:val="0"/>
      <w:marBottom w:val="0"/>
      <w:divBdr>
        <w:top w:val="none" w:sz="0" w:space="0" w:color="auto"/>
        <w:left w:val="none" w:sz="0" w:space="0" w:color="auto"/>
        <w:bottom w:val="none" w:sz="0" w:space="0" w:color="auto"/>
        <w:right w:val="none" w:sz="0" w:space="0" w:color="auto"/>
      </w:divBdr>
    </w:div>
    <w:div w:id="1406688865">
      <w:bodyDiv w:val="1"/>
      <w:marLeft w:val="0"/>
      <w:marRight w:val="0"/>
      <w:marTop w:val="0"/>
      <w:marBottom w:val="0"/>
      <w:divBdr>
        <w:top w:val="none" w:sz="0" w:space="0" w:color="auto"/>
        <w:left w:val="none" w:sz="0" w:space="0" w:color="auto"/>
        <w:bottom w:val="none" w:sz="0" w:space="0" w:color="auto"/>
        <w:right w:val="none" w:sz="0" w:space="0" w:color="auto"/>
      </w:divBdr>
    </w:div>
    <w:div w:id="1459185525">
      <w:bodyDiv w:val="1"/>
      <w:marLeft w:val="0"/>
      <w:marRight w:val="0"/>
      <w:marTop w:val="0"/>
      <w:marBottom w:val="0"/>
      <w:divBdr>
        <w:top w:val="none" w:sz="0" w:space="0" w:color="auto"/>
        <w:left w:val="none" w:sz="0" w:space="0" w:color="auto"/>
        <w:bottom w:val="none" w:sz="0" w:space="0" w:color="auto"/>
        <w:right w:val="none" w:sz="0" w:space="0" w:color="auto"/>
      </w:divBdr>
    </w:div>
    <w:div w:id="1862544518">
      <w:bodyDiv w:val="1"/>
      <w:marLeft w:val="0"/>
      <w:marRight w:val="0"/>
      <w:marTop w:val="0"/>
      <w:marBottom w:val="0"/>
      <w:divBdr>
        <w:top w:val="none" w:sz="0" w:space="0" w:color="auto"/>
        <w:left w:val="none" w:sz="0" w:space="0" w:color="auto"/>
        <w:bottom w:val="none" w:sz="0" w:space="0" w:color="auto"/>
        <w:right w:val="none" w:sz="0" w:space="0" w:color="auto"/>
      </w:divBdr>
    </w:div>
    <w:div w:id="1897201935">
      <w:bodyDiv w:val="1"/>
      <w:marLeft w:val="0"/>
      <w:marRight w:val="0"/>
      <w:marTop w:val="0"/>
      <w:marBottom w:val="0"/>
      <w:divBdr>
        <w:top w:val="none" w:sz="0" w:space="0" w:color="auto"/>
        <w:left w:val="none" w:sz="0" w:space="0" w:color="auto"/>
        <w:bottom w:val="none" w:sz="0" w:space="0" w:color="auto"/>
        <w:right w:val="none" w:sz="0" w:space="0" w:color="auto"/>
      </w:divBdr>
    </w:div>
    <w:div w:id="2007971341">
      <w:bodyDiv w:val="1"/>
      <w:marLeft w:val="0"/>
      <w:marRight w:val="0"/>
      <w:marTop w:val="0"/>
      <w:marBottom w:val="0"/>
      <w:divBdr>
        <w:top w:val="none" w:sz="0" w:space="0" w:color="auto"/>
        <w:left w:val="none" w:sz="0" w:space="0" w:color="auto"/>
        <w:bottom w:val="none" w:sz="0" w:space="0" w:color="auto"/>
        <w:right w:val="none" w:sz="0" w:space="0" w:color="auto"/>
      </w:divBdr>
    </w:div>
    <w:div w:id="214495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uropa.eu/rapid/press-release_IP-17-5109_bg.htm" TargetMode="External"/><Relationship Id="rId117" Type="http://schemas.openxmlformats.org/officeDocument/2006/relationships/hyperlink" Target="http://curia.europa.eu/juris/liste.jsf?language=BG&amp;num=C-235/17" TargetMode="External"/><Relationship Id="rId21" Type="http://schemas.openxmlformats.org/officeDocument/2006/relationships/hyperlink" Target="http://eur-lex.europa.eu/legal-content/BG/TXT/?uri=CELEX:32016Q0512(01)" TargetMode="External"/><Relationship Id="rId42" Type="http://schemas.openxmlformats.org/officeDocument/2006/relationships/hyperlink" Target="http://ec.europa.eu/environment/eir/country-reports/index2_en.htm" TargetMode="External"/><Relationship Id="rId47" Type="http://schemas.openxmlformats.org/officeDocument/2006/relationships/hyperlink" Target="http://europa.eu/rapid/press-release_MEMO-17-1935_bg.htm" TargetMode="External"/><Relationship Id="rId63" Type="http://schemas.openxmlformats.org/officeDocument/2006/relationships/image" Target="media/image10.jpeg"/><Relationship Id="rId68" Type="http://schemas.openxmlformats.org/officeDocument/2006/relationships/hyperlink" Target="http://curia.europa.eu/juris/liste.jsf?pro=&amp;lgrec=en&amp;nat=or&amp;oqp=&amp;dates=&amp;lg=&amp;language=bg&amp;jur=C%2CT%2CF&amp;cit=none%252CC%252CCJ%252CR%252C2008E%252C%252C%252C%252C%252C%252C%252C%252C%252C%252Ctrue%252Cfalse%252Cfalse&amp;num=C-610%252F15&amp;td=%3BALL&amp;pcs=Oor&amp;avg=&amp;page=1&amp;mat=or&amp;jge=&amp;for=&amp;cid=801566" TargetMode="External"/><Relationship Id="rId84" Type="http://schemas.openxmlformats.org/officeDocument/2006/relationships/hyperlink" Target="http://eur-lex.europa.eu/legal-content/BG/TXT/?uri=uriserv:OJ.L_.2017.198.01.0001.01.BUL&amp;toc=OJ:L:2017:198:TOC" TargetMode="External"/><Relationship Id="rId89" Type="http://schemas.openxmlformats.org/officeDocument/2006/relationships/hyperlink" Target="http://eur-lex.europa.eu/legal-content/BG/TXT/?qid=1509701456465&amp;uri=CELEX:02009L0031-20120217" TargetMode="External"/><Relationship Id="rId112" Type="http://schemas.openxmlformats.org/officeDocument/2006/relationships/hyperlink" Target="http://eur-lex.europa.eu/legal-content/BG/TXT/?uri=celex:32014L0056" TargetMode="External"/><Relationship Id="rId133" Type="http://schemas.openxmlformats.org/officeDocument/2006/relationships/image" Target="media/image23.jpeg"/><Relationship Id="rId138" Type="http://schemas.openxmlformats.org/officeDocument/2006/relationships/hyperlink" Target="http://curia.europa.eu/juris/liste.jsf?language=bg&amp;jur=C,T,F&amp;num=C-434/15&amp;td=ALL" TargetMode="External"/><Relationship Id="rId154" Type="http://schemas.openxmlformats.org/officeDocument/2006/relationships/hyperlink" Target="http://eur-lex.europa.eu/legal-content/bg/TXT/?uri=CELEX:32016R0679" TargetMode="External"/><Relationship Id="rId159" Type="http://schemas.openxmlformats.org/officeDocument/2006/relationships/hyperlink" Target="http://curia.europa.eu/juris/liste.jsf?pro=&amp;lgrec=en&amp;nat=or&amp;oqp=&amp;dates=&amp;lg=&amp;language=bg&amp;jur=C%2CT%2CF&amp;cit=none%252CC%252CCJ%252CR%252C2008E%252C%252C%252C%252C%252C%252C%252C%252C%252C%252Ctrue%252Cfalse%252Cfalse&amp;num=C-157%252F15&amp;td=%3BALL&amp;pcs=Oor&amp;avg=&amp;page=1&amp;mat=or&amp;jge=&amp;for=&amp;cid=916931" TargetMode="External"/><Relationship Id="rId175" Type="http://schemas.openxmlformats.org/officeDocument/2006/relationships/hyperlink" Target="http://europa.eu/rapid/press-release_IP-15-6276_EN.htm" TargetMode="External"/><Relationship Id="rId170" Type="http://schemas.openxmlformats.org/officeDocument/2006/relationships/hyperlink" Target="http://europa.eu/rapid/press-release_IP-17-5002_en.htm" TargetMode="External"/><Relationship Id="rId16" Type="http://schemas.openxmlformats.org/officeDocument/2006/relationships/footer" Target="footer1.xml"/><Relationship Id="rId107" Type="http://schemas.openxmlformats.org/officeDocument/2006/relationships/hyperlink" Target="http://europa.eu/rapid/press-release_IP-17-1086_en.htm" TargetMode="External"/><Relationship Id="rId11" Type="http://schemas.openxmlformats.org/officeDocument/2006/relationships/footnotes" Target="footnotes.xml"/><Relationship Id="rId32" Type="http://schemas.openxmlformats.org/officeDocument/2006/relationships/hyperlink" Target="http://ec.europa.eu/social/main.jsp?catId=1314&amp;langId=bg" TargetMode="External"/><Relationship Id="rId37" Type="http://schemas.openxmlformats.org/officeDocument/2006/relationships/hyperlink" Target="http://europa.eu/rapid/press-release_IP-17-1948_en.htm" TargetMode="External"/><Relationship Id="rId53" Type="http://schemas.openxmlformats.org/officeDocument/2006/relationships/hyperlink" Target="http://ec.europa.eu/regional_policy/en/information/publications/studies/2017/the-value-added-of-ex-ante-conditionalities-in-the-european-structural-and-investment-funds-esi-funds" TargetMode="External"/><Relationship Id="rId58" Type="http://schemas.openxmlformats.org/officeDocument/2006/relationships/hyperlink" Target="https://europa.eu/youreurope/citizens/consumers/internet-telecoms/mobile-roaming-costs/index_bg.htm" TargetMode="External"/><Relationship Id="rId74" Type="http://schemas.openxmlformats.org/officeDocument/2006/relationships/hyperlink" Target="http://eur-lex.europa.eu/legal-content/BG/ALL/?uri=celex:32010L0031" TargetMode="External"/><Relationship Id="rId79" Type="http://schemas.openxmlformats.org/officeDocument/2006/relationships/hyperlink" Target="https://ec.europa.eu/energy/en/october-2017-energy-efficiency-commission-calls-spain-correctly-implement-eu-rules-energy-efficiency" TargetMode="External"/><Relationship Id="rId102" Type="http://schemas.openxmlformats.org/officeDocument/2006/relationships/hyperlink" Target="http://europa.eu/rapid/press-release_IP-17-1288_en.htm" TargetMode="External"/><Relationship Id="rId123" Type="http://schemas.openxmlformats.org/officeDocument/2006/relationships/hyperlink" Target="https://eur-lex.europa.eu/legal-content/BG/TXT/?uri=CELEX:32016L0881" TargetMode="External"/><Relationship Id="rId128" Type="http://schemas.openxmlformats.org/officeDocument/2006/relationships/hyperlink" Target="http://europa.eu/rapid/press-release_MEMO-17-4767_bg.htm" TargetMode="External"/><Relationship Id="rId144" Type="http://schemas.openxmlformats.org/officeDocument/2006/relationships/image" Target="media/image25.jpeg"/><Relationship Id="rId149" Type="http://schemas.openxmlformats.org/officeDocument/2006/relationships/hyperlink" Target="https://ec.europa.eu/info/business-economy-euro/economic-and-fiscal-policy-coordination/eu-economic-governance-monitoring-prevention-correction/european-semester_bg" TargetMode="External"/><Relationship Id="rId5" Type="http://schemas.openxmlformats.org/officeDocument/2006/relationships/customXml" Target="../customXml/item5.xml"/><Relationship Id="rId90" Type="http://schemas.openxmlformats.org/officeDocument/2006/relationships/hyperlink" Target="http://eur-lex.europa.eu/legal-content/BG/TXT/?qid=1509698238573&amp;uri=CELEX:32014R0517" TargetMode="External"/><Relationship Id="rId95" Type="http://schemas.openxmlformats.org/officeDocument/2006/relationships/hyperlink" Target="http://eur-lex.europa.eu/legal-content/BG/TXT/?uri=CELEX:32014L0104" TargetMode="External"/><Relationship Id="rId160" Type="http://schemas.openxmlformats.org/officeDocument/2006/relationships/hyperlink" Target="http://curia.europa.eu/juris/liste.jsf?pro=&amp;lgrec=en&amp;nat=or&amp;oqp=&amp;dates=&amp;lg=&amp;language=bg&amp;jur=C%2CT%2CF&amp;cit=none%252CC%252CCJ%252CR%252C2008E%252C%252C%252C%252C%252C%252C%252C%252C%252C%252Ctrue%252Cfalse%252Cfalse&amp;num=C-188%252F15&amp;td=%3BALL&amp;pcs=Oor&amp;avg=&amp;page=1&amp;mat=or&amp;jge=&amp;for=&amp;cid=917054" TargetMode="External"/><Relationship Id="rId165" Type="http://schemas.openxmlformats.org/officeDocument/2006/relationships/hyperlink" Target="http://europa.eu/rapid/press-release_MEMO-17-3494_bg.htm?locale=BG" TargetMode="External"/><Relationship Id="rId181" Type="http://schemas.openxmlformats.org/officeDocument/2006/relationships/footer" Target="footer5.xml"/><Relationship Id="rId22" Type="http://schemas.openxmlformats.org/officeDocument/2006/relationships/hyperlink" Target="http://eur-lex.europa.eu/legal-content/BG/TXT/?uri=COM:2015:550:FIN" TargetMode="External"/><Relationship Id="rId27" Type="http://schemas.openxmlformats.org/officeDocument/2006/relationships/hyperlink" Target="http://eur-lex.europa.eu/legal-content/BG/TXT/?uri=uriserv:OJ.C_.2017.018.01.0010.01.BUL" TargetMode="External"/><Relationship Id="rId43" Type="http://schemas.openxmlformats.org/officeDocument/2006/relationships/hyperlink" Target="http://ec.europa.eu/environment/eir/p2p/index_en.htm" TargetMode="External"/><Relationship Id="rId48" Type="http://schemas.openxmlformats.org/officeDocument/2006/relationships/image" Target="media/image5.jpeg"/><Relationship Id="rId64" Type="http://schemas.openxmlformats.org/officeDocument/2006/relationships/hyperlink" Target="http://europa.eu/rapid/press-release_IP-17-1937_en.htm" TargetMode="External"/><Relationship Id="rId69" Type="http://schemas.openxmlformats.org/officeDocument/2006/relationships/hyperlink" Target="http://ec.europa.eu/priorities/energy-union/index_bg.htm" TargetMode="External"/><Relationship Id="rId113" Type="http://schemas.openxmlformats.org/officeDocument/2006/relationships/hyperlink" Target="http://eur-lex.europa.eu/legal-content/BG/ALL/?uri=celex:32014L0017" TargetMode="External"/><Relationship Id="rId118" Type="http://schemas.openxmlformats.org/officeDocument/2006/relationships/image" Target="media/image20.jpeg"/><Relationship Id="rId134" Type="http://schemas.openxmlformats.org/officeDocument/2006/relationships/hyperlink" Target="http://europa.eu/rapid/press-release_MEMO-17-1935_BG.htm" TargetMode="External"/><Relationship Id="rId139" Type="http://schemas.openxmlformats.org/officeDocument/2006/relationships/image" Target="media/image24.jpeg"/><Relationship Id="rId80" Type="http://schemas.openxmlformats.org/officeDocument/2006/relationships/hyperlink" Target="http://europa.eu/rapid/press-release_MEMO-17-234_en.htm" TargetMode="External"/><Relationship Id="rId85" Type="http://schemas.openxmlformats.org/officeDocument/2006/relationships/hyperlink" Target="http://eur-lex.europa.eu/legal-content/BG/TXT/?uri=uriserv:OJ.L_.2017.280.01.0001.01.BUL&amp;toc=OJ:L:2017:280:TOC" TargetMode="External"/><Relationship Id="rId150" Type="http://schemas.openxmlformats.org/officeDocument/2006/relationships/image" Target="media/image26.jpeg"/><Relationship Id="rId155" Type="http://schemas.openxmlformats.org/officeDocument/2006/relationships/hyperlink" Target="http://eur-lex.europa.eu/legal-content/BG/TXT/?uri=uriserv:OJ.L_.2016.119.01.0089.01.BUL" TargetMode="External"/><Relationship Id="rId171" Type="http://schemas.openxmlformats.org/officeDocument/2006/relationships/hyperlink" Target="http://eur-lex.europa.eu/legal-content/bg/ALL/?uri=celex:32013L0032" TargetMode="External"/><Relationship Id="rId176" Type="http://schemas.openxmlformats.org/officeDocument/2006/relationships/hyperlink" Target="http://eur-lex.europa.eu/legal-content/BG/TXT/?uri=celex:32014L0066" TargetMode="Externa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hyperlink" Target="https://eur-lex.europa.eu/legal-content/BG/TXT/?qid=1517313799574&amp;uri=CELEX:52017DC0254" TargetMode="External"/><Relationship Id="rId38" Type="http://schemas.openxmlformats.org/officeDocument/2006/relationships/hyperlink" Target="http://curia.europa.eu/juris/liste.jsf?language=bg&amp;jur=C,T,F&amp;num=C-441/17%20R&amp;td=ALL" TargetMode="External"/><Relationship Id="rId59" Type="http://schemas.openxmlformats.org/officeDocument/2006/relationships/hyperlink" Target="http://eur-lex.europa.eu/legal-content/BG/TXT/?uri=CELEX:32015R2120" TargetMode="External"/><Relationship Id="rId103" Type="http://schemas.openxmlformats.org/officeDocument/2006/relationships/image" Target="media/image17.jpeg"/><Relationship Id="rId108" Type="http://schemas.openxmlformats.org/officeDocument/2006/relationships/hyperlink" Target="http://ec.europa.eu/solvit/index_bg.htm" TargetMode="External"/><Relationship Id="rId124" Type="http://schemas.openxmlformats.org/officeDocument/2006/relationships/hyperlink" Target="http://curia.europa.eu/juris/liste.jsf?pro=&amp;lgrec=en&amp;nat=or&amp;oqp=&amp;dates=&amp;lg=&amp;language=bg&amp;jur=C%2CT%2CF&amp;cit=none%252CC%252CCJ%252CR%252C2008E%252C%252C%252C%252C%252C%252C%252C%252C%252C%252Ctrue%252Cfalse%252Cfalse&amp;num=C-682%252F15&amp;td=%3BALL&amp;pcs=Oor&amp;avg=&amp;page=1&amp;mat=or&amp;jge=&amp;for=&amp;cid=937817" TargetMode="External"/><Relationship Id="rId129" Type="http://schemas.openxmlformats.org/officeDocument/2006/relationships/hyperlink" Target="http://eur-lex.europa.eu/legal-content/BG/TXT/?uri=CELEX:32015L2302" TargetMode="External"/><Relationship Id="rId54" Type="http://schemas.openxmlformats.org/officeDocument/2006/relationships/image" Target="media/image7.jpeg"/><Relationship Id="rId70" Type="http://schemas.openxmlformats.org/officeDocument/2006/relationships/image" Target="media/image12.jpeg"/><Relationship Id="rId75" Type="http://schemas.openxmlformats.org/officeDocument/2006/relationships/hyperlink" Target="http://eur-lex.europa.eu/legal-content/BG/ALL/?uri=CELEX:32009L0028" TargetMode="External"/><Relationship Id="rId91" Type="http://schemas.openxmlformats.org/officeDocument/2006/relationships/hyperlink" Target="http://eur-lex.europa.eu/legal-content/BG/TXT/?qid=1515578704973&amp;uri=CELEX:32015R0757" TargetMode="External"/><Relationship Id="rId96" Type="http://schemas.openxmlformats.org/officeDocument/2006/relationships/hyperlink" Target="http://curia.europa.eu/juris/liste.jsf?language=BG&amp;num=C-93/17" TargetMode="External"/><Relationship Id="rId140" Type="http://schemas.openxmlformats.org/officeDocument/2006/relationships/hyperlink" Target="http://europa.eu/rapid/press-release_MEMO-11-898_en.htm" TargetMode="External"/><Relationship Id="rId145" Type="http://schemas.openxmlformats.org/officeDocument/2006/relationships/hyperlink" Target="https://eur-lex.europa.eu/legal-content/BG/TXT/?qid=1490092013635&amp;uri=CELEX:32013L0036" TargetMode="External"/><Relationship Id="rId161" Type="http://schemas.openxmlformats.org/officeDocument/2006/relationships/image" Target="media/image29.jpeg"/><Relationship Id="rId166" Type="http://schemas.openxmlformats.org/officeDocument/2006/relationships/hyperlink" Target="http://eur-lex.europa.eu/legal-content/BG/TXT/?uri=celex:32014L0041" TargetMode="External"/><Relationship Id="rId18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eur-lex.europa.eu/legal-content/BG/TXT/?uri=uriserv:OJ.C_.2017.018.01.0010.01.BUL" TargetMode="External"/><Relationship Id="rId28" Type="http://schemas.openxmlformats.org/officeDocument/2006/relationships/hyperlink" Target="http://eur-lex.europa.eu/legal-content/BG/TXT/?uri=uriserv:OJ.C_.2017.018.01.0010.01.BUL" TargetMode="External"/><Relationship Id="rId49" Type="http://schemas.openxmlformats.org/officeDocument/2006/relationships/hyperlink" Target="http://europa.eu/rapid/press-release_MEMO-17-234_en.htm" TargetMode="External"/><Relationship Id="rId114" Type="http://schemas.openxmlformats.org/officeDocument/2006/relationships/hyperlink" Target="http://eur-lex.europa.eu/legal-content/bg/TXT/?uri=CELEX:32014L0092" TargetMode="External"/><Relationship Id="rId119" Type="http://schemas.openxmlformats.org/officeDocument/2006/relationships/hyperlink" Target="https://ec.europa.eu/taxation_customs/business/union-customs-code_en" TargetMode="External"/><Relationship Id="rId44" Type="http://schemas.openxmlformats.org/officeDocument/2006/relationships/image" Target="media/image4.jpeg"/><Relationship Id="rId60" Type="http://schemas.openxmlformats.org/officeDocument/2006/relationships/image" Target="media/image9.jpeg"/><Relationship Id="rId65" Type="http://schemas.openxmlformats.org/officeDocument/2006/relationships/image" Target="media/image11.jpeg"/><Relationship Id="rId81" Type="http://schemas.openxmlformats.org/officeDocument/2006/relationships/hyperlink" Target="http://europa.eu/rapid/press-release_MEMO-17-4767_bg.htm" TargetMode="External"/><Relationship Id="rId86" Type="http://schemas.openxmlformats.org/officeDocument/2006/relationships/image" Target="media/image13.jpeg"/><Relationship Id="rId130" Type="http://schemas.openxmlformats.org/officeDocument/2006/relationships/image" Target="media/image22.jpeg"/><Relationship Id="rId135" Type="http://schemas.openxmlformats.org/officeDocument/2006/relationships/hyperlink" Target="http://eur-lex.europa.eu/legal-content/BG/TXT/?qid=1524127368240&amp;uri=CELEX:32010R1177" TargetMode="External"/><Relationship Id="rId151" Type="http://schemas.openxmlformats.org/officeDocument/2006/relationships/hyperlink" Target="http://europa.eu/rapid/press-release_IP-17-2161_bg.htm" TargetMode="External"/><Relationship Id="rId156" Type="http://schemas.openxmlformats.org/officeDocument/2006/relationships/hyperlink" Target="http://europa.eu/rapid/press-release_MEMO-17-15_en.htm" TargetMode="External"/><Relationship Id="rId177" Type="http://schemas.openxmlformats.org/officeDocument/2006/relationships/hyperlink" Target="http://europa.eu/rapid/press-release_MEMO-17-4767_bg.htm" TargetMode="External"/><Relationship Id="rId4" Type="http://schemas.openxmlformats.org/officeDocument/2006/relationships/customXml" Target="../customXml/item4.xml"/><Relationship Id="rId9" Type="http://schemas.openxmlformats.org/officeDocument/2006/relationships/settings" Target="settings.xml"/><Relationship Id="rId172" Type="http://schemas.openxmlformats.org/officeDocument/2006/relationships/hyperlink" Target="http://eur-lex.europa.eu/legal-content/BG/TXT/?uri=celex:32013L0033" TargetMode="External"/><Relationship Id="rId180" Type="http://schemas.openxmlformats.org/officeDocument/2006/relationships/footer" Target="footer4.xm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hyperlink" Target="http://curia.europa.eu/juris/document/document.jsf?text=&amp;docid=189624&amp;pageIndex=0&amp;doclang=BG&amp;mode=req&amp;dir=&amp;occ=first&amp;part=1" TargetMode="External"/><Relationship Id="rId109" Type="http://schemas.openxmlformats.org/officeDocument/2006/relationships/hyperlink" Target="http://europa.eu/rapid/press-release_IP-17-1086_en.htm" TargetMode="External"/><Relationship Id="rId34" Type="http://schemas.openxmlformats.org/officeDocument/2006/relationships/hyperlink" Target="http://ec.europa.eu/social/main.jsp?catId=1314&amp;langId=bg" TargetMode="External"/><Relationship Id="rId50" Type="http://schemas.openxmlformats.org/officeDocument/2006/relationships/hyperlink" Target="http://eur-lex.europa.eu/legal-content/BG/TXT/?uri=celex:32014L0089" TargetMode="External"/><Relationship Id="rId55" Type="http://schemas.openxmlformats.org/officeDocument/2006/relationships/hyperlink" Target="http://curia.europa.eu/juris/liste.jsf?pro=&amp;lgrec=fr&amp;nat=or&amp;oqp=&amp;dates=&amp;lg=&amp;language=bg&amp;jur=C,T,F&amp;cit=none%2CC%2CCJ%2CR%2C2008E%2C%2C%2C%2C%2C%2C%2C%2C%2C%2Ctrue%2Cfalse%2Cfalse&amp;num=C-395%2F17&amp;td=;ALL&amp;pcs=Oor&amp;avg=&amp;page=1&amp;mat=or&amp;jge=&amp;for=&amp;cid=453655" TargetMode="External"/><Relationship Id="rId76" Type="http://schemas.openxmlformats.org/officeDocument/2006/relationships/hyperlink" Target="http://eur-lex.europa.eu/legal-content/BG/TXT/?uri=uriserv:OJ.L_.2017.280.01.0001.01.BUL&amp;toc=OJ:L:2017:280:TOC" TargetMode="External"/><Relationship Id="rId97" Type="http://schemas.openxmlformats.org/officeDocument/2006/relationships/image" Target="media/image15.jpeg"/><Relationship Id="rId104" Type="http://schemas.openxmlformats.org/officeDocument/2006/relationships/hyperlink" Target="http://europa.eu/rapid/press-release_IP-17-5004_en.htm" TargetMode="External"/><Relationship Id="rId120" Type="http://schemas.openxmlformats.org/officeDocument/2006/relationships/hyperlink" Target="http://europa.eu/rapid/press-release_MEMO-17-3494_BG.htm" TargetMode="External"/><Relationship Id="rId125" Type="http://schemas.openxmlformats.org/officeDocument/2006/relationships/hyperlink" Target="http://europa.eu/rapid/press-release_MEMO-17-3494_bg.htm?locale=BG" TargetMode="External"/><Relationship Id="rId141" Type="http://schemas.openxmlformats.org/officeDocument/2006/relationships/hyperlink" Target="http://europa.eu/rapid/press-release_MEMO-13-196_en.htm" TargetMode="External"/><Relationship Id="rId146" Type="http://schemas.openxmlformats.org/officeDocument/2006/relationships/hyperlink" Target="http://eur-lex.europa.eu/legal-content/BG/TXT/?qid=1490092036225&amp;uri=CELEX:32014L0049" TargetMode="External"/><Relationship Id="rId167" Type="http://schemas.openxmlformats.org/officeDocument/2006/relationships/hyperlink" Target="http://eur-lex.europa.eu/legal-content/BG/TXT/?uri=celex:32015L0849" TargetMode="External"/><Relationship Id="rId7" Type="http://schemas.openxmlformats.org/officeDocument/2006/relationships/styles" Target="styles.xml"/><Relationship Id="rId71" Type="http://schemas.openxmlformats.org/officeDocument/2006/relationships/hyperlink" Target="http://europa.eu/rapid/press-release_MEMO-11-125_en.htm?locale=en" TargetMode="External"/><Relationship Id="rId92" Type="http://schemas.openxmlformats.org/officeDocument/2006/relationships/hyperlink" Target="http://europa.eu/rapid/press-release_MEMO-17-4243_en.htm" TargetMode="External"/><Relationship Id="rId162" Type="http://schemas.openxmlformats.org/officeDocument/2006/relationships/hyperlink" Target="https://ec.europa.eu/home-affairs/what-we-do/policies/european-agenda-security_en" TargetMode="External"/><Relationship Id="rId183" Type="http://schemas.openxmlformats.org/officeDocument/2006/relationships/footer" Target="footer6.xml"/><Relationship Id="rId2" Type="http://schemas.openxmlformats.org/officeDocument/2006/relationships/customXml" Target="../customXml/item2.xml"/><Relationship Id="rId29" Type="http://schemas.openxmlformats.org/officeDocument/2006/relationships/image" Target="media/image2.jpeg"/><Relationship Id="rId24" Type="http://schemas.openxmlformats.org/officeDocument/2006/relationships/hyperlink" Target="http://europa.eu/rapid/press-release_MEMO-17-1577_en.htm" TargetMode="External"/><Relationship Id="rId40" Type="http://schemas.openxmlformats.org/officeDocument/2006/relationships/hyperlink" Target="http://curia.europa.eu/juris/liste.jsf?language=bg&amp;jur=C,T,F&amp;num=C-502/15&amp;td=ALL" TargetMode="External"/><Relationship Id="rId45" Type="http://schemas.openxmlformats.org/officeDocument/2006/relationships/hyperlink" Target="https://ec.europa.eu/agriculture/direct-support/direct-payments_bg" TargetMode="External"/><Relationship Id="rId66" Type="http://schemas.openxmlformats.org/officeDocument/2006/relationships/hyperlink" Target="http://europa.eu/rapid/press-release_MEMO-17-4767_bg.htm" TargetMode="External"/><Relationship Id="rId87" Type="http://schemas.openxmlformats.org/officeDocument/2006/relationships/hyperlink" Target="http://unfccc.int/paris_agreement/items/9485.php" TargetMode="External"/><Relationship Id="rId110" Type="http://schemas.openxmlformats.org/officeDocument/2006/relationships/hyperlink" Target="https://e-justice.europa.eu/content_find_a_company-489-bg.do" TargetMode="External"/><Relationship Id="rId115" Type="http://schemas.openxmlformats.org/officeDocument/2006/relationships/hyperlink" Target="http://eur-lex.europa.eu/legal-content/BG/TXT/?uri=CELEX:32014L0095" TargetMode="External"/><Relationship Id="rId131" Type="http://schemas.openxmlformats.org/officeDocument/2006/relationships/hyperlink" Target="http://eur-lex.europa.eu/legal-content/BG/TXT/?uri=OJ:JOL_2014_127_R_0001" TargetMode="External"/><Relationship Id="rId136" Type="http://schemas.openxmlformats.org/officeDocument/2006/relationships/hyperlink" Target="https://ec.europa.eu/transport/road_safety/events-archive/2012_07_13_press_release_bg" TargetMode="External"/><Relationship Id="rId157" Type="http://schemas.openxmlformats.org/officeDocument/2006/relationships/image" Target="media/image28.jpeg"/><Relationship Id="rId178" Type="http://schemas.openxmlformats.org/officeDocument/2006/relationships/header" Target="header4.xml"/><Relationship Id="rId61" Type="http://schemas.openxmlformats.org/officeDocument/2006/relationships/hyperlink" Target="https://ec.europa.eu/digital-single-market/en/policies/trust-services-and-eidentification" TargetMode="External"/><Relationship Id="rId82" Type="http://schemas.openxmlformats.org/officeDocument/2006/relationships/hyperlink" Target="https://ec.europa.eu/energy/en/june-2017-commission-requests-czech-republic-and-netherlands-fully-comply-energy-performance" TargetMode="External"/><Relationship Id="rId152" Type="http://schemas.openxmlformats.org/officeDocument/2006/relationships/hyperlink" Target="http://europa.eu/rapid/press-release_IP-17-5003_en.htm" TargetMode="External"/><Relationship Id="rId173" Type="http://schemas.openxmlformats.org/officeDocument/2006/relationships/hyperlink" Target="http://eur-lex.europa.eu/legal-content/BG/ALL/?uri=CELEX:32008L0115"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ec.europa.eu/social/main.jsp?catId=1314&amp;langId=bg" TargetMode="External"/><Relationship Id="rId35" Type="http://schemas.openxmlformats.org/officeDocument/2006/relationships/hyperlink" Target="http://eur-lex.europa.eu/legal-content/BG/TXT/?uri=celex:32013L0035" TargetMode="External"/><Relationship Id="rId56" Type="http://schemas.openxmlformats.org/officeDocument/2006/relationships/hyperlink" Target="http://curia.europa.eu/juris/liste.jsf?pro=&amp;lgrec=fr&amp;nat=or&amp;oqp=&amp;dates=&amp;lg=&amp;language=bg&amp;jur=C,T,F&amp;cit=none%2CC%2CCJ%2CR%2C2008E%2C%2C%2C%2C%2C%2C%2C%2C%2C%2Ctrue%2Cfalse%2Cfalse&amp;num=C-391%2F17&amp;td=;ALL&amp;pcs=Oor&amp;avg=&amp;page=1&amp;mat=or&amp;jge=&amp;for=&amp;cid=453455" TargetMode="External"/><Relationship Id="rId77" Type="http://schemas.openxmlformats.org/officeDocument/2006/relationships/hyperlink" Target="https://ec.europa.eu/energy/en/june-2017-commission-requests-czech-republic-and-netherlands-fully-comply-energy-performance" TargetMode="External"/><Relationship Id="rId100" Type="http://schemas.openxmlformats.org/officeDocument/2006/relationships/image" Target="media/image16.jpeg"/><Relationship Id="rId105" Type="http://schemas.openxmlformats.org/officeDocument/2006/relationships/hyperlink" Target="http://europa.eu/rapid/press-release_IP-16-3646_EN.htm" TargetMode="External"/><Relationship Id="rId126" Type="http://schemas.openxmlformats.org/officeDocument/2006/relationships/hyperlink" Target="http://europa.eu/rapid/press-release_MEMO-17-3494_bg.htm?locale=BG" TargetMode="External"/><Relationship Id="rId147" Type="http://schemas.openxmlformats.org/officeDocument/2006/relationships/hyperlink" Target="http://eur-lex.europa.eu/legal-content/BG/TXT/?qid=1490092069549&amp;uri=CELEX:32014L0059" TargetMode="External"/><Relationship Id="rId168" Type="http://schemas.openxmlformats.org/officeDocument/2006/relationships/hyperlink" Target="http://europa.eu/rapid/press-release_MEMO-17-4767_bg.htm" TargetMode="External"/><Relationship Id="rId8" Type="http://schemas.microsoft.com/office/2007/relationships/stylesWithEffects" Target="stylesWithEffects.xml"/><Relationship Id="rId51" Type="http://schemas.openxmlformats.org/officeDocument/2006/relationships/image" Target="media/image6.jpeg"/><Relationship Id="rId72" Type="http://schemas.openxmlformats.org/officeDocument/2006/relationships/hyperlink" Target="http://eur-lex.europa.eu/legal-content/BG/TXT/?uri=CELEX:32013R0347" TargetMode="External"/><Relationship Id="rId93" Type="http://schemas.openxmlformats.org/officeDocument/2006/relationships/hyperlink" Target="http://eur-lex.europa.eu/legal-content/BG/TXT/?uri=celex:32014L0094" TargetMode="External"/><Relationship Id="rId98" Type="http://schemas.openxmlformats.org/officeDocument/2006/relationships/hyperlink" Target="http://eur-lex.europa.eu/legal-content/BG/ALL/?uri=CELEX:32014L0054" TargetMode="External"/><Relationship Id="rId121" Type="http://schemas.openxmlformats.org/officeDocument/2006/relationships/hyperlink" Target="http://eur-lex.europa.eu/legal-content/BG/ALL/?uri=celex:32011L0016" TargetMode="External"/><Relationship Id="rId142" Type="http://schemas.openxmlformats.org/officeDocument/2006/relationships/hyperlink" Target="http://eur-lex.europa.eu/legal-content/BG/TXT/?uri=uriserv:OJ.L_.2011.306.01.0041.01.BUL" TargetMode="External"/><Relationship Id="rId163" Type="http://schemas.openxmlformats.org/officeDocument/2006/relationships/hyperlink" Target="http://europa.eu/rapid/press-release_MEMO-17-3494_bg.htm?locale=BG" TargetMode="Externa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eur-lex.europa.eu/legal-content/BG/TXT/?uri=celex:32015L0720" TargetMode="External"/><Relationship Id="rId46" Type="http://schemas.openxmlformats.org/officeDocument/2006/relationships/hyperlink" Target="http://eur-lex.europa.eu/legal-content/BG/TXT/?uri=uriserv:OJ.L_.2015.314.01.0001.01.BUL" TargetMode="External"/><Relationship Id="rId67" Type="http://schemas.openxmlformats.org/officeDocument/2006/relationships/hyperlink" Target="http://eur-lex.europa.eu/legal-content/BG/TXT/?uri=celex:32014L0026" TargetMode="External"/><Relationship Id="rId116" Type="http://schemas.openxmlformats.org/officeDocument/2006/relationships/hyperlink" Target="http://eur-lex.europa.eu/legal-content/BG/TXT/?uri=celex:32014L0065" TargetMode="External"/><Relationship Id="rId137" Type="http://schemas.openxmlformats.org/officeDocument/2006/relationships/hyperlink" Target="http://curia.europa.eu/juris/liste.jsf?language=bg&amp;jur=C,T,F&amp;num=C-482/14&amp;td=ALL" TargetMode="External"/><Relationship Id="rId158" Type="http://schemas.openxmlformats.org/officeDocument/2006/relationships/hyperlink" Target="http://eur-lex.europa.eu/legal-content/BG/ALL/?uri=CELEX:32000L0043" TargetMode="External"/><Relationship Id="rId20" Type="http://schemas.openxmlformats.org/officeDocument/2006/relationships/hyperlink" Target="http://eur-lex.europa.eu/legal-content/BG/TXT/?uri=uriserv:OJ.C_.2017.018.01.0010.01.BUL" TargetMode="External"/><Relationship Id="rId41" Type="http://schemas.openxmlformats.org/officeDocument/2006/relationships/hyperlink" Target="http://curia.europa.eu/juris/liste.jsf?language=bg&amp;jur=C,T,F&amp;num=C-202/16&amp;td=ALL" TargetMode="External"/><Relationship Id="rId62" Type="http://schemas.openxmlformats.org/officeDocument/2006/relationships/hyperlink" Target="http://eur-lex.europa.eu/legal-content/BG/TXT/?uri=uriserv:OJ.L_.2014.257.01.0073.01.BUL" TargetMode="External"/><Relationship Id="rId83" Type="http://schemas.openxmlformats.org/officeDocument/2006/relationships/hyperlink" Target="http://europa.eu/rapid/press-release_MEMO-17-1935_bg.htm" TargetMode="External"/><Relationship Id="rId88" Type="http://schemas.openxmlformats.org/officeDocument/2006/relationships/hyperlink" Target="http://eur-lex.europa.eu/legal-content/BG/TXT/?uri=CELEX:32015L0652" TargetMode="External"/><Relationship Id="rId111" Type="http://schemas.openxmlformats.org/officeDocument/2006/relationships/image" Target="media/image19.jpeg"/><Relationship Id="rId132" Type="http://schemas.openxmlformats.org/officeDocument/2006/relationships/hyperlink" Target="http://eur-lex.europa.eu/legal-content/BG/ALL/?uri=celex:32011L0024" TargetMode="External"/><Relationship Id="rId153" Type="http://schemas.openxmlformats.org/officeDocument/2006/relationships/image" Target="media/image27.jpeg"/><Relationship Id="rId174" Type="http://schemas.openxmlformats.org/officeDocument/2006/relationships/hyperlink" Target="http://europa.eu/rapid/press-release_IP-17-5023_en.htm" TargetMode="External"/><Relationship Id="rId179" Type="http://schemas.openxmlformats.org/officeDocument/2006/relationships/header" Target="header5.xml"/><Relationship Id="rId15" Type="http://schemas.openxmlformats.org/officeDocument/2006/relationships/header" Target="header2.xml"/><Relationship Id="rId36" Type="http://schemas.openxmlformats.org/officeDocument/2006/relationships/image" Target="media/image3.jpeg"/><Relationship Id="rId57" Type="http://schemas.openxmlformats.org/officeDocument/2006/relationships/image" Target="media/image8.jpg"/><Relationship Id="rId106" Type="http://schemas.openxmlformats.org/officeDocument/2006/relationships/image" Target="media/image18.jpeg"/><Relationship Id="rId127" Type="http://schemas.openxmlformats.org/officeDocument/2006/relationships/image" Target="media/image21.jpeg"/><Relationship Id="rId10" Type="http://schemas.openxmlformats.org/officeDocument/2006/relationships/webSettings" Target="webSettings.xml"/><Relationship Id="rId31" Type="http://schemas.openxmlformats.org/officeDocument/2006/relationships/hyperlink" Target="http://eur-lex.europa.eu/legal-content/BG/TXT/?uri=CELEX:52017XC0524(01)" TargetMode="External"/><Relationship Id="rId52" Type="http://schemas.openxmlformats.org/officeDocument/2006/relationships/hyperlink" Target="https://ec.europa.eu/info/funding-tenders-0/european-structural-and-investment-funds_bg" TargetMode="External"/><Relationship Id="rId73" Type="http://schemas.openxmlformats.org/officeDocument/2006/relationships/hyperlink" Target="http://eur-lex.europa.eu/legal-content/BG/TXT/?uri=celex:32012L0027" TargetMode="External"/><Relationship Id="rId78" Type="http://schemas.openxmlformats.org/officeDocument/2006/relationships/hyperlink" Target="http://europa.eu/rapid/press-release_MEMO-17-4767_bg.htm" TargetMode="External"/><Relationship Id="rId94" Type="http://schemas.openxmlformats.org/officeDocument/2006/relationships/image" Target="media/image14.jpeg"/><Relationship Id="rId99" Type="http://schemas.openxmlformats.org/officeDocument/2006/relationships/hyperlink" Target="http://eur-lex.europa.eu/legal-content/BG/TXT/?uri=celex:32014L0067" TargetMode="External"/><Relationship Id="rId101" Type="http://schemas.openxmlformats.org/officeDocument/2006/relationships/hyperlink" Target="http://europa.eu/rapid/press-release_MEMO-17-1935_BG.htm" TargetMode="External"/><Relationship Id="rId122" Type="http://schemas.openxmlformats.org/officeDocument/2006/relationships/hyperlink" Target="https://eur-lex.europa.eu/legal-content/bg/TXT/?uri=CELEX:32015L2376" TargetMode="External"/><Relationship Id="rId143" Type="http://schemas.openxmlformats.org/officeDocument/2006/relationships/hyperlink" Target="http://eur-lex.europa.eu/legal-content/BG/TXT/?uri=celex:52014DC0474" TargetMode="External"/><Relationship Id="rId148" Type="http://schemas.openxmlformats.org/officeDocument/2006/relationships/hyperlink" Target="http://europa.eu/rapid/press-release_IP-17-1184_en.htm" TargetMode="External"/><Relationship Id="rId164" Type="http://schemas.openxmlformats.org/officeDocument/2006/relationships/hyperlink" Target="http://europa.eu/rapid/press-release_MEMO-17-1280_en.htm" TargetMode="External"/><Relationship Id="rId169" Type="http://schemas.openxmlformats.org/officeDocument/2006/relationships/image" Target="media/image30.jpg"/><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9F0726229EA944A351C92A661F0C83" ma:contentTypeVersion="0" ma:contentTypeDescription="Create a new document." ma:contentTypeScope="" ma:versionID="b625dcb4e6da45aea454c11ff38d33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72D49F-EE19-473A-A253-5321573A5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681C5EB-C942-410F-8A8A-629CA28F6CE1}">
  <ds:schemaRefs>
    <ds:schemaRef ds:uri="http://schemas.openxmlformats.org/package/2006/metadata/core-properties"/>
    <ds:schemaRef ds:uri="http://purl.org/dc/elements/1.1/"/>
    <ds:schemaRef ds:uri="http://purl.org/dc/terms/"/>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D000777F-597E-42B1-A710-EA2BC2F9A874}">
  <ds:schemaRefs>
    <ds:schemaRef ds:uri="http://schemas.microsoft.com/sharepoint/v3/contenttype/forms"/>
  </ds:schemaRefs>
</ds:datastoreItem>
</file>

<file path=customXml/itemProps5.xml><?xml version="1.0" encoding="utf-8"?>
<ds:datastoreItem xmlns:ds="http://schemas.openxmlformats.org/officeDocument/2006/customXml" ds:itemID="{378500B9-87B5-415A-A267-79F5E3F5C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42</Pages>
  <Words>15138</Words>
  <Characters>86289</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Annual report                Application of European Union law</vt:lpstr>
    </vt:vector>
  </TitlesOfParts>
  <Manager/>
  <Company/>
  <LinksUpToDate>false</LinksUpToDate>
  <CharactersWithSpaces>101225</CharactersWithSpaces>
  <SharedDoc>false</SharedDoc>
  <HLinks>
    <vt:vector size="876" baseType="variant">
      <vt:variant>
        <vt:i4>3145760</vt:i4>
      </vt:variant>
      <vt:variant>
        <vt:i4>468</vt:i4>
      </vt:variant>
      <vt:variant>
        <vt:i4>0</vt:i4>
      </vt:variant>
      <vt:variant>
        <vt:i4>5</vt:i4>
      </vt:variant>
      <vt:variant>
        <vt:lpwstr>http://eur-lex.europa.eu/homepage.html</vt:lpwstr>
      </vt:variant>
      <vt:variant>
        <vt:lpwstr/>
      </vt:variant>
      <vt:variant>
        <vt:i4>80</vt:i4>
      </vt:variant>
      <vt:variant>
        <vt:i4>465</vt:i4>
      </vt:variant>
      <vt:variant>
        <vt:i4>0</vt:i4>
      </vt:variant>
      <vt:variant>
        <vt:i4>5</vt:i4>
      </vt:variant>
      <vt:variant>
        <vt:lpwstr>http://eur-lex.europa.eu/legal-content/EN/TXT/?uri=CELEX%3A32016Q0512%2801%29</vt:lpwstr>
      </vt:variant>
      <vt:variant>
        <vt:lpwstr/>
      </vt:variant>
      <vt:variant>
        <vt:i4>80</vt:i4>
      </vt:variant>
      <vt:variant>
        <vt:i4>462</vt:i4>
      </vt:variant>
      <vt:variant>
        <vt:i4>0</vt:i4>
      </vt:variant>
      <vt:variant>
        <vt:i4>5</vt:i4>
      </vt:variant>
      <vt:variant>
        <vt:lpwstr>http://eur-lex.europa.eu/legal-content/EN/TXT/?uri=CELEX%3A32016Q0512%2801%29</vt:lpwstr>
      </vt:variant>
      <vt:variant>
        <vt:lpwstr/>
      </vt:variant>
      <vt:variant>
        <vt:i4>2162742</vt:i4>
      </vt:variant>
      <vt:variant>
        <vt:i4>459</vt:i4>
      </vt:variant>
      <vt:variant>
        <vt:i4>0</vt:i4>
      </vt:variant>
      <vt:variant>
        <vt:i4>5</vt:i4>
      </vt:variant>
      <vt:variant>
        <vt:lpwstr>http://europa.eu/rapid/press-release_MEMO-17-4767_en.htm</vt:lpwstr>
      </vt:variant>
      <vt:variant>
        <vt:lpwstr/>
      </vt:variant>
      <vt:variant>
        <vt:i4>1769565</vt:i4>
      </vt:variant>
      <vt:variant>
        <vt:i4>456</vt:i4>
      </vt:variant>
      <vt:variant>
        <vt:i4>0</vt:i4>
      </vt:variant>
      <vt:variant>
        <vt:i4>5</vt:i4>
      </vt:variant>
      <vt:variant>
        <vt:lpwstr>http://eur-lex.europa.eu/legal-content/EN/TXT/?uri=celex%3A32014L0066</vt:lpwstr>
      </vt:variant>
      <vt:variant>
        <vt:lpwstr/>
      </vt:variant>
      <vt:variant>
        <vt:i4>4784200</vt:i4>
      </vt:variant>
      <vt:variant>
        <vt:i4>453</vt:i4>
      </vt:variant>
      <vt:variant>
        <vt:i4>0</vt:i4>
      </vt:variant>
      <vt:variant>
        <vt:i4>5</vt:i4>
      </vt:variant>
      <vt:variant>
        <vt:lpwstr>http://europa.eu/rapid/press-release_IP-15-6276_EN.htm</vt:lpwstr>
      </vt:variant>
      <vt:variant>
        <vt:lpwstr/>
      </vt:variant>
      <vt:variant>
        <vt:i4>5046351</vt:i4>
      </vt:variant>
      <vt:variant>
        <vt:i4>450</vt:i4>
      </vt:variant>
      <vt:variant>
        <vt:i4>0</vt:i4>
      </vt:variant>
      <vt:variant>
        <vt:i4>5</vt:i4>
      </vt:variant>
      <vt:variant>
        <vt:lpwstr>http://europa.eu/rapid/press-release_IP-17-5023_en.htm</vt:lpwstr>
      </vt:variant>
      <vt:variant>
        <vt:lpwstr/>
      </vt:variant>
      <vt:variant>
        <vt:i4>262224</vt:i4>
      </vt:variant>
      <vt:variant>
        <vt:i4>447</vt:i4>
      </vt:variant>
      <vt:variant>
        <vt:i4>0</vt:i4>
      </vt:variant>
      <vt:variant>
        <vt:i4>5</vt:i4>
      </vt:variant>
      <vt:variant>
        <vt:lpwstr>http://eur-lex.europa.eu/legal-content/EN/ALL/?uri=CELEX%3A32008L0115</vt:lpwstr>
      </vt:variant>
      <vt:variant>
        <vt:lpwstr/>
      </vt:variant>
      <vt:variant>
        <vt:i4>1638493</vt:i4>
      </vt:variant>
      <vt:variant>
        <vt:i4>444</vt:i4>
      </vt:variant>
      <vt:variant>
        <vt:i4>0</vt:i4>
      </vt:variant>
      <vt:variant>
        <vt:i4>5</vt:i4>
      </vt:variant>
      <vt:variant>
        <vt:lpwstr>http://eur-lex.europa.eu/legal-content/EN/TXT/?uri=celex%3A32013L0033</vt:lpwstr>
      </vt:variant>
      <vt:variant>
        <vt:lpwstr/>
      </vt:variant>
      <vt:variant>
        <vt:i4>852048</vt:i4>
      </vt:variant>
      <vt:variant>
        <vt:i4>441</vt:i4>
      </vt:variant>
      <vt:variant>
        <vt:i4>0</vt:i4>
      </vt:variant>
      <vt:variant>
        <vt:i4>5</vt:i4>
      </vt:variant>
      <vt:variant>
        <vt:lpwstr>http://eur-lex.europa.eu/legal-content/en/ALL/?uri=celex%3A32013L0032</vt:lpwstr>
      </vt:variant>
      <vt:variant>
        <vt:lpwstr/>
      </vt:variant>
      <vt:variant>
        <vt:i4>5177422</vt:i4>
      </vt:variant>
      <vt:variant>
        <vt:i4>438</vt:i4>
      </vt:variant>
      <vt:variant>
        <vt:i4>0</vt:i4>
      </vt:variant>
      <vt:variant>
        <vt:i4>5</vt:i4>
      </vt:variant>
      <vt:variant>
        <vt:lpwstr>http://europa.eu/rapid/press-release_IP-17-5002_en.htm</vt:lpwstr>
      </vt:variant>
      <vt:variant>
        <vt:lpwstr/>
      </vt:variant>
      <vt:variant>
        <vt:i4>2359348</vt:i4>
      </vt:variant>
      <vt:variant>
        <vt:i4>435</vt:i4>
      </vt:variant>
      <vt:variant>
        <vt:i4>0</vt:i4>
      </vt:variant>
      <vt:variant>
        <vt:i4>5</vt:i4>
      </vt:variant>
      <vt:variant>
        <vt:lpwstr>http://eur-lex.europa.eu/legal-content/EN/TXT/?uri=celex:32006R1896</vt:lpwstr>
      </vt:variant>
      <vt:variant>
        <vt:lpwstr/>
      </vt:variant>
      <vt:variant>
        <vt:i4>524362</vt:i4>
      </vt:variant>
      <vt:variant>
        <vt:i4>432</vt:i4>
      </vt:variant>
      <vt:variant>
        <vt:i4>0</vt:i4>
      </vt:variant>
      <vt:variant>
        <vt:i4>5</vt:i4>
      </vt:variant>
      <vt:variant>
        <vt:lpwstr>http://eur-lex.europa.eu/legal-content/EN/ALL/?uri=CELEX%3A32015R2421</vt:lpwstr>
      </vt:variant>
      <vt:variant>
        <vt:lpwstr/>
      </vt:variant>
      <vt:variant>
        <vt:i4>1572939</vt:i4>
      </vt:variant>
      <vt:variant>
        <vt:i4>429</vt:i4>
      </vt:variant>
      <vt:variant>
        <vt:i4>0</vt:i4>
      </vt:variant>
      <vt:variant>
        <vt:i4>5</vt:i4>
      </vt:variant>
      <vt:variant>
        <vt:lpwstr>http://eur-lex.europa.eu/legal-content/en/TXT/?uri=CELEX%3A32015R0848</vt:lpwstr>
      </vt:variant>
      <vt:variant>
        <vt:lpwstr/>
      </vt:variant>
      <vt:variant>
        <vt:i4>1572933</vt:i4>
      </vt:variant>
      <vt:variant>
        <vt:i4>426</vt:i4>
      </vt:variant>
      <vt:variant>
        <vt:i4>0</vt:i4>
      </vt:variant>
      <vt:variant>
        <vt:i4>5</vt:i4>
      </vt:variant>
      <vt:variant>
        <vt:lpwstr>http://eur-lex.europa.eu/legal-content/EN/TXT/?uri=celex%3A32014R0655</vt:lpwstr>
      </vt:variant>
      <vt:variant>
        <vt:lpwstr/>
      </vt:variant>
      <vt:variant>
        <vt:i4>2162742</vt:i4>
      </vt:variant>
      <vt:variant>
        <vt:i4>423</vt:i4>
      </vt:variant>
      <vt:variant>
        <vt:i4>0</vt:i4>
      </vt:variant>
      <vt:variant>
        <vt:i4>5</vt:i4>
      </vt:variant>
      <vt:variant>
        <vt:lpwstr>http://europa.eu/rapid/press-release_MEMO-17-4767_en.htm</vt:lpwstr>
      </vt:variant>
      <vt:variant>
        <vt:lpwstr/>
      </vt:variant>
      <vt:variant>
        <vt:i4>4718665</vt:i4>
      </vt:variant>
      <vt:variant>
        <vt:i4>420</vt:i4>
      </vt:variant>
      <vt:variant>
        <vt:i4>0</vt:i4>
      </vt:variant>
      <vt:variant>
        <vt:i4>5</vt:i4>
      </vt:variant>
      <vt:variant>
        <vt:lpwstr>http://europa.eu/rapid/press-release_IP-17-1732_en.htm</vt:lpwstr>
      </vt:variant>
      <vt:variant>
        <vt:lpwstr/>
      </vt:variant>
      <vt:variant>
        <vt:i4>1572949</vt:i4>
      </vt:variant>
      <vt:variant>
        <vt:i4>417</vt:i4>
      </vt:variant>
      <vt:variant>
        <vt:i4>0</vt:i4>
      </vt:variant>
      <vt:variant>
        <vt:i4>5</vt:i4>
      </vt:variant>
      <vt:variant>
        <vt:lpwstr>http://eur-lex.europa.eu/legal-content/EN/TXT/?uri=celex%3A32015L0849</vt:lpwstr>
      </vt:variant>
      <vt:variant>
        <vt:lpwstr/>
      </vt:variant>
      <vt:variant>
        <vt:i4>1638493</vt:i4>
      </vt:variant>
      <vt:variant>
        <vt:i4>414</vt:i4>
      </vt:variant>
      <vt:variant>
        <vt:i4>0</vt:i4>
      </vt:variant>
      <vt:variant>
        <vt:i4>5</vt:i4>
      </vt:variant>
      <vt:variant>
        <vt:lpwstr>http://eur-lex.europa.eu/legal-content/EN/TXT/?uri=celex%3A32014L0041</vt:lpwstr>
      </vt:variant>
      <vt:variant>
        <vt:lpwstr/>
      </vt:variant>
      <vt:variant>
        <vt:i4>327684</vt:i4>
      </vt:variant>
      <vt:variant>
        <vt:i4>411</vt:i4>
      </vt:variant>
      <vt:variant>
        <vt:i4>0</vt:i4>
      </vt:variant>
      <vt:variant>
        <vt:i4>5</vt:i4>
      </vt:variant>
      <vt:variant>
        <vt:lpwstr>http://europa.eu/rapid/press-release_MEMO-17-3494_en.htm?locale=FR</vt:lpwstr>
      </vt:variant>
      <vt:variant>
        <vt:lpwstr/>
      </vt:variant>
      <vt:variant>
        <vt:i4>1638446</vt:i4>
      </vt:variant>
      <vt:variant>
        <vt:i4>408</vt:i4>
      </vt:variant>
      <vt:variant>
        <vt:i4>0</vt:i4>
      </vt:variant>
      <vt:variant>
        <vt:i4>5</vt:i4>
      </vt:variant>
      <vt:variant>
        <vt:lpwstr>https://ec.europa.eu/home-affairs/what-we-do/policies/european-agenda-security_en</vt:lpwstr>
      </vt:variant>
      <vt:variant>
        <vt:lpwstr/>
      </vt:variant>
      <vt:variant>
        <vt:i4>3801135</vt:i4>
      </vt:variant>
      <vt:variant>
        <vt:i4>405</vt:i4>
      </vt:variant>
      <vt:variant>
        <vt:i4>0</vt:i4>
      </vt:variant>
      <vt:variant>
        <vt:i4>5</vt:i4>
      </vt:variant>
      <vt:variant>
        <vt:lpwstr>http://eur-lex.europa.eu/legal-content/EN/ALL/?uri=CELEX:32000L0043</vt:lpwstr>
      </vt:variant>
      <vt:variant>
        <vt:lpwstr/>
      </vt:variant>
      <vt:variant>
        <vt:i4>1179651</vt:i4>
      </vt:variant>
      <vt:variant>
        <vt:i4>402</vt:i4>
      </vt:variant>
      <vt:variant>
        <vt:i4>0</vt:i4>
      </vt:variant>
      <vt:variant>
        <vt:i4>5</vt:i4>
      </vt:variant>
      <vt:variant>
        <vt:lpwstr>http://europa.eu/rapid/press-release_MEMO-17-15_en.htm</vt:lpwstr>
      </vt:variant>
      <vt:variant>
        <vt:lpwstr/>
      </vt:variant>
      <vt:variant>
        <vt:i4>5898288</vt:i4>
      </vt:variant>
      <vt:variant>
        <vt:i4>399</vt:i4>
      </vt:variant>
      <vt:variant>
        <vt:i4>0</vt:i4>
      </vt:variant>
      <vt:variant>
        <vt:i4>5</vt:i4>
      </vt:variant>
      <vt:variant>
        <vt:lpwstr>http://eur-lex.europa.eu/legal-content/EN/TXT/?uri=uriserv%3AOJ.L_.2016.119.01.0089.01.ENG</vt:lpwstr>
      </vt:variant>
      <vt:variant>
        <vt:lpwstr/>
      </vt:variant>
      <vt:variant>
        <vt:i4>1572933</vt:i4>
      </vt:variant>
      <vt:variant>
        <vt:i4>396</vt:i4>
      </vt:variant>
      <vt:variant>
        <vt:i4>0</vt:i4>
      </vt:variant>
      <vt:variant>
        <vt:i4>5</vt:i4>
      </vt:variant>
      <vt:variant>
        <vt:lpwstr>http://eur-lex.europa.eu/legal-content/en/TXT/?uri=CELEX%3A32016R0679</vt:lpwstr>
      </vt:variant>
      <vt:variant>
        <vt:lpwstr/>
      </vt:variant>
      <vt:variant>
        <vt:i4>5177423</vt:i4>
      </vt:variant>
      <vt:variant>
        <vt:i4>393</vt:i4>
      </vt:variant>
      <vt:variant>
        <vt:i4>0</vt:i4>
      </vt:variant>
      <vt:variant>
        <vt:i4>5</vt:i4>
      </vt:variant>
      <vt:variant>
        <vt:lpwstr>http://europa.eu/rapid/press-release_IP-17-5003_en.htm</vt:lpwstr>
      </vt:variant>
      <vt:variant>
        <vt:lpwstr/>
      </vt:variant>
      <vt:variant>
        <vt:i4>4784200</vt:i4>
      </vt:variant>
      <vt:variant>
        <vt:i4>390</vt:i4>
      </vt:variant>
      <vt:variant>
        <vt:i4>0</vt:i4>
      </vt:variant>
      <vt:variant>
        <vt:i4>5</vt:i4>
      </vt:variant>
      <vt:variant>
        <vt:lpwstr>http://europa.eu/rapid/press-release_IP-17-5367_en.htm</vt:lpwstr>
      </vt:variant>
      <vt:variant>
        <vt:lpwstr/>
      </vt:variant>
      <vt:variant>
        <vt:i4>2752542</vt:i4>
      </vt:variant>
      <vt:variant>
        <vt:i4>387</vt:i4>
      </vt:variant>
      <vt:variant>
        <vt:i4>0</vt:i4>
      </vt:variant>
      <vt:variant>
        <vt:i4>5</vt:i4>
      </vt:variant>
      <vt:variant>
        <vt:lpwstr>https://ec.europa.eu/info/business-economy-euro/economic-and-fiscal-policy-coordination/eu-economic-governance-monitoring-prevention-correction/european-semester_en</vt:lpwstr>
      </vt:variant>
      <vt:variant>
        <vt:lpwstr/>
      </vt:variant>
      <vt:variant>
        <vt:i4>4390985</vt:i4>
      </vt:variant>
      <vt:variant>
        <vt:i4>384</vt:i4>
      </vt:variant>
      <vt:variant>
        <vt:i4>0</vt:i4>
      </vt:variant>
      <vt:variant>
        <vt:i4>5</vt:i4>
      </vt:variant>
      <vt:variant>
        <vt:lpwstr>http://europa.eu/rapid/press-release_IP-17-1184_en.htm</vt:lpwstr>
      </vt:variant>
      <vt:variant>
        <vt:lpwstr/>
      </vt:variant>
      <vt:variant>
        <vt:i4>917585</vt:i4>
      </vt:variant>
      <vt:variant>
        <vt:i4>381</vt:i4>
      </vt:variant>
      <vt:variant>
        <vt:i4>0</vt:i4>
      </vt:variant>
      <vt:variant>
        <vt:i4>5</vt:i4>
      </vt:variant>
      <vt:variant>
        <vt:lpwstr>http://eur-lex.europa.eu/legal-content/EN/TXT/?qid=1490092069549&amp;uri=CELEX:32014L0059</vt:lpwstr>
      </vt:variant>
      <vt:variant>
        <vt:lpwstr/>
      </vt:variant>
      <vt:variant>
        <vt:i4>65624</vt:i4>
      </vt:variant>
      <vt:variant>
        <vt:i4>378</vt:i4>
      </vt:variant>
      <vt:variant>
        <vt:i4>0</vt:i4>
      </vt:variant>
      <vt:variant>
        <vt:i4>5</vt:i4>
      </vt:variant>
      <vt:variant>
        <vt:lpwstr>http://eur-lex.europa.eu/legal-content/EN/TXT/?qid=1490092036225&amp;uri=CELEX:32014L0049</vt:lpwstr>
      </vt:variant>
      <vt:variant>
        <vt:lpwstr/>
      </vt:variant>
      <vt:variant>
        <vt:i4>458844</vt:i4>
      </vt:variant>
      <vt:variant>
        <vt:i4>375</vt:i4>
      </vt:variant>
      <vt:variant>
        <vt:i4>0</vt:i4>
      </vt:variant>
      <vt:variant>
        <vt:i4>5</vt:i4>
      </vt:variant>
      <vt:variant>
        <vt:lpwstr>http://eur-lex.europa.eu/legal-content/EN/TXT/?qid=1490092013635&amp;uri=CELEX:32013L0036</vt:lpwstr>
      </vt:variant>
      <vt:variant>
        <vt:lpwstr/>
      </vt:variant>
      <vt:variant>
        <vt:i4>4915228</vt:i4>
      </vt:variant>
      <vt:variant>
        <vt:i4>372</vt:i4>
      </vt:variant>
      <vt:variant>
        <vt:i4>0</vt:i4>
      </vt:variant>
      <vt:variant>
        <vt:i4>5</vt:i4>
      </vt:variant>
      <vt:variant>
        <vt:lpwstr>http://eur-lex.europa.eu/legal-content/EN/TXT/?uri=celex:52014DC0474</vt:lpwstr>
      </vt:variant>
      <vt:variant>
        <vt:lpwstr/>
      </vt:variant>
      <vt:variant>
        <vt:i4>6553676</vt:i4>
      </vt:variant>
      <vt:variant>
        <vt:i4>369</vt:i4>
      </vt:variant>
      <vt:variant>
        <vt:i4>0</vt:i4>
      </vt:variant>
      <vt:variant>
        <vt:i4>5</vt:i4>
      </vt:variant>
      <vt:variant>
        <vt:lpwstr>http://eur-lex.europa.eu/legal-content/EN/TXT/?uri=uriserv:OJ.L_.2011.306.01.0041.01.ENG</vt:lpwstr>
      </vt:variant>
      <vt:variant>
        <vt:lpwstr/>
      </vt:variant>
      <vt:variant>
        <vt:i4>2818153</vt:i4>
      </vt:variant>
      <vt:variant>
        <vt:i4>366</vt:i4>
      </vt:variant>
      <vt:variant>
        <vt:i4>0</vt:i4>
      </vt:variant>
      <vt:variant>
        <vt:i4>5</vt:i4>
      </vt:variant>
      <vt:variant>
        <vt:lpwstr>http://europa.eu/rapid/press-release_MEMO-13-196_en.htm</vt:lpwstr>
      </vt:variant>
      <vt:variant>
        <vt:lpwstr/>
      </vt:variant>
      <vt:variant>
        <vt:i4>3014761</vt:i4>
      </vt:variant>
      <vt:variant>
        <vt:i4>363</vt:i4>
      </vt:variant>
      <vt:variant>
        <vt:i4>0</vt:i4>
      </vt:variant>
      <vt:variant>
        <vt:i4>5</vt:i4>
      </vt:variant>
      <vt:variant>
        <vt:lpwstr>http://europa.eu/rapid/press-release_MEMO-11-898_en.htm</vt:lpwstr>
      </vt:variant>
      <vt:variant>
        <vt:lpwstr/>
      </vt:variant>
      <vt:variant>
        <vt:i4>5111808</vt:i4>
      </vt:variant>
      <vt:variant>
        <vt:i4>360</vt:i4>
      </vt:variant>
      <vt:variant>
        <vt:i4>0</vt:i4>
      </vt:variant>
      <vt:variant>
        <vt:i4>5</vt:i4>
      </vt:variant>
      <vt:variant>
        <vt:lpwstr>http://curia.europa.eu/juris/liste.jsf?language=en&amp;jur=C,T,F&amp;num=C-434/15&amp;td=ALL</vt:lpwstr>
      </vt:variant>
      <vt:variant>
        <vt:lpwstr/>
      </vt:variant>
      <vt:variant>
        <vt:i4>4718602</vt:i4>
      </vt:variant>
      <vt:variant>
        <vt:i4>357</vt:i4>
      </vt:variant>
      <vt:variant>
        <vt:i4>0</vt:i4>
      </vt:variant>
      <vt:variant>
        <vt:i4>5</vt:i4>
      </vt:variant>
      <vt:variant>
        <vt:lpwstr>http://curia.europa.eu/juris/liste.jsf?language=en&amp;jur=C,T,F&amp;num=C-482/14&amp;td=ALL</vt:lpwstr>
      </vt:variant>
      <vt:variant>
        <vt:lpwstr/>
      </vt:variant>
      <vt:variant>
        <vt:i4>6226012</vt:i4>
      </vt:variant>
      <vt:variant>
        <vt:i4>354</vt:i4>
      </vt:variant>
      <vt:variant>
        <vt:i4>0</vt:i4>
      </vt:variant>
      <vt:variant>
        <vt:i4>5</vt:i4>
      </vt:variant>
      <vt:variant>
        <vt:lpwstr>https://ec.europa.eu/transport/road_safety/events-archive/2012_07_13_press_release_en</vt:lpwstr>
      </vt:variant>
      <vt:variant>
        <vt:lpwstr/>
      </vt:variant>
      <vt:variant>
        <vt:i4>5111887</vt:i4>
      </vt:variant>
      <vt:variant>
        <vt:i4>351</vt:i4>
      </vt:variant>
      <vt:variant>
        <vt:i4>0</vt:i4>
      </vt:variant>
      <vt:variant>
        <vt:i4>5</vt:i4>
      </vt:variant>
      <vt:variant>
        <vt:lpwstr>http://europa.eu/rapid/press-release_IP-17-1053_en.htm</vt:lpwstr>
      </vt:variant>
      <vt:variant>
        <vt:lpwstr/>
      </vt:variant>
      <vt:variant>
        <vt:i4>4063244</vt:i4>
      </vt:variant>
      <vt:variant>
        <vt:i4>348</vt:i4>
      </vt:variant>
      <vt:variant>
        <vt:i4>0</vt:i4>
      </vt:variant>
      <vt:variant>
        <vt:i4>5</vt:i4>
      </vt:variant>
      <vt:variant>
        <vt:lpwstr>https://ec.europa.eu/food/animals/welfare/eu-platform-animal-welfare_en</vt:lpwstr>
      </vt:variant>
      <vt:variant>
        <vt:lpwstr/>
      </vt:variant>
      <vt:variant>
        <vt:i4>2162746</vt:i4>
      </vt:variant>
      <vt:variant>
        <vt:i4>345</vt:i4>
      </vt:variant>
      <vt:variant>
        <vt:i4>0</vt:i4>
      </vt:variant>
      <vt:variant>
        <vt:i4>5</vt:i4>
      </vt:variant>
      <vt:variant>
        <vt:lpwstr>http://europa.eu/rapid/press-release_MEMO-17-1935_en.htm</vt:lpwstr>
      </vt:variant>
      <vt:variant>
        <vt:lpwstr/>
      </vt:variant>
      <vt:variant>
        <vt:i4>917584</vt:i4>
      </vt:variant>
      <vt:variant>
        <vt:i4>342</vt:i4>
      </vt:variant>
      <vt:variant>
        <vt:i4>0</vt:i4>
      </vt:variant>
      <vt:variant>
        <vt:i4>5</vt:i4>
      </vt:variant>
      <vt:variant>
        <vt:lpwstr>http://eur-lex.europa.eu/legal-content/EN/ALL/?uri=celex%3A32011L0024</vt:lpwstr>
      </vt:variant>
      <vt:variant>
        <vt:lpwstr/>
      </vt:variant>
      <vt:variant>
        <vt:i4>327751</vt:i4>
      </vt:variant>
      <vt:variant>
        <vt:i4>339</vt:i4>
      </vt:variant>
      <vt:variant>
        <vt:i4>0</vt:i4>
      </vt:variant>
      <vt:variant>
        <vt:i4>5</vt:i4>
      </vt:variant>
      <vt:variant>
        <vt:lpwstr>http://eur-lex.europa.eu/legal-content/EN/TXT/?uri=OJ%3AJOL_2014_127_R_0001</vt:lpwstr>
      </vt:variant>
      <vt:variant>
        <vt:lpwstr/>
      </vt:variant>
      <vt:variant>
        <vt:i4>1966174</vt:i4>
      </vt:variant>
      <vt:variant>
        <vt:i4>336</vt:i4>
      </vt:variant>
      <vt:variant>
        <vt:i4>0</vt:i4>
      </vt:variant>
      <vt:variant>
        <vt:i4>5</vt:i4>
      </vt:variant>
      <vt:variant>
        <vt:lpwstr>http://eur-lex.europa.eu/legal-content/EN/TXT/?uri=CELEX%3A32015L2302</vt:lpwstr>
      </vt:variant>
      <vt:variant>
        <vt:lpwstr/>
      </vt:variant>
      <vt:variant>
        <vt:i4>2162742</vt:i4>
      </vt:variant>
      <vt:variant>
        <vt:i4>333</vt:i4>
      </vt:variant>
      <vt:variant>
        <vt:i4>0</vt:i4>
      </vt:variant>
      <vt:variant>
        <vt:i4>5</vt:i4>
      </vt:variant>
      <vt:variant>
        <vt:lpwstr>http://europa.eu/rapid/press-release_MEMO-17-4767_en.htm</vt:lpwstr>
      </vt:variant>
      <vt:variant>
        <vt:lpwstr/>
      </vt:variant>
      <vt:variant>
        <vt:i4>327684</vt:i4>
      </vt:variant>
      <vt:variant>
        <vt:i4>330</vt:i4>
      </vt:variant>
      <vt:variant>
        <vt:i4>0</vt:i4>
      </vt:variant>
      <vt:variant>
        <vt:i4>5</vt:i4>
      </vt:variant>
      <vt:variant>
        <vt:lpwstr>http://europa.eu/rapid/press-release_MEMO-17-3494_en.htm?locale=FR</vt:lpwstr>
      </vt:variant>
      <vt:variant>
        <vt:lpwstr/>
      </vt:variant>
      <vt:variant>
        <vt:i4>327684</vt:i4>
      </vt:variant>
      <vt:variant>
        <vt:i4>327</vt:i4>
      </vt:variant>
      <vt:variant>
        <vt:i4>0</vt:i4>
      </vt:variant>
      <vt:variant>
        <vt:i4>5</vt:i4>
      </vt:variant>
      <vt:variant>
        <vt:lpwstr>http://europa.eu/rapid/press-release_MEMO-17-3494_en.htm?locale=FR</vt:lpwstr>
      </vt:variant>
      <vt:variant>
        <vt:lpwstr/>
      </vt:variant>
      <vt:variant>
        <vt:i4>3080244</vt:i4>
      </vt:variant>
      <vt:variant>
        <vt:i4>324</vt:i4>
      </vt:variant>
      <vt:variant>
        <vt:i4>0</vt:i4>
      </vt:variant>
      <vt:variant>
        <vt:i4>5</vt:i4>
      </vt:variant>
      <vt:variant>
        <vt:lpwstr>http://curia.europa.eu/juris/liste.jsf?num=C-682/15</vt:lpwstr>
      </vt:variant>
      <vt:variant>
        <vt:lpwstr/>
      </vt:variant>
      <vt:variant>
        <vt:i4>1572959</vt:i4>
      </vt:variant>
      <vt:variant>
        <vt:i4>321</vt:i4>
      </vt:variant>
      <vt:variant>
        <vt:i4>0</vt:i4>
      </vt:variant>
      <vt:variant>
        <vt:i4>5</vt:i4>
      </vt:variant>
      <vt:variant>
        <vt:lpwstr>http://eur-lex.europa.eu/legal-content/en/TXT/?uri=CELEX%3A32016L2258</vt:lpwstr>
      </vt:variant>
      <vt:variant>
        <vt:lpwstr/>
      </vt:variant>
      <vt:variant>
        <vt:i4>4063278</vt:i4>
      </vt:variant>
      <vt:variant>
        <vt:i4>318</vt:i4>
      </vt:variant>
      <vt:variant>
        <vt:i4>0</vt:i4>
      </vt:variant>
      <vt:variant>
        <vt:i4>5</vt:i4>
      </vt:variant>
      <vt:variant>
        <vt:lpwstr>http://eur-lex.europa.eu/legal-content/EN/ALL/?uri=celex:32011L0016</vt:lpwstr>
      </vt:variant>
      <vt:variant>
        <vt:lpwstr/>
      </vt:variant>
      <vt:variant>
        <vt:i4>2687030</vt:i4>
      </vt:variant>
      <vt:variant>
        <vt:i4>315</vt:i4>
      </vt:variant>
      <vt:variant>
        <vt:i4>0</vt:i4>
      </vt:variant>
      <vt:variant>
        <vt:i4>5</vt:i4>
      </vt:variant>
      <vt:variant>
        <vt:lpwstr>http://europa.eu/rapid/press-release_MEMO-17-3494_EN.htm</vt:lpwstr>
      </vt:variant>
      <vt:variant>
        <vt:lpwstr/>
      </vt:variant>
      <vt:variant>
        <vt:i4>458768</vt:i4>
      </vt:variant>
      <vt:variant>
        <vt:i4>312</vt:i4>
      </vt:variant>
      <vt:variant>
        <vt:i4>0</vt:i4>
      </vt:variant>
      <vt:variant>
        <vt:i4>5</vt:i4>
      </vt:variant>
      <vt:variant>
        <vt:lpwstr>https://ec.europa.eu/taxation_customs/business/union-customs-code_en</vt:lpwstr>
      </vt:variant>
      <vt:variant>
        <vt:lpwstr/>
      </vt:variant>
      <vt:variant>
        <vt:i4>7536765</vt:i4>
      </vt:variant>
      <vt:variant>
        <vt:i4>309</vt:i4>
      </vt:variant>
      <vt:variant>
        <vt:i4>0</vt:i4>
      </vt:variant>
      <vt:variant>
        <vt:i4>5</vt:i4>
      </vt:variant>
      <vt:variant>
        <vt:lpwstr>http://curia.europa.eu/juris/liste.jsf?language=FR&amp;num=C-235/17</vt:lpwstr>
      </vt:variant>
      <vt:variant>
        <vt:lpwstr/>
      </vt:variant>
      <vt:variant>
        <vt:i4>1769565</vt:i4>
      </vt:variant>
      <vt:variant>
        <vt:i4>306</vt:i4>
      </vt:variant>
      <vt:variant>
        <vt:i4>0</vt:i4>
      </vt:variant>
      <vt:variant>
        <vt:i4>5</vt:i4>
      </vt:variant>
      <vt:variant>
        <vt:lpwstr>http://eur-lex.europa.eu/legal-content/EN/TXT/?uri=celex%3A32014L0065</vt:lpwstr>
      </vt:variant>
      <vt:variant>
        <vt:lpwstr/>
      </vt:variant>
      <vt:variant>
        <vt:i4>1310813</vt:i4>
      </vt:variant>
      <vt:variant>
        <vt:i4>303</vt:i4>
      </vt:variant>
      <vt:variant>
        <vt:i4>0</vt:i4>
      </vt:variant>
      <vt:variant>
        <vt:i4>5</vt:i4>
      </vt:variant>
      <vt:variant>
        <vt:lpwstr>http://eur-lex.europa.eu/legal-content/EN/TXT/?uri=CELEX%3A32014L0095</vt:lpwstr>
      </vt:variant>
      <vt:variant>
        <vt:lpwstr/>
      </vt:variant>
      <vt:variant>
        <vt:i4>1310813</vt:i4>
      </vt:variant>
      <vt:variant>
        <vt:i4>300</vt:i4>
      </vt:variant>
      <vt:variant>
        <vt:i4>0</vt:i4>
      </vt:variant>
      <vt:variant>
        <vt:i4>5</vt:i4>
      </vt:variant>
      <vt:variant>
        <vt:lpwstr>http://eur-lex.europa.eu/legal-content/en/TXT/?uri=CELEX%3A32014L0092</vt:lpwstr>
      </vt:variant>
      <vt:variant>
        <vt:lpwstr/>
      </vt:variant>
      <vt:variant>
        <vt:i4>524368</vt:i4>
      </vt:variant>
      <vt:variant>
        <vt:i4>297</vt:i4>
      </vt:variant>
      <vt:variant>
        <vt:i4>0</vt:i4>
      </vt:variant>
      <vt:variant>
        <vt:i4>5</vt:i4>
      </vt:variant>
      <vt:variant>
        <vt:lpwstr>http://eur-lex.europa.eu/legal-content/EN/ALL/?uri=celex%3A32014L0017</vt:lpwstr>
      </vt:variant>
      <vt:variant>
        <vt:lpwstr/>
      </vt:variant>
      <vt:variant>
        <vt:i4>1572957</vt:i4>
      </vt:variant>
      <vt:variant>
        <vt:i4>294</vt:i4>
      </vt:variant>
      <vt:variant>
        <vt:i4>0</vt:i4>
      </vt:variant>
      <vt:variant>
        <vt:i4>5</vt:i4>
      </vt:variant>
      <vt:variant>
        <vt:lpwstr>http://eur-lex.europa.eu/legal-content/EN/TXT/?uri=celex%3A32014L0056</vt:lpwstr>
      </vt:variant>
      <vt:variant>
        <vt:lpwstr/>
      </vt:variant>
      <vt:variant>
        <vt:i4>3670107</vt:i4>
      </vt:variant>
      <vt:variant>
        <vt:i4>291</vt:i4>
      </vt:variant>
      <vt:variant>
        <vt:i4>0</vt:i4>
      </vt:variant>
      <vt:variant>
        <vt:i4>5</vt:i4>
      </vt:variant>
      <vt:variant>
        <vt:lpwstr>https://e-justice.europa.eu/content_find_a_company-489-en.do</vt:lpwstr>
      </vt:variant>
      <vt:variant>
        <vt:lpwstr/>
      </vt:variant>
      <vt:variant>
        <vt:i4>4390986</vt:i4>
      </vt:variant>
      <vt:variant>
        <vt:i4>288</vt:i4>
      </vt:variant>
      <vt:variant>
        <vt:i4>0</vt:i4>
      </vt:variant>
      <vt:variant>
        <vt:i4>5</vt:i4>
      </vt:variant>
      <vt:variant>
        <vt:lpwstr>http://europa.eu/rapid/press-release_IP-17-1086_en.htm</vt:lpwstr>
      </vt:variant>
      <vt:variant>
        <vt:lpwstr/>
      </vt:variant>
      <vt:variant>
        <vt:i4>7733341</vt:i4>
      </vt:variant>
      <vt:variant>
        <vt:i4>285</vt:i4>
      </vt:variant>
      <vt:variant>
        <vt:i4>0</vt:i4>
      </vt:variant>
      <vt:variant>
        <vt:i4>5</vt:i4>
      </vt:variant>
      <vt:variant>
        <vt:lpwstr>http://ec.europa.eu/solvit/index_en.htm</vt:lpwstr>
      </vt:variant>
      <vt:variant>
        <vt:lpwstr/>
      </vt:variant>
      <vt:variant>
        <vt:i4>4390986</vt:i4>
      </vt:variant>
      <vt:variant>
        <vt:i4>282</vt:i4>
      </vt:variant>
      <vt:variant>
        <vt:i4>0</vt:i4>
      </vt:variant>
      <vt:variant>
        <vt:i4>5</vt:i4>
      </vt:variant>
      <vt:variant>
        <vt:lpwstr>http://europa.eu/rapid/press-release_IP-17-1086_en.htm</vt:lpwstr>
      </vt:variant>
      <vt:variant>
        <vt:lpwstr/>
      </vt:variant>
      <vt:variant>
        <vt:i4>5177416</vt:i4>
      </vt:variant>
      <vt:variant>
        <vt:i4>279</vt:i4>
      </vt:variant>
      <vt:variant>
        <vt:i4>0</vt:i4>
      </vt:variant>
      <vt:variant>
        <vt:i4>5</vt:i4>
      </vt:variant>
      <vt:variant>
        <vt:lpwstr>http://europa.eu/rapid/press-release_IP-17-5004_en.htm</vt:lpwstr>
      </vt:variant>
      <vt:variant>
        <vt:lpwstr/>
      </vt:variant>
      <vt:variant>
        <vt:i4>4390982</vt:i4>
      </vt:variant>
      <vt:variant>
        <vt:i4>276</vt:i4>
      </vt:variant>
      <vt:variant>
        <vt:i4>0</vt:i4>
      </vt:variant>
      <vt:variant>
        <vt:i4>5</vt:i4>
      </vt:variant>
      <vt:variant>
        <vt:lpwstr>http://europa.eu/rapid/press-release_IP-17-1288_en.htm</vt:lpwstr>
      </vt:variant>
      <vt:variant>
        <vt:lpwstr/>
      </vt:variant>
      <vt:variant>
        <vt:i4>2162746</vt:i4>
      </vt:variant>
      <vt:variant>
        <vt:i4>273</vt:i4>
      </vt:variant>
      <vt:variant>
        <vt:i4>0</vt:i4>
      </vt:variant>
      <vt:variant>
        <vt:i4>5</vt:i4>
      </vt:variant>
      <vt:variant>
        <vt:lpwstr>http://europa.eu/rapid/press-release_MEMO-17-1935_EN.htm</vt:lpwstr>
      </vt:variant>
      <vt:variant>
        <vt:lpwstr/>
      </vt:variant>
      <vt:variant>
        <vt:i4>1769565</vt:i4>
      </vt:variant>
      <vt:variant>
        <vt:i4>270</vt:i4>
      </vt:variant>
      <vt:variant>
        <vt:i4>0</vt:i4>
      </vt:variant>
      <vt:variant>
        <vt:i4>5</vt:i4>
      </vt:variant>
      <vt:variant>
        <vt:lpwstr>http://eur-lex.europa.eu/legal-content/EN/TXT/?uri=celex%3A32014L0067</vt:lpwstr>
      </vt:variant>
      <vt:variant>
        <vt:lpwstr/>
      </vt:variant>
      <vt:variant>
        <vt:i4>786512</vt:i4>
      </vt:variant>
      <vt:variant>
        <vt:i4>267</vt:i4>
      </vt:variant>
      <vt:variant>
        <vt:i4>0</vt:i4>
      </vt:variant>
      <vt:variant>
        <vt:i4>5</vt:i4>
      </vt:variant>
      <vt:variant>
        <vt:lpwstr>http://eur-lex.europa.eu/legal-content/EN/ALL/?uri=CELEX%3A32014L0054</vt:lpwstr>
      </vt:variant>
      <vt:variant>
        <vt:lpwstr/>
      </vt:variant>
      <vt:variant>
        <vt:i4>6553699</vt:i4>
      </vt:variant>
      <vt:variant>
        <vt:i4>264</vt:i4>
      </vt:variant>
      <vt:variant>
        <vt:i4>0</vt:i4>
      </vt:variant>
      <vt:variant>
        <vt:i4>5</vt:i4>
      </vt:variant>
      <vt:variant>
        <vt:lpwstr>http://curia.europa.eu/juris/liste.jsf?language=FR&amp;num=C-93/17</vt:lpwstr>
      </vt:variant>
      <vt:variant>
        <vt:lpwstr/>
      </vt:variant>
      <vt:variant>
        <vt:i4>1900636</vt:i4>
      </vt:variant>
      <vt:variant>
        <vt:i4>261</vt:i4>
      </vt:variant>
      <vt:variant>
        <vt:i4>0</vt:i4>
      </vt:variant>
      <vt:variant>
        <vt:i4>5</vt:i4>
      </vt:variant>
      <vt:variant>
        <vt:lpwstr>http://eur-lex.europa.eu/legal-content/EN/TXT/?uri=CELEX%3A32014L0104</vt:lpwstr>
      </vt:variant>
      <vt:variant>
        <vt:lpwstr/>
      </vt:variant>
      <vt:variant>
        <vt:i4>1310813</vt:i4>
      </vt:variant>
      <vt:variant>
        <vt:i4>258</vt:i4>
      </vt:variant>
      <vt:variant>
        <vt:i4>0</vt:i4>
      </vt:variant>
      <vt:variant>
        <vt:i4>5</vt:i4>
      </vt:variant>
      <vt:variant>
        <vt:lpwstr>http://eur-lex.europa.eu/legal-content/EN/TXT/?uri=celex%3A32014L0094</vt:lpwstr>
      </vt:variant>
      <vt:variant>
        <vt:lpwstr/>
      </vt:variant>
      <vt:variant>
        <vt:i4>2293815</vt:i4>
      </vt:variant>
      <vt:variant>
        <vt:i4>255</vt:i4>
      </vt:variant>
      <vt:variant>
        <vt:i4>0</vt:i4>
      </vt:variant>
      <vt:variant>
        <vt:i4>5</vt:i4>
      </vt:variant>
      <vt:variant>
        <vt:lpwstr>http://europa.eu/rapid/press-release_MEMO-17-4243_en.htm</vt:lpwstr>
      </vt:variant>
      <vt:variant>
        <vt:lpwstr/>
      </vt:variant>
      <vt:variant>
        <vt:i4>524363</vt:i4>
      </vt:variant>
      <vt:variant>
        <vt:i4>252</vt:i4>
      </vt:variant>
      <vt:variant>
        <vt:i4>0</vt:i4>
      </vt:variant>
      <vt:variant>
        <vt:i4>5</vt:i4>
      </vt:variant>
      <vt:variant>
        <vt:lpwstr>http://eur-lex.europa.eu/legal-content/EN/TXT/?qid=1515578704973&amp;uri=CELEX:32015R0757</vt:lpwstr>
      </vt:variant>
      <vt:variant>
        <vt:lpwstr/>
      </vt:variant>
      <vt:variant>
        <vt:i4>66</vt:i4>
      </vt:variant>
      <vt:variant>
        <vt:i4>249</vt:i4>
      </vt:variant>
      <vt:variant>
        <vt:i4>0</vt:i4>
      </vt:variant>
      <vt:variant>
        <vt:i4>5</vt:i4>
      </vt:variant>
      <vt:variant>
        <vt:lpwstr>http://eur-lex.europa.eu/legal-content/EN/TXT/?qid=1509698238573&amp;uri=CELEX:32014R0517</vt:lpwstr>
      </vt:variant>
      <vt:variant>
        <vt:lpwstr/>
      </vt:variant>
      <vt:variant>
        <vt:i4>3080299</vt:i4>
      </vt:variant>
      <vt:variant>
        <vt:i4>246</vt:i4>
      </vt:variant>
      <vt:variant>
        <vt:i4>0</vt:i4>
      </vt:variant>
      <vt:variant>
        <vt:i4>5</vt:i4>
      </vt:variant>
      <vt:variant>
        <vt:lpwstr>http://eur-lex.europa.eu/legal-content/EN/TXT/?qid=1509701456465&amp;uri=CELEX:02009L0031-20120217</vt:lpwstr>
      </vt:variant>
      <vt:variant>
        <vt:lpwstr/>
      </vt:variant>
      <vt:variant>
        <vt:i4>1638491</vt:i4>
      </vt:variant>
      <vt:variant>
        <vt:i4>243</vt:i4>
      </vt:variant>
      <vt:variant>
        <vt:i4>0</vt:i4>
      </vt:variant>
      <vt:variant>
        <vt:i4>5</vt:i4>
      </vt:variant>
      <vt:variant>
        <vt:lpwstr>http://eur-lex.europa.eu/legal-content/EN/TXT/?uri=CELEX%3A32015L0652</vt:lpwstr>
      </vt:variant>
      <vt:variant>
        <vt:lpwstr/>
      </vt:variant>
      <vt:variant>
        <vt:i4>7995476</vt:i4>
      </vt:variant>
      <vt:variant>
        <vt:i4>240</vt:i4>
      </vt:variant>
      <vt:variant>
        <vt:i4>0</vt:i4>
      </vt:variant>
      <vt:variant>
        <vt:i4>5</vt:i4>
      </vt:variant>
      <vt:variant>
        <vt:lpwstr>http://unfccc.int/paris_agreement/items/9485.php</vt:lpwstr>
      </vt:variant>
      <vt:variant>
        <vt:lpwstr/>
      </vt:variant>
      <vt:variant>
        <vt:i4>131179</vt:i4>
      </vt:variant>
      <vt:variant>
        <vt:i4>237</vt:i4>
      </vt:variant>
      <vt:variant>
        <vt:i4>0</vt:i4>
      </vt:variant>
      <vt:variant>
        <vt:i4>5</vt:i4>
      </vt:variant>
      <vt:variant>
        <vt:lpwstr>http://eur-lex.europa.eu/legal-content/EN/TXT/?uri=uriserv:OJ.L_.2017.280.01.0001.01.ENG&amp;toc=OJ:L:2017:280:TOC</vt:lpwstr>
      </vt:variant>
      <vt:variant>
        <vt:lpwstr/>
      </vt:variant>
      <vt:variant>
        <vt:i4>524385</vt:i4>
      </vt:variant>
      <vt:variant>
        <vt:i4>234</vt:i4>
      </vt:variant>
      <vt:variant>
        <vt:i4>0</vt:i4>
      </vt:variant>
      <vt:variant>
        <vt:i4>5</vt:i4>
      </vt:variant>
      <vt:variant>
        <vt:lpwstr>http://eur-lex.europa.eu/legal-content/EN/TXT/?uri=uriserv:OJ.L_.2017.198.01.0001.01.ENG&amp;toc=OJ:L:2017:198:TOC</vt:lpwstr>
      </vt:variant>
      <vt:variant>
        <vt:lpwstr/>
      </vt:variant>
      <vt:variant>
        <vt:i4>2162746</vt:i4>
      </vt:variant>
      <vt:variant>
        <vt:i4>231</vt:i4>
      </vt:variant>
      <vt:variant>
        <vt:i4>0</vt:i4>
      </vt:variant>
      <vt:variant>
        <vt:i4>5</vt:i4>
      </vt:variant>
      <vt:variant>
        <vt:lpwstr>http://europa.eu/rapid/press-release_MEMO-17-1935_en.htm</vt:lpwstr>
      </vt:variant>
      <vt:variant>
        <vt:lpwstr/>
      </vt:variant>
      <vt:variant>
        <vt:i4>3473525</vt:i4>
      </vt:variant>
      <vt:variant>
        <vt:i4>228</vt:i4>
      </vt:variant>
      <vt:variant>
        <vt:i4>0</vt:i4>
      </vt:variant>
      <vt:variant>
        <vt:i4>5</vt:i4>
      </vt:variant>
      <vt:variant>
        <vt:lpwstr>https://ec.europa.eu/energy/en/june-2017-commission-requests-czech-republic-and-netherlands-fully-comply-energy-performance</vt:lpwstr>
      </vt:variant>
      <vt:variant>
        <vt:lpwstr/>
      </vt:variant>
      <vt:variant>
        <vt:i4>2162742</vt:i4>
      </vt:variant>
      <vt:variant>
        <vt:i4>225</vt:i4>
      </vt:variant>
      <vt:variant>
        <vt:i4>0</vt:i4>
      </vt:variant>
      <vt:variant>
        <vt:i4>5</vt:i4>
      </vt:variant>
      <vt:variant>
        <vt:lpwstr>http://europa.eu/rapid/press-release_MEMO-17-4767_en.htm</vt:lpwstr>
      </vt:variant>
      <vt:variant>
        <vt:lpwstr/>
      </vt:variant>
      <vt:variant>
        <vt:i4>3014755</vt:i4>
      </vt:variant>
      <vt:variant>
        <vt:i4>222</vt:i4>
      </vt:variant>
      <vt:variant>
        <vt:i4>0</vt:i4>
      </vt:variant>
      <vt:variant>
        <vt:i4>5</vt:i4>
      </vt:variant>
      <vt:variant>
        <vt:lpwstr>http://europa.eu/rapid/press-release_MEMO-17-234_en.htm</vt:lpwstr>
      </vt:variant>
      <vt:variant>
        <vt:lpwstr/>
      </vt:variant>
      <vt:variant>
        <vt:i4>7798885</vt:i4>
      </vt:variant>
      <vt:variant>
        <vt:i4>219</vt:i4>
      </vt:variant>
      <vt:variant>
        <vt:i4>0</vt:i4>
      </vt:variant>
      <vt:variant>
        <vt:i4>5</vt:i4>
      </vt:variant>
      <vt:variant>
        <vt:lpwstr>https://ec.europa.eu/energy/en/october-2017-energy-efficiency-commission-calls-spain-correctly-implement-eu-rules-energy-efficiency</vt:lpwstr>
      </vt:variant>
      <vt:variant>
        <vt:lpwstr/>
      </vt:variant>
      <vt:variant>
        <vt:i4>2162742</vt:i4>
      </vt:variant>
      <vt:variant>
        <vt:i4>216</vt:i4>
      </vt:variant>
      <vt:variant>
        <vt:i4>0</vt:i4>
      </vt:variant>
      <vt:variant>
        <vt:i4>5</vt:i4>
      </vt:variant>
      <vt:variant>
        <vt:lpwstr>http://europa.eu/rapid/press-release_MEMO-17-4767_en.htm</vt:lpwstr>
      </vt:variant>
      <vt:variant>
        <vt:lpwstr/>
      </vt:variant>
      <vt:variant>
        <vt:i4>3473525</vt:i4>
      </vt:variant>
      <vt:variant>
        <vt:i4>213</vt:i4>
      </vt:variant>
      <vt:variant>
        <vt:i4>0</vt:i4>
      </vt:variant>
      <vt:variant>
        <vt:i4>5</vt:i4>
      </vt:variant>
      <vt:variant>
        <vt:lpwstr>https://ec.europa.eu/energy/en/june-2017-commission-requests-czech-republic-and-netherlands-fully-comply-energy-performance</vt:lpwstr>
      </vt:variant>
      <vt:variant>
        <vt:lpwstr/>
      </vt:variant>
      <vt:variant>
        <vt:i4>131179</vt:i4>
      </vt:variant>
      <vt:variant>
        <vt:i4>210</vt:i4>
      </vt:variant>
      <vt:variant>
        <vt:i4>0</vt:i4>
      </vt:variant>
      <vt:variant>
        <vt:i4>5</vt:i4>
      </vt:variant>
      <vt:variant>
        <vt:lpwstr>http://eur-lex.europa.eu/legal-content/EN/TXT/?uri=uriserv:OJ.L_.2017.280.01.0001.01.ENG&amp;toc=OJ:L:2017:280:TOC</vt:lpwstr>
      </vt:variant>
      <vt:variant>
        <vt:lpwstr/>
      </vt:variant>
      <vt:variant>
        <vt:i4>3473455</vt:i4>
      </vt:variant>
      <vt:variant>
        <vt:i4>207</vt:i4>
      </vt:variant>
      <vt:variant>
        <vt:i4>0</vt:i4>
      </vt:variant>
      <vt:variant>
        <vt:i4>5</vt:i4>
      </vt:variant>
      <vt:variant>
        <vt:lpwstr>http://eur-lex.europa.eu/legal-content/EN/ALL/?uri=CELEX:32009L0028</vt:lpwstr>
      </vt:variant>
      <vt:variant>
        <vt:lpwstr/>
      </vt:variant>
      <vt:variant>
        <vt:i4>3997742</vt:i4>
      </vt:variant>
      <vt:variant>
        <vt:i4>204</vt:i4>
      </vt:variant>
      <vt:variant>
        <vt:i4>0</vt:i4>
      </vt:variant>
      <vt:variant>
        <vt:i4>5</vt:i4>
      </vt:variant>
      <vt:variant>
        <vt:lpwstr>http://eur-lex.europa.eu/legal-content/EN/ALL/?uri=celex:32010L0031</vt:lpwstr>
      </vt:variant>
      <vt:variant>
        <vt:lpwstr/>
      </vt:variant>
      <vt:variant>
        <vt:i4>1638493</vt:i4>
      </vt:variant>
      <vt:variant>
        <vt:i4>201</vt:i4>
      </vt:variant>
      <vt:variant>
        <vt:i4>0</vt:i4>
      </vt:variant>
      <vt:variant>
        <vt:i4>5</vt:i4>
      </vt:variant>
      <vt:variant>
        <vt:lpwstr>http://eur-lex.europa.eu/legal-content/EN/TXT/?uri=celex%3A32012L0027</vt:lpwstr>
      </vt:variant>
      <vt:variant>
        <vt:lpwstr/>
      </vt:variant>
      <vt:variant>
        <vt:i4>1966144</vt:i4>
      </vt:variant>
      <vt:variant>
        <vt:i4>198</vt:i4>
      </vt:variant>
      <vt:variant>
        <vt:i4>0</vt:i4>
      </vt:variant>
      <vt:variant>
        <vt:i4>5</vt:i4>
      </vt:variant>
      <vt:variant>
        <vt:lpwstr>http://eur-lex.europa.eu/legal-content/EN/TXT/?uri=CELEX%3A32013R0347</vt:lpwstr>
      </vt:variant>
      <vt:variant>
        <vt:lpwstr/>
      </vt:variant>
      <vt:variant>
        <vt:i4>1769553</vt:i4>
      </vt:variant>
      <vt:variant>
        <vt:i4>195</vt:i4>
      </vt:variant>
      <vt:variant>
        <vt:i4>0</vt:i4>
      </vt:variant>
      <vt:variant>
        <vt:i4>5</vt:i4>
      </vt:variant>
      <vt:variant>
        <vt:lpwstr>http://europa.eu/rapid/press-release_MEMO-11-125_en.htm?locale=en</vt:lpwstr>
      </vt:variant>
      <vt:variant>
        <vt:lpwstr/>
      </vt:variant>
      <vt:variant>
        <vt:i4>6553694</vt:i4>
      </vt:variant>
      <vt:variant>
        <vt:i4>192</vt:i4>
      </vt:variant>
      <vt:variant>
        <vt:i4>0</vt:i4>
      </vt:variant>
      <vt:variant>
        <vt:i4>5</vt:i4>
      </vt:variant>
      <vt:variant>
        <vt:lpwstr>http://ec.europa.eu/priorities/energy-union/index_en.htm</vt:lpwstr>
      </vt:variant>
      <vt:variant>
        <vt:lpwstr/>
      </vt:variant>
      <vt:variant>
        <vt:i4>2949181</vt:i4>
      </vt:variant>
      <vt:variant>
        <vt:i4>189</vt:i4>
      </vt:variant>
      <vt:variant>
        <vt:i4>0</vt:i4>
      </vt:variant>
      <vt:variant>
        <vt:i4>5</vt:i4>
      </vt:variant>
      <vt:variant>
        <vt:lpwstr>http://curia.europa.eu/juris/liste.jsf?num=C-610/15</vt:lpwstr>
      </vt:variant>
      <vt:variant>
        <vt:lpwstr/>
      </vt:variant>
      <vt:variant>
        <vt:i4>2031709</vt:i4>
      </vt:variant>
      <vt:variant>
        <vt:i4>186</vt:i4>
      </vt:variant>
      <vt:variant>
        <vt:i4>0</vt:i4>
      </vt:variant>
      <vt:variant>
        <vt:i4>5</vt:i4>
      </vt:variant>
      <vt:variant>
        <vt:lpwstr>http://eur-lex.europa.eu/legal-content/EN/TXT/?uri=celex%3A32014L0026</vt:lpwstr>
      </vt:variant>
      <vt:variant>
        <vt:lpwstr/>
      </vt:variant>
      <vt:variant>
        <vt:i4>2162742</vt:i4>
      </vt:variant>
      <vt:variant>
        <vt:i4>183</vt:i4>
      </vt:variant>
      <vt:variant>
        <vt:i4>0</vt:i4>
      </vt:variant>
      <vt:variant>
        <vt:i4>5</vt:i4>
      </vt:variant>
      <vt:variant>
        <vt:lpwstr>http://europa.eu/rapid/press-release_MEMO-17-4767_en.htm</vt:lpwstr>
      </vt:variant>
      <vt:variant>
        <vt:lpwstr/>
      </vt:variant>
      <vt:variant>
        <vt:i4>1769565</vt:i4>
      </vt:variant>
      <vt:variant>
        <vt:i4>180</vt:i4>
      </vt:variant>
      <vt:variant>
        <vt:i4>0</vt:i4>
      </vt:variant>
      <vt:variant>
        <vt:i4>5</vt:i4>
      </vt:variant>
      <vt:variant>
        <vt:lpwstr>http://eur-lex.europa.eu/legal-content/en/TXT/?uri=celex%3A32014L0061</vt:lpwstr>
      </vt:variant>
      <vt:variant>
        <vt:lpwstr/>
      </vt:variant>
      <vt:variant>
        <vt:i4>4718658</vt:i4>
      </vt:variant>
      <vt:variant>
        <vt:i4>177</vt:i4>
      </vt:variant>
      <vt:variant>
        <vt:i4>0</vt:i4>
      </vt:variant>
      <vt:variant>
        <vt:i4>5</vt:i4>
      </vt:variant>
      <vt:variant>
        <vt:lpwstr>http://europa.eu/rapid/press-release_IP-17-1937_en.htm</vt:lpwstr>
      </vt:variant>
      <vt:variant>
        <vt:lpwstr/>
      </vt:variant>
      <vt:variant>
        <vt:i4>3997746</vt:i4>
      </vt:variant>
      <vt:variant>
        <vt:i4>174</vt:i4>
      </vt:variant>
      <vt:variant>
        <vt:i4>0</vt:i4>
      </vt:variant>
      <vt:variant>
        <vt:i4>5</vt:i4>
      </vt:variant>
      <vt:variant>
        <vt:lpwstr>http://eur-lex.europa.eu/legal-content/FR/ALL/?uri=CELEX:32013L0037</vt:lpwstr>
      </vt:variant>
      <vt:variant>
        <vt:lpwstr/>
      </vt:variant>
      <vt:variant>
        <vt:i4>8257599</vt:i4>
      </vt:variant>
      <vt:variant>
        <vt:i4>171</vt:i4>
      </vt:variant>
      <vt:variant>
        <vt:i4>0</vt:i4>
      </vt:variant>
      <vt:variant>
        <vt:i4>5</vt:i4>
      </vt:variant>
      <vt:variant>
        <vt:lpwstr>https://ec.europa.eu/digital-single-market/en/european-legislation-reuse-public-sector-information</vt:lpwstr>
      </vt:variant>
      <vt:variant>
        <vt:lpwstr/>
      </vt:variant>
      <vt:variant>
        <vt:i4>5308469</vt:i4>
      </vt:variant>
      <vt:variant>
        <vt:i4>168</vt:i4>
      </vt:variant>
      <vt:variant>
        <vt:i4>0</vt:i4>
      </vt:variant>
      <vt:variant>
        <vt:i4>5</vt:i4>
      </vt:variant>
      <vt:variant>
        <vt:lpwstr>http://eur-lex.europa.eu/legal-content/EN/TXT/?uri=uriserv%3AOJ.L_.2014.257.01.0073.01.ENG</vt:lpwstr>
      </vt:variant>
      <vt:variant>
        <vt:lpwstr/>
      </vt:variant>
      <vt:variant>
        <vt:i4>5308510</vt:i4>
      </vt:variant>
      <vt:variant>
        <vt:i4>165</vt:i4>
      </vt:variant>
      <vt:variant>
        <vt:i4>0</vt:i4>
      </vt:variant>
      <vt:variant>
        <vt:i4>5</vt:i4>
      </vt:variant>
      <vt:variant>
        <vt:lpwstr>https://ec.europa.eu/digital-single-market/en/policies/trust-services-and-eidentification</vt:lpwstr>
      </vt:variant>
      <vt:variant>
        <vt:lpwstr/>
      </vt:variant>
      <vt:variant>
        <vt:i4>1835074</vt:i4>
      </vt:variant>
      <vt:variant>
        <vt:i4>162</vt:i4>
      </vt:variant>
      <vt:variant>
        <vt:i4>0</vt:i4>
      </vt:variant>
      <vt:variant>
        <vt:i4>5</vt:i4>
      </vt:variant>
      <vt:variant>
        <vt:lpwstr>http://eur-lex.europa.eu/legal-content/EN/TXT/?uri=CELEX%3A32015R2120</vt:lpwstr>
      </vt:variant>
      <vt:variant>
        <vt:lpwstr/>
      </vt:variant>
      <vt:variant>
        <vt:i4>3997714</vt:i4>
      </vt:variant>
      <vt:variant>
        <vt:i4>159</vt:i4>
      </vt:variant>
      <vt:variant>
        <vt:i4>0</vt:i4>
      </vt:variant>
      <vt:variant>
        <vt:i4>5</vt:i4>
      </vt:variant>
      <vt:variant>
        <vt:lpwstr>https://europa.eu/youreurope/citizens/consumers/internet-telecoms/mobile-roaming-costs/index_en.htm</vt:lpwstr>
      </vt:variant>
      <vt:variant>
        <vt:lpwstr/>
      </vt:variant>
      <vt:variant>
        <vt:i4>7077933</vt:i4>
      </vt:variant>
      <vt:variant>
        <vt:i4>156</vt:i4>
      </vt:variant>
      <vt:variant>
        <vt:i4>0</vt:i4>
      </vt:variant>
      <vt:variant>
        <vt:i4>5</vt:i4>
      </vt:variant>
      <vt:variant>
        <vt:lpwstr>http://curia.europa.eu/juris/liste.jsf?pro=&amp;lgrec=fr&amp;nat=or&amp;oqp=&amp;dates=&amp;lg=&amp;language=en&amp;jur=C%2CT%2CF&amp;cit=none%252CC%252CCJ%252CR%252C2008E%252C%252C%252C%252C%252C%252C%252C%252C%252C%252Ctrue%252Cfalse%252Cfalse&amp;num=C-391%252F17&amp;td=%3BALL&amp;pcs=Oor&amp;avg=&amp;page=1&amp;mat=or&amp;jge=&amp;for=&amp;cid=453455</vt:lpwstr>
      </vt:variant>
      <vt:variant>
        <vt:lpwstr/>
      </vt:variant>
      <vt:variant>
        <vt:i4>7077929</vt:i4>
      </vt:variant>
      <vt:variant>
        <vt:i4>153</vt:i4>
      </vt:variant>
      <vt:variant>
        <vt:i4>0</vt:i4>
      </vt:variant>
      <vt:variant>
        <vt:i4>5</vt:i4>
      </vt:variant>
      <vt:variant>
        <vt:lpwstr>http://curia.europa.eu/juris/liste.jsf?pro=&amp;lgrec=fr&amp;nat=or&amp;oqp=&amp;dates=&amp;lg=&amp;language=en&amp;jur=C%2CT%2CF&amp;cit=none%252CC%252CCJ%252CR%252C2008E%252C%252C%252C%252C%252C%252C%252C%252C%252C%252Ctrue%252Cfalse%252Cfalse&amp;num=C-395%252F17&amp;td=%3BALL&amp;pcs=Oor&amp;avg=&amp;page=1&amp;mat=or&amp;jge=&amp;for=&amp;cid=453655</vt:lpwstr>
      </vt:variant>
      <vt:variant>
        <vt:lpwstr/>
      </vt:variant>
      <vt:variant>
        <vt:i4>7340048</vt:i4>
      </vt:variant>
      <vt:variant>
        <vt:i4>150</vt:i4>
      </vt:variant>
      <vt:variant>
        <vt:i4>0</vt:i4>
      </vt:variant>
      <vt:variant>
        <vt:i4>5</vt:i4>
      </vt:variant>
      <vt:variant>
        <vt:lpwstr>http://ec.europa.eu/regional_policy/en/information/publications/studies/2017/the-value-added-of-ex-ante-conditionalities-in-the-european-structural-and-investment-funds-esi-funds</vt:lpwstr>
      </vt:variant>
      <vt:variant>
        <vt:lpwstr/>
      </vt:variant>
      <vt:variant>
        <vt:i4>3407944</vt:i4>
      </vt:variant>
      <vt:variant>
        <vt:i4>147</vt:i4>
      </vt:variant>
      <vt:variant>
        <vt:i4>0</vt:i4>
      </vt:variant>
      <vt:variant>
        <vt:i4>5</vt:i4>
      </vt:variant>
      <vt:variant>
        <vt:lpwstr>https://ec.europa.eu/info/funding-tenders-0/european-structural-and-investment-funds_en</vt:lpwstr>
      </vt:variant>
      <vt:variant>
        <vt:lpwstr/>
      </vt:variant>
      <vt:variant>
        <vt:i4>1376349</vt:i4>
      </vt:variant>
      <vt:variant>
        <vt:i4>144</vt:i4>
      </vt:variant>
      <vt:variant>
        <vt:i4>0</vt:i4>
      </vt:variant>
      <vt:variant>
        <vt:i4>5</vt:i4>
      </vt:variant>
      <vt:variant>
        <vt:lpwstr>http://eur-lex.europa.eu/legal-content/EN/TXT/?uri=celex%3A32014L0089</vt:lpwstr>
      </vt:variant>
      <vt:variant>
        <vt:lpwstr/>
      </vt:variant>
      <vt:variant>
        <vt:i4>3014755</vt:i4>
      </vt:variant>
      <vt:variant>
        <vt:i4>141</vt:i4>
      </vt:variant>
      <vt:variant>
        <vt:i4>0</vt:i4>
      </vt:variant>
      <vt:variant>
        <vt:i4>5</vt:i4>
      </vt:variant>
      <vt:variant>
        <vt:lpwstr>http://europa.eu/rapid/press-release_MEMO-17-234_en.htm</vt:lpwstr>
      </vt:variant>
      <vt:variant>
        <vt:lpwstr/>
      </vt:variant>
      <vt:variant>
        <vt:i4>2162746</vt:i4>
      </vt:variant>
      <vt:variant>
        <vt:i4>138</vt:i4>
      </vt:variant>
      <vt:variant>
        <vt:i4>0</vt:i4>
      </vt:variant>
      <vt:variant>
        <vt:i4>5</vt:i4>
      </vt:variant>
      <vt:variant>
        <vt:lpwstr>http://europa.eu/rapid/press-release_MEMO-17-1935_en.htm</vt:lpwstr>
      </vt:variant>
      <vt:variant>
        <vt:lpwstr/>
      </vt:variant>
      <vt:variant>
        <vt:i4>5374004</vt:i4>
      </vt:variant>
      <vt:variant>
        <vt:i4>135</vt:i4>
      </vt:variant>
      <vt:variant>
        <vt:i4>0</vt:i4>
      </vt:variant>
      <vt:variant>
        <vt:i4>5</vt:i4>
      </vt:variant>
      <vt:variant>
        <vt:lpwstr>http://eur-lex.europa.eu/legal-content/EN/TXT/?uri=uriserv%3AOJ.L_.2015.314.01.0001.01.ENG</vt:lpwstr>
      </vt:variant>
      <vt:variant>
        <vt:lpwstr/>
      </vt:variant>
      <vt:variant>
        <vt:i4>1245220</vt:i4>
      </vt:variant>
      <vt:variant>
        <vt:i4>132</vt:i4>
      </vt:variant>
      <vt:variant>
        <vt:i4>0</vt:i4>
      </vt:variant>
      <vt:variant>
        <vt:i4>5</vt:i4>
      </vt:variant>
      <vt:variant>
        <vt:lpwstr>https://ec.europa.eu/agriculture/direct-support/direct-payments_en</vt:lpwstr>
      </vt:variant>
      <vt:variant>
        <vt:lpwstr/>
      </vt:variant>
      <vt:variant>
        <vt:i4>7405589</vt:i4>
      </vt:variant>
      <vt:variant>
        <vt:i4>129</vt:i4>
      </vt:variant>
      <vt:variant>
        <vt:i4>0</vt:i4>
      </vt:variant>
      <vt:variant>
        <vt:i4>5</vt:i4>
      </vt:variant>
      <vt:variant>
        <vt:lpwstr>http://ec.europa.eu/environment/eir/p2p/index_en.htm</vt:lpwstr>
      </vt:variant>
      <vt:variant>
        <vt:lpwstr/>
      </vt:variant>
      <vt:variant>
        <vt:i4>5898347</vt:i4>
      </vt:variant>
      <vt:variant>
        <vt:i4>126</vt:i4>
      </vt:variant>
      <vt:variant>
        <vt:i4>0</vt:i4>
      </vt:variant>
      <vt:variant>
        <vt:i4>5</vt:i4>
      </vt:variant>
      <vt:variant>
        <vt:lpwstr>http://ec.europa.eu/environment/eir/country-reports/index2_en.htm</vt:lpwstr>
      </vt:variant>
      <vt:variant>
        <vt:lpwstr/>
      </vt:variant>
      <vt:variant>
        <vt:i4>5111808</vt:i4>
      </vt:variant>
      <vt:variant>
        <vt:i4>123</vt:i4>
      </vt:variant>
      <vt:variant>
        <vt:i4>0</vt:i4>
      </vt:variant>
      <vt:variant>
        <vt:i4>5</vt:i4>
      </vt:variant>
      <vt:variant>
        <vt:lpwstr>http://curia.europa.eu/juris/liste.jsf?language=en&amp;jur=C,T,F&amp;num=C-202/16&amp;td=ALL</vt:lpwstr>
      </vt:variant>
      <vt:variant>
        <vt:lpwstr/>
      </vt:variant>
      <vt:variant>
        <vt:i4>4784131</vt:i4>
      </vt:variant>
      <vt:variant>
        <vt:i4>120</vt:i4>
      </vt:variant>
      <vt:variant>
        <vt:i4>0</vt:i4>
      </vt:variant>
      <vt:variant>
        <vt:i4>5</vt:i4>
      </vt:variant>
      <vt:variant>
        <vt:lpwstr>http://curia.europa.eu/juris/liste.jsf?language=en&amp;jur=C,T,F&amp;num=C-502/15&amp;td=ALL</vt:lpwstr>
      </vt:variant>
      <vt:variant>
        <vt:lpwstr/>
      </vt:variant>
      <vt:variant>
        <vt:i4>3407932</vt:i4>
      </vt:variant>
      <vt:variant>
        <vt:i4>117</vt:i4>
      </vt:variant>
      <vt:variant>
        <vt:i4>0</vt:i4>
      </vt:variant>
      <vt:variant>
        <vt:i4>5</vt:i4>
      </vt:variant>
      <vt:variant>
        <vt:lpwstr>http://curia.europa.eu/juris/document/document.jsf?text=&amp;docid=189624&amp;pageIndex=0&amp;doclang=EN&amp;mode=req&amp;dir=&amp;occ=first&amp;part=1</vt:lpwstr>
      </vt:variant>
      <vt:variant>
        <vt:lpwstr/>
      </vt:variant>
      <vt:variant>
        <vt:i4>6160453</vt:i4>
      </vt:variant>
      <vt:variant>
        <vt:i4>114</vt:i4>
      </vt:variant>
      <vt:variant>
        <vt:i4>0</vt:i4>
      </vt:variant>
      <vt:variant>
        <vt:i4>5</vt:i4>
      </vt:variant>
      <vt:variant>
        <vt:lpwstr>http://curia.europa.eu/juris/liste.jsf?language=en&amp;jur=C,T,F&amp;num=C-441/17%20R&amp;td=ALL</vt:lpwstr>
      </vt:variant>
      <vt:variant>
        <vt:lpwstr/>
      </vt:variant>
      <vt:variant>
        <vt:i4>5177421</vt:i4>
      </vt:variant>
      <vt:variant>
        <vt:i4>111</vt:i4>
      </vt:variant>
      <vt:variant>
        <vt:i4>0</vt:i4>
      </vt:variant>
      <vt:variant>
        <vt:i4>5</vt:i4>
      </vt:variant>
      <vt:variant>
        <vt:lpwstr>http://europa.eu/rapid/press-release_IP-17-1948_en.htm</vt:lpwstr>
      </vt:variant>
      <vt:variant>
        <vt:lpwstr/>
      </vt:variant>
      <vt:variant>
        <vt:i4>2228276</vt:i4>
      </vt:variant>
      <vt:variant>
        <vt:i4>108</vt:i4>
      </vt:variant>
      <vt:variant>
        <vt:i4>0</vt:i4>
      </vt:variant>
      <vt:variant>
        <vt:i4>5</vt:i4>
      </vt:variant>
      <vt:variant>
        <vt:lpwstr>http://curia.europa.eu/juris/liste.jsf?num=C-188/15</vt:lpwstr>
      </vt:variant>
      <vt:variant>
        <vt:lpwstr/>
      </vt:variant>
      <vt:variant>
        <vt:i4>2949177</vt:i4>
      </vt:variant>
      <vt:variant>
        <vt:i4>105</vt:i4>
      </vt:variant>
      <vt:variant>
        <vt:i4>0</vt:i4>
      </vt:variant>
      <vt:variant>
        <vt:i4>5</vt:i4>
      </vt:variant>
      <vt:variant>
        <vt:lpwstr>http://curia.europa.eu/juris/liste.jsf?num=C-157/15</vt:lpwstr>
      </vt:variant>
      <vt:variant>
        <vt:lpwstr/>
      </vt:variant>
      <vt:variant>
        <vt:i4>1638493</vt:i4>
      </vt:variant>
      <vt:variant>
        <vt:i4>102</vt:i4>
      </vt:variant>
      <vt:variant>
        <vt:i4>0</vt:i4>
      </vt:variant>
      <vt:variant>
        <vt:i4>5</vt:i4>
      </vt:variant>
      <vt:variant>
        <vt:lpwstr>http://eur-lex.europa.eu/legal-content/EN/TXT/?uri=celex%3A32013L0035</vt:lpwstr>
      </vt:variant>
      <vt:variant>
        <vt:lpwstr/>
      </vt:variant>
      <vt:variant>
        <vt:i4>5701711</vt:i4>
      </vt:variant>
      <vt:variant>
        <vt:i4>99</vt:i4>
      </vt:variant>
      <vt:variant>
        <vt:i4>0</vt:i4>
      </vt:variant>
      <vt:variant>
        <vt:i4>5</vt:i4>
      </vt:variant>
      <vt:variant>
        <vt:lpwstr>http://ec.europa.eu/social/main.jsp?catId=1314&amp;langId=en</vt:lpwstr>
      </vt:variant>
      <vt:variant>
        <vt:lpwstr/>
      </vt:variant>
      <vt:variant>
        <vt:i4>6488166</vt:i4>
      </vt:variant>
      <vt:variant>
        <vt:i4>96</vt:i4>
      </vt:variant>
      <vt:variant>
        <vt:i4>0</vt:i4>
      </vt:variant>
      <vt:variant>
        <vt:i4>5</vt:i4>
      </vt:variant>
      <vt:variant>
        <vt:lpwstr>http://eur-lex.europa.eu/legal-content/EN/TXT/?qid=1517313799574&amp;uri=CELEX:52017DC0254</vt:lpwstr>
      </vt:variant>
      <vt:variant>
        <vt:lpwstr/>
      </vt:variant>
      <vt:variant>
        <vt:i4>5701711</vt:i4>
      </vt:variant>
      <vt:variant>
        <vt:i4>93</vt:i4>
      </vt:variant>
      <vt:variant>
        <vt:i4>0</vt:i4>
      </vt:variant>
      <vt:variant>
        <vt:i4>5</vt:i4>
      </vt:variant>
      <vt:variant>
        <vt:lpwstr>http://ec.europa.eu/social/main.jsp?catId=1314&amp;langId=en</vt:lpwstr>
      </vt:variant>
      <vt:variant>
        <vt:lpwstr/>
      </vt:variant>
      <vt:variant>
        <vt:i4>5242908</vt:i4>
      </vt:variant>
      <vt:variant>
        <vt:i4>90</vt:i4>
      </vt:variant>
      <vt:variant>
        <vt:i4>0</vt:i4>
      </vt:variant>
      <vt:variant>
        <vt:i4>5</vt:i4>
      </vt:variant>
      <vt:variant>
        <vt:lpwstr>http://eur-lex.europa.eu/legal-content/EN/TXT/?uri=CELEX:52017XC0524(01)</vt:lpwstr>
      </vt:variant>
      <vt:variant>
        <vt:lpwstr/>
      </vt:variant>
      <vt:variant>
        <vt:i4>5701711</vt:i4>
      </vt:variant>
      <vt:variant>
        <vt:i4>87</vt:i4>
      </vt:variant>
      <vt:variant>
        <vt:i4>0</vt:i4>
      </vt:variant>
      <vt:variant>
        <vt:i4>5</vt:i4>
      </vt:variant>
      <vt:variant>
        <vt:lpwstr>http://ec.europa.eu/social/main.jsp?catId=1314&amp;langId=en</vt:lpwstr>
      </vt:variant>
      <vt:variant>
        <vt:lpwstr/>
      </vt:variant>
      <vt:variant>
        <vt:i4>6291529</vt:i4>
      </vt:variant>
      <vt:variant>
        <vt:i4>84</vt:i4>
      </vt:variant>
      <vt:variant>
        <vt:i4>0</vt:i4>
      </vt:variant>
      <vt:variant>
        <vt:i4>5</vt:i4>
      </vt:variant>
      <vt:variant>
        <vt:lpwstr>http://eur-lex.europa.eu/legal-content/EN/TXT/?uri=uriserv:OJ.C_.2017.018.01.0010.01.ENG</vt:lpwstr>
      </vt:variant>
      <vt:variant>
        <vt:lpwstr/>
      </vt:variant>
      <vt:variant>
        <vt:i4>6291529</vt:i4>
      </vt:variant>
      <vt:variant>
        <vt:i4>81</vt:i4>
      </vt:variant>
      <vt:variant>
        <vt:i4>0</vt:i4>
      </vt:variant>
      <vt:variant>
        <vt:i4>5</vt:i4>
      </vt:variant>
      <vt:variant>
        <vt:lpwstr>http://eur-lex.europa.eu/legal-content/EN/TXT/?uri=uriserv:OJ.C_.2017.018.01.0010.01.ENG</vt:lpwstr>
      </vt:variant>
      <vt:variant>
        <vt:lpwstr/>
      </vt:variant>
      <vt:variant>
        <vt:i4>5177412</vt:i4>
      </vt:variant>
      <vt:variant>
        <vt:i4>78</vt:i4>
      </vt:variant>
      <vt:variant>
        <vt:i4>0</vt:i4>
      </vt:variant>
      <vt:variant>
        <vt:i4>5</vt:i4>
      </vt:variant>
      <vt:variant>
        <vt:lpwstr>http://europa.eu/rapid/press-release_IP-17-5109_en.htm</vt:lpwstr>
      </vt:variant>
      <vt:variant>
        <vt:lpwstr/>
      </vt:variant>
      <vt:variant>
        <vt:i4>4784200</vt:i4>
      </vt:variant>
      <vt:variant>
        <vt:i4>75</vt:i4>
      </vt:variant>
      <vt:variant>
        <vt:i4>0</vt:i4>
      </vt:variant>
      <vt:variant>
        <vt:i4>5</vt:i4>
      </vt:variant>
      <vt:variant>
        <vt:lpwstr>http://europa.eu/rapid/press-release_IP-17-5367_en.htm</vt:lpwstr>
      </vt:variant>
      <vt:variant>
        <vt:lpwstr/>
      </vt:variant>
      <vt:variant>
        <vt:i4>6291529</vt:i4>
      </vt:variant>
      <vt:variant>
        <vt:i4>72</vt:i4>
      </vt:variant>
      <vt:variant>
        <vt:i4>0</vt:i4>
      </vt:variant>
      <vt:variant>
        <vt:i4>5</vt:i4>
      </vt:variant>
      <vt:variant>
        <vt:lpwstr>http://eur-lex.europa.eu/legal-content/EN/TXT/?uri=uriserv:OJ.C_.2017.018.01.0010.01.ENG</vt:lpwstr>
      </vt:variant>
      <vt:variant>
        <vt:lpwstr/>
      </vt:variant>
      <vt:variant>
        <vt:i4>786443</vt:i4>
      </vt:variant>
      <vt:variant>
        <vt:i4>69</vt:i4>
      </vt:variant>
      <vt:variant>
        <vt:i4>0</vt:i4>
      </vt:variant>
      <vt:variant>
        <vt:i4>5</vt:i4>
      </vt:variant>
      <vt:variant>
        <vt:lpwstr>http://eur-lex.europa.eu/legal-content/EN/TXT/?uri=COM%3A2015%3A550%3AFIN</vt:lpwstr>
      </vt:variant>
      <vt:variant>
        <vt:lpwstr/>
      </vt:variant>
      <vt:variant>
        <vt:i4>80</vt:i4>
      </vt:variant>
      <vt:variant>
        <vt:i4>66</vt:i4>
      </vt:variant>
      <vt:variant>
        <vt:i4>0</vt:i4>
      </vt:variant>
      <vt:variant>
        <vt:i4>5</vt:i4>
      </vt:variant>
      <vt:variant>
        <vt:lpwstr>http://eur-lex.europa.eu/legal-content/EN/TXT/?uri=CELEX%3A32016Q0512%2801%29</vt:lpwstr>
      </vt:variant>
      <vt:variant>
        <vt:lpwstr/>
      </vt:variant>
      <vt:variant>
        <vt:i4>6291529</vt:i4>
      </vt:variant>
      <vt:variant>
        <vt:i4>63</vt:i4>
      </vt:variant>
      <vt:variant>
        <vt:i4>0</vt:i4>
      </vt:variant>
      <vt:variant>
        <vt:i4>5</vt:i4>
      </vt:variant>
      <vt:variant>
        <vt:lpwstr>http://eur-lex.europa.eu/legal-content/EN/TXT/?uri=uriserv:OJ.C_.2017.018.01.0010.01.ENG</vt:lpwstr>
      </vt:variant>
      <vt:variant>
        <vt:lpwstr/>
      </vt:variant>
      <vt:variant>
        <vt:i4>1703989</vt:i4>
      </vt:variant>
      <vt:variant>
        <vt:i4>56</vt:i4>
      </vt:variant>
      <vt:variant>
        <vt:i4>0</vt:i4>
      </vt:variant>
      <vt:variant>
        <vt:i4>5</vt:i4>
      </vt:variant>
      <vt:variant>
        <vt:lpwstr/>
      </vt:variant>
      <vt:variant>
        <vt:lpwstr>_Toc506309674</vt:lpwstr>
      </vt:variant>
      <vt:variant>
        <vt:i4>1703989</vt:i4>
      </vt:variant>
      <vt:variant>
        <vt:i4>50</vt:i4>
      </vt:variant>
      <vt:variant>
        <vt:i4>0</vt:i4>
      </vt:variant>
      <vt:variant>
        <vt:i4>5</vt:i4>
      </vt:variant>
      <vt:variant>
        <vt:lpwstr/>
      </vt:variant>
      <vt:variant>
        <vt:lpwstr>_Toc506309673</vt:lpwstr>
      </vt:variant>
      <vt:variant>
        <vt:i4>1703989</vt:i4>
      </vt:variant>
      <vt:variant>
        <vt:i4>44</vt:i4>
      </vt:variant>
      <vt:variant>
        <vt:i4>0</vt:i4>
      </vt:variant>
      <vt:variant>
        <vt:i4>5</vt:i4>
      </vt:variant>
      <vt:variant>
        <vt:lpwstr/>
      </vt:variant>
      <vt:variant>
        <vt:lpwstr>_Toc506309672</vt:lpwstr>
      </vt:variant>
      <vt:variant>
        <vt:i4>1703989</vt:i4>
      </vt:variant>
      <vt:variant>
        <vt:i4>38</vt:i4>
      </vt:variant>
      <vt:variant>
        <vt:i4>0</vt:i4>
      </vt:variant>
      <vt:variant>
        <vt:i4>5</vt:i4>
      </vt:variant>
      <vt:variant>
        <vt:lpwstr/>
      </vt:variant>
      <vt:variant>
        <vt:lpwstr>_Toc506309671</vt:lpwstr>
      </vt:variant>
      <vt:variant>
        <vt:i4>1703989</vt:i4>
      </vt:variant>
      <vt:variant>
        <vt:i4>32</vt:i4>
      </vt:variant>
      <vt:variant>
        <vt:i4>0</vt:i4>
      </vt:variant>
      <vt:variant>
        <vt:i4>5</vt:i4>
      </vt:variant>
      <vt:variant>
        <vt:lpwstr/>
      </vt:variant>
      <vt:variant>
        <vt:lpwstr>_Toc506309670</vt:lpwstr>
      </vt:variant>
      <vt:variant>
        <vt:i4>1769525</vt:i4>
      </vt:variant>
      <vt:variant>
        <vt:i4>26</vt:i4>
      </vt:variant>
      <vt:variant>
        <vt:i4>0</vt:i4>
      </vt:variant>
      <vt:variant>
        <vt:i4>5</vt:i4>
      </vt:variant>
      <vt:variant>
        <vt:lpwstr/>
      </vt:variant>
      <vt:variant>
        <vt:lpwstr>_Toc506309669</vt:lpwstr>
      </vt:variant>
      <vt:variant>
        <vt:i4>1769525</vt:i4>
      </vt:variant>
      <vt:variant>
        <vt:i4>20</vt:i4>
      </vt:variant>
      <vt:variant>
        <vt:i4>0</vt:i4>
      </vt:variant>
      <vt:variant>
        <vt:i4>5</vt:i4>
      </vt:variant>
      <vt:variant>
        <vt:lpwstr/>
      </vt:variant>
      <vt:variant>
        <vt:lpwstr>_Toc506309668</vt:lpwstr>
      </vt:variant>
      <vt:variant>
        <vt:i4>1769525</vt:i4>
      </vt:variant>
      <vt:variant>
        <vt:i4>14</vt:i4>
      </vt:variant>
      <vt:variant>
        <vt:i4>0</vt:i4>
      </vt:variant>
      <vt:variant>
        <vt:i4>5</vt:i4>
      </vt:variant>
      <vt:variant>
        <vt:lpwstr/>
      </vt:variant>
      <vt:variant>
        <vt:lpwstr>_Toc506309667</vt:lpwstr>
      </vt:variant>
      <vt:variant>
        <vt:i4>1769525</vt:i4>
      </vt:variant>
      <vt:variant>
        <vt:i4>8</vt:i4>
      </vt:variant>
      <vt:variant>
        <vt:i4>0</vt:i4>
      </vt:variant>
      <vt:variant>
        <vt:i4>5</vt:i4>
      </vt:variant>
      <vt:variant>
        <vt:lpwstr/>
      </vt:variant>
      <vt:variant>
        <vt:lpwstr>_Toc506309666</vt:lpwstr>
      </vt:variant>
      <vt:variant>
        <vt:i4>1769525</vt:i4>
      </vt:variant>
      <vt:variant>
        <vt:i4>2</vt:i4>
      </vt:variant>
      <vt:variant>
        <vt:i4>0</vt:i4>
      </vt:variant>
      <vt:variant>
        <vt:i4>5</vt:i4>
      </vt:variant>
      <vt:variant>
        <vt:lpwstr/>
      </vt:variant>
      <vt:variant>
        <vt:lpwstr>_Toc506309665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Application of European Union law</dc:title>
  <dc:creator/>
  <cp:lastModifiedBy>BARTH Carmen (SG)</cp:lastModifiedBy>
  <cp:revision>45</cp:revision>
  <cp:lastPrinted>2018-06-13T15:19:00Z</cp:lastPrinted>
  <dcterms:created xsi:type="dcterms:W3CDTF">2018-07-03T10:17:00Z</dcterms:created>
  <dcterms:modified xsi:type="dcterms:W3CDTF">2018-07-24T12:46:00Z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0x010100429F0726229EA944A351C92A661F0C83</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Last edited using">
    <vt:lpwstr>LW 6.0.1, Build 20180503</vt:lpwstr>
  </property>
  <property fmtid="{D5CDD505-2E9C-101B-9397-08002B2CF9AE}" pid="8" name="Created using">
    <vt:lpwstr>LW 6.0.1, Build 20180503</vt:lpwstr>
  </property>
</Properties>
</file>