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F51266E-F5ED-4B79-AA2C-C0EE7BEB1355" style="width:450.75pt;height:362.2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spacing w:after="12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 ДО ЕВРОПЕЙСКИЯ ПАРЛАМЕНТ, СЪВЕТА, ЕВРОПЕЙСКИЯ ИКОНОМИЧЕСКИ И СОЦИАЛЕН КОМИТЕТ И КОМИТЕТА НА РЕГИОНИТЕ</w:t>
      </w:r>
    </w:p>
    <w:p>
      <w:pPr>
        <w:spacing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 xml:space="preserve">относно междинната оценка на изпълнението на програма „Правосъдие“ за периода 2014 — 2020 г.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Договорът за функционирането на Европейския съюз предвижда създаването на европейско пространство на свобода, сигурност и правосъдие, основаващо се на взаимно признаване на съдебните решения и взаимно доверие между държавите членки, в което хората се движат свободно и могат да разчитат на зачитането на основните права, както и на общите принципи (като недискриминация, равенство между половете, ефективен достъп до правосъдие за всички, правова държава и добре функционираща независима съдебна система). </w:t>
      </w:r>
    </w:p>
    <w:p>
      <w:pPr>
        <w:spacing w:after="120" w:line="240" w:lineRule="auto"/>
        <w:jc w:val="both"/>
        <w:rPr>
          <w:rFonts w:ascii="Times New Roman" w:hAnsi="Times New Roman" w:cs="Times New Roman"/>
          <w:noProof/>
          <w:sz w:val="24"/>
          <w:szCs w:val="24"/>
        </w:rPr>
      </w:pPr>
      <w:r>
        <w:rPr>
          <w:rFonts w:ascii="Times New Roman" w:hAnsi="Times New Roman"/>
          <w:noProof/>
          <w:sz w:val="24"/>
        </w:rPr>
        <w:t>Тези амбициозни цели, посочени с Договора, бяха също така потвърдени от Европейския съвет в Стокхолмската програма</w:t>
      </w:r>
      <w:r>
        <w:rPr>
          <w:rFonts w:ascii="Times New Roman" w:hAnsi="Times New Roman"/>
          <w:noProof/>
          <w:sz w:val="24"/>
          <w:vertAlign w:val="superscript"/>
        </w:rPr>
        <w:footnoteReference w:id="1"/>
      </w:r>
      <w:r>
        <w:rPr>
          <w:rFonts w:ascii="Times New Roman" w:hAnsi="Times New Roman"/>
          <w:noProof/>
          <w:sz w:val="24"/>
        </w:rPr>
        <w:t xml:space="preserve">. Изграждането на Европа на правото и правосъдието е един от политическите приоритети на ЕС, а програма „Правосъдие“ за периода 2014—2020 г. е един от инструментите, които допринасят за постигането на тази цел.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настоящия доклад са представени средносрочните резултати, постигнати от програма „Правосъдие“, и качествените и количествените аспекти на изпълнението на програмата, както се изисква в член 14, параграф 2, буква б) от Регламента за създаване на програма „Правосъдие“ за периода 2014 — 2020 г.</w:t>
      </w:r>
      <w:r>
        <w:rPr>
          <w:rFonts w:ascii="Times New Roman" w:hAnsi="Times New Roman"/>
          <w:noProof/>
          <w:sz w:val="24"/>
          <w:vertAlign w:val="superscript"/>
        </w:rPr>
        <w:footnoteReference w:id="2"/>
      </w:r>
      <w:r>
        <w:rPr>
          <w:rFonts w:ascii="Times New Roman" w:hAnsi="Times New Roman"/>
          <w:noProof/>
          <w:sz w:val="24"/>
        </w:rPr>
        <w:t xml:space="preserve">. </w:t>
      </w:r>
    </w:p>
    <w:p>
      <w:pPr>
        <w:pStyle w:val="Body"/>
        <w:spacing w:before="0"/>
        <w:rPr>
          <w:rFonts w:ascii="Times New Roman" w:hAnsi="Times New Roman"/>
          <w:noProof/>
          <w:sz w:val="24"/>
          <w:szCs w:val="24"/>
        </w:rPr>
      </w:pPr>
      <w:r>
        <w:rPr>
          <w:rFonts w:ascii="Times New Roman" w:hAnsi="Times New Roman"/>
          <w:noProof/>
          <w:sz w:val="24"/>
        </w:rPr>
        <w:t xml:space="preserve">Референтният период за междинната оценка е първата половина от периода на изпълнение на програмата, от 2014 г. до средата на 2017 г. Оценката обхваща годишните работни програми за 2014 г., 2015 г. и 2016 г. Годишната работна програма за 2017 г., от друга страна, е анализирана главно по отношение на замисъла и структурата ѝ, но не и по отношение на нейното изпълнение.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Настоящият доклад се основава на резултатите от оценката, изготвена от Европейската комисия</w:t>
      </w:r>
      <w:r>
        <w:rPr>
          <w:rStyle w:val="FootnoteReference"/>
          <w:rFonts w:ascii="Times New Roman" w:hAnsi="Times New Roman"/>
          <w:noProof/>
          <w:sz w:val="24"/>
        </w:rPr>
        <w:footnoteReference w:id="3"/>
      </w:r>
      <w:r>
        <w:rPr>
          <w:rFonts w:ascii="Times New Roman" w:hAnsi="Times New Roman"/>
          <w:noProof/>
          <w:sz w:val="24"/>
        </w:rPr>
        <w:t xml:space="preserve"> и подкрепена от външна оценка</w:t>
      </w:r>
      <w:r>
        <w:rPr>
          <w:rStyle w:val="FootnoteReference"/>
          <w:rFonts w:ascii="Times New Roman" w:hAnsi="Times New Roman"/>
          <w:noProof/>
          <w:sz w:val="24"/>
        </w:rPr>
        <w:footnoteReference w:id="4"/>
      </w:r>
      <w:r>
        <w:rPr>
          <w:rFonts w:ascii="Times New Roman" w:hAnsi="Times New Roman"/>
          <w:noProof/>
          <w:sz w:val="24"/>
        </w:rPr>
        <w:t>.</w:t>
      </w:r>
    </w:p>
    <w:p>
      <w:pPr>
        <w:spacing w:after="120" w:line="240" w:lineRule="auto"/>
        <w:jc w:val="both"/>
        <w:rPr>
          <w:rFonts w:ascii="Times New Roman" w:eastAsia="Times New Roman" w:hAnsi="Times New Roman" w:cs="Times New Roman"/>
          <w:noProof/>
          <w:sz w:val="24"/>
          <w:szCs w:val="24"/>
        </w:rPr>
      </w:pPr>
    </w:p>
    <w:p>
      <w:pPr>
        <w:pStyle w:val="ListParagraph"/>
        <w:keepNext/>
        <w:numPr>
          <w:ilvl w:val="0"/>
          <w:numId w:val="9"/>
        </w:numPr>
        <w:tabs>
          <w:tab w:val="left" w:pos="850"/>
        </w:tabs>
        <w:spacing w:after="120" w:line="240" w:lineRule="auto"/>
        <w:contextualSpacing w:val="0"/>
        <w:jc w:val="both"/>
        <w:outlineLvl w:val="0"/>
        <w:rPr>
          <w:rStyle w:val="Heading1Char"/>
          <w:rFonts w:ascii="Times New Roman" w:hAnsi="Times New Roman" w:cs="Times New Roman"/>
          <w:smallCaps/>
          <w:noProof/>
          <w:color w:val="auto"/>
          <w:sz w:val="24"/>
          <w:szCs w:val="24"/>
        </w:rPr>
      </w:pPr>
      <w:r>
        <w:rPr>
          <w:rStyle w:val="Heading1Char"/>
          <w:rFonts w:ascii="Times New Roman" w:hAnsi="Times New Roman"/>
          <w:smallCaps/>
          <w:noProof/>
          <w:color w:val="auto"/>
          <w:sz w:val="24"/>
        </w:rPr>
        <w:t>Въведение и контекст</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Програма „Правосъдие“ за периода 2014—2020 г. бе създадена с Регламент (ЕС) № </w:t>
      </w:r>
      <w:r>
        <w:rPr>
          <w:rStyle w:val="Strong"/>
          <w:rFonts w:ascii="Times New Roman" w:hAnsi="Times New Roman"/>
          <w:b w:val="0"/>
          <w:noProof/>
          <w:sz w:val="24"/>
        </w:rPr>
        <w:t>1382/2013</w:t>
      </w:r>
      <w:r>
        <w:rPr>
          <w:rFonts w:ascii="Times New Roman" w:hAnsi="Times New Roman"/>
          <w:noProof/>
          <w:sz w:val="24"/>
        </w:rPr>
        <w:t xml:space="preserve"> на Европейския парламент и на Съвета.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 регламента е определена нейната </w:t>
      </w:r>
      <w:r>
        <w:rPr>
          <w:rFonts w:ascii="Times New Roman" w:hAnsi="Times New Roman"/>
          <w:b/>
          <w:noProof/>
          <w:sz w:val="24"/>
        </w:rPr>
        <w:t>обща цел</w:t>
      </w:r>
      <w:r>
        <w:rPr>
          <w:rFonts w:ascii="Times New Roman" w:hAnsi="Times New Roman"/>
          <w:noProof/>
          <w:sz w:val="24"/>
        </w:rPr>
        <w:t>, както следва:</w:t>
      </w:r>
    </w:p>
    <w:p>
      <w:pPr>
        <w:pStyle w:val="ListParagraph"/>
        <w:numPr>
          <w:ilvl w:val="0"/>
          <w:numId w:val="3"/>
        </w:numPr>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noProof/>
          <w:color w:val="000000"/>
          <w:sz w:val="24"/>
        </w:rPr>
        <w:t>да допринесе за по-нататъшното развитие на европейско пространство на правосъдие, основано на взаимно признаване и взаимно доверие, по-специално чрез насърчаване на съдебното сътрудничество по гражданскоправни и наказателноправни въпроси.</w:t>
      </w:r>
    </w:p>
    <w:p>
      <w:pPr>
        <w:spacing w:after="120" w:line="240" w:lineRule="auto"/>
        <w:jc w:val="both"/>
        <w:rPr>
          <w:rFonts w:ascii="Times New Roman" w:hAnsi="Times New Roman" w:cs="Times New Roman"/>
          <w:noProof/>
          <w:sz w:val="24"/>
          <w:szCs w:val="24"/>
        </w:rPr>
      </w:pPr>
      <w:r>
        <w:rPr>
          <w:rFonts w:ascii="Times New Roman" w:hAnsi="Times New Roman"/>
          <w:b/>
          <w:noProof/>
          <w:sz w:val="24"/>
        </w:rPr>
        <w:t>Конкретните цели</w:t>
      </w:r>
      <w:r>
        <w:rPr>
          <w:rFonts w:ascii="Times New Roman" w:hAnsi="Times New Roman"/>
          <w:noProof/>
          <w:sz w:val="24"/>
        </w:rPr>
        <w:t xml:space="preserve"> на програмата са:</w:t>
      </w:r>
    </w:p>
    <w:p>
      <w:pPr>
        <w:numPr>
          <w:ilvl w:val="0"/>
          <w:numId w:val="4"/>
        </w:numPr>
        <w:tabs>
          <w:tab w:val="left" w:pos="284"/>
        </w:tabs>
        <w:spacing w:after="120" w:line="240" w:lineRule="auto"/>
        <w:ind w:left="284" w:hanging="284"/>
        <w:jc w:val="both"/>
        <w:rPr>
          <w:rFonts w:ascii="Times New Roman" w:hAnsi="Times New Roman" w:cs="Times New Roman"/>
          <w:noProof/>
          <w:sz w:val="24"/>
          <w:szCs w:val="24"/>
        </w:rPr>
      </w:pPr>
      <w:r>
        <w:rPr>
          <w:rFonts w:ascii="Times New Roman" w:hAnsi="Times New Roman"/>
          <w:noProof/>
          <w:sz w:val="24"/>
        </w:rPr>
        <w:lastRenderedPageBreak/>
        <w:t xml:space="preserve">улесняване и подкрепа на </w:t>
      </w:r>
      <w:r>
        <w:rPr>
          <w:rFonts w:ascii="Times New Roman" w:hAnsi="Times New Roman"/>
          <w:noProof/>
          <w:sz w:val="24"/>
          <w:u w:val="single"/>
        </w:rPr>
        <w:t>съдебното сътрудничество</w:t>
      </w:r>
      <w:r>
        <w:rPr>
          <w:rFonts w:ascii="Times New Roman" w:hAnsi="Times New Roman"/>
          <w:noProof/>
          <w:sz w:val="24"/>
        </w:rPr>
        <w:t xml:space="preserve"> по гражданскоправни и наказателноправни въпроси;</w:t>
      </w:r>
    </w:p>
    <w:p>
      <w:pPr>
        <w:numPr>
          <w:ilvl w:val="0"/>
          <w:numId w:val="4"/>
        </w:numPr>
        <w:tabs>
          <w:tab w:val="left" w:pos="284"/>
        </w:tabs>
        <w:spacing w:after="12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подкрепа и насърчаване на </w:t>
      </w:r>
      <w:r>
        <w:rPr>
          <w:rFonts w:ascii="Times New Roman" w:hAnsi="Times New Roman"/>
          <w:noProof/>
          <w:sz w:val="24"/>
          <w:u w:val="single"/>
        </w:rPr>
        <w:t>съдебното обучение</w:t>
      </w:r>
      <w:r>
        <w:rPr>
          <w:rFonts w:ascii="Times New Roman" w:hAnsi="Times New Roman"/>
          <w:noProof/>
          <w:sz w:val="24"/>
        </w:rPr>
        <w:t xml:space="preserve"> на специалисти (като съдии, прокурори, нотариуси, служители в затворите и адвокати) относно инструментите на ЕС в областта на гражданското и наказателното право, основните права, съдебната етика и правовата държава, включително езиково обучение по правна терминология, с цел формирането на обща правна и съдебна култура;</w:t>
      </w:r>
    </w:p>
    <w:p>
      <w:pPr>
        <w:numPr>
          <w:ilvl w:val="0"/>
          <w:numId w:val="4"/>
        </w:numPr>
        <w:tabs>
          <w:tab w:val="left" w:pos="284"/>
        </w:tabs>
        <w:spacing w:after="12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улесняване на ефективен </w:t>
      </w:r>
      <w:r>
        <w:rPr>
          <w:rFonts w:ascii="Times New Roman" w:hAnsi="Times New Roman"/>
          <w:noProof/>
          <w:sz w:val="24"/>
          <w:u w:val="single"/>
        </w:rPr>
        <w:t>достъп до правосъдие</w:t>
      </w:r>
      <w:r>
        <w:rPr>
          <w:rFonts w:ascii="Times New Roman" w:hAnsi="Times New Roman"/>
          <w:noProof/>
          <w:sz w:val="24"/>
        </w:rPr>
        <w:t xml:space="preserve"> за всички, включително с цел утвърждаване и подкрепа на правата на жертвите на престъпления, както и процесуалните права на заподозрените и обвиняемите в наказателното производство;</w:t>
      </w:r>
    </w:p>
    <w:p>
      <w:pPr>
        <w:numPr>
          <w:ilvl w:val="0"/>
          <w:numId w:val="4"/>
        </w:numPr>
        <w:tabs>
          <w:tab w:val="left" w:pos="284"/>
        </w:tabs>
        <w:spacing w:after="12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насърчаване на </w:t>
      </w:r>
      <w:r>
        <w:rPr>
          <w:rFonts w:ascii="Times New Roman" w:hAnsi="Times New Roman"/>
          <w:noProof/>
          <w:sz w:val="24"/>
          <w:u w:val="single"/>
        </w:rPr>
        <w:t>инициативи в областта на политиката по отношение на наркотиците</w:t>
      </w:r>
      <w:r>
        <w:rPr>
          <w:rFonts w:ascii="Times New Roman" w:hAnsi="Times New Roman"/>
          <w:noProof/>
          <w:sz w:val="24"/>
        </w:rPr>
        <w:t>, свързани с аспекти на съдебното сътрудничество и превенцията на престъпността, доколкото този вид инициативи не попадат в обхвата на Инструмента за финансова подкрепа за полицейското сътрудничество, предотвратяването и борбата с престъпността и управлението на кризи или на програма „Здраве за растеж“</w:t>
      </w:r>
      <w:r>
        <w:rPr>
          <w:rStyle w:val="FootnoteReference"/>
          <w:rFonts w:ascii="Times New Roman" w:hAnsi="Times New Roman"/>
          <w:noProof/>
          <w:sz w:val="24"/>
        </w:rPr>
        <w:footnoteReference w:id="5"/>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Програмата се изпълнява от Европейската комисия чрез пряко централизирано управление. </w:t>
      </w:r>
    </w:p>
    <w:p>
      <w:pPr>
        <w:spacing w:after="120" w:line="240" w:lineRule="auto"/>
        <w:jc w:val="both"/>
        <w:rPr>
          <w:rFonts w:ascii="Times New Roman" w:hAnsi="Times New Roman" w:cs="Times New Roman"/>
          <w:noProof/>
          <w:sz w:val="24"/>
          <w:szCs w:val="24"/>
        </w:rPr>
      </w:pPr>
      <w:r>
        <w:rPr>
          <w:rFonts w:ascii="Times New Roman" w:hAnsi="Times New Roman"/>
          <w:b/>
          <w:noProof/>
          <w:sz w:val="24"/>
        </w:rPr>
        <w:t>Като географско покритие</w:t>
      </w:r>
      <w:r>
        <w:rPr>
          <w:rFonts w:ascii="Times New Roman" w:hAnsi="Times New Roman"/>
          <w:noProof/>
          <w:sz w:val="24"/>
        </w:rPr>
        <w:t xml:space="preserve"> програмата е отворена за всички държави — членки на ЕС (Обединеното кралство и Дания не участват), но и за държавите от Европейската асоциация за свободна търговия, които са страни по Споразумението за Европейското икономическо пространство, държавите кандидатки, потенциалните кандидатки и присъединяващите се държави, при условие че те сключат споразумение със Съюза, в което се определят условията за тяхното съответно участие в програмата. Албания се присъедини към програмата, считано от 2017 г. </w:t>
      </w:r>
    </w:p>
    <w:p>
      <w:pPr>
        <w:spacing w:after="120" w:line="240" w:lineRule="auto"/>
        <w:jc w:val="both"/>
        <w:rPr>
          <w:rFonts w:ascii="Times New Roman" w:hAnsi="Times New Roman" w:cs="Times New Roman"/>
          <w:noProof/>
          <w:sz w:val="24"/>
          <w:szCs w:val="24"/>
        </w:rPr>
      </w:pPr>
    </w:p>
    <w:p>
      <w:pPr>
        <w:pStyle w:val="ListParagraph"/>
        <w:keepNext/>
        <w:numPr>
          <w:ilvl w:val="0"/>
          <w:numId w:val="9"/>
        </w:numPr>
        <w:tabs>
          <w:tab w:val="left" w:pos="850"/>
        </w:tabs>
        <w:spacing w:after="120" w:line="240" w:lineRule="auto"/>
        <w:contextualSpacing w:val="0"/>
        <w:jc w:val="both"/>
        <w:outlineLvl w:val="0"/>
        <w:rPr>
          <w:rStyle w:val="Heading1Char"/>
          <w:rFonts w:ascii="Times New Roman" w:hAnsi="Times New Roman" w:cs="Times New Roman"/>
          <w:smallCaps/>
          <w:noProof/>
          <w:color w:val="auto"/>
          <w:sz w:val="24"/>
          <w:szCs w:val="24"/>
        </w:rPr>
      </w:pPr>
      <w:r>
        <w:rPr>
          <w:rStyle w:val="Heading1Char"/>
          <w:rFonts w:ascii="Times New Roman" w:hAnsi="Times New Roman"/>
          <w:smallCaps/>
          <w:noProof/>
          <w:color w:val="auto"/>
          <w:sz w:val="24"/>
        </w:rPr>
        <w:t>Основни елементи и изпълнение на програмата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 съответствие с член 6 от регламента по програмата </w:t>
      </w:r>
      <w:r>
        <w:rPr>
          <w:rFonts w:ascii="Times New Roman" w:hAnsi="Times New Roman"/>
          <w:b/>
          <w:noProof/>
          <w:sz w:val="24"/>
        </w:rPr>
        <w:t>се финансират широк спектър от дейности</w:t>
      </w:r>
      <w:r>
        <w:rPr>
          <w:rFonts w:ascii="Times New Roman" w:hAnsi="Times New Roman"/>
          <w:noProof/>
          <w:sz w:val="24"/>
        </w:rPr>
        <w:t xml:space="preserve">, като аналитични дейности, взаимно учене, сътрудничество, дейности за повишаване на осведомеността и разпространяване на информация, дейности за обучение и действия за подкрепа на основните участници, чиито дейности допринасят за изпълнението на нейните конкретни цели. По програмата </w:t>
      </w:r>
      <w:r>
        <w:rPr>
          <w:rFonts w:ascii="Times New Roman" w:hAnsi="Times New Roman"/>
          <w:b/>
          <w:noProof/>
          <w:sz w:val="24"/>
        </w:rPr>
        <w:t>се подкрепят организации</w:t>
      </w:r>
      <w:r>
        <w:rPr>
          <w:rFonts w:ascii="Times New Roman" w:hAnsi="Times New Roman"/>
          <w:noProof/>
          <w:sz w:val="24"/>
        </w:rPr>
        <w:t xml:space="preserve">, осъществяващи дейност в областта на съдебното сътрудничество, съдебното обучение, достъпа до правосъдие и превенцията на наркотиците в Европа, като например европейски мрежи, публични или частни организации, които обикновено са с нестопанска цел, национални, регионални и местни органи в държавите — членки ЕС, неправителствени организации; университети и научноизследователски институти, както и международни организации. </w:t>
      </w:r>
    </w:p>
    <w:p>
      <w:pPr>
        <w:pStyle w:val="Body"/>
        <w:rPr>
          <w:rFonts w:ascii="Times New Roman" w:hAnsi="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целевите групи</w:t>
      </w:r>
      <w:r>
        <w:rPr>
          <w:rFonts w:ascii="Times New Roman" w:hAnsi="Times New Roman"/>
          <w:noProof/>
          <w:sz w:val="24"/>
        </w:rPr>
        <w:t>, които е предвидено да се възползват, пряко (чрез участие в дейностите по проекти в рамките на програма „Правосъдие“) или косвено, от изпълнението на програмата, потенциално те включват всички граждани на ЕС, тъй като програма „Правосъдие“ има за цел създаването на европейско пространство на правосъдие, където всички граждани са наясно със своите права и могат да ги упражняват.</w:t>
      </w:r>
    </w:p>
    <w:p>
      <w:pPr>
        <w:spacing w:after="120" w:line="240" w:lineRule="auto"/>
        <w:jc w:val="both"/>
        <w:rPr>
          <w:rFonts w:ascii="Times New Roman" w:hAnsi="Times New Roman" w:cs="Times New Roman"/>
          <w:noProof/>
          <w:sz w:val="24"/>
          <w:szCs w:val="24"/>
        </w:rPr>
      </w:pPr>
      <w:r>
        <w:rPr>
          <w:rFonts w:ascii="Times New Roman" w:hAnsi="Times New Roman"/>
          <w:noProof/>
          <w:sz w:val="24"/>
        </w:rPr>
        <w:t>Както е предвидено в регламента, като основни механизми за финансиране на дейностите, свързани с нейните цели, по програмата се използват безвъзмездни средства за дейности, безвъзмездни средства за оперативни разходи и дейности по възлагане на обществени поръчки.</w:t>
      </w:r>
    </w:p>
    <w:p>
      <w:pPr>
        <w:pStyle w:val="ListParagraph"/>
        <w:keepNext/>
        <w:numPr>
          <w:ilvl w:val="1"/>
          <w:numId w:val="9"/>
        </w:numPr>
        <w:tabs>
          <w:tab w:val="left" w:pos="850"/>
        </w:tabs>
        <w:spacing w:after="12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Конкретни цели на програмата</w:t>
      </w:r>
    </w:p>
    <w:p>
      <w:pPr>
        <w:numPr>
          <w:ilvl w:val="0"/>
          <w:numId w:val="5"/>
        </w:numPr>
        <w:spacing w:after="120" w:line="240" w:lineRule="auto"/>
        <w:jc w:val="both"/>
        <w:rPr>
          <w:rFonts w:ascii="Times New Roman" w:eastAsia="Times New Roman" w:hAnsi="Times New Roman" w:cs="Times New Roman"/>
          <w:noProof/>
          <w:sz w:val="24"/>
          <w:szCs w:val="24"/>
        </w:rPr>
      </w:pPr>
      <w:r>
        <w:rPr>
          <w:rFonts w:ascii="Times New Roman" w:hAnsi="Times New Roman"/>
          <w:b/>
          <w:i/>
          <w:noProof/>
          <w:sz w:val="24"/>
        </w:rPr>
        <w:t xml:space="preserve">Конкретна цел 1: Съдебно сътрудничество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По програмата се подкрепят дейности, които допринасят за ефективното и съгласуваното прилагане на достиженията на правото на ЕС, свързани със съдебното сътрудничество по гражданскоправни и наказателноправни въпроси, също и чрез надграждане и/или подобряване на събирането на данни и статистическа информация за прилагането на достиженията на правото на ЕС.</w:t>
      </w:r>
      <w:r>
        <w:rPr>
          <w:rFonts w:ascii="Times New Roman" w:hAnsi="Times New Roman"/>
          <w:noProof/>
          <w:color w:val="000000"/>
          <w:sz w:val="24"/>
        </w:rPr>
        <w:t xml:space="preserve"> </w:t>
      </w:r>
      <w:r>
        <w:rPr>
          <w:rFonts w:ascii="Times New Roman" w:hAnsi="Times New Roman"/>
          <w:noProof/>
          <w:sz w:val="24"/>
        </w:rPr>
        <w:t xml:space="preserve">Финансираните дейности допринасят също така за прилагането на инструментите и на съдебните решения на ЕС, по-специално произнесените по трансгранични спорове. </w:t>
      </w:r>
      <w:r>
        <w:rPr>
          <w:rFonts w:ascii="Times New Roman" w:hAnsi="Times New Roman"/>
          <w:noProof/>
          <w:color w:val="000000" w:themeColor="text1"/>
          <w:sz w:val="24"/>
        </w:rPr>
        <w:t>По програмата също така се финансират проекти, целящи да подобрят обмена на информация между специалистите, за да се подобрят оперативното сътрудничество и взаимното доверие в ЕС.</w:t>
      </w:r>
      <w:r>
        <w:rPr>
          <w:rFonts w:ascii="Times New Roman" w:hAnsi="Times New Roman"/>
          <w:noProof/>
          <w:sz w:val="24"/>
        </w:rPr>
        <w:t xml:space="preserve"> </w:t>
      </w:r>
    </w:p>
    <w:p>
      <w:pPr>
        <w:pStyle w:val="ListParagraph"/>
        <w:numPr>
          <w:ilvl w:val="0"/>
          <w:numId w:val="6"/>
        </w:numPr>
        <w:spacing w:after="120" w:line="240" w:lineRule="auto"/>
        <w:contextualSpacing w:val="0"/>
        <w:jc w:val="both"/>
        <w:rPr>
          <w:rFonts w:ascii="Times New Roman" w:hAnsi="Times New Roman" w:cs="Times New Roman"/>
          <w:noProof/>
          <w:sz w:val="24"/>
          <w:szCs w:val="24"/>
        </w:rPr>
      </w:pPr>
      <w:r>
        <w:rPr>
          <w:rFonts w:ascii="Times New Roman" w:hAnsi="Times New Roman"/>
          <w:b/>
          <w:i/>
          <w:noProof/>
          <w:sz w:val="24"/>
        </w:rPr>
        <w:t xml:space="preserve">Конкретна цел 2: Съдебно обучение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По програмата се подкрепят дейности, които насърчават обучението на работещите в сферата на правосъдието относно законодателството на ЕС, включително езиково обучение по правна терминология, с цел формирането на обща правна и съдебна култура в ЕС. Съдебното обучение може да включва „основни“ компоненти, като например езикови умения и терминология, както и по-специализирани аспекти, като семинари по конкретни аспекти на гражданското и наказателното право, електронно обучение и обмен на персонал и опит. Финансираните дейности подкрепят главно обучението на магистратите и съдебните служители, както и на други практикуващи юристи, свързани със съдебната система, а също и разработването на инструменти за доставчиците на обучение.</w:t>
      </w:r>
    </w:p>
    <w:p>
      <w:pPr>
        <w:pStyle w:val="ListParagraph"/>
        <w:numPr>
          <w:ilvl w:val="0"/>
          <w:numId w:val="6"/>
        </w:numPr>
        <w:spacing w:after="120" w:line="240" w:lineRule="auto"/>
        <w:contextualSpacing w:val="0"/>
        <w:jc w:val="both"/>
        <w:rPr>
          <w:rFonts w:ascii="Times New Roman" w:hAnsi="Times New Roman" w:cs="Times New Roman"/>
          <w:noProof/>
        </w:rPr>
      </w:pPr>
      <w:r>
        <w:rPr>
          <w:rFonts w:ascii="Times New Roman" w:hAnsi="Times New Roman"/>
          <w:b/>
          <w:i/>
          <w:noProof/>
          <w:sz w:val="24"/>
        </w:rPr>
        <w:t xml:space="preserve">Цел 3: Достъп до правосъдие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Действията, финансирани в тази област, имат за цел да предоставят на гражданите на ЕС ефективни средства за защита в случай на нарушение на правото на ЕС, особено когато завеждането на национални процедури е твърде трудно за гражданите. По-специално, по програмата се насърчава използването на други видове разработени в ЕС средства за защита и мерки, различни от средства за защита, които могат да осигурят бързо, ефикасно и по-евтино разрешаване на споровете, каквито например се поддържат от портала за електронно правосъдие. Програмата има за цел също така да насърчи тясно сътрудничество между националните органи или административните органи, което е особено важно за ефективното упражняване на определени права на ЕС. </w:t>
      </w:r>
    </w:p>
    <w:p>
      <w:pPr>
        <w:pStyle w:val="ListParagraph"/>
        <w:numPr>
          <w:ilvl w:val="0"/>
          <w:numId w:val="6"/>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b/>
          <w:i/>
          <w:noProof/>
          <w:sz w:val="24"/>
        </w:rPr>
        <w:t>Цел 4: Политика по отношение на наркотиците</w:t>
      </w:r>
    </w:p>
    <w:p>
      <w:pPr>
        <w:autoSpaceDE w:val="0"/>
        <w:autoSpaceDN w:val="0"/>
        <w:adjustRightInd w:val="0"/>
        <w:spacing w:after="0" w:line="240" w:lineRule="auto"/>
        <w:jc w:val="both"/>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7" w:bottom="1134" w:left="1417" w:header="709" w:footer="709" w:gutter="0"/>
          <w:pgNumType w:start="1"/>
          <w:cols w:space="720"/>
          <w:docGrid w:linePitch="360"/>
        </w:sectPr>
      </w:pPr>
      <w:r>
        <w:rPr>
          <w:rFonts w:ascii="Times New Roman" w:hAnsi="Times New Roman"/>
          <w:noProof/>
          <w:sz w:val="24"/>
        </w:rPr>
        <w:t>В областта на политиката по отношение на наркотиците по програма „Правосъдие“ се насърчават инициативи, насочени към съдебно сътрудничество и превенция на престъпността. Основните приоритети са да се насърчи практическото прилагане на научните изследвания, свързани с наркотиците, да се подкрепят организациите на гражданското общество и основните заинтересовани страни, както и да се разшири базата от знания и да се разработят новаторски методи за справяне с явлението нови психоактивни вещества.</w:t>
      </w:r>
      <w:r>
        <w:rPr>
          <w:rFonts w:ascii="Times New Roman" w:hAnsi="Times New Roman"/>
          <w:noProof/>
          <w:sz w:val="24"/>
        </w:rPr>
        <w:tab/>
      </w:r>
    </w:p>
    <w:p>
      <w:pPr>
        <w:spacing w:after="120" w:line="240" w:lineRule="auto"/>
        <w:jc w:val="both"/>
        <w:rPr>
          <w:rFonts w:ascii="Times New Roman" w:hAnsi="Times New Roman" w:cs="Times New Roman"/>
          <w:noProof/>
          <w:sz w:val="24"/>
          <w:szCs w:val="24"/>
          <w:highlight w:val="yellow"/>
        </w:rPr>
      </w:pPr>
    </w:p>
    <w:p>
      <w:pPr>
        <w:pStyle w:val="ListParagraph"/>
        <w:keepNext/>
        <w:numPr>
          <w:ilvl w:val="1"/>
          <w:numId w:val="9"/>
        </w:numPr>
        <w:tabs>
          <w:tab w:val="left" w:pos="850"/>
        </w:tabs>
        <w:spacing w:after="12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Бюджет</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Общият първоначален бюджет на програма „Правосъдие“ за периода 2014 — 2020 г. възлиза на </w:t>
      </w:r>
      <w:r>
        <w:rPr>
          <w:rFonts w:ascii="Times New Roman" w:hAnsi="Times New Roman"/>
          <w:b/>
          <w:noProof/>
          <w:sz w:val="24"/>
        </w:rPr>
        <w:t>377 604 000 </w:t>
      </w:r>
      <w:r>
        <w:rPr>
          <w:rFonts w:ascii="Times New Roman" w:hAnsi="Times New Roman" w:hint="eastAsia"/>
          <w:b/>
          <w:noProof/>
          <w:sz w:val="24"/>
          <w:lang w:val="fr-FR" w:eastAsia="ja-JP"/>
        </w:rPr>
        <w:t>EUR</w:t>
      </w:r>
      <w:r>
        <w:rPr>
          <w:rFonts w:ascii="Times New Roman" w:hAnsi="Times New Roman"/>
          <w:noProof/>
          <w:sz w:val="24"/>
        </w:rPr>
        <w:t>. Най-високият процент поети задължения бе постигнат през 2016 г. (</w:t>
      </w:r>
      <w:r>
        <w:rPr>
          <w:rFonts w:ascii="Times New Roman" w:hAnsi="Times New Roman"/>
          <w:noProof/>
        </w:rPr>
        <w:t>94,60 </w:t>
      </w:r>
      <w:r>
        <w:rPr>
          <w:rFonts w:ascii="Times New Roman" w:hAnsi="Times New Roman"/>
          <w:noProof/>
          <w:color w:val="000000"/>
          <w:sz w:val="24"/>
        </w:rPr>
        <w:t>%</w:t>
      </w:r>
      <w:r>
        <w:rPr>
          <w:rFonts w:ascii="Times New Roman" w:hAnsi="Times New Roman"/>
          <w:noProof/>
          <w:sz w:val="24"/>
        </w:rPr>
        <w:t xml:space="preserve">). </w:t>
      </w:r>
    </w:p>
    <w:p>
      <w:pPr>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В рамките на годишните работни програми за периода 2014—2016 г. бяха планирани 143 милиона евро. По данни от наличните източници </w:t>
      </w:r>
      <w:r>
        <w:rPr>
          <w:rFonts w:ascii="Times New Roman" w:hAnsi="Times New Roman"/>
          <w:b/>
          <w:noProof/>
          <w:sz w:val="24"/>
        </w:rPr>
        <w:t>общият поискан принос на ЕС, за който са поети задължения, все още не е достигнал планирания размер</w:t>
      </w:r>
      <w:r>
        <w:rPr>
          <w:rFonts w:ascii="Times New Roman" w:hAnsi="Times New Roman"/>
          <w:noProof/>
          <w:sz w:val="24"/>
        </w:rPr>
        <w:t xml:space="preserve"> (вж. таблица 1). Като цяло за повечето ресурси, отпуснати за безвъзмездни средства, са поети задължения (като процентът на поетите задължения е близо 90 %), но процентът на поетите задължения за дейности по възлагане на обществени поръчки е много по-нисък и се движи около 60—70 %.</w:t>
      </w:r>
    </w:p>
    <w:p>
      <w:pPr>
        <w:spacing w:after="0" w:line="240" w:lineRule="auto"/>
        <w:jc w:val="both"/>
        <w:rPr>
          <w:rFonts w:ascii="Times New Roman" w:hAnsi="Times New Roman" w:cs="Times New Roman"/>
          <w:bCs/>
          <w:noProof/>
          <w:sz w:val="24"/>
          <w:szCs w:val="24"/>
        </w:rPr>
      </w:pPr>
    </w:p>
    <w:p>
      <w:pPr>
        <w:spacing w:after="0" w:line="240" w:lineRule="auto"/>
        <w:jc w:val="center"/>
        <w:rPr>
          <w:rFonts w:ascii="Times New Roman" w:eastAsia="Times New Roman" w:hAnsi="Times New Roman" w:cs="Times New Roman"/>
          <w:b/>
          <w:noProof/>
          <w:sz w:val="20"/>
          <w:szCs w:val="20"/>
        </w:rPr>
      </w:pPr>
      <w:bookmarkStart w:id="2" w:name="Table_1"/>
      <w:r>
        <w:rPr>
          <w:rFonts w:ascii="Times New Roman" w:hAnsi="Times New Roman"/>
          <w:b/>
          <w:noProof/>
          <w:sz w:val="20"/>
        </w:rPr>
        <w:t>Таблица 1: Поети годишни задължения по програмата за периода 2014—2016 г.</w:t>
      </w:r>
    </w:p>
    <w:p>
      <w:pPr>
        <w:spacing w:after="0" w:line="240" w:lineRule="auto"/>
        <w:jc w:val="center"/>
        <w:rPr>
          <w:rFonts w:ascii="Times New Roman" w:eastAsia="Times New Roman" w:hAnsi="Times New Roman" w:cs="Times New Roman"/>
          <w:b/>
          <w:noProof/>
          <w:sz w:val="20"/>
          <w:szCs w:val="20"/>
        </w:rPr>
      </w:pPr>
    </w:p>
    <w:tbl>
      <w:tblPr>
        <w:tblStyle w:val="TableGrid"/>
        <w:tblW w:w="5000" w:type="pct"/>
        <w:tblLook w:val="04A0" w:firstRow="1" w:lastRow="0" w:firstColumn="1" w:lastColumn="0" w:noHBand="0" w:noVBand="1"/>
      </w:tblPr>
      <w:tblGrid>
        <w:gridCol w:w="4585"/>
        <w:gridCol w:w="4704"/>
      </w:tblGrid>
      <w:tr>
        <w:trPr>
          <w:trHeight w:val="397"/>
        </w:trPr>
        <w:tc>
          <w:tcPr>
            <w:tcW w:w="2468" w:type="pct"/>
            <w:shd w:val="clear" w:color="auto" w:fill="DBE5F1" w:themeFill="accent1" w:themeFillTint="33"/>
            <w:vAlign w:val="center"/>
          </w:tcPr>
          <w:bookmarkEnd w:id="2"/>
          <w:p>
            <w:pPr>
              <w:jc w:val="center"/>
              <w:rPr>
                <w:b/>
                <w:noProof/>
                <w:sz w:val="24"/>
                <w:szCs w:val="24"/>
              </w:rPr>
            </w:pPr>
            <w:r>
              <w:rPr>
                <w:b/>
                <w:noProof/>
                <w:sz w:val="24"/>
              </w:rPr>
              <w:t>Година</w:t>
            </w:r>
          </w:p>
        </w:tc>
        <w:tc>
          <w:tcPr>
            <w:tcW w:w="2532" w:type="pct"/>
            <w:shd w:val="clear" w:color="auto" w:fill="DBE5F1" w:themeFill="accent1" w:themeFillTint="33"/>
            <w:vAlign w:val="center"/>
          </w:tcPr>
          <w:p>
            <w:pPr>
              <w:jc w:val="center"/>
              <w:rPr>
                <w:b/>
                <w:noProof/>
                <w:sz w:val="24"/>
                <w:szCs w:val="24"/>
              </w:rPr>
            </w:pPr>
            <w:r>
              <w:rPr>
                <w:b/>
                <w:noProof/>
                <w:sz w:val="24"/>
              </w:rPr>
              <w:t>Сума на поетото задължение (евро)</w:t>
            </w:r>
          </w:p>
        </w:tc>
      </w:tr>
      <w:tr>
        <w:trPr>
          <w:trHeight w:val="397"/>
        </w:trPr>
        <w:tc>
          <w:tcPr>
            <w:tcW w:w="2468" w:type="pct"/>
            <w:vAlign w:val="center"/>
          </w:tcPr>
          <w:p>
            <w:pPr>
              <w:rPr>
                <w:noProof/>
                <w:sz w:val="24"/>
                <w:szCs w:val="24"/>
              </w:rPr>
            </w:pPr>
            <w:r>
              <w:rPr>
                <w:noProof/>
                <w:sz w:val="24"/>
              </w:rPr>
              <w:t>2014 г.</w:t>
            </w:r>
          </w:p>
        </w:tc>
        <w:tc>
          <w:tcPr>
            <w:tcW w:w="2532" w:type="pct"/>
          </w:tcPr>
          <w:p>
            <w:pPr>
              <w:keepNext/>
              <w:spacing w:after="120"/>
              <w:rPr>
                <w:noProof/>
                <w:sz w:val="24"/>
                <w:szCs w:val="24"/>
              </w:rPr>
            </w:pPr>
            <w:r>
              <w:rPr>
                <w:noProof/>
                <w:sz w:val="24"/>
              </w:rPr>
              <w:t xml:space="preserve">                                                 36 671 240,16 </w:t>
            </w:r>
          </w:p>
        </w:tc>
      </w:tr>
      <w:tr>
        <w:trPr>
          <w:trHeight w:val="397"/>
        </w:trPr>
        <w:tc>
          <w:tcPr>
            <w:tcW w:w="2468" w:type="pct"/>
            <w:vAlign w:val="center"/>
          </w:tcPr>
          <w:p>
            <w:pPr>
              <w:rPr>
                <w:noProof/>
                <w:sz w:val="24"/>
                <w:szCs w:val="24"/>
              </w:rPr>
            </w:pPr>
            <w:r>
              <w:rPr>
                <w:noProof/>
                <w:sz w:val="24"/>
              </w:rPr>
              <w:t>2015 г.</w:t>
            </w:r>
          </w:p>
        </w:tc>
        <w:tc>
          <w:tcPr>
            <w:tcW w:w="2532" w:type="pct"/>
            <w:vAlign w:val="center"/>
          </w:tcPr>
          <w:p>
            <w:pPr>
              <w:ind w:left="2880"/>
              <w:rPr>
                <w:noProof/>
                <w:sz w:val="24"/>
                <w:szCs w:val="24"/>
              </w:rPr>
            </w:pPr>
            <w:r>
              <w:rPr>
                <w:noProof/>
                <w:sz w:val="24"/>
              </w:rPr>
              <w:t xml:space="preserve"> 39 675 719,11</w:t>
            </w:r>
          </w:p>
        </w:tc>
      </w:tr>
      <w:tr>
        <w:trPr>
          <w:trHeight w:val="397"/>
        </w:trPr>
        <w:tc>
          <w:tcPr>
            <w:tcW w:w="2468" w:type="pct"/>
            <w:tcBorders>
              <w:bottom w:val="single" w:sz="4" w:space="0" w:color="auto"/>
            </w:tcBorders>
            <w:vAlign w:val="center"/>
          </w:tcPr>
          <w:p>
            <w:pPr>
              <w:rPr>
                <w:noProof/>
                <w:sz w:val="24"/>
                <w:szCs w:val="24"/>
              </w:rPr>
            </w:pPr>
            <w:r>
              <w:rPr>
                <w:noProof/>
                <w:sz w:val="24"/>
              </w:rPr>
              <w:t>2016 г.</w:t>
            </w:r>
          </w:p>
        </w:tc>
        <w:tc>
          <w:tcPr>
            <w:tcW w:w="2532" w:type="pct"/>
            <w:tcBorders>
              <w:bottom w:val="single" w:sz="4" w:space="0" w:color="auto"/>
            </w:tcBorders>
            <w:vAlign w:val="center"/>
          </w:tcPr>
          <w:p>
            <w:pPr>
              <w:ind w:left="2880"/>
              <w:rPr>
                <w:noProof/>
                <w:sz w:val="24"/>
                <w:szCs w:val="24"/>
              </w:rPr>
            </w:pPr>
            <w:r>
              <w:rPr>
                <w:noProof/>
                <w:sz w:val="24"/>
              </w:rPr>
              <w:t xml:space="preserve"> 47 535 032,81</w:t>
            </w:r>
          </w:p>
        </w:tc>
      </w:tr>
      <w:tr>
        <w:trPr>
          <w:trHeight w:val="397"/>
        </w:trPr>
        <w:tc>
          <w:tcPr>
            <w:tcW w:w="2468" w:type="pct"/>
            <w:shd w:val="clear" w:color="auto" w:fill="B8CCE4" w:themeFill="accent1" w:themeFillTint="66"/>
            <w:vAlign w:val="center"/>
          </w:tcPr>
          <w:p>
            <w:pPr>
              <w:rPr>
                <w:b/>
                <w:noProof/>
                <w:sz w:val="24"/>
                <w:szCs w:val="24"/>
              </w:rPr>
            </w:pPr>
            <w:r>
              <w:rPr>
                <w:b/>
                <w:noProof/>
                <w:sz w:val="24"/>
              </w:rPr>
              <w:t>Общо за периода 2014—2016 г.</w:t>
            </w:r>
          </w:p>
        </w:tc>
        <w:tc>
          <w:tcPr>
            <w:tcW w:w="2532" w:type="pct"/>
            <w:shd w:val="clear" w:color="auto" w:fill="B8CCE4" w:themeFill="accent1" w:themeFillTint="66"/>
            <w:vAlign w:val="center"/>
          </w:tcPr>
          <w:p>
            <w:pPr>
              <w:jc w:val="right"/>
              <w:rPr>
                <w:noProof/>
                <w:sz w:val="24"/>
                <w:szCs w:val="24"/>
              </w:rPr>
            </w:pPr>
            <w:r>
              <w:rPr>
                <w:b/>
                <w:noProof/>
                <w:sz w:val="24"/>
              </w:rPr>
              <w:t>123 881 992,08</w:t>
            </w:r>
          </w:p>
        </w:tc>
      </w:tr>
    </w:tbl>
    <w:p>
      <w:pPr>
        <w:spacing w:after="120" w:line="240" w:lineRule="auto"/>
        <w:rPr>
          <w:rFonts w:ascii="Times New Roman" w:hAnsi="Times New Roman" w:cs="Times New Roman"/>
          <w:i/>
          <w:noProof/>
          <w:sz w:val="16"/>
          <w:szCs w:val="16"/>
        </w:rPr>
      </w:pPr>
      <w:r>
        <w:rPr>
          <w:rFonts w:ascii="Times New Roman" w:hAnsi="Times New Roman"/>
          <w:i/>
          <w:noProof/>
          <w:sz w:val="16"/>
        </w:rPr>
        <w:t>Източници: Годишни доклади за наблюдение (доклади относно изпълнението на годишните работни програми (ГРП) и извлечения на данни от онлайн системата за подготовка на отпускането на безвъзмездни средства (SYGMA) за 2016 г.)</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По-конкретно, бюджетът, за който са поети задължения, е разпределен между конкретните цели на програмата, както е показано на фигура 1.</w:t>
      </w:r>
    </w:p>
    <w:p>
      <w:pPr>
        <w:spacing w:after="0" w:line="240" w:lineRule="auto"/>
        <w:jc w:val="center"/>
        <w:rPr>
          <w:rFonts w:ascii="Times New Roman" w:eastAsia="Times New Roman" w:hAnsi="Times New Roman" w:cs="Times New Roman"/>
          <w:noProof/>
          <w:sz w:val="20"/>
          <w:szCs w:val="20"/>
        </w:rPr>
      </w:pPr>
    </w:p>
    <w:p>
      <w:pPr>
        <w:pStyle w:val="Caption"/>
        <w:spacing w:before="0" w:after="120"/>
        <w:rPr>
          <w:rFonts w:ascii="Times New Roman" w:hAnsi="Times New Roman"/>
          <w:b/>
          <w:i w:val="0"/>
          <w:noProof/>
          <w:color w:val="auto"/>
          <w:szCs w:val="20"/>
        </w:rPr>
      </w:pPr>
      <w:bookmarkStart w:id="3" w:name="_Ref510466334"/>
      <w:bookmarkStart w:id="4" w:name="Figure_2"/>
      <w:r>
        <w:rPr>
          <w:rFonts w:ascii="Times New Roman" w:hAnsi="Times New Roman"/>
          <w:b/>
          <w:i w:val="0"/>
          <w:noProof/>
          <w:color w:val="auto"/>
        </w:rPr>
        <w:t>Фигура </w:t>
      </w:r>
      <w:bookmarkEnd w:id="3"/>
      <w:r>
        <w:rPr>
          <w:rFonts w:ascii="Times New Roman" w:hAnsi="Times New Roman"/>
          <w:b/>
          <w:i w:val="0"/>
          <w:noProof/>
          <w:color w:val="auto"/>
        </w:rPr>
        <w:t>1: Бюджет, за който са поети задължения, по вид интервенция и конкретна цел</w:t>
      </w:r>
    </w:p>
    <w:bookmarkEnd w:id="4"/>
    <w:p>
      <w:pPr>
        <w:pStyle w:val="Text4"/>
        <w:spacing w:after="120"/>
        <w:ind w:left="0"/>
        <w:rPr>
          <w:noProof/>
        </w:rPr>
      </w:pPr>
      <w:r>
        <w:rPr>
          <w:noProof/>
          <w:lang w:val="en-US" w:eastAsia="en-US" w:bidi="ar-SA"/>
        </w:rPr>
        <w:drawing>
          <wp:inline distT="0" distB="0" distL="0" distR="0">
            <wp:extent cx="5534025" cy="214689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532805" cy="2146418"/>
                    </a:xfrm>
                    <a:prstGeom prst="rect">
                      <a:avLst/>
                    </a:prstGeom>
                  </pic:spPr>
                </pic:pic>
              </a:graphicData>
            </a:graphic>
          </wp:inline>
        </w:drawing>
      </w:r>
    </w:p>
    <w:p>
      <w:pPr>
        <w:pStyle w:val="Sourcetables"/>
        <w:spacing w:after="120" w:line="240" w:lineRule="auto"/>
        <w:rPr>
          <w:rFonts w:ascii="Times New Roman" w:hAnsi="Times New Roman"/>
          <w:noProof/>
          <w:spacing w:val="-6"/>
          <w:sz w:val="16"/>
          <w:szCs w:val="16"/>
        </w:rPr>
      </w:pPr>
      <w:r>
        <w:rPr>
          <w:rFonts w:ascii="Times New Roman" w:hAnsi="Times New Roman"/>
          <w:noProof/>
          <w:spacing w:val="-6"/>
          <w:sz w:val="16"/>
        </w:rPr>
        <w:t>Източник: Доклади за наблюдение на годишната работна програма за 2014 г. и 2015 г., база данни за проектите за 2016 г. AG (безвъзмездни средства за дейности), OG (безвъзмездни средства за оперативни разходи), PROC (обществени поръчки), JCOO (съдебно сътрудничество), JTRA (съдебно обучение), JACC (достъп до правосъдие), JDRU (политика по отношение на наркотиците).</w:t>
      </w:r>
    </w:p>
    <w:p>
      <w:pPr>
        <w:pStyle w:val="Sourcetables"/>
        <w:spacing w:after="0" w:line="240" w:lineRule="auto"/>
        <w:rPr>
          <w:rFonts w:ascii="Times New Roman" w:hAnsi="Times New Roman"/>
          <w:noProof/>
          <w:sz w:val="16"/>
          <w:szCs w:val="16"/>
        </w:rPr>
      </w:pPr>
    </w:p>
    <w:p>
      <w:pPr>
        <w:pStyle w:val="Sourcetables"/>
        <w:spacing w:after="120" w:line="240" w:lineRule="auto"/>
        <w:jc w:val="both"/>
        <w:rPr>
          <w:rFonts w:ascii="Times New Roman" w:hAnsi="Times New Roman"/>
          <w:i w:val="0"/>
          <w:noProof/>
          <w:sz w:val="24"/>
          <w:szCs w:val="24"/>
        </w:rPr>
      </w:pPr>
      <w:r>
        <w:rPr>
          <w:rFonts w:ascii="Times New Roman" w:hAnsi="Times New Roman"/>
          <w:i w:val="0"/>
          <w:noProof/>
          <w:sz w:val="24"/>
        </w:rPr>
        <w:t xml:space="preserve">Конкретните цели, свързани с „политиката в областта на наркотиците“ и „съдебното обучение“, са онези, при които е постигнато най-голямо съответствие с респективните годишни работни програми по отношение на разходите, за които са поети задължения, а също така най-голям процент поети задължения е постигнат при конкретната цел, свързана със „съдебното обучение“. Процентът поети задължения при конкретната цел „ефективен достъп до правосъдие“ първоначално беше сравнително нисък; ситуацията обаче се подобрява през годините. И накрая, конкретната цел, при която несъответствието между планираните ресурси и ресурсите, за които са поети задължения, е най-голямо, беше съдебното сътрудничество по гражданскоправни и наказателноправни въпроси поради голямата зависимост от дейности по възлагане на обществени поръчки. </w:t>
      </w:r>
    </w:p>
    <w:p>
      <w:pPr>
        <w:pStyle w:val="Sourcetables"/>
        <w:spacing w:after="120" w:line="240" w:lineRule="auto"/>
        <w:rPr>
          <w:rFonts w:ascii="Times New Roman" w:hAnsi="Times New Roman"/>
          <w:noProof/>
          <w:sz w:val="16"/>
          <w:szCs w:val="16"/>
        </w:rPr>
      </w:pPr>
    </w:p>
    <w:p>
      <w:pPr>
        <w:pStyle w:val="ListParagraph"/>
        <w:keepNext/>
        <w:numPr>
          <w:ilvl w:val="1"/>
          <w:numId w:val="9"/>
        </w:numPr>
        <w:tabs>
          <w:tab w:val="left" w:pos="850"/>
        </w:tabs>
        <w:spacing w:after="12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Получени заявления и избрани проекти</w:t>
      </w:r>
    </w:p>
    <w:p>
      <w:pPr>
        <w:spacing w:after="0" w:line="240" w:lineRule="auto"/>
        <w:jc w:val="both"/>
        <w:rPr>
          <w:rFonts w:ascii="Times New Roman" w:hAnsi="Times New Roman" w:cs="Times New Roman"/>
          <w:noProof/>
          <w:sz w:val="24"/>
          <w:szCs w:val="24"/>
        </w:rPr>
      </w:pPr>
      <w:bookmarkStart w:id="5" w:name="_Toc491182727"/>
      <w:r>
        <w:rPr>
          <w:rFonts w:ascii="Times New Roman" w:hAnsi="Times New Roman"/>
          <w:noProof/>
          <w:sz w:val="24"/>
        </w:rPr>
        <w:t xml:space="preserve">Данните за 2014 г. и 2015 г., които се отнасят както за безвъзмездните средства за дейности, така и за безвъзмездните средства за оперативни разходи, показват, че за инициативите по конкретната цел за политиката по отношение на наркотиците търсенето на финансиране превишава значително предлагането (вж. фигура 2). </w:t>
      </w:r>
    </w:p>
    <w:p>
      <w:pPr>
        <w:pStyle w:val="Caption"/>
        <w:spacing w:before="0" w:after="0"/>
        <w:jc w:val="both"/>
        <w:rPr>
          <w:rFonts w:ascii="Times New Roman" w:hAnsi="Times New Roman"/>
          <w:i w:val="0"/>
          <w:iCs w:val="0"/>
          <w:noProof/>
          <w:color w:val="auto"/>
          <w:sz w:val="24"/>
          <w:szCs w:val="20"/>
        </w:rPr>
      </w:pPr>
      <w:bookmarkStart w:id="6" w:name="Figure_3"/>
    </w:p>
    <w:p>
      <w:pPr>
        <w:pStyle w:val="Caption"/>
        <w:spacing w:before="0" w:after="0"/>
        <w:jc w:val="both"/>
        <w:rPr>
          <w:rFonts w:ascii="Times New Roman" w:hAnsi="Times New Roman"/>
          <w:b/>
          <w:i w:val="0"/>
          <w:noProof/>
          <w:color w:val="000000" w:themeColor="text1"/>
          <w:szCs w:val="20"/>
        </w:rPr>
      </w:pPr>
      <w:r>
        <w:rPr>
          <w:rFonts w:ascii="Times New Roman" w:hAnsi="Times New Roman"/>
          <w:b/>
          <w:i w:val="0"/>
          <w:noProof/>
          <w:color w:val="auto"/>
        </w:rPr>
        <w:t>Фигура 2: Брой на</w:t>
      </w:r>
      <w:r>
        <w:rPr>
          <w:rFonts w:ascii="Times New Roman" w:hAnsi="Times New Roman"/>
          <w:b/>
          <w:i w:val="0"/>
          <w:noProof/>
          <w:color w:val="000000" w:themeColor="text1"/>
        </w:rPr>
        <w:t xml:space="preserve"> отпуснатите безвъзмездни средства за дейности и безвъзмездни средства за оперативни разходи и брой на заявленията по конкретна цел и година (2014 г., 2015 г. и 2016 г.)</w:t>
      </w:r>
    </w:p>
    <w:p>
      <w:pPr>
        <w:spacing w:after="0" w:line="240" w:lineRule="auto"/>
        <w:jc w:val="both"/>
        <w:rPr>
          <w:rFonts w:ascii="Times New Roman" w:hAnsi="Times New Roman" w:cs="Times New Roman"/>
          <w:noProof/>
        </w:rPr>
      </w:pPr>
    </w:p>
    <w:bookmarkEnd w:id="6"/>
    <w:p>
      <w:pPr>
        <w:pStyle w:val="ListParagraph"/>
        <w:spacing w:after="120" w:line="240" w:lineRule="auto"/>
        <w:ind w:left="360"/>
        <w:jc w:val="center"/>
        <w:rPr>
          <w:rFonts w:ascii="Times New Roman" w:hAnsi="Times New Roman" w:cs="Times New Roman"/>
          <w:noProof/>
        </w:rPr>
      </w:pPr>
      <w:r>
        <w:rPr>
          <w:noProof/>
          <w:lang w:val="en-US" w:eastAsia="en-US" w:bidi="ar-SA"/>
        </w:rPr>
        <w:drawing>
          <wp:inline distT="0" distB="0" distL="0" distR="0">
            <wp:extent cx="5761355" cy="340070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1355" cy="3400706"/>
                    </a:xfrm>
                    <a:prstGeom prst="rect">
                      <a:avLst/>
                    </a:prstGeom>
                  </pic:spPr>
                </pic:pic>
              </a:graphicData>
            </a:graphic>
          </wp:inline>
        </w:drawing>
      </w:r>
    </w:p>
    <w:p>
      <w:pPr>
        <w:spacing w:after="0" w:line="240" w:lineRule="auto"/>
        <w:jc w:val="both"/>
        <w:rPr>
          <w:rFonts w:ascii="Times New Roman" w:hAnsi="Times New Roman" w:cs="Times New Roman"/>
          <w:i/>
          <w:noProof/>
          <w:sz w:val="16"/>
          <w:szCs w:val="16"/>
        </w:rPr>
      </w:pPr>
      <w:r>
        <w:rPr>
          <w:rFonts w:ascii="Times New Roman" w:hAnsi="Times New Roman"/>
          <w:i/>
          <w:noProof/>
          <w:sz w:val="16"/>
        </w:rPr>
        <w:t xml:space="preserve">Източник: Годишни доклади за изпълнението на годишните работни програми за периода 2014 — 2015 г., анализ на възложените проекти през 2016 г. и данни от SYGMA (липсват пълни данни за заявителите през 2016 г.). </w:t>
      </w:r>
      <w:r>
        <w:rPr>
          <w:rFonts w:ascii="Times New Roman" w:hAnsi="Times New Roman"/>
          <w:noProof/>
          <w:sz w:val="16"/>
        </w:rPr>
        <w:t>JCOO (съдебно сътрудничество), JTRA (съдебно обучение), JACC (достъп до правосъдие), JDRU (политика по отношение на наркотиците).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Когато се разглежда процентът одобрени заявления по поканите за представяне на предложения през 2014 г. и 2015 г., се установява, че средният процент одобрени заявления за почти всички конкретни цели варира между около 16 % и около 47 %</w:t>
      </w:r>
      <w:r>
        <w:rPr>
          <w:rStyle w:val="CommentReference"/>
          <w:rFonts w:ascii="Times New Roman" w:hAnsi="Times New Roman"/>
          <w:noProof/>
          <w:sz w:val="24"/>
        </w:rPr>
        <w:t xml:space="preserve">. </w:t>
      </w:r>
      <w:r>
        <w:rPr>
          <w:rFonts w:ascii="Times New Roman" w:hAnsi="Times New Roman"/>
          <w:noProof/>
          <w:sz w:val="24"/>
        </w:rPr>
        <w:t xml:space="preserve">По целите за съдебно сътрудничество и съдебно обучение </w:t>
      </w:r>
      <w:r>
        <w:rPr>
          <w:rStyle w:val="CommentReference"/>
          <w:rFonts w:ascii="Times New Roman" w:hAnsi="Times New Roman"/>
          <w:noProof/>
          <w:sz w:val="24"/>
        </w:rPr>
        <w:t>обаче</w:t>
      </w:r>
      <w:r>
        <w:rPr>
          <w:rFonts w:ascii="Times New Roman" w:hAnsi="Times New Roman"/>
          <w:noProof/>
          <w:sz w:val="24"/>
        </w:rPr>
        <w:t xml:space="preserve"> почти половината от подадените заявления бяха одобрени.</w:t>
      </w:r>
    </w:p>
    <w:p>
      <w:pPr>
        <w:spacing w:after="0" w:line="240" w:lineRule="auto"/>
        <w:jc w:val="both"/>
        <w:rPr>
          <w:rFonts w:ascii="Times New Roman" w:hAnsi="Times New Roman"/>
          <w:noProof/>
          <w:sz w:val="24"/>
        </w:rPr>
      </w:pPr>
      <w:r>
        <w:rPr>
          <w:rFonts w:ascii="Times New Roman" w:hAnsi="Times New Roman"/>
          <w:noProof/>
          <w:sz w:val="24"/>
        </w:rPr>
        <w:t>За 2015 г. се наблюдава леко намаление в броя на подадените (и съответно на одобрените) заявления за безвъзмездни средства за почти всички конкретни цели. Освен това, при поканите за представяне на предложения през 2016 г. е регистриран значителен спад на подадените заявления (почти 51 %): получени са общо едва 127 заявления за безвъзмездни средства за дейности, в сравнение с 262 заявления по поканите от 2015 г. Това отчасти се обяснява с въвеждането на портала за участници, който според резултатите от оценката не е подходящ за типичните заявители по програма „Правосъдие“ (като например организации за обучение), тъй като първоначално е бил проектиран за целите на научноизследователските институти и за големи по размер безвъзмездни средства</w:t>
      </w:r>
      <w:r>
        <w:rPr>
          <w:rStyle w:val="FootnoteReference"/>
          <w:rFonts w:ascii="Times New Roman" w:hAnsi="Times New Roman"/>
          <w:noProof/>
          <w:sz w:val="24"/>
        </w:rPr>
        <w:footnoteReference w:id="6"/>
      </w:r>
      <w:r>
        <w:rPr>
          <w:rFonts w:ascii="Times New Roman" w:hAnsi="Times New Roman"/>
          <w:noProof/>
          <w:sz w:val="24"/>
        </w:rPr>
        <w:t>.</w:t>
      </w:r>
      <w:r>
        <w:rPr>
          <w:rFonts w:ascii="Times New Roman" w:hAnsi="Times New Roman"/>
          <w:noProof/>
          <w:sz w:val="20"/>
        </w:rPr>
        <w:t xml:space="preserve"> </w:t>
      </w:r>
      <w:r>
        <w:rPr>
          <w:rFonts w:ascii="Times New Roman" w:hAnsi="Times New Roman"/>
          <w:noProof/>
          <w:sz w:val="24"/>
        </w:rPr>
        <w:t>Независимо от този спад на подадените заявления, като цяло броят на възложените проекти се запази стабилен при четирите конкретни цели и дори се увеличи значително при проектите за съдебно сътрудничество. Спадът доведе също така до увеличаване на процента одобрени заявления</w:t>
      </w:r>
      <w:r>
        <w:rPr>
          <w:rStyle w:val="FootnoteReference"/>
          <w:rFonts w:ascii="Times New Roman" w:hAnsi="Times New Roman"/>
          <w:noProof/>
          <w:sz w:val="24"/>
        </w:rPr>
        <w:footnoteReference w:id="7"/>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bookmarkEnd w:id="5"/>
    <w:p>
      <w:pPr>
        <w:pStyle w:val="ListParagraph"/>
        <w:keepNext/>
        <w:numPr>
          <w:ilvl w:val="1"/>
          <w:numId w:val="9"/>
        </w:numPr>
        <w:tabs>
          <w:tab w:val="left" w:pos="850"/>
        </w:tabs>
        <w:spacing w:after="12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Основни постижения по програмата</w:t>
      </w:r>
    </w:p>
    <w:p>
      <w:pPr>
        <w:keepNext/>
        <w:spacing w:after="12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Потвърди се, че въвеждането на система от показатели за настоящата програма „Правосъдие“ е подходящо за измерване на постиженията по програмата. </w:t>
      </w:r>
    </w:p>
    <w:p>
      <w:pPr>
        <w:spacing w:after="120" w:line="240" w:lineRule="auto"/>
        <w:jc w:val="both"/>
        <w:rPr>
          <w:rStyle w:val="Heading1Char"/>
          <w:rFonts w:ascii="Times New Roman" w:eastAsia="Times New Roman" w:hAnsi="Times New Roman" w:cs="Times New Roman"/>
          <w:bCs w:val="0"/>
          <w:noProof/>
          <w:color w:val="auto"/>
          <w:sz w:val="24"/>
          <w:szCs w:val="24"/>
        </w:rPr>
      </w:pPr>
      <w:r>
        <w:rPr>
          <w:rStyle w:val="Heading1Char"/>
          <w:rFonts w:ascii="Times New Roman" w:hAnsi="Times New Roman"/>
          <w:b w:val="0"/>
          <w:noProof/>
          <w:color w:val="auto"/>
          <w:sz w:val="24"/>
        </w:rPr>
        <w:t>Показателят, свързан със „съдебното обучение“,</w:t>
      </w:r>
      <w:r>
        <w:rPr>
          <w:rStyle w:val="Heading1Char"/>
          <w:rFonts w:ascii="Times New Roman" w:hAnsi="Times New Roman"/>
          <w:noProof/>
          <w:color w:val="auto"/>
          <w:sz w:val="24"/>
        </w:rPr>
        <w:t xml:space="preserve"> </w:t>
      </w:r>
      <w:r>
        <w:rPr>
          <w:rFonts w:ascii="Times New Roman" w:hAnsi="Times New Roman"/>
          <w:noProof/>
          <w:sz w:val="24"/>
        </w:rPr>
        <w:t>се измерва чрез броя и процента на магистратите и съдебните служители, участвали в обучителни дейности, обмен на служители, учебни посещения, работни срещи и семинари, финансирани от програмата. Показателите, свързани със „съдебно сътрудничество по гражданскоправни и наказателноправни въпроси“, са съсредоточени върху рационалното прилагане на инструментите на европейско равнище в областта на наказателното право (средна продължителност на процедурата по предаване по европейската заповед за арест) и използването на информационни системи (брой случаи на обмен на информация в Европейската информационна система за съдимост</w:t>
      </w:r>
      <w:r>
        <w:rPr>
          <w:rStyle w:val="FootnoteReference"/>
          <w:rFonts w:ascii="Times New Roman" w:hAnsi="Times New Roman"/>
          <w:noProof/>
          <w:sz w:val="24"/>
        </w:rPr>
        <w:footnoteReference w:id="8"/>
      </w:r>
      <w:r>
        <w:rPr>
          <w:rFonts w:ascii="Times New Roman" w:hAnsi="Times New Roman"/>
          <w:noProof/>
          <w:sz w:val="24"/>
        </w:rPr>
        <w:t>). Показателите, свързани с „достъп до правосъдие“, също са съсредоточени върху ролята на информационните системи (брой посещения на портала за електронно правосъдие</w:t>
      </w:r>
      <w:r>
        <w:rPr>
          <w:rStyle w:val="FootnoteReference"/>
          <w:rFonts w:ascii="Times New Roman" w:hAnsi="Times New Roman"/>
          <w:noProof/>
          <w:sz w:val="24"/>
        </w:rPr>
        <w:footnoteReference w:id="9"/>
      </w:r>
      <w:r>
        <w:rPr>
          <w:rFonts w:ascii="Times New Roman" w:hAnsi="Times New Roman"/>
          <w:noProof/>
          <w:sz w:val="24"/>
        </w:rPr>
        <w:t>), както и върху въпроса за правата на жертвите (брой на организациите за подкрепа на жертвите на престъпления на държава членка). И накрая, показателите за „политика по отношение на наркотиците“ са съсредоточени върху броя на изследваните нови психоактивни вещества и върху броя на лицата, употребяващи опиоидни вещества при лечението за употреба на наркотици.</w:t>
      </w:r>
    </w:p>
    <w:p>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Що се отнася до постигането на общата цел на програмата</w:t>
      </w:r>
      <w:r>
        <w:rPr>
          <w:rFonts w:ascii="Times New Roman" w:hAnsi="Times New Roman"/>
          <w:noProof/>
          <w:sz w:val="24"/>
        </w:rPr>
        <w:t xml:space="preserve"> (а именно „да допринесе за по-нататъшното развитие на европейско пространство на правосъдие, основано на взаимно признаване и взаимно доверие, по-специално чрез насърчаване на съдебното сътрудничество по гражданскоправни и наказателноправни въпроси“), </w:t>
      </w:r>
      <w:r>
        <w:rPr>
          <w:rFonts w:ascii="Times New Roman" w:hAnsi="Times New Roman"/>
          <w:b/>
          <w:noProof/>
          <w:sz w:val="24"/>
        </w:rPr>
        <w:t>основният показател</w:t>
      </w:r>
      <w:r>
        <w:rPr>
          <w:rFonts w:ascii="Times New Roman" w:hAnsi="Times New Roman"/>
          <w:noProof/>
          <w:sz w:val="24"/>
        </w:rPr>
        <w:t xml:space="preserve"> (т.е. процентът на практикуващите юристи, обучени — не само чрез тази програма — в областта на законодателството на ЕС или законодателството на друга държава членка, включително в областта на гражданското правосъдие, наказателното правосъдие и основните права), </w:t>
      </w:r>
      <w:r>
        <w:rPr>
          <w:rFonts w:ascii="Times New Roman" w:hAnsi="Times New Roman"/>
          <w:b/>
          <w:noProof/>
          <w:sz w:val="24"/>
        </w:rPr>
        <w:t>трайно показва значителен напредък към постигането на целевото равнище</w:t>
      </w:r>
      <w:r>
        <w:rPr>
          <w:rFonts w:ascii="Times New Roman" w:hAnsi="Times New Roman"/>
          <w:noProof/>
          <w:sz w:val="24"/>
        </w:rPr>
        <w:t xml:space="preserve"> (т.е. 700 000 обучени практикуващи юристи до 2020 г.). Действително броят на обучените практикуващи юристи постоянно нараства между 2013 г. и 2016 г., а целта за 2020 г. е почти достигната още през 2017 г.</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значителен напредък показва и основният показател, използван за измерване на постигането на конкретната цел за съдебно обучение (т.е. броят и процентът на магистратите и съдебните служители, участвали в обучителни дейности, обмен на служители, учебни посещения, работни срещи и семинари, финансирани от програмата), а целта за обучение на 20 000 практикуващи юристи (за цялата Комисия) до 2020 г. е постигната още през 2015 г. В това отношение най-големият принос за постигането на свързаните с обучение цели, определени за 2020 г., е предоставен от програма „Правосъдие“. Броят на съдебните служители, обучавани годишно по линия на програма „Правосъдие“, възлиза на около 14 000 до 2016 г. (все още не са налични данни за 2017 г.). </w:t>
      </w:r>
    </w:p>
    <w:p>
      <w:pPr>
        <w:spacing w:after="0" w:line="240" w:lineRule="auto"/>
        <w:jc w:val="both"/>
        <w:rPr>
          <w:rFonts w:ascii="Times New Roman" w:hAnsi="Times New Roman" w:cs="Times New Roman"/>
          <w:noProof/>
          <w:sz w:val="24"/>
          <w:szCs w:val="24"/>
        </w:rPr>
      </w:pPr>
      <w:r>
        <w:rPr>
          <w:rFonts w:ascii="Times New Roman" w:hAnsi="Times New Roman"/>
          <w:noProof/>
          <w:sz w:val="24"/>
        </w:rPr>
        <w:t>Всички тези постижения отразяват приоритетната позиция на съдебното обучение в програмата.</w:t>
      </w:r>
    </w:p>
    <w:p>
      <w:pPr>
        <w:spacing w:after="0" w:line="240" w:lineRule="auto"/>
        <w:jc w:val="both"/>
        <w:rPr>
          <w:rFonts w:ascii="Times New Roman" w:eastAsia="Calibri"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Що се отнася до конкретните цели на програмата</w:t>
      </w:r>
      <w:r>
        <w:rPr>
          <w:rFonts w:ascii="Times New Roman" w:hAnsi="Times New Roman"/>
          <w:noProof/>
          <w:sz w:val="24"/>
        </w:rPr>
        <w:t xml:space="preserve">, като цяло </w:t>
      </w:r>
      <w:r>
        <w:rPr>
          <w:rFonts w:ascii="Times New Roman" w:hAnsi="Times New Roman"/>
          <w:b/>
          <w:noProof/>
          <w:sz w:val="24"/>
        </w:rPr>
        <w:t>показателите отразяват адекватно приоритетите</w:t>
      </w:r>
      <w:r>
        <w:rPr>
          <w:rFonts w:ascii="Times New Roman" w:hAnsi="Times New Roman"/>
          <w:noProof/>
          <w:sz w:val="24"/>
        </w:rPr>
        <w:t xml:space="preserve"> за всяка конкретна цел </w:t>
      </w:r>
      <w:r>
        <w:rPr>
          <w:rFonts w:ascii="Times New Roman" w:hAnsi="Times New Roman"/>
          <w:b/>
          <w:noProof/>
          <w:sz w:val="24"/>
        </w:rPr>
        <w:t>и са измерими по отношение на съответните им референтни стойности</w:t>
      </w:r>
      <w:r>
        <w:rPr>
          <w:rFonts w:ascii="Times New Roman" w:hAnsi="Times New Roman"/>
          <w:noProof/>
          <w:sz w:val="24"/>
        </w:rPr>
        <w:t xml:space="preserve">. Освен това </w:t>
      </w:r>
      <w:r>
        <w:rPr>
          <w:rFonts w:ascii="Times New Roman" w:hAnsi="Times New Roman"/>
          <w:b/>
          <w:noProof/>
          <w:sz w:val="24"/>
        </w:rPr>
        <w:t>извършената оценка показа значителен напредък в няколко направления</w:t>
      </w:r>
      <w:r>
        <w:rPr>
          <w:rFonts w:ascii="Times New Roman" w:hAnsi="Times New Roman"/>
          <w:noProof/>
          <w:sz w:val="24"/>
        </w:rPr>
        <w:t>, тъй като редица цели са почти постигнати.</w:t>
      </w:r>
    </w:p>
    <w:p>
      <w:pPr>
        <w:spacing w:after="0" w:line="240" w:lineRule="auto"/>
        <w:jc w:val="both"/>
        <w:rPr>
          <w:rStyle w:val="Heading1Char"/>
          <w:rFonts w:ascii="Times New Roman" w:eastAsiaTheme="minorHAnsi" w:hAnsi="Times New Roman" w:cs="Times New Roman"/>
          <w:b w:val="0"/>
          <w:bCs w:val="0"/>
          <w:noProof/>
          <w:color w:val="auto"/>
          <w:sz w:val="24"/>
          <w:szCs w:val="24"/>
        </w:rPr>
      </w:pPr>
      <w:r>
        <w:rPr>
          <w:rFonts w:ascii="Times New Roman" w:hAnsi="Times New Roman"/>
          <w:noProof/>
          <w:sz w:val="24"/>
        </w:rPr>
        <w:t>По-специално, могат да се наблюдават важни постижения по отношение на конкретната цел „съдебно сътрудничество по гражданскоправни и наказателноправни въпроси“, по която вероятно ще бъде постигната целта за 2020 г. (т.е. броят случаи на обмен на информация в Европейската информационна система за съдимост). По отношение също така на конкретната цел „достъп до правосъдие“ по целта за 2020 г. (т.е. броят посещения на портала за електронно правосъдие и броят организации за подкрепа на жертвите на престъпления с национално покритие) вече са надхвърлени посочените целеви равнища.</w:t>
      </w:r>
    </w:p>
    <w:p>
      <w:pPr>
        <w:keepNext/>
        <w:tabs>
          <w:tab w:val="left" w:pos="850"/>
        </w:tabs>
        <w:spacing w:after="120" w:line="240" w:lineRule="auto"/>
        <w:jc w:val="both"/>
        <w:outlineLvl w:val="0"/>
        <w:rPr>
          <w:rFonts w:ascii="Times New Roman" w:hAnsi="Times New Roman" w:cs="Times New Roman"/>
          <w:noProof/>
          <w:sz w:val="24"/>
          <w:szCs w:val="24"/>
        </w:rPr>
      </w:pPr>
      <w:r>
        <w:rPr>
          <w:rStyle w:val="Heading1Char"/>
          <w:rFonts w:ascii="Times New Roman" w:hAnsi="Times New Roman"/>
          <w:noProof/>
          <w:color w:val="auto"/>
          <w:sz w:val="24"/>
        </w:rPr>
        <w:t xml:space="preserve">Понякога обаче </w:t>
      </w:r>
      <w:r>
        <w:rPr>
          <w:rFonts w:ascii="Times New Roman" w:hAnsi="Times New Roman"/>
          <w:b/>
          <w:noProof/>
          <w:sz w:val="24"/>
        </w:rPr>
        <w:t>избраните показатели са трудно измерими</w:t>
      </w:r>
      <w:r>
        <w:rPr>
          <w:rFonts w:ascii="Times New Roman" w:hAnsi="Times New Roman"/>
          <w:noProof/>
          <w:sz w:val="24"/>
        </w:rPr>
        <w:t>, тъй като например те се влияят от външни фактори (като различна степен на интегриране на директивите на ЕС на национално равнище, различни национални приоритети на политиката и извънредни ситуации, макроикономически условия и т.н.) и поради това е трудно да се оцени точният принос на програмата към постигането им.</w:t>
      </w:r>
    </w:p>
    <w:p>
      <w:pPr>
        <w:keepNext/>
        <w:tabs>
          <w:tab w:val="left" w:pos="850"/>
        </w:tabs>
        <w:spacing w:after="120" w:line="240" w:lineRule="auto"/>
        <w:jc w:val="both"/>
        <w:outlineLvl w:val="0"/>
        <w:rPr>
          <w:rFonts w:ascii="Times New Roman" w:eastAsiaTheme="majorEastAsia" w:hAnsi="Times New Roman" w:cs="Times New Roman"/>
          <w:b/>
          <w:bCs/>
          <w:noProof/>
          <w:sz w:val="24"/>
          <w:szCs w:val="24"/>
        </w:rPr>
      </w:pPr>
      <w:r>
        <w:rPr>
          <w:rFonts w:ascii="Times New Roman" w:hAnsi="Times New Roman"/>
          <w:b/>
          <w:noProof/>
          <w:sz w:val="24"/>
        </w:rPr>
        <w:t>Все още съществува възможност за по-нататъшни подобрения</w:t>
      </w:r>
      <w:r>
        <w:rPr>
          <w:rFonts w:ascii="Times New Roman" w:hAnsi="Times New Roman"/>
          <w:noProof/>
          <w:sz w:val="24"/>
        </w:rPr>
        <w:t>, също и поради липса на подходящи инструменти (например не се извършва проучване на удовлетвореността, което да помогне да се преценят възприятията на участниците, посещавали обучителни дейности. Освен това някои показатели, засягащи например географския обхват на програмата, не отчитат някои основни динамики, като факта, че досега по програмата преобладават бенефициери от малък брой държави членки.</w:t>
      </w:r>
    </w:p>
    <w:p>
      <w:pPr>
        <w:keepNext/>
        <w:tabs>
          <w:tab w:val="left" w:pos="850"/>
        </w:tabs>
        <w:spacing w:after="120" w:line="240" w:lineRule="auto"/>
        <w:jc w:val="both"/>
        <w:outlineLvl w:val="0"/>
        <w:rPr>
          <w:rStyle w:val="Heading1Char"/>
          <w:rFonts w:ascii="Times New Roman" w:hAnsi="Times New Roman" w:cs="Times New Roman"/>
          <w:noProof/>
          <w:color w:val="auto"/>
          <w:sz w:val="24"/>
          <w:szCs w:val="24"/>
        </w:rPr>
      </w:pPr>
    </w:p>
    <w:p>
      <w:pPr>
        <w:pStyle w:val="ListParagraph"/>
        <w:keepNext/>
        <w:numPr>
          <w:ilvl w:val="1"/>
          <w:numId w:val="9"/>
        </w:numPr>
        <w:tabs>
          <w:tab w:val="left" w:pos="850"/>
        </w:tabs>
        <w:spacing w:after="12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Участници и партньорства</w:t>
      </w:r>
    </w:p>
    <w:p>
      <w:pPr>
        <w:pStyle w:val="ListParagraph"/>
        <w:keepNext/>
        <w:tabs>
          <w:tab w:val="left" w:pos="850"/>
        </w:tabs>
        <w:spacing w:after="12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Данните, събрани при междинната оценка, показват, че </w:t>
      </w:r>
      <w:r>
        <w:rPr>
          <w:rFonts w:ascii="Times New Roman" w:hAnsi="Times New Roman"/>
          <w:b/>
          <w:noProof/>
          <w:sz w:val="24"/>
        </w:rPr>
        <w:t>програмата успешно привлича повече транснационални партньорства</w:t>
      </w:r>
      <w:r>
        <w:rPr>
          <w:rFonts w:ascii="Times New Roman" w:hAnsi="Times New Roman"/>
          <w:noProof/>
          <w:sz w:val="24"/>
        </w:rPr>
        <w:t xml:space="preserve">, както и че това е един от ключовите вектори, посредством които се подкрепя правосъдието в Европа. </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Според бенефициентите </w:t>
      </w:r>
      <w:r>
        <w:rPr>
          <w:rFonts w:ascii="Times New Roman" w:hAnsi="Times New Roman"/>
          <w:b/>
          <w:noProof/>
          <w:sz w:val="24"/>
        </w:rPr>
        <w:t>партньорствата, разработени чрез безвъзмездни средства за оперативни разходи и безвъзмездни средства за дейности в рамките на програма „Правосъдие“, имат благоприятно въздействие върху способностите на съответните им организации</w:t>
      </w:r>
      <w:r>
        <w:rPr>
          <w:rFonts w:ascii="Times New Roman" w:hAnsi="Times New Roman"/>
          <w:noProof/>
          <w:sz w:val="24"/>
        </w:rPr>
        <w:t xml:space="preserve">, особено върху способността им да гарантират устойчивостта на резултатите и да изпълняват проектите. Чрез безвъзмездни средства за оперативни разходи програмата финансира главно европейски мрежи, осъществяващи дейност в областта на улесняването и подкрепата на съдебното сътрудничество по гражданскоправни и/или наказателноправни въпроси и достъпа до правосъдие, които са подписали рамкови споразумения за партньорство с Комисията. </w:t>
      </w:r>
    </w:p>
    <w:p>
      <w:pPr>
        <w:spacing w:after="0" w:line="240" w:lineRule="auto"/>
        <w:jc w:val="both"/>
        <w:rPr>
          <w:rFonts w:ascii="Times New Roman" w:eastAsia="Calibri" w:hAnsi="Times New Roman" w:cs="Times New Roman"/>
          <w:noProof/>
          <w:sz w:val="24"/>
          <w:szCs w:val="24"/>
        </w:rPr>
      </w:pPr>
      <w:r>
        <w:rPr>
          <w:rFonts w:ascii="Times New Roman" w:hAnsi="Times New Roman"/>
          <w:b/>
          <w:noProof/>
          <w:sz w:val="24"/>
        </w:rPr>
        <w:t>Редица организации, участващи в програма „Правосъдие“, осъществяват дейности също така по програма „Права, равенство и гражданство“</w:t>
      </w:r>
      <w:r>
        <w:rPr>
          <w:rFonts w:ascii="Times New Roman" w:hAnsi="Times New Roman"/>
          <w:noProof/>
          <w:sz w:val="24"/>
        </w:rPr>
        <w:t>. Оказва се следователно, че програма „Правосъдие“ е улеснила растежа на устойчиви европейски мрежи в областта на политиката по въпросите на правосъдието и че съществуват структурирани мрежи за сътрудничество също и във връзка с други програми за финансиране от ЕС.</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Установява се </w:t>
      </w:r>
      <w:r>
        <w:rPr>
          <w:rFonts w:ascii="Times New Roman" w:hAnsi="Times New Roman"/>
          <w:b/>
          <w:noProof/>
          <w:sz w:val="24"/>
        </w:rPr>
        <w:t>обаче</w:t>
      </w:r>
      <w:r>
        <w:rPr>
          <w:rFonts w:ascii="Times New Roman" w:hAnsi="Times New Roman"/>
          <w:noProof/>
          <w:sz w:val="24"/>
        </w:rPr>
        <w:t xml:space="preserve">, че </w:t>
      </w:r>
      <w:r>
        <w:rPr>
          <w:rFonts w:ascii="Times New Roman" w:hAnsi="Times New Roman"/>
          <w:b/>
          <w:noProof/>
          <w:sz w:val="24"/>
        </w:rPr>
        <w:t>не всички държави членки са участвали в</w:t>
      </w:r>
      <w:r>
        <w:rPr>
          <w:rFonts w:ascii="Times New Roman" w:hAnsi="Times New Roman"/>
          <w:noProof/>
          <w:sz w:val="24"/>
        </w:rPr>
        <w:t xml:space="preserve"> </w:t>
      </w:r>
      <w:r>
        <w:rPr>
          <w:rFonts w:ascii="Times New Roman" w:hAnsi="Times New Roman"/>
          <w:b/>
          <w:noProof/>
          <w:sz w:val="24"/>
        </w:rPr>
        <w:t>програма „Правосъдие“ по съизмерим начин</w:t>
      </w:r>
      <w:r>
        <w:rPr>
          <w:rFonts w:ascii="Times New Roman" w:hAnsi="Times New Roman"/>
          <w:noProof/>
          <w:sz w:val="24"/>
        </w:rPr>
        <w:t xml:space="preserve">. Всъщност около 25 % от всички бенефициери идват от Италия или Белгия, а около половината от партньорските организации идват от пет държави. Останалите 50 % са организации от останалите 21 държави членки. Това означава </w:t>
      </w:r>
      <w:r>
        <w:rPr>
          <w:rFonts w:ascii="Times New Roman" w:hAnsi="Times New Roman"/>
          <w:b/>
          <w:noProof/>
          <w:sz w:val="24"/>
        </w:rPr>
        <w:t>неравномерно разпределение на ресурсите по програмата</w:t>
      </w:r>
      <w:r>
        <w:rPr>
          <w:rFonts w:ascii="Times New Roman" w:hAnsi="Times New Roman"/>
          <w:noProof/>
          <w:sz w:val="24"/>
        </w:rPr>
        <w:t xml:space="preserve">, особено по отношение на организациите в държавите членки от Централна и Източна Европа. </w:t>
      </w:r>
    </w:p>
    <w:p>
      <w:pPr>
        <w:keepNext/>
        <w:tabs>
          <w:tab w:val="left" w:pos="850"/>
        </w:tabs>
        <w:spacing w:after="120" w:line="240" w:lineRule="auto"/>
        <w:jc w:val="both"/>
        <w:outlineLvl w:val="0"/>
        <w:rPr>
          <w:rStyle w:val="Heading1Char"/>
          <w:rFonts w:ascii="Times New Roman" w:hAnsi="Times New Roman" w:cs="Times New Roman"/>
          <w:b w:val="0"/>
          <w:noProof/>
          <w:color w:val="auto"/>
          <w:sz w:val="24"/>
          <w:szCs w:val="24"/>
        </w:rPr>
      </w:pPr>
    </w:p>
    <w:p>
      <w:pPr>
        <w:pStyle w:val="ListParagraph"/>
        <w:keepNext/>
        <w:numPr>
          <w:ilvl w:val="0"/>
          <w:numId w:val="9"/>
        </w:numPr>
        <w:tabs>
          <w:tab w:val="left" w:pos="850"/>
        </w:tabs>
        <w:spacing w:after="120" w:line="240" w:lineRule="auto"/>
        <w:contextualSpacing w:val="0"/>
        <w:jc w:val="both"/>
        <w:outlineLvl w:val="0"/>
        <w:rPr>
          <w:rStyle w:val="Heading1Char"/>
          <w:rFonts w:ascii="Times New Roman" w:hAnsi="Times New Roman" w:cs="Times New Roman"/>
          <w:smallCaps/>
          <w:noProof/>
          <w:color w:val="auto"/>
          <w:sz w:val="24"/>
          <w:szCs w:val="24"/>
        </w:rPr>
      </w:pPr>
      <w:r>
        <w:rPr>
          <w:rStyle w:val="Heading1Char"/>
          <w:rFonts w:ascii="Times New Roman" w:hAnsi="Times New Roman"/>
          <w:smallCaps/>
          <w:noProof/>
          <w:color w:val="auto"/>
          <w:sz w:val="24"/>
        </w:rPr>
        <w:t>Какво е постигнато чрез програма „Правосъдие“?</w:t>
      </w:r>
    </w:p>
    <w:p>
      <w:pPr>
        <w:spacing w:after="0" w:line="240" w:lineRule="auto"/>
        <w:jc w:val="both"/>
        <w:rPr>
          <w:rFonts w:ascii="Times New Roman" w:hAnsi="Times New Roman"/>
          <w:noProof/>
          <w:sz w:val="24"/>
        </w:rPr>
      </w:pPr>
      <w:r>
        <w:rPr>
          <w:rFonts w:ascii="Times New Roman" w:hAnsi="Times New Roman"/>
          <w:noProof/>
          <w:sz w:val="24"/>
        </w:rPr>
        <w:t>Както показва оценката, в средносрочен план програма „Правосъдие“ като цяло има добри резултати по отношение на своите конкретни цели от гледна точка на ефективност, ефикасност, уместност, съгласуваност, взаимно допълване, както и полезни взаимодействия и добавена стойност на ЕС. Подобрения са необходими по-специално по отношение на справедливостта на програмата.</w:t>
      </w:r>
    </w:p>
    <w:p>
      <w:pPr>
        <w:spacing w:after="0" w:line="240" w:lineRule="auto"/>
        <w:jc w:val="both"/>
        <w:rPr>
          <w:rFonts w:ascii="Times New Roman" w:eastAsia="Calibri" w:hAnsi="Times New Roman" w:cs="Times New Roman"/>
          <w:noProof/>
          <w:sz w:val="24"/>
          <w:szCs w:val="24"/>
        </w:rPr>
      </w:pP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Ефективност</w:t>
      </w:r>
      <w:r>
        <w:rPr>
          <w:rStyle w:val="FootnoteReference"/>
          <w:rFonts w:ascii="Times New Roman" w:eastAsiaTheme="majorEastAsia" w:hAnsi="Times New Roman"/>
          <w:b/>
          <w:noProof/>
          <w:sz w:val="24"/>
        </w:rPr>
        <w:footnoteReference w:id="10"/>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Анализът на показателите показва, че е постигнат значителен напредък в няколко направления, тъй като някои цели са почти постигнати, а други вече са постигнати.</w:t>
      </w:r>
      <w:r>
        <w:rPr>
          <w:rFonts w:ascii="Times New Roman" w:hAnsi="Times New Roman"/>
          <w:b/>
          <w:noProof/>
          <w:sz w:val="24"/>
        </w:rPr>
        <w:t xml:space="preserve"> </w:t>
      </w:r>
      <w:r>
        <w:rPr>
          <w:rFonts w:ascii="Times New Roman" w:hAnsi="Times New Roman"/>
          <w:noProof/>
          <w:sz w:val="24"/>
        </w:rPr>
        <w:t xml:space="preserve">Следователно </w:t>
      </w:r>
      <w:r>
        <w:rPr>
          <w:rFonts w:ascii="Times New Roman" w:hAnsi="Times New Roman"/>
          <w:b/>
          <w:noProof/>
          <w:sz w:val="24"/>
        </w:rPr>
        <w:t xml:space="preserve">програма „Правосъдие“ допринася положително за постигането на своята обща цел чрез напредъка по своите конкретни цели. </w:t>
      </w:r>
    </w:p>
    <w:p>
      <w:pPr>
        <w:spacing w:after="0" w:line="240" w:lineRule="auto"/>
        <w:jc w:val="both"/>
        <w:rPr>
          <w:rFonts w:ascii="Times New Roman" w:eastAsia="Calibri" w:hAnsi="Times New Roman" w:cs="Times New Roman"/>
          <w:b/>
          <w:noProof/>
          <w:sz w:val="24"/>
          <w:szCs w:val="24"/>
        </w:rPr>
      </w:pPr>
      <w:r>
        <w:rPr>
          <w:rFonts w:ascii="Times New Roman" w:hAnsi="Times New Roman"/>
          <w:b/>
          <w:noProof/>
          <w:sz w:val="24"/>
        </w:rPr>
        <w:t>Специфичните за програмата показатели са подходящи за наблюдение на напредъка към постигане на целите на програмата</w:t>
      </w:r>
      <w:r>
        <w:rPr>
          <w:rFonts w:ascii="Times New Roman" w:hAnsi="Times New Roman"/>
          <w:noProof/>
          <w:sz w:val="24"/>
        </w:rPr>
        <w:t xml:space="preserve">, </w:t>
      </w:r>
      <w:r>
        <w:rPr>
          <w:rFonts w:ascii="Times New Roman" w:hAnsi="Times New Roman"/>
          <w:b/>
          <w:noProof/>
          <w:sz w:val="24"/>
        </w:rPr>
        <w:t>но понякога те са трудно измерими или се нуждаят от някои подобрения.</w:t>
      </w:r>
    </w:p>
    <w:p>
      <w:pPr>
        <w:spacing w:after="0" w:line="240" w:lineRule="auto"/>
        <w:jc w:val="both"/>
        <w:rPr>
          <w:rFonts w:ascii="Times New Roman" w:hAnsi="Times New Roman" w:cs="Times New Roman"/>
          <w:noProof/>
          <w:sz w:val="24"/>
          <w:szCs w:val="24"/>
        </w:rPr>
      </w:pPr>
      <w:r>
        <w:rPr>
          <w:rFonts w:ascii="Times New Roman" w:hAnsi="Times New Roman"/>
          <w:b/>
          <w:noProof/>
          <w:sz w:val="24"/>
        </w:rPr>
        <w:t>Като цяло програма „Правосъдие“ за периода 2014 — 2020 г. се възприема широко от заявителите, бенефициерите и заинтересованите страни като усъвършенствана в сравнение с трите предшестващи я програми (</w:t>
      </w:r>
      <w:r>
        <w:rPr>
          <w:rFonts w:ascii="Times New Roman" w:hAnsi="Times New Roman"/>
          <w:noProof/>
          <w:sz w:val="24"/>
        </w:rPr>
        <w:t xml:space="preserve">а именно програма „Гражданско правосъдие“, програма „Наказателно правосъдие“ и програма „Превенция на наркотиците и информация за тях“), по отношение както на по-доброто насочване на политиките, така и на по-успешното привличане на правилните групи заинтересовани страни. </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Предвид широкия обхват на общата цел на програмата, върху нейната ефективност са повлияли голям брой външни фактори, като например миграционната криза (във връзка по-специално с конкретната цел „достъп до правосъдие“) и като цяло неравномерните темпове, с които държавите членки транспонират и прилагат достижения на правото на ЕС. Това обаче не е накърнило интервенционната логика и </w:t>
      </w:r>
      <w:r>
        <w:rPr>
          <w:rFonts w:ascii="Times New Roman" w:hAnsi="Times New Roman"/>
          <w:b/>
          <w:noProof/>
          <w:sz w:val="24"/>
        </w:rPr>
        <w:t>оперативната гъвкавост</w:t>
      </w:r>
      <w:r>
        <w:rPr>
          <w:rFonts w:ascii="Times New Roman" w:hAnsi="Times New Roman"/>
          <w:noProof/>
          <w:sz w:val="24"/>
        </w:rPr>
        <w:t xml:space="preserve"> на програмата: годишните работни програми могат лесно да се адаптират към нововъзникващите потребности в областта на правосъдието (за допълнителна информация вж. раздел „Уместност“).</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И накрая, в сравнение с периода 2007 — 2013 г., </w:t>
      </w:r>
      <w:r>
        <w:rPr>
          <w:rFonts w:ascii="Times New Roman" w:hAnsi="Times New Roman"/>
          <w:b/>
          <w:noProof/>
          <w:sz w:val="24"/>
        </w:rPr>
        <w:t>устойчивостта на проектите (както и на техните резултати и крайни продукти) след края на жизнения им цикъл се превръща във все по-важен фактор</w:t>
      </w:r>
      <w:r>
        <w:rPr>
          <w:rFonts w:ascii="Times New Roman" w:hAnsi="Times New Roman"/>
          <w:noProof/>
          <w:sz w:val="24"/>
        </w:rPr>
        <w:t>, който трябва да се взема предвид в процеса на оценяване. Ситуацията по отношение на устойчивостта за проектите, насочени към създаване на инструменти/продукти обаче, може да бъде по-трудна, тъй като в тези случаи устойчивостта зависи от това дали организациите, реализирали проектите, могат да получат достатъчно ресурси, за да поддържат инструментите след приключването на финансирането от ЕС.</w:t>
      </w:r>
    </w:p>
    <w:p>
      <w:pPr>
        <w:spacing w:after="0" w:line="240" w:lineRule="auto"/>
        <w:jc w:val="both"/>
        <w:rPr>
          <w:rFonts w:ascii="Times New Roman" w:eastAsia="Calibri" w:hAnsi="Times New Roman" w:cs="Times New Roman"/>
          <w:noProof/>
          <w:sz w:val="24"/>
          <w:szCs w:val="24"/>
        </w:rPr>
      </w:pP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Ефикасност</w:t>
      </w:r>
      <w:r>
        <w:rPr>
          <w:rStyle w:val="FootnoteReference"/>
          <w:rFonts w:ascii="Times New Roman" w:eastAsiaTheme="majorEastAsia" w:hAnsi="Times New Roman"/>
          <w:b/>
          <w:noProof/>
          <w:sz w:val="24"/>
        </w:rPr>
        <w:footnoteReference w:id="11"/>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Програма „Правосъдие“ показва ефективност на разходите по отношение на дейностите, финансирани по програмата до този момент.</w:t>
      </w:r>
      <w:r>
        <w:rPr>
          <w:rFonts w:ascii="Times New Roman" w:hAnsi="Times New Roman"/>
          <w:noProof/>
          <w:sz w:val="24"/>
        </w:rPr>
        <w:t xml:space="preserve"> Действително резултатите от оценката показват, че възприятията на бенефициерите за ефективността на програмата са положителни. Това е валидно за програмата като цяло, но в особена степен </w:t>
      </w:r>
      <w:r>
        <w:rPr>
          <w:rFonts w:ascii="Times New Roman" w:hAnsi="Times New Roman"/>
          <w:b/>
          <w:noProof/>
          <w:sz w:val="24"/>
        </w:rPr>
        <w:t>за конкретната цел „съдебно обучение“</w:t>
      </w:r>
      <w:r>
        <w:rPr>
          <w:rFonts w:ascii="Times New Roman" w:hAnsi="Times New Roman"/>
          <w:noProof/>
          <w:sz w:val="24"/>
        </w:rPr>
        <w:t>.</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Ключово постижение на програмата в сравнение с нейните предшественици е </w:t>
      </w:r>
      <w:r>
        <w:rPr>
          <w:rFonts w:ascii="Times New Roman" w:hAnsi="Times New Roman"/>
          <w:b/>
          <w:noProof/>
          <w:sz w:val="24"/>
        </w:rPr>
        <w:t>по-ниската тежест за бенефициерите по отношение на време и финансови ресурси</w:t>
      </w:r>
      <w:r>
        <w:rPr>
          <w:rFonts w:ascii="Times New Roman" w:hAnsi="Times New Roman"/>
          <w:noProof/>
          <w:sz w:val="24"/>
        </w:rPr>
        <w:t xml:space="preserve">. Независимо от това, все още има възможност за подобрение по отношение на облекчаване на изискванията и задълженията, така че изпълнението на програмата да стане още по-ефикасно (за допълнителна информация вж. раздел „Възможност за опростяване“). </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Според бенефициерите </w:t>
      </w:r>
      <w:r>
        <w:rPr>
          <w:rFonts w:ascii="Times New Roman" w:hAnsi="Times New Roman"/>
          <w:b/>
          <w:noProof/>
          <w:sz w:val="24"/>
        </w:rPr>
        <w:t>настоящите инструменти (безвъзмездни средства за дейности, безвъзмездни средства за оперативни разходи и дейности по възлагане на обществени поръчки) са подходящи за потребностите на програмата</w:t>
      </w:r>
      <w:r>
        <w:rPr>
          <w:rFonts w:ascii="Times New Roman" w:hAnsi="Times New Roman"/>
          <w:noProof/>
          <w:sz w:val="24"/>
        </w:rPr>
        <w:t xml:space="preserve"> и поради това използването на алтернативни и иновативни инструменти за финансиране не е необходимо. Въпреки това ефикасността на тяхното изпълнение следва да продължи да се подобрява, особено по отношение на дейностите по възлагане на обществени поръчки, за да се гарантира, че разпределените финансови средства действително се използват. </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Уместност</w:t>
      </w:r>
      <w:r>
        <w:rPr>
          <w:rStyle w:val="FootnoteReference"/>
          <w:rFonts w:ascii="Times New Roman" w:eastAsiaTheme="majorEastAsia" w:hAnsi="Times New Roman"/>
          <w:b/>
          <w:noProof/>
          <w:sz w:val="24"/>
        </w:rPr>
        <w:footnoteReference w:id="12"/>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Според всички интервюирани бенефициери програмата е много уместна за посрещане на потребностите на избраните целеви групи</w:t>
      </w:r>
      <w:r>
        <w:rPr>
          <w:rFonts w:ascii="Times New Roman" w:hAnsi="Times New Roman"/>
          <w:noProof/>
          <w:sz w:val="24"/>
        </w:rPr>
        <w:t>. Всъщност една от основните характеристики на програмата е нейната способност за адаптиране и изменяне на приоритетите с оглед на нововъзникващите потребности. Така например, след поредица от терористични нападения в Европа бяха публикувани две покани за представяне на предложения за борба с радикализацията на затворници. Това може да бъде постигнато благодарение на уникалната структура на програма „Правосъдие“, тъй като тя е разработена с широки конкретни цели поради факта, че в нея са обединени трите програми от предходния програмен период. Общите и конкретните цели позволиха на Комисията да приспособи програмата към променящите се потребности в рамките на ЕС, особено по отношение на съдебното сътрудничество.</w:t>
      </w:r>
      <w:r>
        <w:rPr>
          <w:noProof/>
        </w:rPr>
        <w:t xml:space="preserve"> </w:t>
      </w:r>
      <w:r>
        <w:rPr>
          <w:rFonts w:ascii="Times New Roman" w:hAnsi="Times New Roman"/>
          <w:b/>
          <w:noProof/>
          <w:sz w:val="24"/>
        </w:rPr>
        <w:t>Понякога обаче е трудно конкретната цел, свързана с инициативите в областта на политиките по отношение на наркотиците, да се съгласува с други приоритети на програмата</w:t>
      </w:r>
      <w:r>
        <w:rPr>
          <w:rFonts w:ascii="Times New Roman" w:hAnsi="Times New Roman"/>
          <w:noProof/>
          <w:sz w:val="24"/>
        </w:rPr>
        <w:t xml:space="preserve">, като например съдебното сътрудничество и достъпа до правосъдие, тъй като политиките за превенция, свързани с наркотиците, са с по-широк обхват. </w:t>
      </w: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Все пак като цяло </w:t>
      </w:r>
      <w:r>
        <w:rPr>
          <w:rFonts w:ascii="Times New Roman" w:hAnsi="Times New Roman"/>
          <w:b/>
          <w:noProof/>
          <w:color w:val="000000"/>
          <w:sz w:val="24"/>
        </w:rPr>
        <w:t>потребностите, установени по време на приемането на програмата, все още са реални и уместни</w:t>
      </w:r>
      <w:r>
        <w:rPr>
          <w:rFonts w:ascii="Times New Roman" w:hAnsi="Times New Roman"/>
          <w:noProof/>
          <w:color w:val="000000"/>
          <w:sz w:val="24"/>
        </w:rPr>
        <w:t>, и по-специално общата цел за по-нататъшното развитие на европейско пространство на правосъдие, основано на взаимно признаване и взаимно доверие.</w:t>
      </w:r>
    </w:p>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По отношение на потребностите на заинтересованите страни все още съществува възможност за по-нататъшно увеличаване на уместността на програмата чрез систематични анализи на всеки основен вид заинтересовани страни, както и по конкретна цел и държава членка, за да се гарантира, че приоритетите по отношение на всяка конкретна цел за всяка покана, определени в годишните работни програми, съответстват на настоящите ключови потребности на заинтересованите страни. Освен това програмата би могла да обхване допълнителни целеви групи, които са от значение за постигането на нейната обща цел. Тези групи включват служители в регулаторни агенции, млади специалисти в съдебната система и студенти и специалисти в съдебната система в държавите кандидатки и държавите, попадащи в обхвата на европейската политика за съседство. Това обаче понастоящем не е възможно съгласно правното основание на програма „Правосъдие“. </w:t>
      </w:r>
    </w:p>
    <w:p>
      <w:pPr>
        <w:pStyle w:val="BulletBody"/>
        <w:numPr>
          <w:ilvl w:val="0"/>
          <w:numId w:val="0"/>
        </w:numPr>
        <w:spacing w:before="0" w:after="0"/>
        <w:rPr>
          <w:rFonts w:ascii="Times New Roman" w:hAnsi="Times New Roman" w:cs="Times New Roman"/>
          <w:b/>
          <w:noProof/>
          <w:sz w:val="24"/>
          <w:szCs w:val="24"/>
        </w:rPr>
      </w:pP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Съгласуваност, взаимно допълване, полезни взаимодействия</w:t>
      </w:r>
      <w:r>
        <w:rPr>
          <w:rStyle w:val="FootnoteReference"/>
          <w:rFonts w:ascii="Times New Roman" w:eastAsiaTheme="majorEastAsia" w:hAnsi="Times New Roman"/>
          <w:b/>
          <w:noProof/>
          <w:sz w:val="24"/>
        </w:rPr>
        <w:footnoteReference w:id="13"/>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Програмата е с добра степен на съгласуваност и взаимно допълване с други инструменти, програми и действия на ЕС (</w:t>
      </w:r>
      <w:r>
        <w:rPr>
          <w:rFonts w:ascii="Times New Roman" w:hAnsi="Times New Roman"/>
          <w:noProof/>
          <w:color w:val="000000" w:themeColor="text1"/>
          <w:sz w:val="24"/>
        </w:rPr>
        <w:t>например има много голяма степен на съгласуваност с Европейската програма в областта на правосъдието за 2020 г.</w:t>
      </w:r>
      <w:r>
        <w:rPr>
          <w:rFonts w:ascii="Times New Roman" w:hAnsi="Times New Roman"/>
          <w:noProof/>
          <w:color w:val="000000" w:themeColor="text1"/>
          <w:sz w:val="24"/>
          <w:vertAlign w:val="superscript"/>
        </w:rPr>
        <w:footnoteReference w:id="14"/>
      </w:r>
      <w:r>
        <w:rPr>
          <w:rFonts w:ascii="Times New Roman" w:hAnsi="Times New Roman"/>
          <w:b/>
          <w:noProof/>
          <w:color w:val="000000" w:themeColor="text1"/>
          <w:sz w:val="24"/>
        </w:rPr>
        <w:t>), а рискът от дублирания или несъгласуваност е много малък</w:t>
      </w:r>
      <w:r>
        <w:rPr>
          <w:rFonts w:ascii="Times New Roman" w:hAnsi="Times New Roman"/>
          <w:noProof/>
          <w:color w:val="000000" w:themeColor="text1"/>
          <w:sz w:val="24"/>
        </w:rPr>
        <w:t xml:space="preserve">. По-специално в случая със съдебното обучение сливането на предшестващите програми увеличи съгласуваността с други инициативи на ЕС и между различните цели в областта на обучението и намали вероятността от дублирания по отношение както на обхвата, така и на финансирането. По отношение на конкретната цел, свързана с достъпа до правосъдие, са налице силна съгласуваност и взаимно допълване с програмата в областта на телекомуникациите по линия на Механизма за свързване на Европа, която също допринесе за разработването на портала за електронно правосъдие (e-Justice) и проекта за трансгранично електронно правосъдие (e-Codex). </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По изключение все още съществува известно припокриване по отношение на целите, целевите групи и действията, като естествена последица от широките цели и целеви групи, обхванати от програмата, в области, вариращи от съдебно сътрудничество по гражданскоправни и наказателноправни въпроси (което по същество означава целия спектър на съдебната дейност) до политиката по отношение на наркотиците и съдебното обучение, а също и защото програмата е насочена към всички граждани на ЕС.</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Във всички случаи все още има потенциал за укрепване на полезните взаимодействия с други програми и инициативи с финансиране от ЕС. Такъв е например случаят с областта на политиката по отношение на наркотиците, където би могла да се увеличи координацията с програма „Здраве за растеж“.</w:t>
      </w:r>
    </w:p>
    <w:p>
      <w:pPr>
        <w:spacing w:after="0" w:line="240" w:lineRule="auto"/>
        <w:jc w:val="both"/>
        <w:rPr>
          <w:rFonts w:ascii="Times New Roman" w:eastAsia="Times New Roman" w:hAnsi="Times New Roman" w:cs="Times New Roman"/>
          <w:b/>
          <w:noProof/>
          <w:color w:val="000000" w:themeColor="text1"/>
          <w:sz w:val="24"/>
          <w:szCs w:val="24"/>
        </w:rPr>
      </w:pPr>
      <w:r>
        <w:rPr>
          <w:rFonts w:ascii="Times New Roman" w:hAnsi="Times New Roman"/>
          <w:noProof/>
          <w:color w:val="000000" w:themeColor="text1"/>
          <w:sz w:val="24"/>
        </w:rPr>
        <w:t xml:space="preserve">Според интервюираните заинтересовани страни </w:t>
      </w:r>
      <w:r>
        <w:rPr>
          <w:rFonts w:ascii="Times New Roman" w:hAnsi="Times New Roman"/>
          <w:b/>
          <w:noProof/>
          <w:color w:val="000000" w:themeColor="text1"/>
          <w:sz w:val="24"/>
        </w:rPr>
        <w:t>съгласуваността с национални политики и инициативи със сходни цели и/или насоченост към същите области е значителна. Програмата запълва пропуските, оставени от националните действия</w:t>
      </w:r>
      <w:r>
        <w:rPr>
          <w:rFonts w:ascii="Times New Roman" w:hAnsi="Times New Roman"/>
          <w:noProof/>
          <w:color w:val="000000" w:themeColor="text1"/>
          <w:sz w:val="24"/>
        </w:rPr>
        <w:t>, a съществуващите проекти и инициативи по-скоро допълват програмата, без да са в противоречие с нея или пък просто да я дублират. Всъщност, когато програма „Правосъдие“ и националните инициативи са с едни и същи (или сходни) цели и целеви групи, винаги има различия между тях по отношение на географския обхват (с по-широк обхват по отношение на целевите групи), наличните ресурси и броя на финансираните проекти.</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Програма</w:t>
      </w:r>
      <w:r>
        <w:rPr>
          <w:rFonts w:ascii="Times New Roman" w:hAnsi="Times New Roman"/>
          <w:noProof/>
          <w:color w:val="000000" w:themeColor="text1"/>
          <w:sz w:val="24"/>
        </w:rPr>
        <w:t xml:space="preserve"> </w:t>
      </w:r>
      <w:r>
        <w:rPr>
          <w:rFonts w:ascii="Times New Roman" w:hAnsi="Times New Roman"/>
          <w:b/>
          <w:noProof/>
          <w:color w:val="000000" w:themeColor="text1"/>
          <w:sz w:val="24"/>
        </w:rPr>
        <w:t>„Правосъдие“ е съгласувана също и с международните задължения</w:t>
      </w:r>
      <w:r>
        <w:rPr>
          <w:rFonts w:ascii="Times New Roman" w:hAnsi="Times New Roman"/>
          <w:noProof/>
          <w:color w:val="000000" w:themeColor="text1"/>
          <w:sz w:val="24"/>
        </w:rPr>
        <w:t>, като тези по Програмата на ООН за устойчиво развитие за периода до 2030 г. Някои общи принципи на програмата на ООН могат да бъдат свързани с цели и области, към които е насочена програма „Правосъдие“. Такъв е случаят с целта на ООН за гарантиране на мир и сигурност, която трябва да се постигне чрез справедливи и приобщаващи общества, които осигуряват равен достъп до правосъдие, чрез ефективно прилагане на принципа на правовата държава, както и чрез прозрачни и ефективни съдебни институции. Всички тези елементи могат да бъдат открити като неразделни части на програма „Правосъдие“, по отношение както на достъпа до правосъдие, така и на съдебното обучение. Освен това ЕС е страна по Хагската конференция по международно частно право и осъществява своите международни действия във връзка с гражданското правосъдие главно чрез тази международна организация.</w:t>
      </w:r>
    </w:p>
    <w:p>
      <w:pPr>
        <w:spacing w:after="0" w:line="240" w:lineRule="auto"/>
        <w:jc w:val="both"/>
        <w:rPr>
          <w:rFonts w:ascii="Times New Roman" w:hAnsi="Times New Roman" w:cs="Times New Roman"/>
          <w:noProof/>
          <w:color w:val="000000" w:themeColor="text1"/>
          <w:sz w:val="24"/>
          <w:szCs w:val="24"/>
        </w:rPr>
      </w:pP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Добавена стойност на ЕС</w:t>
      </w:r>
      <w:r>
        <w:rPr>
          <w:rStyle w:val="FootnoteReference"/>
          <w:rFonts w:ascii="Times New Roman" w:eastAsiaTheme="majorEastAsia" w:hAnsi="Times New Roman"/>
          <w:b/>
          <w:noProof/>
          <w:sz w:val="24"/>
        </w:rPr>
        <w:footnoteReference w:id="15"/>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Всички събрани доказателства потвърждават високата добавена стойност на намесата по програмата</w:t>
      </w:r>
      <w:r>
        <w:rPr>
          <w:rFonts w:ascii="Times New Roman" w:hAnsi="Times New Roman"/>
          <w:noProof/>
          <w:color w:val="000000" w:themeColor="text1"/>
          <w:sz w:val="24"/>
        </w:rPr>
        <w:t xml:space="preserve">, за която се счита, че </w:t>
      </w:r>
      <w:r>
        <w:rPr>
          <w:rFonts w:ascii="Times New Roman" w:hAnsi="Times New Roman"/>
          <w:i/>
          <w:noProof/>
          <w:color w:val="000000" w:themeColor="text1"/>
          <w:sz w:val="24"/>
        </w:rPr>
        <w:t>de facto</w:t>
      </w:r>
      <w:r>
        <w:rPr>
          <w:rFonts w:ascii="Times New Roman" w:hAnsi="Times New Roman"/>
          <w:noProof/>
          <w:color w:val="000000" w:themeColor="text1"/>
          <w:sz w:val="24"/>
        </w:rPr>
        <w:t xml:space="preserve"> има основно значение за доброто и ефективно постигане на целите в областта на правосъдието. </w:t>
      </w: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Резултатите от оценката показват, че участниците в проучването не само са съгласни с твърдението, че финансираните дейности не биха били възможни без намесата на ЕС, но също така са потвърдили, че само с намеса от страна на държавите членки нямаше да се постигнат същите резултати по отношение на създаването на партньорства, реализирането на крайни продукти, финансирането на иновативни действия, устойчивостта на резултатите, и по-специално изпълнението на проекти с транснационален размер и мащаб. Добавената стойност на програма „Правосъдие“ от участието на ЕС е видима преди всичко при насърчаването на транснационални проекти с европейско измерение за справяне с трансгранични проблеми и при предоставянето на финансови ресурси за финансиране на дейности в ключови области, които не заемат непременно важно място в програмите на държавите членки поради липсата на политическа воля (според заинтересованите страни това е особено вярно за конкретната цел, свързана с достъпа до правосъдие). </w:t>
      </w: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Според интервюираните бенефициери чрез програмата могат, поне в умерена степен, да бъдат повлияни и да се съгласуват националните действия в целевите области.</w:t>
      </w: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Благодарение на програмата бенефициерите могат също така да работят с партньори в други държави членки — възможност, която увеличи техните познания и разбиране по въпросите, обхванати от програмата, разшири техния подход и набор от умения и им предостави достъп до примери за добри практики и инструменти, разработени в други държави членки. Както вече беше споменато по-горе, партньорствата са ключов елемент за успеха на програма „Правосъдие“ и те присъстват в по-голямата част от проектите.</w:t>
      </w: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Липсата на национално финансиране е една от основните причини, поради които финансираните по програмата дейности не биха били възможни чрез самостоятелни действия от страна на държавите членки. Това е особено вярно за инициативите в областта на политиките по отношение на наркотиците, където националните инициативи често са без важно транснационално измерение, което е от основно значение в тази област, и за съдебното обучение на равнището на ЕС, което обикновено не се предоставя на национално равнище. Освен това благодарение на програма „Правосъдие“ продължават да съществуват европейски мрежи, като Европейската мрежа за съдебно обучение.</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Възприеманото значение на програмата може да се обясни също така с големия брой възложени проекти само в рамките на три години, в сравнение с трите предшестващи програми</w:t>
      </w:r>
      <w:r>
        <w:rPr>
          <w:rFonts w:ascii="Times New Roman" w:hAnsi="Times New Roman"/>
          <w:noProof/>
          <w:color w:val="000000" w:themeColor="text1"/>
          <w:sz w:val="24"/>
          <w:vertAlign w:val="superscript"/>
        </w:rPr>
        <w:footnoteReference w:id="16"/>
      </w:r>
      <w:r>
        <w:rPr>
          <w:rFonts w:ascii="Times New Roman" w:hAnsi="Times New Roman"/>
          <w:noProof/>
          <w:color w:val="000000" w:themeColor="text1"/>
          <w:sz w:val="24"/>
        </w:rPr>
        <w:t xml:space="preserve">, а увеличаването на броя на заявленията, получавани всяка година от потенциални бенефициери, показва, че програмата продължава да бъде основен източник на финансиране в целия ЕС. </w:t>
      </w:r>
    </w:p>
    <w:p>
      <w:pPr>
        <w:tabs>
          <w:tab w:val="num" w:pos="283"/>
        </w:tabs>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Освен това </w:t>
      </w:r>
      <w:r>
        <w:rPr>
          <w:rFonts w:ascii="Times New Roman" w:hAnsi="Times New Roman"/>
          <w:b/>
          <w:noProof/>
          <w:color w:val="000000" w:themeColor="text1"/>
          <w:sz w:val="24"/>
        </w:rPr>
        <w:t>съдебното обучение</w:t>
      </w:r>
      <w:r>
        <w:rPr>
          <w:rFonts w:ascii="Times New Roman" w:hAnsi="Times New Roman"/>
          <w:noProof/>
          <w:color w:val="000000" w:themeColor="text1"/>
          <w:sz w:val="24"/>
        </w:rPr>
        <w:t xml:space="preserve"> </w:t>
      </w:r>
      <w:r>
        <w:rPr>
          <w:rFonts w:ascii="Times New Roman" w:hAnsi="Times New Roman"/>
          <w:b/>
          <w:noProof/>
          <w:color w:val="000000" w:themeColor="text1"/>
          <w:sz w:val="24"/>
        </w:rPr>
        <w:t>е залегнало</w:t>
      </w:r>
      <w:r>
        <w:rPr>
          <w:rFonts w:ascii="Times New Roman" w:hAnsi="Times New Roman"/>
          <w:noProof/>
          <w:color w:val="000000" w:themeColor="text1"/>
          <w:sz w:val="24"/>
        </w:rPr>
        <w:t xml:space="preserve"> </w:t>
      </w:r>
      <w:r>
        <w:rPr>
          <w:rFonts w:ascii="Times New Roman" w:hAnsi="Times New Roman"/>
          <w:b/>
          <w:noProof/>
          <w:color w:val="000000" w:themeColor="text1"/>
          <w:sz w:val="24"/>
        </w:rPr>
        <w:t>в по-голяма степен</w:t>
      </w:r>
      <w:r>
        <w:rPr>
          <w:rFonts w:ascii="Times New Roman" w:hAnsi="Times New Roman"/>
          <w:noProof/>
          <w:color w:val="000000" w:themeColor="text1"/>
          <w:sz w:val="24"/>
        </w:rPr>
        <w:t xml:space="preserve"> в интервенционната логика на програма „Правосъдие“ в сравнение с предшестващите програми. Това е важна стъпка напред за добавената стойност на програмата от участието на ЕС, тъй като съдебното обучение има централна роля за изграждането на взаимно доверие, подобряването на сътрудничеството между съдебните органи и практикуващите юристи в държавите членки и увеличаването на съгласуваността при прилагането на законодателството на ЕС.</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Резултатите от оценката показват, че </w:t>
      </w:r>
      <w:r>
        <w:rPr>
          <w:rFonts w:ascii="Times New Roman" w:hAnsi="Times New Roman"/>
          <w:b/>
          <w:noProof/>
          <w:color w:val="000000" w:themeColor="text1"/>
          <w:sz w:val="24"/>
        </w:rPr>
        <w:t>въпросите и областите, разглеждани в програма „Правосъдие“, ще изискват допълнителни действия</w:t>
      </w:r>
      <w:r>
        <w:rPr>
          <w:rFonts w:ascii="Times New Roman" w:hAnsi="Times New Roman"/>
          <w:noProof/>
          <w:color w:val="000000" w:themeColor="text1"/>
          <w:sz w:val="24"/>
        </w:rPr>
        <w:t xml:space="preserve"> </w:t>
      </w:r>
      <w:r>
        <w:rPr>
          <w:rFonts w:ascii="Times New Roman" w:hAnsi="Times New Roman"/>
          <w:b/>
          <w:noProof/>
          <w:color w:val="000000" w:themeColor="text1"/>
          <w:sz w:val="24"/>
        </w:rPr>
        <w:t>и ангажираност на равнището на ЕС</w:t>
      </w:r>
      <w:r>
        <w:rPr>
          <w:rFonts w:ascii="Times New Roman" w:hAnsi="Times New Roman"/>
          <w:noProof/>
          <w:color w:val="000000" w:themeColor="text1"/>
          <w:sz w:val="24"/>
        </w:rPr>
        <w:t xml:space="preserve">. Търсенето на действия на равнището на ЕС в тези области и фактът, че броят на заявленията по програмата все още е по-голям от броя на отпуснатите безвъзмездни средства, са признак за ясен интерес към приоритетите, заложени в програмата. </w:t>
      </w:r>
    </w:p>
    <w:p>
      <w:pPr>
        <w:pStyle w:val="ListParagraph"/>
        <w:tabs>
          <w:tab w:val="num" w:pos="283"/>
        </w:tabs>
        <w:spacing w:after="0" w:line="240" w:lineRule="auto"/>
        <w:ind w:left="0"/>
        <w:jc w:val="both"/>
        <w:rPr>
          <w:rFonts w:ascii="Times New Roman" w:eastAsia="Times New Roman" w:hAnsi="Times New Roman" w:cs="Times New Roman"/>
          <w:b/>
          <w:noProof/>
          <w:sz w:val="24"/>
          <w:szCs w:val="24"/>
        </w:rPr>
      </w:pPr>
    </w:p>
    <w:p>
      <w:pPr>
        <w:pStyle w:val="ListParagraph"/>
        <w:keepNext/>
        <w:numPr>
          <w:ilvl w:val="1"/>
          <w:numId w:val="9"/>
        </w:numPr>
        <w:tabs>
          <w:tab w:val="left" w:pos="850"/>
        </w:tabs>
        <w:spacing w:after="0" w:line="240" w:lineRule="auto"/>
        <w:contextualSpacing w:val="0"/>
        <w:jc w:val="both"/>
        <w:outlineLvl w:val="0"/>
        <w:rPr>
          <w:rFonts w:ascii="Times New Roman" w:hAnsi="Times New Roman" w:cs="Times New Roman"/>
          <w:b/>
          <w:noProof/>
          <w:sz w:val="24"/>
          <w:szCs w:val="24"/>
        </w:rPr>
      </w:pPr>
      <w:r>
        <w:rPr>
          <w:rFonts w:ascii="Times New Roman" w:hAnsi="Times New Roman"/>
          <w:b/>
          <w:noProof/>
          <w:sz w:val="24"/>
        </w:rPr>
        <w:t>Справедливост</w:t>
      </w:r>
      <w:r>
        <w:rPr>
          <w:rStyle w:val="FootnoteReference"/>
          <w:rFonts w:ascii="Times New Roman" w:hAnsi="Times New Roman"/>
          <w:noProof/>
          <w:sz w:val="24"/>
        </w:rPr>
        <w:footnoteReference w:id="17"/>
      </w:r>
    </w:p>
    <w:p>
      <w:pPr>
        <w:pStyle w:val="ListParagraph"/>
        <w:keepNext/>
        <w:tabs>
          <w:tab w:val="left" w:pos="850"/>
        </w:tabs>
        <w:spacing w:after="0" w:line="240" w:lineRule="auto"/>
        <w:ind w:left="792"/>
        <w:contextualSpacing w:val="0"/>
        <w:jc w:val="both"/>
        <w:outlineLvl w:val="0"/>
        <w:rPr>
          <w:rFonts w:ascii="Times New Roman" w:hAnsi="Times New Roman" w:cs="Times New Roman"/>
          <w:b/>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b/>
          <w:noProof/>
          <w:color w:val="000000" w:themeColor="text1"/>
          <w:sz w:val="24"/>
        </w:rPr>
        <w:t xml:space="preserve">Насърчаването на междусекторни приоритети, като равенство между половете, правата на детето и правата на хората с увреждания, е от голямо значение за програма „Правосъдие“ и това е заложено в нейното правно основание. </w:t>
      </w:r>
      <w:r>
        <w:rPr>
          <w:rFonts w:ascii="Times New Roman" w:hAnsi="Times New Roman"/>
          <w:noProof/>
          <w:color w:val="000000" w:themeColor="text1"/>
          <w:sz w:val="24"/>
        </w:rPr>
        <w:t>По-специално, принципите на интегриране на</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равенството между половете и правата на детето се оценяват по време на процеса на оценяване на качеството на предложенията. Въпросът с интегрирането на принципа на равенство между половете е изрично споменат в част Б от формуляра на заявлението. Оценката обаче показа, че що се отнася до разработените проекти, въпросите, свързани с пола и равенството, рядко са основна тема в повечето от тях. Въпреки това въпросът, свързан с жените и равенството между половете, е споменат в пет-шест проекта; макар и те да не са насочени пряко към този въпрос, той е взет под внимание при тяхното изпълнение. </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hAnsi="Times New Roman"/>
          <w:noProof/>
          <w:sz w:val="24"/>
        </w:rPr>
        <w:t>Програма „Правосъдие“ подкрепя правата на детето както през етапа на програмиране (разработването на покани за представяне на предложения), така и чрез дейностите на проектите, избрани за финансиране.</w:t>
      </w:r>
      <w:r>
        <w:rPr>
          <w:rFonts w:ascii="Times New Roman" w:hAnsi="Times New Roman"/>
          <w:noProof/>
          <w:color w:val="000000" w:themeColor="text1"/>
          <w:sz w:val="24"/>
        </w:rPr>
        <w:t xml:space="preserve"> Следователно зачитането на правата на детето се засилва от факта, че организациите, които кандидатстват за финансиране (и някои от техните партньори) и които ще работят пряко с деца по време на изпълнението на проекта, трябва да предоставят на Комисията описание на своята политика за закрила на детето. </w:t>
      </w:r>
      <w:r>
        <w:rPr>
          <w:rFonts w:ascii="Times New Roman" w:hAnsi="Times New Roman"/>
          <w:noProof/>
          <w:sz w:val="24"/>
        </w:rPr>
        <w:t>Освен това поканите за представяне на предложения, финансирани по програма „Правосъдие“, съдържат теми, които са от значение за предмета на програмата. Резултатите от оценката показват, че по-голямата част от участниците в проучването са съгласни с по-нататъшното интегриране и насърчаване на правата на детето в програмата.</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 xml:space="preserve">По отношение на приоритета, свързан с правата на хората с увреждания, той изглежда </w:t>
      </w:r>
      <w:r>
        <w:rPr>
          <w:rFonts w:ascii="Times New Roman" w:hAnsi="Times New Roman"/>
          <w:noProof/>
          <w:sz w:val="24"/>
        </w:rPr>
        <w:t xml:space="preserve">по-слабо засегнат в сравнение с другите два. </w:t>
      </w:r>
      <w:r>
        <w:rPr>
          <w:rFonts w:ascii="Times New Roman" w:hAnsi="Times New Roman"/>
          <w:noProof/>
          <w:color w:val="000000" w:themeColor="text1"/>
          <w:sz w:val="24"/>
        </w:rPr>
        <w:t>Всъщност сред финансираните проекти по конкретната цел, свързана с достъпа до правосъдие</w:t>
      </w:r>
      <w:r>
        <w:rPr>
          <w:rFonts w:ascii="Times New Roman" w:hAnsi="Times New Roman"/>
          <w:noProof/>
          <w:color w:val="000000" w:themeColor="text1"/>
          <w:sz w:val="24"/>
          <w:vertAlign w:val="superscript"/>
        </w:rPr>
        <w:footnoteReference w:id="18"/>
      </w:r>
      <w:r>
        <w:rPr>
          <w:rFonts w:ascii="Times New Roman" w:hAnsi="Times New Roman"/>
          <w:noProof/>
          <w:color w:val="000000" w:themeColor="text1"/>
          <w:sz w:val="24"/>
        </w:rPr>
        <w:t>, има само един, който е пряко насочен към хората с увреждания. Що се отнася до необходимостта от по-нататъшно насърчаване на правата на хората с увреждания в рамките на програмата, заинтересованите страни имат твърде разнородни мнения, но всички категории заинтересовани страни са склонни да считат, че е налице поне „умерена“ необходимост от това.</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С цел да се разбере как програмата насърчава справедливостта чрез финансираните дейности, трябва да се събират данни за участниците с разбивка по пол, увреждане или възраст, както се изисква съгласно регламента. Това обаче все още не е направено.</w:t>
      </w:r>
    </w:p>
    <w:p>
      <w:pPr>
        <w:spacing w:after="0" w:line="240" w:lineRule="auto"/>
        <w:jc w:val="both"/>
        <w:rPr>
          <w:rFonts w:ascii="Times New Roman" w:eastAsia="Times New Roman" w:hAnsi="Times New Roman" w:cs="Times New Roman"/>
          <w:b/>
          <w:noProof/>
          <w:sz w:val="24"/>
          <w:szCs w:val="24"/>
        </w:rPr>
      </w:pPr>
      <w:r>
        <w:rPr>
          <w:rFonts w:ascii="Times New Roman" w:hAnsi="Times New Roman"/>
          <w:noProof/>
          <w:sz w:val="24"/>
        </w:rPr>
        <w:t>И накрая, както вече беше споменато, в бъдеще следва да се направи опит за по-балансирано разпределение на ресурсите на програмата сред различните целеви групи бенефициери и държави членки.</w:t>
      </w:r>
    </w:p>
    <w:p>
      <w:pPr>
        <w:spacing w:after="0" w:line="240" w:lineRule="auto"/>
        <w:jc w:val="both"/>
        <w:rPr>
          <w:rFonts w:ascii="Times New Roman" w:hAnsi="Times New Roman" w:cs="Times New Roman"/>
          <w:noProof/>
          <w:color w:val="000000"/>
          <w:sz w:val="24"/>
          <w:szCs w:val="24"/>
        </w:rPr>
      </w:pPr>
    </w:p>
    <w:p>
      <w:pPr>
        <w:pStyle w:val="ListParagraph"/>
        <w:keepNext/>
        <w:numPr>
          <w:ilvl w:val="1"/>
          <w:numId w:val="9"/>
        </w:numPr>
        <w:tabs>
          <w:tab w:val="left" w:pos="850"/>
        </w:tabs>
        <w:spacing w:after="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noProof/>
          <w:color w:val="auto"/>
          <w:sz w:val="24"/>
        </w:rPr>
        <w:t>Възможност за опростяване</w:t>
      </w:r>
      <w:r>
        <w:rPr>
          <w:rStyle w:val="FootnoteReference"/>
          <w:rFonts w:ascii="Times New Roman" w:eastAsiaTheme="majorEastAsia" w:hAnsi="Times New Roman"/>
          <w:b/>
          <w:noProof/>
          <w:sz w:val="24"/>
        </w:rPr>
        <w:footnoteReference w:id="19"/>
      </w:r>
    </w:p>
    <w:p>
      <w:pPr>
        <w:pStyle w:val="ListParagraph"/>
        <w:keepNext/>
        <w:tabs>
          <w:tab w:val="left" w:pos="850"/>
        </w:tabs>
        <w:spacing w:after="0" w:line="240" w:lineRule="auto"/>
        <w:ind w:left="792"/>
        <w:contextualSpacing w:val="0"/>
        <w:jc w:val="both"/>
        <w:outlineLvl w:val="0"/>
        <w:rPr>
          <w:rStyle w:val="Heading1Char"/>
          <w:rFonts w:ascii="Times New Roman" w:hAnsi="Times New Roman" w:cs="Times New Roman"/>
          <w:noProof/>
          <w:color w:val="auto"/>
          <w:sz w:val="24"/>
          <w:szCs w:val="24"/>
        </w:rPr>
      </w:pP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При оценката не беше установена ясна възможност за по-нататъшно опростяване на метода на управление на програмата</w:t>
      </w:r>
      <w:r>
        <w:rPr>
          <w:rFonts w:ascii="Times New Roman" w:hAnsi="Times New Roman"/>
          <w:noProof/>
          <w:color w:val="000000" w:themeColor="text1"/>
          <w:sz w:val="24"/>
        </w:rPr>
        <w:t xml:space="preserve">. Настоящият метод на пряко управление изглежда неподходящ предвид мащаба на програмата.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Въпреки това, независимо от подобренията, постигнати с настоящата програма, интервюираните длъжностни лица от Комисията и бенефициери отправиха критики към процеса на изпълнение, и по-специално към управлението на бюджета и задълженията за отчетност. Сред изтъкнатите причини бенефициерите посочват, че финансовото отчитане е твърде подробно и не достатъчно гъвкаво, в сравнение с това, което се прилага в рамките на други програми на ЕС (например „Хоризонт 2020“ и „Еразъм+“).</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По отношение на административната тежест, почти 70 % от бенефициерите и заявителите все още възприемат като обременяващи изготвянето на предложенията, предоставянето на необходимата административна и финансова информация за участие в поканите и изискванията за мониторинг и докладване. Като цяло бенефициерите са съгласни, че процедурите за кандидатстване и докладване са сложни и продължителни, но признават, че вероятно е трудно те да се опростят допълнително, предвид необходимостта от гарантиране на отчетността на европейските финансови ресурси.</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Според бенефициерите продължителността на проектите, финансирани по линия на програмата, би могла да се удължи, особено по отношение на безвъзмездните средства за дейности. По-конкретно, като идеален вариант беше счетено удължаването с три години, тъй като така се получава времева рамка, която е съгласувана със средната продължителност на научните партньорства между висшите учебни заведения. Освен това бенефициерите посочиха, че сроковете на безвъзмездните средства за оперативни разходи също биха могли да се удължат, за да обхващат период от най-малко две години (вместо една), с оглед на намаляване на административната тежест по отношение на кандидатстването и докладването. Едногодишните безвъзмездни средства за оперативни разходи обаче дават възможност на Комисията да упражнява надзор върху дейностите на финансираните организации и осигуряват по-голяма гъвкавост за адаптиране на работата на бенефициерите към нововъзникващите потребности в техните съответни области на експертни познания.</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Друг важен въпрос според малките организации на гражданското общество е трудността при намиране на изискваните суми за съфинансиране; поради това малките неправителствени организации биха могли да се подпомагат в по-голяма степен от програма „Правосъдие“</w:t>
      </w:r>
      <w:r>
        <w:rPr>
          <w:rFonts w:ascii="Times New Roman" w:hAnsi="Times New Roman"/>
          <w:noProof/>
          <w:color w:val="000000" w:themeColor="text1"/>
          <w:sz w:val="24"/>
          <w:vertAlign w:val="superscript"/>
        </w:rPr>
        <w:footnoteReference w:id="20"/>
      </w:r>
      <w:r>
        <w:rPr>
          <w:rFonts w:ascii="Times New Roman" w:hAnsi="Times New Roman"/>
          <w:noProof/>
          <w:color w:val="000000" w:themeColor="text1"/>
          <w:sz w:val="24"/>
        </w:rPr>
        <w:t xml:space="preserve">. </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Въпреки че в началото при разгръщането на новия портал за участници възникнаха някои трудности, понастоящем заинтересованите страни считат, че подаването на предложения чрез портала за участници представлява подобрение, в сравнение с предходната информационна система, тъй като е намалял броят на документите, изисквани за проверката за допустимост, и следователно и свързаната с това административна тежест. Освен това, след като бъдат регистрирани веднъж, тези документи вече няма да се изискват, освен в случай на промени. Тъй като порталът за участници е бил проектиран за целите на научноизследователските институти и за големи по размер безвъзмездни средства, в настоящата си форма той изглежда неподходящ за типичните заявители по програма „Правосъдие“. Следователно има възможност за известни подобрения в това отношение. </w:t>
      </w: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И накрая, биха могли да се опростят и рационализират изискванията и показателите за наблюдение, както на равнището на програмата, така и на равнището на проектите.</w:t>
      </w:r>
    </w:p>
    <w:p>
      <w:pPr>
        <w:pStyle w:val="BulletBody"/>
        <w:numPr>
          <w:ilvl w:val="0"/>
          <w:numId w:val="0"/>
        </w:numPr>
        <w:spacing w:before="0" w:after="0"/>
        <w:rPr>
          <w:rFonts w:ascii="Times New Roman" w:hAnsi="Times New Roman" w:cs="Times New Roman"/>
          <w:noProof/>
          <w:sz w:val="24"/>
          <w:szCs w:val="24"/>
        </w:rPr>
      </w:pPr>
    </w:p>
    <w:p>
      <w:pPr>
        <w:pStyle w:val="ListParagraph"/>
        <w:keepNext/>
        <w:numPr>
          <w:ilvl w:val="0"/>
          <w:numId w:val="9"/>
        </w:numPr>
        <w:tabs>
          <w:tab w:val="left" w:pos="850"/>
        </w:tabs>
        <w:spacing w:after="120" w:line="240" w:lineRule="auto"/>
        <w:contextualSpacing w:val="0"/>
        <w:jc w:val="both"/>
        <w:outlineLvl w:val="0"/>
        <w:rPr>
          <w:rStyle w:val="Heading1Char"/>
          <w:rFonts w:ascii="Times New Roman" w:hAnsi="Times New Roman" w:cs="Times New Roman"/>
          <w:smallCaps/>
          <w:noProof/>
          <w:color w:val="auto"/>
          <w:sz w:val="24"/>
          <w:szCs w:val="24"/>
        </w:rPr>
      </w:pPr>
      <w:bookmarkStart w:id="7" w:name="3"/>
      <w:bookmarkEnd w:id="7"/>
      <w:r>
        <w:rPr>
          <w:rStyle w:val="Heading1Char"/>
          <w:rFonts w:ascii="Times New Roman" w:hAnsi="Times New Roman"/>
          <w:smallCaps/>
          <w:noProof/>
          <w:color w:val="auto"/>
          <w:sz w:val="24"/>
        </w:rPr>
        <w:t>Заключения и перспективи</w:t>
      </w:r>
    </w:p>
    <w:p>
      <w:pPr>
        <w:pStyle w:val="ListParagraph"/>
        <w:keepNext/>
        <w:tabs>
          <w:tab w:val="left" w:pos="850"/>
        </w:tabs>
        <w:spacing w:after="120" w:line="240" w:lineRule="auto"/>
        <w:ind w:left="360"/>
        <w:contextualSpacing w:val="0"/>
        <w:jc w:val="both"/>
        <w:outlineLvl w:val="0"/>
        <w:rPr>
          <w:rStyle w:val="Heading1Char"/>
          <w:rFonts w:ascii="Times New Roman" w:hAnsi="Times New Roman" w:cs="Times New Roman"/>
          <w:smallCaps/>
          <w:noProof/>
          <w:color w:val="auto"/>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b/>
          <w:noProof/>
          <w:sz w:val="24"/>
        </w:rPr>
        <w:t>Решаващата роля, която програма „Правосъдие“ изигра</w:t>
      </w:r>
      <w:r>
        <w:rPr>
          <w:rFonts w:ascii="Times New Roman" w:hAnsi="Times New Roman"/>
          <w:noProof/>
          <w:sz w:val="24"/>
        </w:rPr>
        <w:t xml:space="preserve"> за развитието на европейско пространство на правосъдие въз основа на взаимно признаване и взаимно доверие, беше особено важна по време на стартирането на самата програма, когато въздействията на икономическата криза все още можеха да се усетят в много държави членки.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Настоящият доклад относно междинната оценка на програма „Правосъдие“ за периода 2014 — 2020 г. потвърждава значението на програмата, предвид приноса ѝ за поддържането на ценностите на ЕС (като правова държава, независимост на съдебната власт и ефективност на правосъдието) и за подпомагането на държавите членки да постигнат по-ефективни съдебни системи. От самото начало на програмата пролича потенциалът ѝ </w:t>
      </w:r>
      <w:r>
        <w:rPr>
          <w:rFonts w:ascii="Times New Roman" w:hAnsi="Times New Roman"/>
          <w:noProof/>
          <w:color w:val="000000"/>
          <w:sz w:val="24"/>
          <w:u w:color="000000"/>
          <w:bdr w:val="nil"/>
        </w:rPr>
        <w:t>за насърчаване на придобиването на трайни правни познания и компетентности в държавите членки</w:t>
      </w:r>
      <w:r>
        <w:rPr>
          <w:rFonts w:ascii="Times New Roman" w:hAnsi="Times New Roman"/>
          <w:noProof/>
          <w:sz w:val="24"/>
        </w:rPr>
        <w:t xml:space="preserve">. </w:t>
      </w:r>
    </w:p>
    <w:p>
      <w:pPr>
        <w:spacing w:after="120" w:line="240" w:lineRule="auto"/>
        <w:jc w:val="both"/>
        <w:rPr>
          <w:rFonts w:ascii="Times New Roman" w:hAnsi="Times New Roman" w:cs="Times New Roman"/>
          <w:noProof/>
          <w:color w:val="000000"/>
          <w:sz w:val="24"/>
          <w:szCs w:val="24"/>
        </w:rPr>
      </w:pPr>
      <w:r>
        <w:rPr>
          <w:rFonts w:ascii="Times New Roman" w:hAnsi="Times New Roman"/>
          <w:noProof/>
          <w:sz w:val="24"/>
        </w:rPr>
        <w:t>Настоящата структура на програмата изглежда адекватна и достатъчно гъвкава за постигането на общите и конкретните ѝ цели</w:t>
      </w:r>
      <w:r>
        <w:rPr>
          <w:rFonts w:ascii="Times New Roman" w:hAnsi="Times New Roman"/>
          <w:noProof/>
          <w:color w:val="000000"/>
          <w:sz w:val="24"/>
        </w:rPr>
        <w:t xml:space="preserve">. През тези години тя </w:t>
      </w:r>
      <w:r>
        <w:rPr>
          <w:rFonts w:ascii="Times New Roman" w:hAnsi="Times New Roman"/>
          <w:noProof/>
          <w:sz w:val="24"/>
        </w:rPr>
        <w:t>доказа своята висока добавена стойност на ЕС, която се изразява както в нейното положително въздействие върху участниците и целевите групи, така и в нейната допълваща роля към други инструменти за финансиране и инициативи на политиката на ЕС.</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контекста на подготовката на бъдещия бюджет на ЕС и бъдещите програми за финансиране Комисията ще разгледа, въз основа на констатациите от средносрочната оценка, всички аспекти, които са били набелязани за подобрения, и по-специално увеличаването на кръга от потенциални получатели на дейностите по програмата, преразглеждането на показателите за мониторинг, постигането на по-голям географски баланс между бенефициерите и укрепването на полезните взаимодействия с други съответни програми и инициативи на ЕС за финансиране.ро</w:t>
      </w:r>
    </w:p>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3138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7909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ОВ C 115, 4.5.2010 г., стр. 1.</w:t>
      </w:r>
    </w:p>
  </w:footnote>
  <w:footnote w:id="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Style w:val="Strong"/>
          <w:rFonts w:ascii="Times New Roman" w:hAnsi="Times New Roman"/>
          <w:b w:val="0"/>
          <w:sz w:val="16"/>
        </w:rPr>
        <w:t>Регламент (ЕС) № 1382/2013 на Европейския парламент и на Съвета от 17 декември 2013 г. за създаване на програма „Правосъдие“ за периода 2014 — 2020 година</w:t>
      </w:r>
      <w:r>
        <w:rPr>
          <w:rStyle w:val="Strong"/>
          <w:rFonts w:ascii="Times New Roman" w:hAnsi="Times New Roman"/>
          <w:sz w:val="16"/>
        </w:rPr>
        <w:t xml:space="preserve"> </w:t>
      </w:r>
      <w:r>
        <w:rPr>
          <w:rFonts w:ascii="Times New Roman" w:hAnsi="Times New Roman"/>
          <w:sz w:val="16"/>
        </w:rPr>
        <w:t>(ОВ L 354 от 28.12.2013 г.).</w:t>
      </w:r>
    </w:p>
  </w:footnote>
  <w:footnote w:id="3">
    <w:p>
      <w:pPr>
        <w:pStyle w:val="FootnoteText"/>
        <w:jc w:val="both"/>
        <w:rPr>
          <w:rFonts w:ascii="Times New Roman" w:eastAsia="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Междинна оценка на програма „Правосъдие“ за периода 2014 — 2020 г., </w:t>
      </w:r>
      <w:r>
        <w:rPr>
          <w:rFonts w:ascii="Times New Roman" w:hAnsi="Times New Roman"/>
          <w:color w:val="000000"/>
          <w:sz w:val="16"/>
        </w:rPr>
        <w:t>Ernst &amp; Young Financial-Business Advisors</w:t>
      </w:r>
      <w:r>
        <w:rPr>
          <w:rFonts w:ascii="Times New Roman" w:hAnsi="Times New Roman"/>
          <w:sz w:val="16"/>
        </w:rPr>
        <w:t>, окончателен доклад, април 2018 г.</w:t>
      </w:r>
    </w:p>
  </w:footnote>
  <w:footnote w:id="4">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Работен документ на службите на Комисията, придружаващ доклада относно междинната оценка на изпълнението на програма „Правосъдие“ за периода 2014—2020 г.</w:t>
      </w:r>
    </w:p>
  </w:footnote>
  <w:footnote w:id="5">
    <w:p>
      <w:pPr>
        <w:pStyle w:val="FootnoteText"/>
      </w:pPr>
      <w:r>
        <w:rPr>
          <w:rStyle w:val="FootnoteReference"/>
          <w:rFonts w:ascii="Times New Roman" w:hAnsi="Times New Roman"/>
          <w:sz w:val="16"/>
        </w:rPr>
        <w:footnoteRef/>
      </w:r>
      <w:r>
        <w:rPr>
          <w:rFonts w:ascii="Times New Roman" w:hAnsi="Times New Roman"/>
          <w:sz w:val="16"/>
        </w:rPr>
        <w:t xml:space="preserve"> За допълнителна информация вж. </w:t>
      </w:r>
      <w:hyperlink r:id="rId1">
        <w:r>
          <w:rPr>
            <w:rStyle w:val="Hyperlink"/>
            <w:rFonts w:ascii="Times New Roman" w:hAnsi="Times New Roman"/>
            <w:sz w:val="16"/>
          </w:rPr>
          <w:t>https://ec.europa.eu/home-affairs/financing/fundings/security-and-safeguarding-liberties/internal-security-fund-police_en</w:t>
        </w:r>
      </w:hyperlink>
      <w:r>
        <w:rPr>
          <w:rFonts w:ascii="Times New Roman" w:hAnsi="Times New Roman"/>
          <w:sz w:val="16"/>
        </w:rPr>
        <w:t xml:space="preserve"> и </w:t>
      </w:r>
      <w:hyperlink r:id="rId2">
        <w:r>
          <w:rPr>
            <w:rStyle w:val="Hyperlink"/>
            <w:rFonts w:ascii="Times New Roman" w:hAnsi="Times New Roman"/>
            <w:sz w:val="16"/>
          </w:rPr>
          <w:t>https://ec.europa.eu/health/funding/programme_bg</w:t>
        </w:r>
      </w:hyperlink>
      <w:r>
        <w:rPr>
          <w:rFonts w:ascii="Times New Roman" w:hAnsi="Times New Roman"/>
          <w:sz w:val="16"/>
        </w:rPr>
        <w:t>.</w:t>
      </w:r>
    </w:p>
  </w:footnote>
  <w:footnote w:id="6">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
        <w:r>
          <w:rPr>
            <w:rFonts w:ascii="Times New Roman" w:hAnsi="Times New Roman"/>
            <w:sz w:val="16"/>
          </w:rPr>
          <w:t>Порталът за участници</w:t>
        </w:r>
      </w:hyperlink>
      <w:r>
        <w:rPr>
          <w:rFonts w:ascii="Times New Roman" w:hAnsi="Times New Roman"/>
          <w:sz w:val="16"/>
        </w:rPr>
        <w:t xml:space="preserve"> е електронна платформа, използвана за управление на получаваните заявления по поканите, публикувани в рамките на програма „Правосъдие“.</w:t>
      </w:r>
    </w:p>
  </w:footnote>
  <w:footnote w:id="7">
    <w:p>
      <w:pPr>
        <w:spacing w:after="0" w:line="240" w:lineRule="auto"/>
        <w:jc w:val="both"/>
        <w:rPr>
          <w:rFonts w:ascii="Times New Roman" w:eastAsia="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За да видите списъка с всички проекти, финансирани по програмата, и примери за успешни проекти, вижте следните електронни препратки: </w:t>
      </w:r>
      <w:hyperlink r:id="rId4">
        <w:r>
          <w:rPr>
            <w:rStyle w:val="Hyperlink"/>
            <w:rFonts w:ascii="Times New Roman" w:hAnsi="Times New Roman"/>
            <w:sz w:val="16"/>
          </w:rPr>
          <w:t>http://ec.europa.eu/justice/grants1/closed-calls/index_en.htm</w:t>
        </w:r>
      </w:hyperlink>
      <w:r>
        <w:rPr>
          <w:rFonts w:ascii="Times New Roman" w:hAnsi="Times New Roman"/>
          <w:sz w:val="16"/>
        </w:rPr>
        <w:t xml:space="preserve"> (след това изберете „Results: closed calls“ (Резултати: приключили покани)</w:t>
      </w:r>
      <w:r>
        <w:rPr>
          <w:rFonts w:ascii="Times New Roman" w:eastAsia="Times New Roman" w:hAnsi="Times New Roman" w:cs="Times New Roman"/>
          <w:sz w:val="16"/>
          <w:szCs w:val="16"/>
        </w:rPr>
        <w:sym w:font="Wingdings" w:char="F0E0"/>
      </w:r>
      <w:r>
        <w:rPr>
          <w:rFonts w:ascii="Times New Roman" w:hAnsi="Times New Roman"/>
          <w:sz w:val="16"/>
        </w:rPr>
        <w:t xml:space="preserve">, „selected projects“ (избрани проекти) </w:t>
      </w:r>
      <w:r>
        <w:rPr>
          <w:rFonts w:ascii="Times New Roman" w:eastAsia="Times New Roman" w:hAnsi="Times New Roman" w:cs="Times New Roman"/>
          <w:sz w:val="16"/>
          <w:szCs w:val="16"/>
        </w:rPr>
        <w:sym w:font="Wingdings" w:char="F0E0"/>
      </w:r>
      <w:r>
        <w:rPr>
          <w:rFonts w:ascii="Times New Roman" w:hAnsi="Times New Roman"/>
          <w:sz w:val="16"/>
        </w:rPr>
        <w:t xml:space="preserve">, „award decisions“ (решения за възлагане) и „summaries“ (резюмета) и </w:t>
      </w:r>
      <w:hyperlink r:id="rId5">
        <w:r>
          <w:rPr>
            <w:rStyle w:val="Hyperlink"/>
            <w:rFonts w:ascii="Times New Roman" w:hAnsi="Times New Roman"/>
            <w:sz w:val="16"/>
          </w:rPr>
          <w:t>https://ec.europa.eu/research/participants/portal/desktop/en/opportunities/index.html</w:t>
        </w:r>
      </w:hyperlink>
      <w:r>
        <w:rPr>
          <w:rFonts w:ascii="Times New Roman" w:hAnsi="Times New Roman"/>
          <w:sz w:val="16"/>
        </w:rPr>
        <w:t xml:space="preserve"> (след това изберете „Justice Programme“ (Програма „Правосъдие“).  Освен това, вж. приложение 4 към междинния доклад (пак там) за разглеждане на четири проучвания на конкретни случаи на проекти, свързани с всяка конкретна цел на програма „Правосъдие“.</w:t>
      </w:r>
    </w:p>
  </w:footnote>
  <w:footnote w:id="8">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Европейската информационна система за съдимост (ECRIS) е база данни, създадена за подобряване на обмена на информация от регистрите за съдимост в целия ЕС. Всички държави — членки на ЕС, понастоящем са свързани с тази система.</w:t>
      </w:r>
    </w:p>
  </w:footnote>
  <w:footnote w:id="9">
    <w:p>
      <w:pPr>
        <w:pStyle w:val="FootnoteText"/>
        <w:jc w:val="both"/>
      </w:pPr>
      <w:r>
        <w:rPr>
          <w:rStyle w:val="FootnoteReference"/>
          <w:rFonts w:ascii="Times New Roman" w:hAnsi="Times New Roman"/>
          <w:sz w:val="16"/>
        </w:rPr>
        <w:footnoteRef/>
      </w:r>
      <w:r>
        <w:rPr>
          <w:rFonts w:ascii="Times New Roman" w:hAnsi="Times New Roman"/>
          <w:sz w:val="16"/>
        </w:rPr>
        <w:t xml:space="preserve"> Порталът за електронно правосъдие предоставя информация за съдебните системи и подобрява и улеснява достъпа до правосъдие в целия ЕС на 23 езика. Повече информация можете да намерите на следната електронна препратка: </w:t>
      </w:r>
      <w:hyperlink r:id="rId6">
        <w:r>
          <w:rPr>
            <w:rStyle w:val="Hyperlink"/>
            <w:rFonts w:ascii="Times New Roman" w:hAnsi="Times New Roman"/>
            <w:sz w:val="16"/>
          </w:rPr>
          <w:t>https://e-justice.europa.eu/home</w:t>
        </w:r>
      </w:hyperlink>
      <w:r>
        <w:rPr>
          <w:rFonts w:ascii="Times New Roman" w:hAnsi="Times New Roman"/>
          <w:sz w:val="16"/>
        </w:rPr>
        <w:t>.</w:t>
      </w:r>
    </w:p>
  </w:footnote>
  <w:footnote w:id="10">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b/>
          <w:sz w:val="16"/>
        </w:rPr>
        <w:t>Ефективност</w:t>
      </w:r>
      <w:r>
        <w:rPr>
          <w:rFonts w:ascii="Times New Roman" w:hAnsi="Times New Roman"/>
          <w:sz w:val="16"/>
        </w:rPr>
        <w:t>: дали и до каква степен програма „Правосъдие“ е постигнала своята обща цел, както и четирите си конкретни цели, и кои са факторите, които са допринесли за тези постижения.</w:t>
      </w:r>
    </w:p>
  </w:footnote>
  <w:footnote w:id="11">
    <w:p>
      <w:pPr>
        <w:pStyle w:val="FootnoteText"/>
        <w:jc w:val="both"/>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b/>
          <w:sz w:val="16"/>
        </w:rPr>
        <w:t>Ефикасност</w:t>
      </w:r>
      <w:r>
        <w:rPr>
          <w:rFonts w:ascii="Times New Roman" w:hAnsi="Times New Roman"/>
          <w:sz w:val="16"/>
        </w:rPr>
        <w:t>: дали и до каква степен разходите по програмата са пропорционални предвид постигнатите ползи и кои параметри/фактори са участвали в тези резултати.</w:t>
      </w:r>
    </w:p>
  </w:footnote>
  <w:footnote w:id="1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b/>
          <w:sz w:val="16"/>
        </w:rPr>
        <w:t>Уместност</w:t>
      </w:r>
      <w:r>
        <w:rPr>
          <w:rFonts w:ascii="Times New Roman" w:hAnsi="Times New Roman"/>
          <w:sz w:val="16"/>
        </w:rPr>
        <w:t>: дали и до каква степен програма „Правосъдие“ отговаря на потребностите и проблемите на целевите групи, установени в оценката на въздействието от 2011 г. и в правното основание на програмата (както и на нововъзникващите потребности, свързани със създаването на европейско пространство на правосъдие), както и дали нейните цели все още са уместни по отношение на потребностите и проблемите на бенефициерите.</w:t>
      </w:r>
    </w:p>
  </w:footnote>
  <w:footnote w:id="13">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b/>
          <w:sz w:val="16"/>
        </w:rPr>
        <w:t>Съгласуваност/взаимно допълване/полезни взаимодействия</w:t>
      </w:r>
      <w:r>
        <w:rPr>
          <w:rFonts w:ascii="Times New Roman" w:hAnsi="Times New Roman"/>
          <w:sz w:val="16"/>
        </w:rPr>
        <w:t>: дали и до каква степен програмата е съгласувана с другите интервенции на равнището на ЕС и на международно равнище, като</w:t>
      </w:r>
      <w:r>
        <w:rPr>
          <w:rFonts w:ascii="Times New Roman" w:hAnsi="Times New Roman"/>
          <w:b/>
          <w:sz w:val="16"/>
        </w:rPr>
        <w:t xml:space="preserve"> </w:t>
      </w:r>
      <w:r>
        <w:rPr>
          <w:rFonts w:ascii="Times New Roman" w:hAnsi="Times New Roman"/>
          <w:sz w:val="16"/>
        </w:rPr>
        <w:t>например предшестващите програми на ЕС в тази област, с дейности, подпомагани от други инструменти на Съюза, и по принцип с европейските приоритети в областите, обхванати от програмата.</w:t>
      </w:r>
    </w:p>
  </w:footnote>
  <w:footnote w:id="14">
    <w:p>
      <w:pPr>
        <w:pStyle w:val="FootnoteText"/>
        <w:jc w:val="both"/>
        <w:rPr>
          <w:sz w:val="16"/>
          <w:szCs w:val="16"/>
        </w:rPr>
      </w:pPr>
      <w:r>
        <w:rPr>
          <w:rStyle w:val="FootnoteReference"/>
          <w:rFonts w:ascii="Times New Roman" w:hAnsi="Times New Roman"/>
          <w:sz w:val="16"/>
        </w:rPr>
        <w:footnoteRef/>
      </w:r>
      <w:r>
        <w:rPr>
          <w:rFonts w:ascii="Times New Roman" w:hAnsi="Times New Roman"/>
          <w:sz w:val="16"/>
        </w:rPr>
        <w:t xml:space="preserve"> Целите на Европейската програма в областта на правосъдието за 2020 г. и разгледаните в нея области са до голяма степен в съответствие с програма „Правосъдие“, и по-специално в областта на съдебното сътрудничество, въпреки че в програмата в областта на правосъдието е отдаден приоритет на области, като тероризъм и киберпрестъпност, които са обхванати в по-малка степен в програма „Правосъдие“.</w:t>
      </w:r>
    </w:p>
  </w:footnote>
  <w:footnote w:id="15">
    <w:p>
      <w:pPr>
        <w:spacing w:after="120" w:line="240" w:lineRule="auto"/>
        <w:jc w:val="both"/>
        <w:rPr>
          <w:rFonts w:ascii="Times New Roman" w:hAnsi="Times New Roman" w:cs="Times New Roman"/>
          <w:b/>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b/>
          <w:sz w:val="16"/>
        </w:rPr>
        <w:t>Добавена стойност на ЕС</w:t>
      </w:r>
      <w:r>
        <w:rPr>
          <w:rFonts w:ascii="Times New Roman" w:hAnsi="Times New Roman"/>
          <w:sz w:val="16"/>
        </w:rPr>
        <w:t>: до каква степен въздействието от действията на ЕС допълва стойността, която би се получила от действия само на национално равнище.</w:t>
      </w:r>
    </w:p>
  </w:footnote>
  <w:footnote w:id="1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По програми „Гражданско правосъдие“, „Наказателно правосъдие“ и „Превенция на наркотиците и информация за тях“ бяха възложени 806 проекта в рамките на период от седем години (2007 — 2013 г.). По програма „Правосъдие“ бяха възложени 418 само през тригодишния период 2014 — 2016 г.</w:t>
      </w:r>
    </w:p>
  </w:footnote>
  <w:footnote w:id="17">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b/>
          <w:sz w:val="16"/>
        </w:rPr>
        <w:t xml:space="preserve">Справедливост: </w:t>
      </w:r>
      <w:r>
        <w:rPr>
          <w:rFonts w:ascii="Times New Roman" w:hAnsi="Times New Roman"/>
          <w:sz w:val="16"/>
        </w:rPr>
        <w:t>дали и до каква степен по програма „Правосъдие“ наличните ресурси са били разпределени справедливо между бенефициерите в различните държави членки, потребностите на целевите групи са били взети под внимание и е било насърчено интегрирането на принципа на равенство между половете, правата на детето и правата на хората с увреждания.</w:t>
      </w:r>
    </w:p>
  </w:footnote>
  <w:footnote w:id="18">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Проект „Подобряване на процедурните права на лицата с умствени и/или психични увреждания при наказателното производство: проучване на необходимостта от действия“.</w:t>
      </w:r>
    </w:p>
  </w:footnote>
  <w:footnote w:id="19">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b/>
          <w:sz w:val="16"/>
        </w:rPr>
        <w:t>Възможност за опростяване</w:t>
      </w:r>
      <w:r>
        <w:rPr>
          <w:rFonts w:ascii="Times New Roman" w:hAnsi="Times New Roman"/>
          <w:sz w:val="16"/>
        </w:rPr>
        <w:t>: дали и до каква степен би могло да се опрости още повече управлението на програма „Правосъдие“.</w:t>
      </w:r>
    </w:p>
  </w:footnote>
  <w:footnote w:id="20">
    <w:p>
      <w:pPr>
        <w:pStyle w:val="FootnoteText"/>
        <w:jc w:val="both"/>
        <w:rPr>
          <w:sz w:val="16"/>
          <w:szCs w:val="16"/>
        </w:rPr>
      </w:pPr>
      <w:r>
        <w:rPr>
          <w:rStyle w:val="FootnoteReference"/>
          <w:rFonts w:ascii="Times New Roman" w:hAnsi="Times New Roman"/>
          <w:sz w:val="16"/>
        </w:rPr>
        <w:footnoteRef/>
      </w:r>
      <w:r>
        <w:rPr>
          <w:rFonts w:ascii="Times New Roman" w:hAnsi="Times New Roman"/>
          <w:sz w:val="16"/>
        </w:rPr>
        <w:t xml:space="preserve"> Следва да се отбележи, че средният размер на безвъзмездните средства беше увеличен до текущото равнище след последващата оценка на предшестващите програми, при която, както вече беше споменато по-горе, беше установено, че раздробяването на финансовите средства сред множество проекти с малък мащаб е довело до ограничено въздействие и измерение на 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8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066B64"/>
    <w:multiLevelType w:val="hybridMultilevel"/>
    <w:tmpl w:val="A640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551B83"/>
    <w:multiLevelType w:val="hybridMultilevel"/>
    <w:tmpl w:val="1E24D6B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22EC6F0C"/>
    <w:multiLevelType w:val="hybridMultilevel"/>
    <w:tmpl w:val="FA02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127B42"/>
    <w:multiLevelType w:val="hybridMultilevel"/>
    <w:tmpl w:val="BEE2607E"/>
    <w:lvl w:ilvl="0" w:tplc="08090001">
      <w:start w:val="1"/>
      <w:numFmt w:val="bullet"/>
      <w:lvlText w:val=""/>
      <w:lvlJc w:val="left"/>
      <w:pPr>
        <w:ind w:left="720" w:hanging="360"/>
      </w:pPr>
      <w:rPr>
        <w:rFonts w:ascii="Symbol" w:hAnsi="Symbol" w:hint="default"/>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2F63A1"/>
    <w:multiLevelType w:val="hybridMultilevel"/>
    <w:tmpl w:val="79BCA0F2"/>
    <w:lvl w:ilvl="0" w:tplc="08090001">
      <w:start w:val="1"/>
      <w:numFmt w:val="bullet"/>
      <w:lvlText w:val=""/>
      <w:lvlJc w:val="left"/>
      <w:pPr>
        <w:ind w:left="720" w:hanging="360"/>
      </w:pPr>
      <w:rPr>
        <w:rFonts w:ascii="Symbol" w:hAnsi="Symbol" w:hint="default"/>
      </w:rPr>
    </w:lvl>
    <w:lvl w:ilvl="1" w:tplc="F1748534">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4D4D14"/>
    <w:multiLevelType w:val="hybridMultilevel"/>
    <w:tmpl w:val="89701AF0"/>
    <w:lvl w:ilvl="0" w:tplc="BD807D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EFC3408"/>
    <w:multiLevelType w:val="hybridMultilevel"/>
    <w:tmpl w:val="84427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3456954"/>
    <w:multiLevelType w:val="hybridMultilevel"/>
    <w:tmpl w:val="9D88EAD0"/>
    <w:lvl w:ilvl="0" w:tplc="6B6CAE34">
      <w:start w:val="1"/>
      <w:numFmt w:val="bullet"/>
      <w:pStyle w:val="BulletBody"/>
      <w:lvlText w:val=""/>
      <w:lvlJc w:val="left"/>
      <w:pPr>
        <w:ind w:left="720" w:hanging="360"/>
      </w:pPr>
      <w:rPr>
        <w:rFonts w:ascii="Symbol" w:hAnsi="Symbol" w:hint="default"/>
        <w:color w:val="00B0F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B4D0A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3"/>
  </w:num>
  <w:num w:numId="4">
    <w:abstractNumId w:val="2"/>
  </w:num>
  <w:num w:numId="5">
    <w:abstractNumId w:val="6"/>
  </w:num>
  <w:num w:numId="6">
    <w:abstractNumId w:val="7"/>
  </w:num>
  <w:num w:numId="7">
    <w:abstractNumId w:val="8"/>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F51266E-F5ED-4B79-AA2C-C0EE7BEB1355"/>
    <w:docVar w:name="LW_COVERPAGE_TYPE" w:val="1"/>
    <w:docVar w:name="LW_CROSSREFERENCE" w:val="{SWD(2018) 356 final}_x000b_{SWD(2018) 357 final}"/>
    <w:docVar w:name="LW_DocType" w:val="NORMAL"/>
    <w:docVar w:name="LW_EMISSION" w:val="29.6.2018"/>
    <w:docVar w:name="LW_EMISSION_ISODATE" w:val="2018-06-29"/>
    <w:docVar w:name="LW_EMISSION_LOCATION" w:val="BRX"/>
    <w:docVar w:name="LW_EMISSION_PREFIX" w:val="Брюксел, "/>
    <w:docVar w:name="LW_EMISSION_SUFFIX" w:val="\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84?\u1077?\u1078?\u1076?\u1080?\u1085?\u1085?\u1072?\u1090?\u1072? \u1086?\u1094?\u1077?\u1085?\u1082?\u1072? \u1085?\u1072? \u1080?\u1079?\u1087?\u1098?\u1083?\u1085?\u1077?\u1085?\u1080?\u1077?\u1090?\u1086? \u1085?\u1072? \u1087?\u1088?\u1086?\u1075?\u1088?\u1072?\u1084?\u1072? \u8222?\u1055?\u1088?\u1072?\u1074?\u1086?\u1089?\u1098?\u1076?\u1080?\u1077?\u8220? \u1079?\u1072? \u1087?\u1077?\u1088?\u1080?\u1086?\u1076?\u1072? 2014\u8212?2020 \u1075?. _x000b_"/>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Stamp" w:val="\\dossiers.dgt.cec.eu.int\dossiers\HOME\HOME-2017-00958\HOME-2017-00958-00-00-EN-REV-00.201801100929480426427.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Testo nota a piè di pagina Carattere,Footnote text,Schriftart: 9 pt,Schriftart: 10 pt,Schriftart: 8 pt,Testo nota a piè di pagina Carattere1 Carattere,Testo nota a piè di pagina Carattere Carattere1,fn,ft,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Text Char1 Char,Schriftart: 9 pt Char,Schriftart: 10 pt Char,Schriftart: 8 pt Char,WB-Fußnotentext Char,Reference Char,Fußnote Char,fn Char,Footnote Text Char2 Char,Footnote Text Char Char1 Char,Ch Char,stile 1 Char,Fuß Char"/>
    <w:basedOn w:val="DefaultParagraphFont"/>
    <w:uiPriority w:val="99"/>
    <w:qFormat/>
    <w:rPr>
      <w:sz w:val="20"/>
      <w:szCs w:val="20"/>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Footnote reference numbe,callout"/>
    <w:link w:val="FootnotesymbolCharCharCharChar"/>
    <w:uiPriority w:val="99"/>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aliases w:val="Document Table,CV1,Deloitte"/>
    <w:basedOn w:val="TableNormal"/>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PSP,Caption - Centre Graphic,Char Char Char,Caption1 Char Char Char Char Char Char Char Char,Caption1 Char Char Char Char Char Char Char Char Tegn Tegn Tegn Tegn Tegn,Caption1 Char Char Char Char Char Char Char Char Tegn Tegn Tegn,Char"/>
    <w:basedOn w:val="Normal"/>
    <w:next w:val="Normal"/>
    <w:link w:val="CaptionChar"/>
    <w:uiPriority w:val="35"/>
    <w:unhideWhenUsed/>
    <w:qFormat/>
    <w:pPr>
      <w:spacing w:before="120" w:line="240" w:lineRule="auto"/>
      <w:jc w:val="center"/>
    </w:pPr>
    <w:rPr>
      <w:rFonts w:ascii="Calibri" w:eastAsia="Times New Roman" w:hAnsi="Calibri" w:cs="Times New Roman"/>
      <w:i/>
      <w:iCs/>
      <w:color w:val="86BC25"/>
      <w:sz w:val="20"/>
      <w:szCs w:val="18"/>
    </w:rPr>
  </w:style>
  <w:style w:type="character" w:customStyle="1" w:styleId="CaptionChar">
    <w:name w:val="Caption Char"/>
    <w:aliases w:val="Caption PSP Char,Caption - Centre Graphic Char,Char Char Char Char,Caption1 Char Char Char Char Char Char Char Char Char,Caption1 Char Char Char Char Char Char Char Char Tegn Tegn Tegn Tegn Tegn Char,Char Char"/>
    <w:link w:val="Caption"/>
    <w:uiPriority w:val="35"/>
    <w:rPr>
      <w:rFonts w:ascii="Calibri" w:eastAsia="Times New Roman" w:hAnsi="Calibri" w:cs="Times New Roman"/>
      <w:i/>
      <w:iCs/>
      <w:color w:val="86BC25"/>
      <w:sz w:val="20"/>
      <w:szCs w:val="18"/>
      <w:lang w:val="bg-BG"/>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Sourcetables">
    <w:name w:val="Source tables"/>
    <w:basedOn w:val="Normal"/>
    <w:link w:val="SourcetablesChar"/>
    <w:qFormat/>
    <w:pPr>
      <w:spacing w:after="160" w:line="256" w:lineRule="auto"/>
    </w:pPr>
    <w:rPr>
      <w:rFonts w:ascii="Verdana" w:eastAsia="Times New Roman" w:hAnsi="Verdana" w:cs="Times New Roman"/>
      <w:i/>
      <w:sz w:val="18"/>
      <w:szCs w:val="18"/>
    </w:rPr>
  </w:style>
  <w:style w:type="character" w:customStyle="1" w:styleId="SourcetablesChar">
    <w:name w:val="Source tables Char"/>
    <w:basedOn w:val="DefaultParagraphFont"/>
    <w:link w:val="Sourcetables"/>
    <w:rPr>
      <w:rFonts w:ascii="Verdana" w:eastAsia="Times New Roman" w:hAnsi="Verdana" w:cs="Times New Roman"/>
      <w:i/>
      <w:sz w:val="18"/>
      <w:szCs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rFonts w:ascii="Times New Roman" w:eastAsia="Times New Roman" w:hAnsi="Times New Roman" w:cs="Times New Roman"/>
      <w:sz w:val="20"/>
      <w:szCs w:val="20"/>
      <w:vertAlign w:val="superscript"/>
    </w:rPr>
  </w:style>
  <w:style w:type="paragraph" w:customStyle="1" w:styleId="Body">
    <w:name w:val="Body"/>
    <w:basedOn w:val="Normal"/>
    <w:link w:val="BodyChar"/>
    <w:qFormat/>
    <w:pPr>
      <w:spacing w:before="120" w:after="12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BulletBody">
    <w:name w:val="Bullet Body"/>
    <w:basedOn w:val="Body"/>
    <w:link w:val="BulletBodyChar"/>
    <w:qFormat/>
    <w:pPr>
      <w:numPr>
        <w:numId w:val="7"/>
      </w:numPr>
    </w:pPr>
    <w:rPr>
      <w:rFonts w:cs="EUAlbertina"/>
      <w:color w:val="000000"/>
      <w:szCs w:val="19"/>
    </w:rPr>
  </w:style>
  <w:style w:type="character" w:customStyle="1" w:styleId="BulletBodyChar">
    <w:name w:val="Bullet Body Char"/>
    <w:basedOn w:val="BodyChar"/>
    <w:link w:val="BulletBody"/>
    <w:rPr>
      <w:rFonts w:ascii="Verdana" w:eastAsia="Times New Roman" w:hAnsi="Verdana" w:cs="EUAlbertina"/>
      <w:color w:val="000000"/>
      <w:sz w:val="20"/>
      <w:szCs w:val="19"/>
      <w:lang w:eastAsia="bg-BG"/>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Testo nota a piè di pagina Carattere,Footnote text,Schriftart: 9 pt,Schriftart: 10 pt,Schriftart: 8 pt,Testo nota a piè di pagina Carattere1 Carattere,Testo nota a piè di pagina Carattere Carattere1,fn,ft,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Text Char1 Char,Schriftart: 9 pt Char,Schriftart: 10 pt Char,Schriftart: 8 pt Char,WB-Fußnotentext Char,Reference Char,Fußnote Char,fn Char,Footnote Text Char2 Char,Footnote Text Char Char1 Char,Ch Char,stile 1 Char,Fuß Char"/>
    <w:basedOn w:val="DefaultParagraphFont"/>
    <w:uiPriority w:val="99"/>
    <w:qFormat/>
    <w:rPr>
      <w:sz w:val="20"/>
      <w:szCs w:val="20"/>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Footnote reference numbe,callout"/>
    <w:link w:val="FootnotesymbolCharCharCharChar"/>
    <w:uiPriority w:val="99"/>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aliases w:val="Document Table,CV1,Deloitte"/>
    <w:basedOn w:val="TableNormal"/>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PSP,Caption - Centre Graphic,Char Char Char,Caption1 Char Char Char Char Char Char Char Char,Caption1 Char Char Char Char Char Char Char Char Tegn Tegn Tegn Tegn Tegn,Caption1 Char Char Char Char Char Char Char Char Tegn Tegn Tegn,Char"/>
    <w:basedOn w:val="Normal"/>
    <w:next w:val="Normal"/>
    <w:link w:val="CaptionChar"/>
    <w:uiPriority w:val="35"/>
    <w:unhideWhenUsed/>
    <w:qFormat/>
    <w:pPr>
      <w:spacing w:before="120" w:line="240" w:lineRule="auto"/>
      <w:jc w:val="center"/>
    </w:pPr>
    <w:rPr>
      <w:rFonts w:ascii="Calibri" w:eastAsia="Times New Roman" w:hAnsi="Calibri" w:cs="Times New Roman"/>
      <w:i/>
      <w:iCs/>
      <w:color w:val="86BC25"/>
      <w:sz w:val="20"/>
      <w:szCs w:val="18"/>
    </w:rPr>
  </w:style>
  <w:style w:type="character" w:customStyle="1" w:styleId="CaptionChar">
    <w:name w:val="Caption Char"/>
    <w:aliases w:val="Caption PSP Char,Caption - Centre Graphic Char,Char Char Char Char,Caption1 Char Char Char Char Char Char Char Char Char,Caption1 Char Char Char Char Char Char Char Char Tegn Tegn Tegn Tegn Tegn Char,Char Char"/>
    <w:link w:val="Caption"/>
    <w:uiPriority w:val="35"/>
    <w:rPr>
      <w:rFonts w:ascii="Calibri" w:eastAsia="Times New Roman" w:hAnsi="Calibri" w:cs="Times New Roman"/>
      <w:i/>
      <w:iCs/>
      <w:color w:val="86BC25"/>
      <w:sz w:val="20"/>
      <w:szCs w:val="18"/>
      <w:lang w:val="bg-BG"/>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Sourcetables">
    <w:name w:val="Source tables"/>
    <w:basedOn w:val="Normal"/>
    <w:link w:val="SourcetablesChar"/>
    <w:qFormat/>
    <w:pPr>
      <w:spacing w:after="160" w:line="256" w:lineRule="auto"/>
    </w:pPr>
    <w:rPr>
      <w:rFonts w:ascii="Verdana" w:eastAsia="Times New Roman" w:hAnsi="Verdana" w:cs="Times New Roman"/>
      <w:i/>
      <w:sz w:val="18"/>
      <w:szCs w:val="18"/>
    </w:rPr>
  </w:style>
  <w:style w:type="character" w:customStyle="1" w:styleId="SourcetablesChar">
    <w:name w:val="Source tables Char"/>
    <w:basedOn w:val="DefaultParagraphFont"/>
    <w:link w:val="Sourcetables"/>
    <w:rPr>
      <w:rFonts w:ascii="Verdana" w:eastAsia="Times New Roman" w:hAnsi="Verdana" w:cs="Times New Roman"/>
      <w:i/>
      <w:sz w:val="18"/>
      <w:szCs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rFonts w:ascii="Times New Roman" w:eastAsia="Times New Roman" w:hAnsi="Times New Roman" w:cs="Times New Roman"/>
      <w:sz w:val="20"/>
      <w:szCs w:val="20"/>
      <w:vertAlign w:val="superscript"/>
    </w:rPr>
  </w:style>
  <w:style w:type="paragraph" w:customStyle="1" w:styleId="Body">
    <w:name w:val="Body"/>
    <w:basedOn w:val="Normal"/>
    <w:link w:val="BodyChar"/>
    <w:qFormat/>
    <w:pPr>
      <w:spacing w:before="120" w:after="12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BulletBody">
    <w:name w:val="Bullet Body"/>
    <w:basedOn w:val="Body"/>
    <w:link w:val="BulletBodyChar"/>
    <w:qFormat/>
    <w:pPr>
      <w:numPr>
        <w:numId w:val="7"/>
      </w:numPr>
    </w:pPr>
    <w:rPr>
      <w:rFonts w:cs="EUAlbertina"/>
      <w:color w:val="000000"/>
      <w:szCs w:val="19"/>
    </w:rPr>
  </w:style>
  <w:style w:type="character" w:customStyle="1" w:styleId="BulletBodyChar">
    <w:name w:val="Bullet Body Char"/>
    <w:basedOn w:val="BodyChar"/>
    <w:link w:val="BulletBody"/>
    <w:rPr>
      <w:rFonts w:ascii="Verdana" w:eastAsia="Times New Roman" w:hAnsi="Verdana" w:cs="EUAlbertina"/>
      <w:color w:val="000000"/>
      <w:sz w:val="20"/>
      <w:szCs w:val="19"/>
      <w:lang w:eastAsia="bg-BG"/>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755815">
      <w:bodyDiv w:val="1"/>
      <w:marLeft w:val="0"/>
      <w:marRight w:val="0"/>
      <w:marTop w:val="0"/>
      <w:marBottom w:val="0"/>
      <w:divBdr>
        <w:top w:val="none" w:sz="0" w:space="0" w:color="auto"/>
        <w:left w:val="none" w:sz="0" w:space="0" w:color="auto"/>
        <w:bottom w:val="none" w:sz="0" w:space="0" w:color="auto"/>
        <w:right w:val="none" w:sz="0" w:space="0" w:color="auto"/>
      </w:divBdr>
    </w:div>
    <w:div w:id="116859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participants/portal/desktop/en/home.html" TargetMode="External"/><Relationship Id="rId2" Type="http://schemas.openxmlformats.org/officeDocument/2006/relationships/hyperlink" Target="https://ec.europa.eu/health/funding/programme_bg" TargetMode="External"/><Relationship Id="rId1" Type="http://schemas.openxmlformats.org/officeDocument/2006/relationships/hyperlink" Target="https://ec.europa.eu/home-affairs/financing/fundings/security-and-safeguarding-liberties/internal-security-fund-police_en" TargetMode="External"/><Relationship Id="rId6" Type="http://schemas.openxmlformats.org/officeDocument/2006/relationships/hyperlink" Target="https://e-justice.europa.eu/home" TargetMode="External"/><Relationship Id="rId5" Type="http://schemas.openxmlformats.org/officeDocument/2006/relationships/hyperlink" Target="https://ec.europa.eu/research/participants/portal/desktop/en/opportunities/index.html" TargetMode="External"/><Relationship Id="rId4" Type="http://schemas.openxmlformats.org/officeDocument/2006/relationships/hyperlink" Target="http://ec.europa.eu/justice/grants1/closed-call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76F70-27DE-45D5-A1B2-F792810E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17</Pages>
  <Words>5835</Words>
  <Characters>35366</Characters>
  <Application>Microsoft Office Word</Application>
  <DocSecurity>0</DocSecurity>
  <Lines>631</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113</cp:revision>
  <cp:lastPrinted>2017-12-07T09:01:00Z</cp:lastPrinted>
  <dcterms:created xsi:type="dcterms:W3CDTF">2018-04-26T14:01:00Z</dcterms:created>
  <dcterms:modified xsi:type="dcterms:W3CDTF">2018-07-25T10:21:00Z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