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BE6BD57-6C57-4830-8B7B-C53E414B3EC1"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pStyle w:val="Heading1"/>
        <w:numPr>
          <w:ilvl w:val="0"/>
          <w:numId w:val="1"/>
        </w:numPr>
        <w:spacing w:before="240"/>
        <w:rPr>
          <w:noProof/>
        </w:rPr>
      </w:pPr>
      <w:r>
        <w:rPr>
          <w:noProof/>
        </w:rPr>
        <w:t>Introduction</w:t>
      </w:r>
    </w:p>
    <w:p>
      <w:pPr>
        <w:spacing w:after="240"/>
        <w:ind w:right="74"/>
        <w:rPr>
          <w:rStyle w:val="Hyperlink"/>
          <w:noProof/>
          <w:szCs w:val="24"/>
        </w:rPr>
      </w:pPr>
      <w:r>
        <w:rPr>
          <w:rFonts w:eastAsia="Arial Unicode MS"/>
          <w:noProof/>
        </w:rPr>
        <w:t>The 13</w:t>
      </w:r>
      <w:r>
        <w:rPr>
          <w:rFonts w:eastAsia="Arial Unicode MS"/>
          <w:noProof/>
          <w:vertAlign w:val="superscript"/>
        </w:rPr>
        <w:t>th</w:t>
      </w:r>
      <w:r>
        <w:rPr>
          <w:rFonts w:eastAsia="Arial Unicode MS"/>
          <w:noProof/>
        </w:rPr>
        <w:t xml:space="preserve"> session of the General Assembly of the Intergovernmental Organisation Convention for International Carriage by Rail (OTIF) will take place</w:t>
      </w:r>
      <w:r>
        <w:rPr>
          <w:noProof/>
        </w:rPr>
        <w:t xml:space="preserve"> </w:t>
      </w:r>
      <w:r>
        <w:rPr>
          <w:rFonts w:eastAsia="Arial Unicode MS"/>
          <w:noProof/>
        </w:rPr>
        <w:t xml:space="preserve">on 25 and 26 September 2018. The meeting documents are available on the website of OTIF at the following link: </w:t>
      </w:r>
      <w:hyperlink r:id="rId15" w:history="1">
        <w:r>
          <w:rPr>
            <w:rStyle w:val="Hyperlink"/>
            <w:rFonts w:eastAsia="Arial Unicode MS"/>
            <w:noProof/>
          </w:rPr>
          <w:t>http://extranet.otif.org/en/?page_id=1071</w:t>
        </w:r>
      </w:hyperlink>
      <w:r>
        <w:rPr>
          <w:rFonts w:eastAsia="Arial Unicode MS"/>
          <w:noProof/>
        </w:rPr>
        <w:t>.</w:t>
      </w:r>
    </w:p>
    <w:p>
      <w:pPr>
        <w:pStyle w:val="Heading1"/>
        <w:numPr>
          <w:ilvl w:val="0"/>
          <w:numId w:val="1"/>
        </w:numPr>
        <w:spacing w:before="240"/>
        <w:rPr>
          <w:noProof/>
        </w:rPr>
      </w:pPr>
      <w:r>
        <w:rPr>
          <w:noProof/>
        </w:rPr>
        <w:t>Comments on agenda items</w:t>
      </w:r>
    </w:p>
    <w:p>
      <w:pPr>
        <w:spacing w:before="240"/>
        <w:rPr>
          <w:b/>
          <w:noProof/>
          <w:szCs w:val="24"/>
          <w:lang w:eastAsia="zh-CN"/>
        </w:rPr>
      </w:pPr>
      <w:r>
        <w:rPr>
          <w:b/>
          <w:noProof/>
          <w:szCs w:val="24"/>
          <w:lang w:eastAsia="zh-CN"/>
        </w:rPr>
        <w:t>Agenda Item 1 – Election of the Chair and Vice-Chair</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rPr>
          <w:b/>
          <w:noProof/>
          <w:szCs w:val="24"/>
          <w:lang w:eastAsia="zh-CN"/>
        </w:rPr>
      </w:pPr>
      <w:r>
        <w:rPr>
          <w:b/>
          <w:noProof/>
          <w:szCs w:val="24"/>
          <w:lang w:eastAsia="zh-CN"/>
        </w:rPr>
        <w:t>Agenda Item 2 – Adoption of the agenda</w:t>
      </w:r>
    </w:p>
    <w:p>
      <w:pPr>
        <w:shd w:val="clear" w:color="auto" w:fill="F2F2F2" w:themeFill="background1" w:themeFillShade="F2"/>
        <w:spacing w:before="0" w:after="0" w:line="276" w:lineRule="auto"/>
        <w:rPr>
          <w:noProof/>
          <w:szCs w:val="24"/>
          <w:lang w:val="de-DE"/>
        </w:rPr>
      </w:pPr>
      <w:r>
        <w:rPr>
          <w:i/>
          <w:noProof/>
          <w:szCs w:val="24"/>
          <w:lang w:val="de-DE"/>
        </w:rPr>
        <w:t>Document(s):</w:t>
      </w:r>
      <w:r>
        <w:rPr>
          <w:noProof/>
          <w:szCs w:val="24"/>
          <w:lang w:val="de-DE"/>
        </w:rPr>
        <w:t xml:space="preserve"> SG-18028-AG 13/2.1; SG-18047-AG 13/2.2</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i/>
          <w:noProof/>
          <w:szCs w:val="24"/>
        </w:rPr>
      </w:pPr>
      <w:r>
        <w:rPr>
          <w:i/>
          <w:noProof/>
          <w:szCs w:val="24"/>
        </w:rPr>
        <w:t xml:space="preserve">Position: </w:t>
      </w:r>
      <w:r>
        <w:rPr>
          <w:noProof/>
          <w:szCs w:val="24"/>
        </w:rPr>
        <w:t>In favour of the adoption of the draft agenda</w:t>
      </w:r>
    </w:p>
    <w:p>
      <w:pPr>
        <w:spacing w:before="240"/>
        <w:rPr>
          <w:b/>
          <w:noProof/>
          <w:szCs w:val="24"/>
          <w:lang w:eastAsia="zh-CN"/>
        </w:rPr>
      </w:pPr>
      <w:r>
        <w:rPr>
          <w:b/>
          <w:noProof/>
          <w:szCs w:val="24"/>
          <w:lang w:eastAsia="zh-CN"/>
        </w:rPr>
        <w:t>Agenda Item 3 – Formation of the Credentials Committee</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Position</w:t>
      </w:r>
      <w:r>
        <w:rPr>
          <w:noProof/>
          <w:szCs w:val="24"/>
        </w:rPr>
        <w:t>: None</w:t>
      </w:r>
    </w:p>
    <w:p>
      <w:pPr>
        <w:spacing w:before="240"/>
        <w:rPr>
          <w:b/>
          <w:noProof/>
          <w:szCs w:val="24"/>
          <w:lang w:eastAsia="zh-CN"/>
        </w:rPr>
      </w:pPr>
      <w:r>
        <w:rPr>
          <w:b/>
          <w:noProof/>
          <w:szCs w:val="24"/>
          <w:lang w:eastAsia="zh-CN"/>
        </w:rPr>
        <w:t>Agenda Item 4 – Organisation of the work and designation of any Committees considered necessary</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rPr>
          <w:b/>
          <w:noProof/>
          <w:szCs w:val="24"/>
          <w:lang w:eastAsia="zh-CN"/>
        </w:rPr>
      </w:pPr>
      <w:r>
        <w:rPr>
          <w:b/>
          <w:noProof/>
          <w:szCs w:val="24"/>
          <w:lang w:eastAsia="zh-CN"/>
        </w:rPr>
        <w:t>Agenda Item 5 – Modification of the Rules of Procedure</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SG-18030-AG 13/5</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noProof/>
          <w:szCs w:val="24"/>
        </w:rPr>
      </w:pPr>
      <w:r>
        <w:rPr>
          <w:i/>
          <w:noProof/>
          <w:szCs w:val="24"/>
        </w:rPr>
        <w:t xml:space="preserve">Position: </w:t>
      </w:r>
      <w:r>
        <w:rPr>
          <w:noProof/>
          <w:szCs w:val="24"/>
        </w:rPr>
        <w:t>Support the amendments to the Rules of Procedure of the General Assembly.</w:t>
      </w:r>
    </w:p>
    <w:p>
      <w:pPr>
        <w:rPr>
          <w:noProof/>
          <w:szCs w:val="24"/>
        </w:rPr>
      </w:pPr>
      <w:r>
        <w:rPr>
          <w:noProof/>
          <w:szCs w:val="24"/>
        </w:rPr>
        <w:t>The proposed draft amendments to the Rules of Procedure of the General Assembly of OTIF relate to the deadlines for submitting and dispatching documents, the participation of independent experts and clarification of the provisions relating to the exercising of rights by regional organisations. The current version of the Rules of Procedure predates the Union's accession to the COTIF Convention; certain provisions need therefore to be updated, in particular the provisions establishing the quorum and governing the rights to vote of the Union (Articles 20 and 21), which have to be modified in order to comply with Article 38 of the COTIF Convention and with the EU-OTIF Agreement. The other modifications proposed aim to ensuring orderly proceedings of the General Assembly on the basis of the best available international practice and OTIF's practice; they should also be supported.</w:t>
      </w:r>
    </w:p>
    <w:p>
      <w:pPr>
        <w:spacing w:before="240"/>
        <w:rPr>
          <w:b/>
          <w:noProof/>
          <w:szCs w:val="24"/>
          <w:lang w:eastAsia="zh-CN"/>
        </w:rPr>
      </w:pPr>
      <w:r>
        <w:rPr>
          <w:b/>
          <w:noProof/>
          <w:szCs w:val="24"/>
          <w:lang w:eastAsia="zh-CN"/>
        </w:rPr>
        <w:t>Agenda Item 6 – Election of a Secretary General for the period from 1 January 2019 to 31 December 2021</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Restricted distribution</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rPr>
          <w:b/>
          <w:noProof/>
          <w:szCs w:val="24"/>
          <w:lang w:eastAsia="zh-CN"/>
        </w:rPr>
      </w:pPr>
      <w:r>
        <w:rPr>
          <w:b/>
          <w:noProof/>
          <w:szCs w:val="24"/>
          <w:lang w:eastAsia="zh-CN"/>
        </w:rPr>
        <w:t>Agenda Item 7 – Membership of OTIF – general situation</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SG-18032-AG 13/7</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not applicable</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rPr>
          <w:b/>
          <w:noProof/>
          <w:szCs w:val="24"/>
          <w:lang w:eastAsia="zh-CN"/>
        </w:rPr>
      </w:pPr>
      <w:r>
        <w:rPr>
          <w:b/>
          <w:noProof/>
          <w:szCs w:val="24"/>
          <w:lang w:eastAsia="zh-CN"/>
        </w:rPr>
        <w:t>Agenda Item 8 – Cooperation with international organisations and associations</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SG-18048-AG 13/8</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i/>
          <w:noProof/>
          <w:szCs w:val="24"/>
        </w:rPr>
      </w:pPr>
      <w:r>
        <w:rPr>
          <w:i/>
          <w:noProof/>
          <w:szCs w:val="24"/>
        </w:rPr>
        <w:t>Position:</w:t>
      </w:r>
    </w:p>
    <w:p>
      <w:pPr>
        <w:shd w:val="clear" w:color="auto" w:fill="F2F2F2" w:themeFill="background1" w:themeFillShade="F2"/>
        <w:rPr>
          <w:noProof/>
          <w:szCs w:val="24"/>
        </w:rPr>
      </w:pPr>
      <w:r>
        <w:rPr>
          <w:noProof/>
          <w:szCs w:val="24"/>
        </w:rPr>
        <w:t>Oppose the proposal from the OTIF Secretariat that the General Assembly should authorise the Administrative Committee to establish and dissolve consultative contact groups with other international organisations and associations, and supervise the functioning of contact groups.</w:t>
      </w:r>
    </w:p>
    <w:p>
      <w:pPr>
        <w:shd w:val="clear" w:color="auto" w:fill="F2F2F2" w:themeFill="background1" w:themeFillShade="F2"/>
        <w:rPr>
          <w:noProof/>
          <w:szCs w:val="24"/>
        </w:rPr>
      </w:pPr>
      <w:r>
        <w:rPr>
          <w:noProof/>
          <w:szCs w:val="24"/>
        </w:rPr>
        <w:t xml:space="preserve">Propose that, in accordance with Article 13 § 2 of the COTIF Convention, the General Assembly decides to establish temporarily, i.e. for a period of four years, an </w:t>
      </w:r>
      <w:r>
        <w:rPr>
          <w:i/>
          <w:noProof/>
          <w:szCs w:val="24"/>
        </w:rPr>
        <w:t>ad hoc</w:t>
      </w:r>
      <w:r>
        <w:rPr>
          <w:noProof/>
          <w:szCs w:val="24"/>
        </w:rPr>
        <w:t xml:space="preserve"> committee entrusted with the task to establish and dissolve consultative contact groups with other international organisations and associations, and supervise the functioning of contact groups. The Union should be entitled to participate in the work of the </w:t>
      </w:r>
      <w:r>
        <w:rPr>
          <w:i/>
          <w:noProof/>
          <w:szCs w:val="24"/>
        </w:rPr>
        <w:t>ad hoc</w:t>
      </w:r>
      <w:r>
        <w:rPr>
          <w:noProof/>
          <w:szCs w:val="24"/>
        </w:rPr>
        <w:t xml:space="preserve"> Committee in accordance with 5(1) of the Accession agreement. The activities of the Committee should be guided by and in line with OTIF's work programme.</w:t>
      </w:r>
    </w:p>
    <w:p>
      <w:pPr>
        <w:rPr>
          <w:noProof/>
          <w:szCs w:val="24"/>
        </w:rPr>
      </w:pPr>
      <w:r>
        <w:rPr>
          <w:noProof/>
          <w:szCs w:val="24"/>
        </w:rPr>
        <w:t>The proposal from the OTIF Secretariat consists in a decision of the General Assembly authorising the Administrative Committee to be empowered to establish and dissolve consultative contact groups with other international organisations and associations, and to supervise the functioning of such groups. At this stage, the Union shares the objective, namely to allow for a degree of flexibility in the matters concerned. However, it cannot accept the proposal as such, since it amounts to conferring a new task upon the Administrative Committee, beyond those set out in Article 15 § 2 of the COTIF Convention, without formal amendment of the latter, operated in accordance with the applicable procedures.</w:t>
      </w:r>
    </w:p>
    <w:p>
      <w:pPr>
        <w:rPr>
          <w:noProof/>
          <w:szCs w:val="24"/>
        </w:rPr>
      </w:pPr>
      <w:r>
        <w:rPr>
          <w:noProof/>
          <w:szCs w:val="24"/>
        </w:rPr>
        <w:t xml:space="preserve">Since the Union shares the general objective, however, it suggests the General Assembly to establish temporarily an </w:t>
      </w:r>
      <w:r>
        <w:rPr>
          <w:i/>
          <w:noProof/>
          <w:szCs w:val="24"/>
        </w:rPr>
        <w:t>ad hoc</w:t>
      </w:r>
      <w:r>
        <w:rPr>
          <w:noProof/>
          <w:szCs w:val="24"/>
        </w:rPr>
        <w:t xml:space="preserve"> committee, in accordance with Article 13 § 2 of the Convention, with the task to establish and dissolve consultative contact groups with other international organisations and associations, and to supervise the functioning of such groups. In this respect, is important to bear in mind that such tasks have practical implications for the development of policies at OTIF level in all areas. It is thus necessary to guarantee that the Union is fully involved in these activities, in accordance with Article 5(1) of the Accession Agreement. </w:t>
      </w:r>
    </w:p>
    <w:p>
      <w:pPr>
        <w:rPr>
          <w:noProof/>
          <w:szCs w:val="24"/>
        </w:rPr>
      </w:pPr>
      <w:r>
        <w:rPr>
          <w:noProof/>
          <w:szCs w:val="24"/>
        </w:rPr>
        <w:t xml:space="preserve">A period of four years should be appropriate, so as to judge, prior to its expiration, whether the experience gained is satisfactory. In the affirmative, and following due preparation, an amendment of the Convention could be envisaged for a structural solution, in compliance with the guarantees for the Union established by Article 5(1) of the Accession Agreement. </w:t>
      </w:r>
    </w:p>
    <w:p>
      <w:pPr>
        <w:spacing w:before="240"/>
        <w:rPr>
          <w:b/>
          <w:noProof/>
          <w:szCs w:val="24"/>
          <w:lang w:eastAsia="zh-CN"/>
        </w:rPr>
      </w:pPr>
      <w:r>
        <w:rPr>
          <w:b/>
          <w:noProof/>
          <w:szCs w:val="24"/>
          <w:lang w:eastAsia="zh-CN"/>
        </w:rPr>
        <w:t>Agenda Item 9 – Budget framework</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Restricted distribution</w:t>
      </w:r>
    </w:p>
    <w:p>
      <w:pPr>
        <w:shd w:val="clear" w:color="auto" w:fill="F2F2F2" w:themeFill="background1" w:themeFillShade="F2"/>
        <w:spacing w:before="0" w:after="0" w:line="276" w:lineRule="auto"/>
        <w:rPr>
          <w:noProof/>
          <w:szCs w:val="24"/>
        </w:rPr>
      </w:pPr>
      <w:r>
        <w:rPr>
          <w:i/>
          <w:noProof/>
          <w:szCs w:val="24"/>
        </w:rPr>
        <w:t>Competence</w:t>
      </w:r>
      <w:r>
        <w:rPr>
          <w:noProof/>
          <w:szCs w:val="24"/>
        </w:rPr>
        <w:t>:  Member States</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 xml:space="preserve">Position: </w:t>
      </w:r>
      <w:r>
        <w:rPr>
          <w:noProof/>
          <w:szCs w:val="24"/>
        </w:rPr>
        <w:t>None</w:t>
      </w:r>
    </w:p>
    <w:p>
      <w:pPr>
        <w:rPr>
          <w:noProof/>
          <w:szCs w:val="24"/>
        </w:rPr>
      </w:pPr>
      <w:r>
        <w:rPr>
          <w:noProof/>
          <w:szCs w:val="24"/>
        </w:rPr>
        <w:t xml:space="preserve">Pursuant to Article 4 of the EU-OTIF Agreement, </w:t>
      </w:r>
      <w:r>
        <w:rPr>
          <w:i/>
          <w:noProof/>
          <w:szCs w:val="24"/>
        </w:rPr>
        <w:t>"The Union shall not contribute to the budget of OTIF and shall not take part in decisions concerning that budget."</w:t>
      </w:r>
    </w:p>
    <w:p>
      <w:pPr>
        <w:spacing w:before="240"/>
        <w:rPr>
          <w:b/>
          <w:noProof/>
          <w:szCs w:val="24"/>
          <w:lang w:eastAsia="zh-CN"/>
        </w:rPr>
      </w:pPr>
      <w:r>
        <w:rPr>
          <w:b/>
          <w:noProof/>
          <w:szCs w:val="24"/>
          <w:lang w:eastAsia="zh-CN"/>
        </w:rPr>
        <w:t>Agenda Item 10 – Partial revision of the base Convention: amendment of the procedure for revising COTIF</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SG-18035-AG 13/10</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 xml:space="preserve">Position: </w:t>
      </w:r>
      <w:r>
        <w:rPr>
          <w:noProof/>
          <w:szCs w:val="24"/>
        </w:rPr>
        <w:t>Support the amendment to Article 34 §§ 3 to 6 of the COTIF Convention and approve the modifications to the Explanatory Report.</w:t>
      </w:r>
    </w:p>
    <w:p>
      <w:pPr>
        <w:rPr>
          <w:noProof/>
          <w:szCs w:val="24"/>
        </w:rPr>
      </w:pPr>
      <w:r>
        <w:rPr>
          <w:noProof/>
          <w:szCs w:val="24"/>
        </w:rPr>
        <w:t>In line with the outcome of the discussion on this topic at the 26</w:t>
      </w:r>
      <w:r>
        <w:rPr>
          <w:noProof/>
          <w:szCs w:val="24"/>
          <w:vertAlign w:val="superscript"/>
        </w:rPr>
        <w:t>th</w:t>
      </w:r>
      <w:r>
        <w:rPr>
          <w:noProof/>
          <w:szCs w:val="24"/>
        </w:rPr>
        <w:t xml:space="preserve"> session of the Revision Committee, it is necessary and appropriate to support the proposed amendment to the COTIF Convention, in order to provide for a fixed time period (36 months) for the entry into force of amendments to the Appendices adopted by the General Assembly, including the clause of flexibility to extend such a deadline on a case-by-case basis, where so decided by the General Assembly by the majority provided for under Article 14 § 6 of COTIF Convention.</w:t>
      </w:r>
    </w:p>
    <w:p>
      <w:pPr>
        <w:rPr>
          <w:noProof/>
          <w:szCs w:val="24"/>
        </w:rPr>
      </w:pPr>
      <w:r>
        <w:rPr>
          <w:noProof/>
          <w:szCs w:val="24"/>
        </w:rPr>
        <w:t>The proposal aims at improving and facilitating the procedure for revising the COTIF Convention with a view to the consistent and rapid implementation of amendments to the Convention and its Appendices, and in order to prevent adverse effects of the current lengthy revision procedure, including the risk of internal misalignment between amendments adopted by the Revision Committee and those adopted by the General Assembly, as well as external misalignment, particularly with Union law.</w:t>
      </w:r>
    </w:p>
    <w:p>
      <w:pPr>
        <w:spacing w:before="240"/>
        <w:rPr>
          <w:b/>
          <w:noProof/>
          <w:szCs w:val="24"/>
          <w:lang w:eastAsia="zh-CN"/>
        </w:rPr>
      </w:pPr>
      <w:r>
        <w:rPr>
          <w:b/>
          <w:noProof/>
          <w:szCs w:val="24"/>
          <w:lang w:eastAsia="zh-CN"/>
        </w:rPr>
        <w:t>Agenda Item 11 – Partial revision of the CIM UR – Secretary General’s report</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SG-18036-AG 13/11</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 (in case a vote takes place)</w:t>
      </w:r>
    </w:p>
    <w:p>
      <w:pPr>
        <w:shd w:val="clear" w:color="auto" w:fill="F2F2F2" w:themeFill="background1" w:themeFillShade="F2"/>
        <w:rPr>
          <w:noProof/>
          <w:szCs w:val="24"/>
        </w:rPr>
      </w:pPr>
      <w:r>
        <w:rPr>
          <w:i/>
          <w:noProof/>
          <w:szCs w:val="24"/>
        </w:rPr>
        <w:t xml:space="preserve">Position: </w:t>
      </w:r>
      <w:r>
        <w:rPr>
          <w:noProof/>
          <w:szCs w:val="24"/>
        </w:rPr>
        <w:t>Take note of the Secretary General's report and instruct the Secretary General to submit to the 14</w:t>
      </w:r>
      <w:r>
        <w:rPr>
          <w:noProof/>
          <w:szCs w:val="24"/>
          <w:vertAlign w:val="superscript"/>
        </w:rPr>
        <w:t>th</w:t>
      </w:r>
      <w:r>
        <w:rPr>
          <w:noProof/>
          <w:szCs w:val="24"/>
        </w:rPr>
        <w:t xml:space="preserve"> General Assembly a report on the progress of work on customs issues and the digitalisation of freight transport documents and, if necessary, to submit proposals to amend the CIM UR.</w:t>
      </w:r>
    </w:p>
    <w:p>
      <w:pPr>
        <w:spacing w:before="240"/>
        <w:rPr>
          <w:b/>
          <w:noProof/>
          <w:szCs w:val="24"/>
          <w:lang w:eastAsia="zh-CN"/>
        </w:rPr>
      </w:pPr>
      <w:r>
        <w:rPr>
          <w:b/>
          <w:noProof/>
          <w:szCs w:val="24"/>
          <w:lang w:eastAsia="zh-CN"/>
        </w:rPr>
        <w:t>Agenda Item 12 – Partial revision of the CUI UR</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SG-18037-AG 13/12</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i/>
          <w:noProof/>
          <w:szCs w:val="24"/>
        </w:rPr>
      </w:pPr>
      <w:r>
        <w:rPr>
          <w:i/>
          <w:noProof/>
          <w:szCs w:val="24"/>
        </w:rPr>
        <w:t>Position:</w:t>
      </w:r>
    </w:p>
    <w:p>
      <w:pPr>
        <w:shd w:val="clear" w:color="auto" w:fill="F2F2F2" w:themeFill="background1" w:themeFillShade="F2"/>
        <w:rPr>
          <w:noProof/>
          <w:szCs w:val="24"/>
        </w:rPr>
      </w:pPr>
      <w:r>
        <w:rPr>
          <w:noProof/>
          <w:szCs w:val="24"/>
        </w:rPr>
        <w:t>Support the amendments to the Title and Articles 1, 3, 5 (§ 1), 5 bis (§§ 1 and 2), 7 (§ 2), 8, 9 (§1) and 10 (§3) of the CUI UR, and approve the modifications to the Explanatory Report.</w:t>
      </w:r>
    </w:p>
    <w:p>
      <w:pPr>
        <w:shd w:val="clear" w:color="auto" w:fill="F2F2F2" w:themeFill="background1" w:themeFillShade="F2"/>
        <w:rPr>
          <w:noProof/>
          <w:szCs w:val="24"/>
        </w:rPr>
      </w:pPr>
      <w:r>
        <w:rPr>
          <w:noProof/>
          <w:szCs w:val="24"/>
        </w:rPr>
        <w:t>Support, for the purpose of the modifications to the CUI UR, the amendments to Articles 2 (§ 1, letter a), No. 3) and 6 (§ 1, letter e)) of the COTIF Convention.</w:t>
      </w:r>
    </w:p>
    <w:p>
      <w:pPr>
        <w:rPr>
          <w:noProof/>
          <w:szCs w:val="24"/>
        </w:rPr>
      </w:pPr>
      <w:r>
        <w:rPr>
          <w:noProof/>
          <w:szCs w:val="24"/>
        </w:rPr>
        <w:t>In line with the amendments approved during the 26</w:t>
      </w:r>
      <w:r>
        <w:rPr>
          <w:noProof/>
          <w:szCs w:val="24"/>
          <w:vertAlign w:val="superscript"/>
        </w:rPr>
        <w:t>th</w:t>
      </w:r>
      <w:r>
        <w:rPr>
          <w:noProof/>
          <w:szCs w:val="24"/>
        </w:rPr>
        <w:t xml:space="preserve"> session of the Revision Committee in February 2018, the proposed modifications aim essentially at clarifying the scope of the CUI UR by introducing a definition in Article 3 of ‘international railway traffic’ to mean ‘traffic which requires the use of an international train path or several successive national train paths situated in at least two States and coordinated by the infrastructure managers concerned’, and by amending Article 1 (Scope) accordingly, while keeping the link with CIV and CIM UR. The objective is to ensure that the CUI UR are more systemically applied for their intended purpose, i.e. in international railway traffic.</w:t>
      </w:r>
    </w:p>
    <w:p>
      <w:pPr>
        <w:rPr>
          <w:noProof/>
          <w:szCs w:val="24"/>
        </w:rPr>
      </w:pPr>
      <w:r>
        <w:rPr>
          <w:noProof/>
          <w:szCs w:val="24"/>
        </w:rPr>
        <w:t>The draft amendments are consistent with the definitions and provisions of the Union acquis regarding the management of rail infrastructure and the coordination between infrastructure managers (e.g. Articles 40, 43 and 46 of Directive 2012/34/EU (recast)). As regards the draft amendment proposed to Article 8 (Liability of the manager), this is essentially editorial and does not affect the scope or substance of the provision. The draft amendments proposed to Article 9 as well as to Articles 3, 5, 5bis, 7 and 10 are strictly editorial.</w:t>
      </w:r>
    </w:p>
    <w:p>
      <w:pPr>
        <w:spacing w:before="240"/>
        <w:rPr>
          <w:b/>
          <w:noProof/>
          <w:szCs w:val="24"/>
          <w:lang w:eastAsia="zh-CN"/>
        </w:rPr>
      </w:pPr>
      <w:r>
        <w:rPr>
          <w:b/>
          <w:noProof/>
          <w:szCs w:val="24"/>
          <w:lang w:eastAsia="zh-CN"/>
        </w:rPr>
        <w:t>Agenda Item 13 – Partial revision of the ATMF UR</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SG-18038-AG 13/13</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noProof/>
          <w:szCs w:val="24"/>
        </w:rPr>
      </w:pPr>
      <w:r>
        <w:rPr>
          <w:i/>
          <w:noProof/>
          <w:szCs w:val="24"/>
        </w:rPr>
        <w:t xml:space="preserve">Position: </w:t>
      </w:r>
      <w:r>
        <w:rPr>
          <w:noProof/>
          <w:szCs w:val="24"/>
        </w:rPr>
        <w:t>Support the partial revision of the ATMF UR as proposed by the OTIF Secretariat.</w:t>
      </w:r>
    </w:p>
    <w:p>
      <w:pPr>
        <w:rPr>
          <w:noProof/>
          <w:szCs w:val="24"/>
        </w:rPr>
      </w:pPr>
      <w:r>
        <w:rPr>
          <w:noProof/>
          <w:szCs w:val="24"/>
        </w:rPr>
        <w:t>A partial revision of the ATMF UR was adopted at the 26</w:t>
      </w:r>
      <w:r>
        <w:rPr>
          <w:noProof/>
          <w:szCs w:val="24"/>
          <w:vertAlign w:val="superscript"/>
        </w:rPr>
        <w:t>th</w:t>
      </w:r>
      <w:r>
        <w:rPr>
          <w:noProof/>
          <w:szCs w:val="24"/>
        </w:rPr>
        <w:t xml:space="preserve"> session of the Revision Committee for the reasons described in the following paragraph. This revision however also implied some minor changes of editorial or linguistic nature to Articles 1, 3 and 9 of ATMF UR, which are outside the competence of the Revision Committee. They should thus be adopted by the General Assembly.</w:t>
      </w:r>
    </w:p>
    <w:p>
      <w:pPr>
        <w:rPr>
          <w:noProof/>
          <w:szCs w:val="24"/>
        </w:rPr>
      </w:pPr>
      <w:r>
        <w:rPr>
          <w:noProof/>
          <w:szCs w:val="24"/>
        </w:rPr>
        <w:t xml:space="preserve">The provisions of the ATMF UR are compatible with the provisions of the European Union's Interoperability Directive 2008/57/EC and with part of the Safety Directive 2009/49/EC. With the adoption of the fourth railway package, the Union changed several provisions of this acquis. On the basis of an analysis by the Commission, the OTIF Secretariat and the relevant working group prepared modifications concerning Articles 2, 3a, 5, 6, 7, 10, 10b, 11 and 13 of the ATMF UR. These modifications are necessary in order to harmonise some terminology with the new EU provisions and to take into account some procedural changes in the EU, in particular the fact that the EU Agency for Railways will be competent to issue vehicle authorisations. The basic concept of ATMF is not affected by the proposed changes. </w:t>
      </w:r>
    </w:p>
    <w:p>
      <w:pPr>
        <w:spacing w:before="240"/>
        <w:rPr>
          <w:b/>
          <w:noProof/>
          <w:szCs w:val="24"/>
          <w:lang w:eastAsia="zh-CN"/>
        </w:rPr>
      </w:pPr>
      <w:r>
        <w:rPr>
          <w:b/>
          <w:noProof/>
          <w:szCs w:val="24"/>
          <w:lang w:eastAsia="zh-CN"/>
        </w:rPr>
        <w:t>Agenda Item 14 – New Appendix H regarding the safe operation of trains in international traffic</w:t>
      </w:r>
    </w:p>
    <w:p>
      <w:pPr>
        <w:shd w:val="clear" w:color="auto" w:fill="F2F2F2" w:themeFill="background1" w:themeFillShade="F2"/>
        <w:spacing w:before="0" w:after="0" w:line="276" w:lineRule="auto"/>
        <w:rPr>
          <w:noProof/>
          <w:szCs w:val="24"/>
          <w:lang w:val="de-DE"/>
        </w:rPr>
      </w:pPr>
      <w:r>
        <w:rPr>
          <w:i/>
          <w:noProof/>
          <w:szCs w:val="24"/>
          <w:lang w:val="de-DE"/>
        </w:rPr>
        <w:t>Document(s):</w:t>
      </w:r>
      <w:r>
        <w:rPr>
          <w:noProof/>
          <w:szCs w:val="24"/>
          <w:lang w:val="de-DE"/>
        </w:rPr>
        <w:t xml:space="preserve"> SG-18039-AG 13/14.1; SG-18040-AG 13/14.2</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noProof/>
          <w:szCs w:val="24"/>
        </w:rPr>
      </w:pPr>
      <w:r>
        <w:rPr>
          <w:i/>
          <w:noProof/>
          <w:szCs w:val="24"/>
        </w:rPr>
        <w:t>Position:</w:t>
      </w:r>
    </w:p>
    <w:p>
      <w:pPr>
        <w:shd w:val="clear" w:color="auto" w:fill="F2F2F2" w:themeFill="background1" w:themeFillShade="F2"/>
        <w:rPr>
          <w:noProof/>
          <w:szCs w:val="24"/>
        </w:rPr>
      </w:pPr>
      <w:r>
        <w:rPr>
          <w:noProof/>
          <w:szCs w:val="24"/>
        </w:rPr>
        <w:t>Support (SG-18039-AG 13/14.1) the inclusion of a new Appendix H to the COTIF Convention regarding the safe operation of trains in international traffic and approve the modifications to the Explanatory Report.</w:t>
      </w:r>
    </w:p>
    <w:p>
      <w:pPr>
        <w:shd w:val="clear" w:color="auto" w:fill="F2F2F2" w:themeFill="background1" w:themeFillShade="F2"/>
        <w:rPr>
          <w:i/>
          <w:noProof/>
          <w:szCs w:val="24"/>
        </w:rPr>
      </w:pPr>
      <w:r>
        <w:rPr>
          <w:noProof/>
          <w:szCs w:val="24"/>
        </w:rPr>
        <w:t>Support (SG-18040-AG 13/14.2), for the purpose of the inclusion of a new Appendix H, the modifications to Articles 2 (§ 1), 6 (§ 1), 20 (§§ 1 and 2), 33 (§§ 4 and 6) and 35 (§§4 and 6) of the COTIF Convention and approve the modifications to the Explanatory Report.</w:t>
      </w:r>
    </w:p>
    <w:p>
      <w:pPr>
        <w:rPr>
          <w:noProof/>
          <w:szCs w:val="24"/>
        </w:rPr>
      </w:pPr>
      <w:r>
        <w:rPr>
          <w:noProof/>
          <w:szCs w:val="24"/>
        </w:rPr>
        <w:t>The draft new Appendix H sets out provisions to regulate the safe operation of trains in international traffic with the objective to harmonise the COTIF Convention with the Union's acquis and support interoperability beyond the European Union. The proposed text is in line with the provisions of the new safety Directive (EU) 2016/798 and the related secondary legislation. As indicated, it is also necessary to modify certain provisions of the COTIF Convention for the purpose of the inclusion of this new Appendix H.</w:t>
      </w:r>
    </w:p>
    <w:p>
      <w:pPr>
        <w:rPr>
          <w:noProof/>
          <w:szCs w:val="24"/>
        </w:rPr>
      </w:pPr>
      <w:r>
        <w:rPr>
          <w:noProof/>
          <w:szCs w:val="24"/>
        </w:rPr>
        <w:t>The proposed texts are submitted to the General Assembly pursuant to a decision of the 26</w:t>
      </w:r>
      <w:r>
        <w:rPr>
          <w:noProof/>
          <w:szCs w:val="24"/>
          <w:vertAlign w:val="superscript"/>
        </w:rPr>
        <w:t>th</w:t>
      </w:r>
      <w:r>
        <w:rPr>
          <w:noProof/>
          <w:szCs w:val="24"/>
        </w:rPr>
        <w:t xml:space="preserve"> session of the Revision Committee and are fully in line with the Union position that was defined ahead of the Revision Committee.</w:t>
      </w:r>
    </w:p>
    <w:p>
      <w:pPr>
        <w:spacing w:before="240"/>
        <w:rPr>
          <w:b/>
          <w:noProof/>
          <w:szCs w:val="24"/>
          <w:lang w:eastAsia="zh-CN"/>
        </w:rPr>
      </w:pPr>
      <w:r>
        <w:rPr>
          <w:b/>
          <w:noProof/>
          <w:szCs w:val="24"/>
          <w:lang w:eastAsia="zh-CN"/>
        </w:rPr>
        <w:t>Agenda Item 15 – General discussion regarding the need to harmonise access conditions</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SG-18041-AG 13/15</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noProof/>
          <w:szCs w:val="24"/>
        </w:rPr>
      </w:pPr>
      <w:r>
        <w:rPr>
          <w:i/>
          <w:noProof/>
          <w:szCs w:val="24"/>
        </w:rPr>
        <w:t>Position:</w:t>
      </w:r>
      <w:r>
        <w:rPr>
          <w:noProof/>
          <w:szCs w:val="24"/>
        </w:rPr>
        <w:t xml:space="preserve"> Support the proposal from the OTIF Secretariat to mandate the Secretary General to continue the work on the development of a non-binding legal framework on international railway network access conditions, in accordance with the guidelines set out section VI of document SG-18041-AG 13/15, within the framework of the working group of legal experts and in cooperation with competent international organisations and associations.</w:t>
      </w:r>
    </w:p>
    <w:p>
      <w:pPr>
        <w:rPr>
          <w:noProof/>
          <w:szCs w:val="24"/>
        </w:rPr>
      </w:pPr>
      <w:r>
        <w:rPr>
          <w:noProof/>
          <w:szCs w:val="24"/>
        </w:rPr>
        <w:t>The subject matter – railway network access conditions – is regulated at EU level by Directive 2012/34/EC (recast) of the European Parliament and of the Council of 21 November 2012 establishing a single European railway area. In line with the discussion that took place on this topic during the 26</w:t>
      </w:r>
      <w:r>
        <w:rPr>
          <w:noProof/>
          <w:szCs w:val="24"/>
          <w:vertAlign w:val="superscript"/>
        </w:rPr>
        <w:t>th</w:t>
      </w:r>
      <w:r>
        <w:rPr>
          <w:noProof/>
          <w:szCs w:val="24"/>
        </w:rPr>
        <w:t xml:space="preserve"> session of the Revision Committee in February 2018, it is appropriate to continue supporting the initiative on the development by OTIF of a non-binding legal framework on railway network access conditions, as a means to facilitate and improve international railway traffic beyond the EU.</w:t>
      </w:r>
    </w:p>
    <w:p>
      <w:pPr>
        <w:spacing w:before="240"/>
        <w:rPr>
          <w:b/>
          <w:noProof/>
          <w:szCs w:val="24"/>
          <w:lang w:eastAsia="zh-CN"/>
        </w:rPr>
      </w:pPr>
      <w:r>
        <w:rPr>
          <w:b/>
          <w:noProof/>
          <w:szCs w:val="24"/>
          <w:lang w:eastAsia="zh-CN"/>
        </w:rPr>
        <w:t>Agenda Item 16 – Unified Railway Law – Secretary General’s report</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SG-18042-AG 13/16</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Position:</w:t>
      </w:r>
    </w:p>
    <w:p>
      <w:pPr>
        <w:shd w:val="clear" w:color="auto" w:fill="F2F2F2" w:themeFill="background1" w:themeFillShade="F2"/>
        <w:rPr>
          <w:noProof/>
          <w:szCs w:val="24"/>
        </w:rPr>
      </w:pPr>
      <w:r>
        <w:rPr>
          <w:noProof/>
          <w:szCs w:val="24"/>
        </w:rPr>
        <w:t>Take note of the Secretary General's report and instruct the Secretary General to continue cooperation with UNECE on the Unified Railway Law initiative.</w:t>
      </w:r>
    </w:p>
    <w:p>
      <w:pPr>
        <w:shd w:val="clear" w:color="auto" w:fill="F2F2F2" w:themeFill="background1" w:themeFillShade="F2"/>
        <w:rPr>
          <w:noProof/>
          <w:szCs w:val="24"/>
        </w:rPr>
      </w:pPr>
      <w:r>
        <w:rPr>
          <w:noProof/>
          <w:szCs w:val="24"/>
        </w:rPr>
        <w:t>Mandate the Administrative Committee to follow up the UNECE initiative on Unified Railway Law and issue its advisory opinion on general policy issues, where feasible, and mandate the Working Group of Legal experts to follow up the UNECE initiative on Unified Railway Law and issue its advisory opinion on legal matters, where feasible.</w:t>
      </w:r>
    </w:p>
    <w:p>
      <w:pPr>
        <w:shd w:val="clear" w:color="auto" w:fill="F2F2F2" w:themeFill="background1" w:themeFillShade="F2"/>
        <w:rPr>
          <w:i/>
          <w:noProof/>
          <w:szCs w:val="24"/>
        </w:rPr>
      </w:pPr>
      <w:r>
        <w:rPr>
          <w:noProof/>
          <w:szCs w:val="24"/>
        </w:rPr>
        <w:t>Instruct the Secretary General and the Working Group of Legal Experts, in consultation with the Administrative Committee, to consider and propose solutions for appropriate OTIF involvement in the management of binding legal instruments which could take over the Draft Legal Regime on the contract of carriage of goods as developed within the framework of the UNECE initiative on Unified Railway Law, and instruct the Secretary General to submit a report to the 14</w:t>
      </w:r>
      <w:r>
        <w:rPr>
          <w:noProof/>
          <w:szCs w:val="24"/>
          <w:vertAlign w:val="superscript"/>
        </w:rPr>
        <w:t>th</w:t>
      </w:r>
      <w:r>
        <w:rPr>
          <w:noProof/>
          <w:szCs w:val="24"/>
        </w:rPr>
        <w:t xml:space="preserve"> General Assembly.</w:t>
      </w:r>
    </w:p>
    <w:p>
      <w:pPr>
        <w:rPr>
          <w:noProof/>
          <w:szCs w:val="24"/>
        </w:rPr>
      </w:pPr>
      <w:r>
        <w:rPr>
          <w:noProof/>
          <w:szCs w:val="24"/>
        </w:rPr>
        <w:t>While a single international legal regime may provide benefits for rail transport across the Eurasian continent in comparison to the two legal systems that exist at present, such a single regime could be developed only with the clear commitment and participation of OSJD and OTIF and their members – otherwise a third international legal regime will be developed and international railway regulation will be further fragmented. Consequently, a prior political decision by the existing organisations to coordinate this aim is necessary before any comprehensive legal system can be put in place. It is therefore necessary and appropriate to ensure that OTIF continues to be involved in this process, notably through the activities of its Administrative Committee and its Working Group of Legal Experts, and reports on the progress of the work at UNECE at the next meeting of the General Assembly.</w:t>
      </w:r>
    </w:p>
    <w:p>
      <w:pPr>
        <w:spacing w:before="240"/>
        <w:rPr>
          <w:b/>
          <w:noProof/>
          <w:szCs w:val="24"/>
          <w:lang w:eastAsia="zh-CN"/>
        </w:rPr>
      </w:pPr>
      <w:r>
        <w:rPr>
          <w:b/>
          <w:noProof/>
          <w:szCs w:val="24"/>
          <w:lang w:eastAsia="zh-CN"/>
        </w:rPr>
        <w:t>Agenda Item 17 – Working group of legal experts</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SG-18046-AG 13/17</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i/>
          <w:noProof/>
          <w:szCs w:val="24"/>
        </w:rPr>
      </w:pPr>
      <w:r>
        <w:rPr>
          <w:i/>
          <w:noProof/>
          <w:szCs w:val="24"/>
        </w:rPr>
        <w:t>Position:</w:t>
      </w:r>
    </w:p>
    <w:p>
      <w:pPr>
        <w:shd w:val="clear" w:color="auto" w:fill="F2F2F2" w:themeFill="background1" w:themeFillShade="F2"/>
        <w:rPr>
          <w:noProof/>
          <w:szCs w:val="24"/>
        </w:rPr>
      </w:pPr>
      <w:r>
        <w:rPr>
          <w:noProof/>
          <w:szCs w:val="24"/>
        </w:rPr>
        <w:t>Endorse the setting up of an advisory working group of legal experts to: prepare draft amendments or supplements to the Convention; provide legal advice and assistance, promote and facilitate the functioning and implementation of the COTIF Convention, monitor and assess the application and implementation of the COTIF Convention, act as a forum for OTIF's members to raise and discuss relevant legal issues.</w:t>
      </w:r>
    </w:p>
    <w:p>
      <w:pPr>
        <w:shd w:val="clear" w:color="auto" w:fill="F2F2F2" w:themeFill="background1" w:themeFillShade="F2"/>
        <w:rPr>
          <w:noProof/>
          <w:szCs w:val="24"/>
        </w:rPr>
      </w:pPr>
      <w:r>
        <w:rPr>
          <w:noProof/>
          <w:szCs w:val="24"/>
        </w:rPr>
        <w:t>Mandate the Secretary General to submit conclusions and proposals made by the working group to the competent organs of OTIF for consideration and/or decision.</w:t>
      </w:r>
    </w:p>
    <w:p>
      <w:pPr>
        <w:shd w:val="clear" w:color="auto" w:fill="F2F2F2" w:themeFill="background1" w:themeFillShade="F2"/>
        <w:rPr>
          <w:i/>
          <w:noProof/>
          <w:szCs w:val="24"/>
        </w:rPr>
      </w:pPr>
      <w:r>
        <w:rPr>
          <w:noProof/>
          <w:szCs w:val="24"/>
        </w:rPr>
        <w:t>Instruct the Secretary General to submit a report on the working group's activities at the 14</w:t>
      </w:r>
      <w:r>
        <w:rPr>
          <w:noProof/>
          <w:szCs w:val="24"/>
          <w:vertAlign w:val="superscript"/>
        </w:rPr>
        <w:t>th</w:t>
      </w:r>
      <w:r>
        <w:rPr>
          <w:noProof/>
          <w:szCs w:val="24"/>
        </w:rPr>
        <w:t xml:space="preserve"> meeting of the General Assembly.</w:t>
      </w:r>
    </w:p>
    <w:p>
      <w:pPr>
        <w:rPr>
          <w:noProof/>
          <w:szCs w:val="24"/>
        </w:rPr>
      </w:pPr>
      <w:r>
        <w:rPr>
          <w:noProof/>
          <w:szCs w:val="24"/>
        </w:rPr>
        <w:t>In line with the outcome of the discussion on this topic at the 26</w:t>
      </w:r>
      <w:r>
        <w:rPr>
          <w:noProof/>
          <w:szCs w:val="24"/>
          <w:vertAlign w:val="superscript"/>
        </w:rPr>
        <w:t>th</w:t>
      </w:r>
      <w:r>
        <w:rPr>
          <w:noProof/>
          <w:szCs w:val="24"/>
        </w:rPr>
        <w:t xml:space="preserve"> session of the Revision Committee in February 2018, it is appropriate to endorse the creation of a standing group of legal experts within OTIF to assist and facilitate the functioning of the existing organs in the legal field and to ensure the effective management of the COTIF Convention.</w:t>
      </w:r>
    </w:p>
    <w:p>
      <w:pPr>
        <w:spacing w:before="240"/>
        <w:rPr>
          <w:b/>
          <w:noProof/>
          <w:szCs w:val="24"/>
          <w:lang w:eastAsia="zh-CN"/>
        </w:rPr>
      </w:pPr>
      <w:r>
        <w:rPr>
          <w:b/>
          <w:noProof/>
          <w:szCs w:val="24"/>
          <w:lang w:eastAsia="zh-CN"/>
        </w:rPr>
        <w:t>Agenda Item 18 – Report on the activities of the Administrative Committee in the period between 1 October 2015 and 30 September 2018</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Restricted distribution</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i/>
          <w:noProof/>
          <w:szCs w:val="24"/>
        </w:rPr>
      </w:pPr>
      <w:r>
        <w:rPr>
          <w:i/>
          <w:noProof/>
          <w:szCs w:val="24"/>
        </w:rPr>
        <w:t>Position:</w:t>
      </w:r>
      <w:r>
        <w:rPr>
          <w:noProof/>
          <w:szCs w:val="24"/>
        </w:rPr>
        <w:t xml:space="preserve"> None</w:t>
      </w:r>
    </w:p>
    <w:p>
      <w:pPr>
        <w:spacing w:before="240"/>
        <w:rPr>
          <w:b/>
          <w:noProof/>
          <w:szCs w:val="24"/>
          <w:lang w:eastAsia="zh-CN"/>
        </w:rPr>
      </w:pPr>
      <w:r>
        <w:rPr>
          <w:b/>
          <w:noProof/>
          <w:szCs w:val="24"/>
          <w:lang w:eastAsia="zh-CN"/>
        </w:rPr>
        <w:t>Agenda Item 19 – Election of the Administrative Committee for the period between 1 October 2018 and 30 September 2021 (composition and chair)</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Restricted distribution</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Member States</w:t>
      </w:r>
    </w:p>
    <w:p>
      <w:pPr>
        <w:shd w:val="clear" w:color="auto" w:fill="F2F2F2" w:themeFill="background1" w:themeFillShade="F2"/>
        <w:rPr>
          <w:noProof/>
          <w:szCs w:val="24"/>
        </w:rPr>
      </w:pPr>
      <w:r>
        <w:rPr>
          <w:i/>
          <w:noProof/>
          <w:szCs w:val="24"/>
        </w:rPr>
        <w:t>Position:</w:t>
      </w:r>
      <w:r>
        <w:rPr>
          <w:noProof/>
          <w:szCs w:val="24"/>
        </w:rPr>
        <w:t xml:space="preserve"> None</w:t>
      </w:r>
    </w:p>
    <w:p>
      <w:pPr>
        <w:spacing w:before="240" w:after="240"/>
        <w:rPr>
          <w:b/>
          <w:noProof/>
          <w:szCs w:val="24"/>
          <w:lang w:eastAsia="zh-CN"/>
        </w:rPr>
      </w:pPr>
      <w:r>
        <w:rPr>
          <w:b/>
          <w:noProof/>
          <w:szCs w:val="24"/>
          <w:lang w:eastAsia="zh-CN"/>
        </w:rPr>
        <w:t>Agenda Item 20 – Provisional date of the 14th General Assembly</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None</w:t>
      </w:r>
    </w:p>
    <w:p>
      <w:pPr>
        <w:shd w:val="clear" w:color="auto" w:fill="F2F2F2" w:themeFill="background1" w:themeFillShade="F2"/>
        <w:spacing w:before="0" w:after="0" w:line="276" w:lineRule="auto"/>
        <w:rPr>
          <w:noProof/>
          <w:szCs w:val="24"/>
        </w:rPr>
      </w:pPr>
      <w:r>
        <w:rPr>
          <w:i/>
          <w:noProof/>
          <w:szCs w:val="24"/>
        </w:rPr>
        <w:t>Competence</w:t>
      </w:r>
      <w:r>
        <w:rPr>
          <w:noProof/>
          <w:szCs w:val="24"/>
        </w:rPr>
        <w:t>:  not applicable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not applicable</w:t>
      </w:r>
    </w:p>
    <w:p>
      <w:pPr>
        <w:shd w:val="clear" w:color="auto" w:fill="F2F2F2" w:themeFill="background1" w:themeFillShade="F2"/>
        <w:rPr>
          <w:noProof/>
          <w:szCs w:val="24"/>
        </w:rPr>
      </w:pPr>
      <w:r>
        <w:rPr>
          <w:i/>
          <w:noProof/>
          <w:szCs w:val="24"/>
        </w:rPr>
        <w:t>Position:</w:t>
      </w:r>
      <w:r>
        <w:rPr>
          <w:noProof/>
          <w:szCs w:val="24"/>
        </w:rPr>
        <w:t xml:space="preserve"> None</w:t>
      </w:r>
    </w:p>
    <w:p>
      <w:pPr>
        <w:spacing w:before="240" w:after="240"/>
        <w:rPr>
          <w:b/>
          <w:noProof/>
          <w:szCs w:val="24"/>
          <w:lang w:eastAsia="zh-CN"/>
        </w:rPr>
      </w:pPr>
      <w:r>
        <w:rPr>
          <w:b/>
          <w:noProof/>
          <w:szCs w:val="24"/>
          <w:lang w:eastAsia="zh-CN"/>
        </w:rPr>
        <w:t>Agenda Item 21 – Any other business</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Not available</w:t>
      </w:r>
    </w:p>
    <w:p>
      <w:pPr>
        <w:shd w:val="clear" w:color="auto" w:fill="F2F2F2" w:themeFill="background1" w:themeFillShade="F2"/>
        <w:spacing w:before="0" w:after="0" w:line="276" w:lineRule="auto"/>
        <w:rPr>
          <w:noProof/>
          <w:szCs w:val="24"/>
        </w:rPr>
      </w:pPr>
      <w:r>
        <w:rPr>
          <w:i/>
          <w:noProof/>
          <w:szCs w:val="24"/>
        </w:rPr>
        <w:t>Competence</w:t>
      </w:r>
      <w:r>
        <w:rPr>
          <w:noProof/>
          <w:szCs w:val="24"/>
        </w:rPr>
        <w:t>:  Not applicable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Not applicable</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after="240"/>
        <w:rPr>
          <w:b/>
          <w:noProof/>
          <w:szCs w:val="24"/>
          <w:lang w:eastAsia="zh-CN"/>
        </w:rPr>
      </w:pPr>
      <w:r>
        <w:rPr>
          <w:b/>
          <w:noProof/>
          <w:szCs w:val="24"/>
          <w:lang w:eastAsia="zh-CN"/>
        </w:rPr>
        <w:t>Agenda Item 22 – Any General Assembly mandates</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To be completed</w:t>
      </w:r>
    </w:p>
    <w:p>
      <w:pPr>
        <w:shd w:val="clear" w:color="auto" w:fill="F2F2F2" w:themeFill="background1" w:themeFillShade="F2"/>
        <w:spacing w:before="0" w:after="0" w:line="276" w:lineRule="auto"/>
        <w:rPr>
          <w:noProof/>
          <w:szCs w:val="24"/>
        </w:rPr>
      </w:pPr>
      <w:r>
        <w:rPr>
          <w:i/>
          <w:noProof/>
          <w:szCs w:val="24"/>
        </w:rPr>
        <w:t>Competence</w:t>
      </w:r>
      <w:r>
        <w:rPr>
          <w:noProof/>
          <w:szCs w:val="24"/>
        </w:rPr>
        <w:t>:  To be completed</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To be completed</w:t>
      </w:r>
    </w:p>
    <w:p>
      <w:pPr>
        <w:shd w:val="clear" w:color="auto" w:fill="F2F2F2" w:themeFill="background1" w:themeFillShade="F2"/>
        <w:rPr>
          <w:noProof/>
          <w:szCs w:val="24"/>
        </w:rPr>
      </w:pPr>
      <w:r>
        <w:rPr>
          <w:i/>
          <w:noProof/>
          <w:szCs w:val="24"/>
        </w:rPr>
        <w:t>Position:</w:t>
      </w:r>
      <w:r>
        <w:rPr>
          <w:noProof/>
          <w:szCs w:val="24"/>
        </w:rPr>
        <w:t xml:space="preserve"> To be completed.</w:t>
      </w:r>
    </w:p>
    <w:p>
      <w:pPr>
        <w:spacing w:before="240" w:after="240"/>
        <w:rPr>
          <w:b/>
          <w:noProof/>
          <w:szCs w:val="24"/>
          <w:lang w:eastAsia="zh-CN"/>
        </w:rPr>
      </w:pPr>
      <w:r>
        <w:rPr>
          <w:b/>
          <w:noProof/>
          <w:szCs w:val="24"/>
          <w:lang w:eastAsia="zh-CN"/>
        </w:rPr>
        <w:t>Agenda Item 23 – Committee reports, if necessary</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Not available</w:t>
      </w:r>
    </w:p>
    <w:p>
      <w:pPr>
        <w:shd w:val="clear" w:color="auto" w:fill="F2F2F2" w:themeFill="background1" w:themeFillShade="F2"/>
        <w:spacing w:before="0" w:after="0" w:line="276" w:lineRule="auto"/>
        <w:rPr>
          <w:noProof/>
          <w:szCs w:val="24"/>
        </w:rPr>
      </w:pPr>
      <w:r>
        <w:rPr>
          <w:i/>
          <w:noProof/>
          <w:szCs w:val="24"/>
        </w:rPr>
        <w:t>Competence</w:t>
      </w:r>
      <w:r>
        <w:rPr>
          <w:noProof/>
          <w:szCs w:val="24"/>
        </w:rPr>
        <w:t>:  Not applicable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Not applicable</w:t>
      </w:r>
    </w:p>
    <w:p>
      <w:pPr>
        <w:shd w:val="clear" w:color="auto" w:fill="F2F2F2" w:themeFill="background1" w:themeFillShade="F2"/>
        <w:rPr>
          <w:noProof/>
          <w:szCs w:val="24"/>
        </w:rPr>
      </w:pPr>
      <w:r>
        <w:rPr>
          <w:i/>
          <w:noProof/>
          <w:szCs w:val="24"/>
        </w:rPr>
        <w:t xml:space="preserve">Position: </w:t>
      </w:r>
      <w:r>
        <w:rPr>
          <w:noProof/>
          <w:szCs w:val="24"/>
        </w:rPr>
        <w:t>None</w:t>
      </w:r>
    </w:p>
    <w:p>
      <w:pPr>
        <w:spacing w:before="240" w:after="240"/>
        <w:rPr>
          <w:b/>
          <w:noProof/>
          <w:szCs w:val="24"/>
          <w:lang w:eastAsia="zh-CN"/>
        </w:rPr>
      </w:pPr>
      <w:r>
        <w:rPr>
          <w:b/>
          <w:noProof/>
          <w:szCs w:val="24"/>
          <w:lang w:eastAsia="zh-CN"/>
        </w:rPr>
        <w:t>Agenda Item 24 – Adoption of decisions, mandates, recommendations and other General Assembly documents (final document)</w:t>
      </w:r>
    </w:p>
    <w:p>
      <w:pPr>
        <w:shd w:val="clear" w:color="auto" w:fill="F2F2F2" w:themeFill="background1" w:themeFillShade="F2"/>
        <w:spacing w:before="0" w:after="0" w:line="276" w:lineRule="auto"/>
        <w:rPr>
          <w:noProof/>
          <w:szCs w:val="24"/>
        </w:rPr>
      </w:pPr>
      <w:r>
        <w:rPr>
          <w:i/>
          <w:noProof/>
          <w:szCs w:val="24"/>
        </w:rPr>
        <w:t>Document(s):</w:t>
      </w:r>
      <w:r>
        <w:rPr>
          <w:noProof/>
          <w:szCs w:val="24"/>
        </w:rPr>
        <w:t xml:space="preserve"> Not available</w:t>
      </w:r>
    </w:p>
    <w:p>
      <w:pPr>
        <w:shd w:val="clear" w:color="auto" w:fill="F2F2F2" w:themeFill="background1" w:themeFillShade="F2"/>
        <w:spacing w:before="0" w:after="0" w:line="276" w:lineRule="auto"/>
        <w:rPr>
          <w:noProof/>
          <w:szCs w:val="24"/>
        </w:rPr>
      </w:pPr>
      <w:r>
        <w:rPr>
          <w:i/>
          <w:noProof/>
          <w:szCs w:val="24"/>
        </w:rPr>
        <w:t>Competence</w:t>
      </w:r>
      <w:r>
        <w:rPr>
          <w:noProof/>
          <w:szCs w:val="24"/>
        </w:rPr>
        <w:t>:  Union (shared and exclusive)</w:t>
      </w:r>
    </w:p>
    <w:p>
      <w:pPr>
        <w:shd w:val="clear" w:color="auto" w:fill="F2F2F2" w:themeFill="background1" w:themeFillShade="F2"/>
        <w:spacing w:before="0" w:after="0" w:line="276" w:lineRule="auto"/>
        <w:rPr>
          <w:noProof/>
          <w:szCs w:val="24"/>
        </w:rPr>
      </w:pPr>
      <w:r>
        <w:rPr>
          <w:i/>
          <w:noProof/>
          <w:szCs w:val="24"/>
        </w:rPr>
        <w:t>Exercise of voting rights</w:t>
      </w:r>
      <w:r>
        <w:rPr>
          <w:noProof/>
          <w:szCs w:val="24"/>
        </w:rPr>
        <w:t>: Union</w:t>
      </w:r>
    </w:p>
    <w:p>
      <w:pPr>
        <w:shd w:val="clear" w:color="auto" w:fill="F2F2F2" w:themeFill="background1" w:themeFillShade="F2"/>
        <w:rPr>
          <w:noProof/>
          <w:szCs w:val="24"/>
        </w:rPr>
      </w:pPr>
      <w:r>
        <w:rPr>
          <w:i/>
          <w:noProof/>
          <w:szCs w:val="24"/>
        </w:rPr>
        <w:t xml:space="preserve">Position: </w:t>
      </w:r>
      <w:r>
        <w:rPr>
          <w:noProof/>
          <w:szCs w:val="24"/>
        </w:rPr>
        <w:t>As specified under relevant agenda items.</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D82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2C9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129E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F016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3A0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06E4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28BA1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A8FD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15:01: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BE6BD57-6C57-4830-8B7B-C53E414B3EC1"/>
    <w:docVar w:name="LW_COVERPAGE_TYPE" w:val="1"/>
    <w:docVar w:name="LW_CROSSREFERENCE" w:val="&lt;UNUSED&gt;"/>
    <w:docVar w:name="LW_DocType" w:val="ANNEX"/>
    <w:docVar w:name="LW_EMISSION" w:val="27.7.2018"/>
    <w:docVar w:name="LW_EMISSION_ISODATE" w:val="2018-07-2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13th General Assembly of the Intergovernmental Organisation for International Carriage by Rail (OTIF) as regards certain amendments to the Convention concerning International Carriage by Rail (COTIF) and to its Appendices"/>
    <w:docVar w:name="LW_OBJETACTEPRINCIPAL.CP" w:val="on the position to be taken on behalf of the European Union at the 13th General Assembly of the Intergovernmental Organisation for International Carriage by Rail (OTIF) as regards certain amendments to the Convention concerning International Carriage by Rail (COTIF) and to its Appendices"/>
    <w:docVar w:name="LW_PART_NBR" w:val="1"/>
    <w:docVar w:name="LW_PART_NBR_TOTAL" w:val="1"/>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tranet.otif.org/en/?page_id=107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9</Pages>
  <Words>2794</Words>
  <Characters>15367</Characters>
  <Application>Microsoft Office Word</Application>
  <DocSecurity>0</DocSecurity>
  <Lines>289</Lines>
  <Paragraphs>179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 Laurent (MOVE)</dc:creator>
  <cp:lastModifiedBy>DIGIT/A3</cp:lastModifiedBy>
  <cp:revision>7</cp:revision>
  <dcterms:created xsi:type="dcterms:W3CDTF">2018-07-03T07:33:00Z</dcterms:created>
  <dcterms:modified xsi:type="dcterms:W3CDTF">2018-07-20T13:01:00Z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