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70DCBF3-1752-43CF-AF60-C4F18B357381" style="width:450.75pt;height:395.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Style w:val="Text1"/>
        <w:ind w:left="0"/>
        <w:rPr>
          <w:noProof/>
        </w:rPr>
      </w:pPr>
      <w:r>
        <w:rPr>
          <w:noProof/>
        </w:rPr>
        <w:t>На 29 март 2017 г. Обединеното кралство внесе нотификация за намерението си да се оттегли от Съюза по силата на член 50 от Договора за Европейския съюз. Това означава, че ако не бъде определена друга дата посредством ратифицирано споразумение за оттегляне, цялото първично и вторично законодателство на Съюза ще престане да се прилага в Обединеното кралство от 30 март 2019 г. („датата на оттегляне“). Тогава Обединеното кралство ще се превърне в трета държава.</w:t>
      </w:r>
    </w:p>
    <w:p>
      <w:pPr>
        <w:pStyle w:val="Text1"/>
        <w:ind w:left="0"/>
        <w:rPr>
          <w:noProof/>
        </w:rPr>
      </w:pPr>
      <w:r>
        <w:rPr>
          <w:noProof/>
        </w:rPr>
        <w:t xml:space="preserve">При спазване на преходните разпоредби, които може да се съдържат в споразумението за оттегляне, законодателството на ЕС относно морския транспорт повече няма да се прилага в Обединеното кралство. Една от областите на правото на Съюза, които биха били засегнати, е признаването на равнище Съюз на организации, предоставящи услуги за проверка и преглед на кораби, плаващи под знамето на държавите членки („признати организации“). </w:t>
      </w:r>
    </w:p>
    <w:p>
      <w:pPr>
        <w:pStyle w:val="Text1"/>
        <w:ind w:left="0"/>
        <w:rPr>
          <w:noProof/>
        </w:rPr>
      </w:pPr>
      <w:r>
        <w:rPr>
          <w:noProof/>
        </w:rPr>
        <w:t>По-специално, в член 8, параграф 1 от Регламент (ЕО) № 391/2009</w:t>
      </w:r>
      <w:r>
        <w:rPr>
          <w:rStyle w:val="FootnoteReference"/>
          <w:noProof/>
        </w:rPr>
        <w:footnoteReference w:id="1"/>
      </w:r>
      <w:r>
        <w:rPr>
          <w:noProof/>
        </w:rPr>
        <w:t xml:space="preserve"> (наричан по-нататък „регламентът“) се изисква организациите за проверка и преглед на кораби, признати на равнище ЕС от Комисията („признати организации“), да се оценяват най-малко на всеки две години от Комисията съвместно с държавата членка, която е представила първоначалното искане за признаване на организацията. Организациите, които първоначално са били признати от съответната държава членка под действието на предишното законодателство и които понастоящем се ползват от признаването на ЕС съгласно член 15, параграф 1 от регламента, следва да се оценяват по същия начин. В резултат на това държавата членка, която първоначално е признала тези организации съгласно член 15, параграф 1, следва да се счита за държавата членка „спонсор“, която участва в оценката, извършвана от Комисията по член 8, параграф 1 от Регламента.</w:t>
      </w:r>
    </w:p>
    <w:p>
      <w:pPr>
        <w:pStyle w:val="Text1"/>
        <w:ind w:left="0"/>
        <w:rPr>
          <w:noProof/>
        </w:rPr>
      </w:pPr>
      <w:r>
        <w:rPr>
          <w:noProof/>
        </w:rPr>
        <w:t>Освен това, от членове 7 и 8 от регламента следва, че за да продължат да се ползват от признаването на ЕС, признатите организации трябва да продължат да отговарят на изискванията и минималните критерии, определени в приложение I към регламента. Това се проверява чрез непрекъснатото повторно оценяване, извършвано от Комисията и държавата членка „спонсор“ съгласно член 8, параграф 1.</w:t>
      </w:r>
    </w:p>
    <w:p>
      <w:pPr>
        <w:pStyle w:val="Text1"/>
        <w:ind w:left="0"/>
        <w:rPr>
          <w:noProof/>
        </w:rPr>
      </w:pPr>
      <w:r>
        <w:rPr>
          <w:noProof/>
        </w:rPr>
        <w:t>С оттеглянето си Обединеното кралство повече няма да може да участва в оценките, извършвани съгласно член 8, параграф 1 от регламента, за тези организации, за които Обединеното кралство се явява държава членка „спонсор“. Вследствие на това продължаването на валидността на признаването на тези организации на равнище ЕС може да бъде поставено под въпрос и не може да се изясни с достатъчна правна сигурност в рамките на съществуващите разпоредби на регламента.</w:t>
      </w:r>
    </w:p>
    <w:p>
      <w:pPr>
        <w:pStyle w:val="Text1"/>
        <w:ind w:left="0"/>
        <w:rPr>
          <w:noProof/>
        </w:rPr>
      </w:pPr>
      <w:r>
        <w:rPr>
          <w:noProof/>
        </w:rPr>
        <w:t>Потенциалната загуба от организациите на признаването на ЕС поради оттеглянето на Обединеното кралство може да има неблагоприятни последици за конкурентоспособността и привлекателността на знамената на държавите членки от ЕС-27, които са упълномощили тези признати организации да действат от тяхно име за целите на извършването на законоустановени корабни проверки, прегледи и освидетелстване. Засегнатите признати организации понастоящем имат споразумения за упълномощаване с повечето държави членки от ЕС-27 и след оттеглянето на Обединеното кралство тези държави членки няма да могат да използват тези признати организации за флотовете, плаващи под техните знамена. В същото време корабособствениците, които използват тези организации също така за целите на класификацията, ще бъдат изправени пред дилемата или да сменят знамето, под което плават корабите им, или да рискуват да нарушат действащите си частни договори със съответните организации за класифицирането на корабите си.</w:t>
      </w:r>
    </w:p>
    <w:p>
      <w:pPr>
        <w:pStyle w:val="Text1"/>
        <w:ind w:left="0"/>
        <w:rPr>
          <w:noProof/>
        </w:rPr>
      </w:pPr>
      <w:r>
        <w:rPr>
          <w:noProof/>
        </w:rPr>
        <w:t>Настоящото предложение има за цел повишаване на правната сигурност, осигуряване на непрекъснатост на стопанската дейност на засегнатите корабособственици и запазване на конкурентоспособността на знамената на държавите членки от ЕС-27.</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със съществуващите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Настоящото предложение е наложително поради оттеглянето на Обединеното кралство от Съюза и обхватът му е ограничен до разглеждането на съответните последици. Главните цели на регламента в областта на политиката остават непроменени.</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pBdr>
          <w:top w:val="nil"/>
          <w:left w:val="nil"/>
          <w:bottom w:val="nil"/>
          <w:right w:val="nil"/>
          <w:between w:val="nil"/>
          <w:bar w:val="nil"/>
        </w:pBdr>
        <w:spacing w:before="0" w:after="240"/>
        <w:rPr>
          <w:rFonts w:eastAsia="Arial Unicode MS"/>
          <w:noProof/>
        </w:rPr>
      </w:pPr>
      <w:r>
        <w:rPr>
          <w:noProof/>
        </w:rPr>
        <w:t>Настоящото предложение изцяло съответства на мандата на Съвета за преговорите с Обединеното кралство за неговото оттегляне от Съюза.</w:t>
      </w:r>
    </w:p>
    <w:p>
      <w:pPr>
        <w:pStyle w:val="ManualHeading1"/>
        <w:rPr>
          <w:noProof/>
        </w:rPr>
      </w:pPr>
      <w:r>
        <w:rPr>
          <w:noProof/>
        </w:rPr>
        <w:t>2.</w:t>
      </w:r>
      <w:r>
        <w:rPr>
          <w:noProof/>
        </w:rPr>
        <w:tab/>
        <w:t>ПРАВНО ОСНОВАНИЕ, СУБСИДИАРНОСТ И ПРОПРОЦИОНАЛНОСТ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Предложението се основава на член 100, параграф 2 от ДФЕС.</w:t>
      </w:r>
    </w:p>
    <w:p>
      <w:pPr>
        <w:pStyle w:val="ManualHeading2"/>
        <w:rPr>
          <w:rFonts w:eastAsia="Arial Unicode MS"/>
          <w:noProof/>
          <w:u w:color="000000"/>
          <w:bdr w:val="nil"/>
        </w:rPr>
      </w:pPr>
      <w:r>
        <w:rPr>
          <w:noProof/>
        </w:rPr>
        <w:t>•</w:t>
      </w:r>
      <w:r>
        <w:rPr>
          <w:noProof/>
        </w:rPr>
        <w:tab/>
        <w:t>Субсидиарност (при неизключителна компетентност)</w:t>
      </w:r>
    </w:p>
    <w:p>
      <w:pPr>
        <w:pBdr>
          <w:top w:val="nil"/>
          <w:left w:val="nil"/>
          <w:bottom w:val="nil"/>
          <w:right w:val="nil"/>
          <w:between w:val="nil"/>
          <w:bar w:val="nil"/>
        </w:pBdr>
        <w:spacing w:before="0" w:after="240"/>
        <w:rPr>
          <w:rFonts w:eastAsia="Arial Unicode MS"/>
          <w:noProof/>
        </w:rPr>
      </w:pPr>
      <w:r>
        <w:rPr>
          <w:noProof/>
        </w:rPr>
        <w:t>Тъй като предложеният законодателен акт ще променя съдържанието на съществуващ законодателен акт на Съюза, това може да се постигне само чрез действие на равнището на Съюза.</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Предложението се счита за пропорционално, тъй като в него се предвиждат необходимите правни промени, без да се надхвърлят границите на необходимото за постигане на целта за премахване на правната несигурност, породена от оттеглянето на Обединеното кралство от Съюза. В него се предвиждат необходимите правни изменения, за да се запази конкурентоспособността на знамената на държавите членки от ЕС-27.</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Като се има предвид, че със законодателния акт се изменя регламент на Европейския парламент и на Съвета, предложеното изменение е единствената подходяща форма.</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съществуващото законодателство</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noProof/>
        </w:rPr>
      </w:pPr>
      <w:r>
        <w:rPr>
          <w:noProof/>
        </w:rPr>
        <w:t>Проблемите по отношение на процеса на повторно оценяване, свързани с оттеглянето на Обединеното кралство от Съюза, са сведени до знанието на заинтересованите страни чрез известие на Комисията относно морския транспорт</w:t>
      </w:r>
      <w:r>
        <w:rPr>
          <w:rStyle w:val="FootnoteReference"/>
          <w:noProof/>
        </w:rPr>
        <w:footnoteReference w:id="2"/>
      </w:r>
      <w:r>
        <w:rPr>
          <w:noProof/>
        </w:rPr>
        <w:t>.</w:t>
      </w:r>
    </w:p>
    <w:p>
      <w:pPr>
        <w:pBdr>
          <w:top w:val="nil"/>
          <w:left w:val="nil"/>
          <w:bottom w:val="nil"/>
          <w:right w:val="nil"/>
          <w:between w:val="nil"/>
          <w:bar w:val="nil"/>
        </w:pBdr>
        <w:spacing w:before="0" w:after="240"/>
        <w:rPr>
          <w:noProof/>
        </w:rPr>
      </w:pPr>
      <w:r>
        <w:rPr>
          <w:noProof/>
        </w:rPr>
        <w:t>За период от две седмици на засегнатите заинтересовани страни и на държавите членки беше дадена възможност да предоставят обратна информация относно предложената инициатива посредством портала на Европейската комисия за по-добро регулиране („Кажете си думата“).</w:t>
      </w:r>
    </w:p>
    <w:p>
      <w:pPr>
        <w:pBdr>
          <w:top w:val="nil"/>
          <w:left w:val="nil"/>
          <w:bottom w:val="nil"/>
          <w:right w:val="nil"/>
          <w:between w:val="nil"/>
          <w:bar w:val="nil"/>
        </w:pBdr>
        <w:spacing w:before="0" w:after="240"/>
        <w:rPr>
          <w:noProof/>
        </w:rPr>
      </w:pPr>
      <w:r>
        <w:rPr>
          <w:noProof/>
        </w:rPr>
        <w:t>През периода за обратна връзка от 28 юни до 12 юли 2018 г. коментари представи една заинтересована страна. Намерението да се създаде по-голяма правна сигурност и яснота посредством предложената инициатива и да се запази конкурентоспособността на корабособствениците от ЕС-27 като цяло беше оценено положително. Предоставената обратна информация беше счетена за уместна и взета предвид при подготовката на предложението.</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Обратна информация, както и технически експертен опит бяха събрани от заинтересованите страни и държавите членки, както и от Европейската агенция за морска безопасност. Предложението също така беше подкрепено от правен анализ на последиците в областта на политиката относно признатите организации, предизвикани от оттеглянето на Обединеното кралство.</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Съгласно насоките за по-добро регулиране оценка на въздействието не е необходима, тъй като предвидената мярка не се очаква да окаже значително въздействие и няма други съществено отличаващи се варианти на политиката, с изключение на предложения.</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Това предложение не оказва въздействие върху защитата на основните права.</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pPr>
        <w:pBdr>
          <w:top w:val="nil"/>
          <w:left w:val="nil"/>
          <w:bottom w:val="nil"/>
          <w:right w:val="nil"/>
          <w:between w:val="nil"/>
          <w:bar w:val="nil"/>
        </w:pBdr>
        <w:spacing w:before="0" w:after="240"/>
      </w:pPr>
      <w:r>
        <w:rPr>
          <w:noProof/>
        </w:rPr>
        <w:t>С цел да се оцени дали настоящата инициатива е постигнала гореупоменатата цел без да се създават никакви нежелани последици за конкуренцията, в член 2 от предложението беше включена клауза за преглед.</w:t>
      </w:r>
    </w:p>
    <w:p>
      <w:pPr>
        <w:pStyle w:val="ManualHeading2"/>
        <w:rPr>
          <w:rFonts w:eastAsia="Arial Unicode MS"/>
          <w:noProof/>
          <w:u w:color="000000"/>
          <w:bdr w:val="nil"/>
        </w:rPr>
      </w:pPr>
      <w:r>
        <w:rPr>
          <w:noProof/>
        </w:rPr>
        <w:t>•</w:t>
      </w:r>
      <w:r>
        <w:rPr>
          <w:noProof/>
        </w:rPr>
        <w:tab/>
        <w:t>Подробни разяснения на отделните разпоредби на предложението</w:t>
      </w:r>
    </w:p>
    <w:p>
      <w:pPr>
        <w:pBdr>
          <w:top w:val="nil"/>
          <w:left w:val="nil"/>
          <w:bottom w:val="nil"/>
          <w:right w:val="nil"/>
          <w:between w:val="nil"/>
          <w:bar w:val="nil"/>
        </w:pBdr>
        <w:spacing w:before="0" w:after="240"/>
        <w:rPr>
          <w:noProof/>
        </w:rPr>
      </w:pPr>
      <w:r>
        <w:rPr>
          <w:noProof/>
        </w:rPr>
        <w:t>Предложението има за цел да реши проблема с правната несигурност, породена от оттеглянето на Обединеното кралство, по отношение на продължаващата валидност на признаването на организациите, за които Обединеното кралство се явява държава членка „спонсор“, участваща в оценката, извършвана от Комисията. Това ще позволи продължаването на съществуващите договорености между тези организации и държавите членки от ЕС-27, които са подписали споразумения за упълномощаване, като така се дава възможност на тези организации да провеждат проверки и прегледи на кораби от името на държавите членки, поддържайки непрекъсна безопасност.</w:t>
      </w:r>
    </w:p>
    <w:p>
      <w:pPr>
        <w:pBdr>
          <w:top w:val="nil"/>
          <w:left w:val="nil"/>
          <w:bottom w:val="nil"/>
          <w:right w:val="nil"/>
          <w:between w:val="nil"/>
          <w:bar w:val="nil"/>
        </w:pBdr>
        <w:spacing w:before="0" w:after="240"/>
        <w:rPr>
          <w:noProof/>
        </w:rPr>
      </w:pPr>
      <w:r>
        <w:rPr>
          <w:noProof/>
        </w:rPr>
        <w:t>С предложената законодателна мярка ще се измени член 8, параграф 1 от регламента, като се замени в момента действащото изискване, съгласно което само държавата членка „спонсор“ участва в процеса на редовна оценка, извършвана от Комисията, като се въведе участието на която и да е държава членка, която е упълномощила една от признатите организации. Това ще позволи оценката да се извършва от Комисията съвместно с всяка държава членка, която е упълномощила съответната призната организация да действа от нейно име за целите на член 3, параграф 2 от Директива 2009/15/ЕО</w:t>
      </w:r>
      <w:r>
        <w:rPr>
          <w:rStyle w:val="FootnoteReference"/>
          <w:noProof/>
        </w:rPr>
        <w:footnoteReference w:id="3"/>
      </w:r>
      <w:r>
        <w:rPr>
          <w:noProof/>
        </w:rPr>
        <w:t>, а не само държавата членка „спонсор“.</w:t>
      </w:r>
    </w:p>
    <w:p>
      <w:pPr>
        <w:pBdr>
          <w:top w:val="nil"/>
          <w:left w:val="nil"/>
          <w:bottom w:val="nil"/>
          <w:right w:val="nil"/>
          <w:between w:val="nil"/>
          <w:bar w:val="nil"/>
        </w:pBdr>
        <w:spacing w:before="0" w:after="240"/>
        <w:rPr>
          <w:noProof/>
        </w:rPr>
      </w:pPr>
      <w:r>
        <w:rPr>
          <w:noProof/>
        </w:rPr>
        <w:t>Горното решение беше избрано като най-ефективния и ефикасен начин за справяне с правната несигурност, създадена в областта на признатите организации от оттеглянето на Обединеното кралство. Предложеният законодателен акт ще реши проблема с тази правна несигурност по недискриминационен начин за държавите членки, които са упълномощили признати организации да действат от тяхно име.</w:t>
      </w:r>
    </w:p>
    <w:p>
      <w:pPr>
        <w:pBdr>
          <w:top w:val="nil"/>
          <w:left w:val="nil"/>
          <w:bottom w:val="nil"/>
          <w:right w:val="nil"/>
          <w:between w:val="nil"/>
          <w:bar w:val="nil"/>
        </w:pBdr>
        <w:spacing w:before="0" w:after="240"/>
        <w:rPr>
          <w:noProof/>
        </w:rPr>
      </w:pPr>
      <w:r>
        <w:rPr>
          <w:noProof/>
        </w:rPr>
        <w:t xml:space="preserve">В допълнение, предложението постига целта за съхраняване на непрекъснатостта на стопанската дейност и на конкурентоспособността на знамената на държавите членки от ЕС-27, работещи със засегнатите организации. </w:t>
      </w:r>
    </w:p>
    <w:p>
      <w:pPr>
        <w:pBdr>
          <w:top w:val="nil"/>
          <w:left w:val="nil"/>
          <w:bottom w:val="nil"/>
          <w:right w:val="nil"/>
          <w:between w:val="nil"/>
          <w:bar w:val="nil"/>
        </w:pBdr>
        <w:spacing w:before="0" w:after="240"/>
      </w:pPr>
      <w:r>
        <w:rPr>
          <w:noProof/>
        </w:rPr>
        <w:t>Регламентът следва само да коригира потенциалните неблагоприятни последици за знамената на 27-те държави членки, предизвикани от оттеглянето на Обединеното кралство от Съюза. Комисията следва да докладва за неговото въздействие след изтичането на достатъчен период на прилагане, по-специално с оглед на установяването на последици, които може да надхвърлят обхвата на настоящия регламент.</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2018/0298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(ЕО) № 391/2009 с оглед на оттеглянето на Обединеното кралство от Съюза</w:t>
      </w:r>
    </w:p>
    <w:p>
      <w:pPr>
        <w:pStyle w:val="IntrtEEE"/>
        <w:rPr>
          <w:noProof/>
        </w:rPr>
      </w:pPr>
      <w:r>
        <w:rPr>
          <w:noProof/>
        </w:rPr>
        <w:t>(текст от значение за ЕИП)</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100, параграф 2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4"/>
      </w:r>
      <w:r>
        <w:rPr>
          <w:noProof/>
        </w:rPr>
        <w:t>,</w:t>
      </w:r>
    </w:p>
    <w:p>
      <w:pPr>
        <w:rPr>
          <w:noProof/>
        </w:rPr>
      </w:pPr>
      <w:r>
        <w:rPr>
          <w:noProof/>
        </w:rPr>
        <w:t>като взеха предвид становището на Комитета на регионите</w:t>
      </w:r>
      <w:r>
        <w:rPr>
          <w:rStyle w:val="FootnoteReference"/>
          <w:noProof/>
        </w:rPr>
        <w:footnoteReference w:id="5"/>
      </w:r>
      <w:r>
        <w:rPr>
          <w:noProof/>
        </w:rPr>
        <w:t>,</w:t>
      </w:r>
    </w:p>
    <w:p>
      <w:pPr>
        <w:rPr>
          <w:noProof/>
        </w:rPr>
      </w:pPr>
      <w:r>
        <w:rPr>
          <w:noProof/>
        </w:rPr>
        <w:t>действайки 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На 29 март 2017 г. Обединеното кралство уведоми Европейския съвет за намерението си да се оттегли от Съюза по силата на член 50 от Договора за Европейския съюз. Това означава, че ако не бъде определена друга дата посредством ратифицирано споразумение за оттегляне или ако Европейският съвет, в споразумение с Обединеното кралство, не определи с единодушие друга дата, правото на Съюза ще престане да се прилага в Обединеното кралство от 30 март 2019 г. Тогава Обединеното кралство ще се превърне в трета държава ЕС.</w:t>
      </w:r>
    </w:p>
    <w:p>
      <w:pPr>
        <w:pStyle w:val="ManualConsidrant"/>
        <w:rPr>
          <w:noProof/>
        </w:rPr>
      </w:pPr>
      <w:r>
        <w:t>(2)</w:t>
      </w:r>
      <w:r>
        <w:tab/>
      </w:r>
      <w:r>
        <w:rPr>
          <w:noProof/>
        </w:rPr>
        <w:t>Регламент (ЕО) № 391/2009</w:t>
      </w:r>
      <w:r>
        <w:rPr>
          <w:rStyle w:val="FootnoteReference"/>
          <w:noProof/>
        </w:rPr>
        <w:footnoteReference w:id="6"/>
      </w:r>
      <w:r>
        <w:rPr>
          <w:noProof/>
        </w:rPr>
        <w:t xml:space="preserve"> и Директива № 2009/15/ЕО на Европейския парламент и на Съвета</w:t>
      </w:r>
      <w:r>
        <w:rPr>
          <w:rStyle w:val="FootnoteReference"/>
          <w:noProof/>
        </w:rPr>
        <w:footnoteReference w:id="7"/>
      </w:r>
      <w:r>
        <w:rPr>
          <w:noProof/>
        </w:rPr>
        <w:t xml:space="preserve"> заедно съставляват регулаторната рамка за дейностите на признатите организации за проверка, прегледи и освидетелстване.</w:t>
      </w:r>
    </w:p>
    <w:p>
      <w:pPr>
        <w:pStyle w:val="ManualConsidrant"/>
        <w:rPr>
          <w:noProof/>
        </w:rPr>
      </w:pPr>
      <w:r>
        <w:t>(3)</w:t>
      </w:r>
      <w:r>
        <w:tab/>
      </w:r>
      <w:r>
        <w:rPr>
          <w:noProof/>
        </w:rPr>
        <w:t>В съответствие с член 8, параграф 1 от Регламент (ЕО) № 391/2009 организациите за проверка и преглед на кораби, признати от Комисията на равнище Съюз („признатите организации“) трябва да се оценяват редовно и най-малко на всеки две години от Комисията съвместно с държавата членка, която е представила съответното искане за признаване на организацията.</w:t>
      </w:r>
    </w:p>
    <w:p>
      <w:pPr>
        <w:pStyle w:val="ManualConsidrant"/>
        <w:rPr>
          <w:noProof/>
        </w:rPr>
      </w:pPr>
      <w:r>
        <w:t>(4)</w:t>
      </w:r>
      <w:r>
        <w:tab/>
      </w:r>
      <w:r>
        <w:rPr>
          <w:noProof/>
        </w:rPr>
        <w:t>От съображения за равно третиране, организациите, които първоначално са били признати от съответната държава членка в съответствие с Директива 94/57/ЕО на Съвета</w:t>
      </w:r>
      <w:r>
        <w:rPr>
          <w:rStyle w:val="FootnoteReference"/>
          <w:noProof/>
        </w:rPr>
        <w:footnoteReference w:id="8"/>
      </w:r>
      <w:r>
        <w:rPr>
          <w:noProof/>
        </w:rPr>
        <w:t xml:space="preserve"> и понастоящем се ползват от признаването на Съюза съгласно член 15, параграф 1 от Регламент (ЕО) № 391/2009, следва да се оценяват от Комисията съвместно с държавата членка, която първоначално е признала тези организации.</w:t>
      </w:r>
    </w:p>
    <w:p>
      <w:pPr>
        <w:pStyle w:val="ManualConsidrant"/>
        <w:rPr>
          <w:noProof/>
        </w:rPr>
      </w:pPr>
      <w:r>
        <w:t>(5)</w:t>
      </w:r>
      <w:r>
        <w:tab/>
      </w:r>
      <w:r>
        <w:rPr>
          <w:noProof/>
        </w:rPr>
        <w:t>В съответствие с членове 7 и 8 от Регламент (ЕО) № 391/2009, за да продължат да се ползват от признаването на Съюза, признатите организации трябва да продължат да отговарят на изискванията и минималните критерии, определени в приложение I към същия регламент. Това се проверява чрез непрекъснати оценки, извършвани от Комисията съвместно със съответната държава членка, в съответствие с член 8, параграф 1 от Регламент (ЕО) № 391/2009. Поради това, редовните оценки играят важна роля за продължаване на признаването на организациите.</w:t>
      </w:r>
    </w:p>
    <w:p>
      <w:pPr>
        <w:pStyle w:val="ManualConsidrant"/>
        <w:rPr>
          <w:noProof/>
        </w:rPr>
      </w:pPr>
      <w:r>
        <w:t>(6)</w:t>
      </w:r>
      <w:r>
        <w:tab/>
      </w:r>
      <w:r>
        <w:rPr>
          <w:noProof/>
        </w:rPr>
        <w:t>След оттеглянето си от Съюза Обединеното кралство повече няма да може да участва в оценките, извършвани съгласно член 8, параграф 1 от Регламент (ЕО) № 391/2009.</w:t>
      </w:r>
    </w:p>
    <w:p>
      <w:pPr>
        <w:pStyle w:val="ManualConsidrant"/>
        <w:rPr>
          <w:noProof/>
        </w:rPr>
      </w:pPr>
      <w:r>
        <w:t>(7)</w:t>
      </w:r>
      <w:r>
        <w:tab/>
      </w:r>
      <w:r>
        <w:rPr>
          <w:noProof/>
        </w:rPr>
        <w:t>Признатите организации, които първоначално са били признати от Обединеното кралство в момента се ползват от признаването на Съюза, като другите държави членки са им поверили задължения във връзка с проверката, прегледа и освидетелстването на кораби в съответствие с член 3, параграф 2 от Директива 2009/15/ЕО</w:t>
      </w:r>
      <w:r>
        <w:rPr>
          <w:noProof/>
          <w:color w:val="FF0000"/>
        </w:rPr>
        <w:t xml:space="preserve">. </w:t>
      </w:r>
      <w:r>
        <w:rPr>
          <w:noProof/>
        </w:rPr>
        <w:t>Поради това член 8, параграф 1 от Регламент (ЕО) № 391/2009 е необходимо да се измени, за да се гарантира, че тези организации ще продължат да бъдат предмет на оценка в съответствие с изискванията, предвидени в същата разпоредба.</w:t>
      </w:r>
    </w:p>
    <w:p>
      <w:pPr>
        <w:pStyle w:val="ManualConsidrant"/>
        <w:rPr>
          <w:noProof/>
        </w:rPr>
      </w:pPr>
      <w:r>
        <w:t>(8)</w:t>
      </w:r>
      <w:r>
        <w:tab/>
      </w:r>
      <w:r>
        <w:rPr>
          <w:noProof/>
        </w:rPr>
        <w:t>Също така е необходимо да се вземат под внимание задълженията за мониторинг и за надзор, които понастоящем държавите членки трябва да изпълняват съгласно член 9 от Директива 2009/15/ЕО. В това отношение оценката на признатите организации съгласно Регламент (ЕО) № 391/2009 следва да бъде извършвана от Комисията съвместно с държавата членка или държавите членки, които са упълномощили съответната призната организация в съответствие с член 3, параграф 2 на Директива 2009/15/ЕО.</w:t>
      </w:r>
    </w:p>
    <w:p>
      <w:pPr>
        <w:pStyle w:val="ManualConsidrant"/>
        <w:rPr>
          <w:noProof/>
        </w:rPr>
      </w:pPr>
      <w:r>
        <w:t>(9)</w:t>
      </w:r>
      <w:r>
        <w:tab/>
      </w:r>
      <w:r>
        <w:rPr>
          <w:noProof/>
        </w:rPr>
        <w:t>Настоящият регламент следва да се прилага от деня, непосредствено след този, на който правото на Съюза, и по-специално Регламент (ЕО) № 391/2009, престават да се прилагат в Обединеното кралство,</w:t>
      </w:r>
    </w:p>
    <w:p>
      <w:pPr>
        <w:pStyle w:val="Formuledadoption"/>
        <w:rPr>
          <w:noProof/>
        </w:rPr>
      </w:pPr>
      <w:r>
        <w:rPr>
          <w:noProof/>
        </w:rPr>
        <w:t>ПРИЕХА НАСТОЯЩИЯ РЕГЛАМЕНТ:</w:t>
      </w:r>
    </w:p>
    <w:p>
      <w:pPr>
        <w:pStyle w:val="Titrearticle"/>
        <w:rPr>
          <w:noProof/>
        </w:rPr>
      </w:pPr>
      <w:r>
        <w:rPr>
          <w:noProof/>
        </w:rPr>
        <w:t>Член 1</w:t>
      </w:r>
    </w:p>
    <w:p>
      <w:pPr>
        <w:rPr>
          <w:noProof/>
        </w:rPr>
      </w:pPr>
      <w:r>
        <w:rPr>
          <w:noProof/>
        </w:rPr>
        <w:t>Член 8, параграф 1 от Регламент (ЕО) № 391/2009 се заменя със следното:</w:t>
      </w:r>
    </w:p>
    <w:p>
      <w:pPr>
        <w:rPr>
          <w:noProof/>
        </w:rPr>
      </w:pPr>
      <w:r>
        <w:rPr>
          <w:noProof/>
        </w:rPr>
        <w:t>„1. Всички признати организации се оценяват редовно и най-малко на всеки две години от Комисията съвместно с държавите членки, които са ги упълномощили в съответствие с член 3, параграф 2 от Директива 2009/15/ЕО, за да се провери дали изпълняват задълженията по настоящия регламент и дали изпълняват минималните критерии, установени в приложение I. Оценяването се ограничава до тези дейности на признатите организации, които попадат в приложното поле на настоящия регламент.“</w:t>
      </w:r>
    </w:p>
    <w:p>
      <w:pPr>
        <w:pStyle w:val="Titrearticle"/>
        <w:rPr>
          <w:noProof/>
        </w:rPr>
      </w:pPr>
      <w:r>
        <w:rPr>
          <w:noProof/>
        </w:rPr>
        <w:t>Член 2</w:t>
      </w:r>
    </w:p>
    <w:p>
      <w:pPr>
        <w:rPr>
          <w:noProof/>
        </w:rPr>
      </w:pPr>
      <w:r>
        <w:rPr>
          <w:noProof/>
        </w:rPr>
        <w:t>Комисията докладва на Европейския парламент и на Съвета относно въздействието на настоящия регламент не по-късно от три години след датата на прилагането му.</w:t>
      </w:r>
    </w:p>
    <w:p>
      <w:pPr>
        <w:pStyle w:val="Titrearticle"/>
        <w:rPr>
          <w:noProof/>
        </w:rPr>
      </w:pPr>
      <w:r>
        <w:rPr>
          <w:noProof/>
        </w:rPr>
        <w:t>Член 3</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t>Той се прилага от деня, непосредствено след този, на който правото на Съюза престава да се прилага в Обединеното кралство.</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142" w:hanging="142"/>
      </w:pPr>
      <w:r>
        <w:rPr>
          <w:rStyle w:val="FootnoteReference"/>
        </w:rPr>
        <w:footnoteRef/>
      </w:r>
      <w:r>
        <w:tab/>
        <w:t>Регламент (ЕО) № 391/2009 на Европейския парламент и на Съвета от 23 април 2009 г. относно общи правила и стандарти за организациите за проверка и преглед на кораби (ОВ L 131, 28.5.2009 г., стр. 11).</w:t>
      </w:r>
    </w:p>
  </w:footnote>
  <w:footnote w:id="2">
    <w:p>
      <w:pPr>
        <w:pStyle w:val="FootnoteText"/>
      </w:pPr>
      <w:r>
        <w:rPr>
          <w:rStyle w:val="FootnoteReference"/>
        </w:rPr>
        <w:footnoteRef/>
      </w:r>
      <w:r>
        <w:tab/>
        <w:t>„Известие до заинтересованите страни — Оттеглянето на Обединеното кралство и правилата на ЕС в областта на морския транспорт“,</w:t>
      </w:r>
    </w:p>
    <w:p>
      <w:pPr>
        <w:pStyle w:val="FootnoteText"/>
      </w:pPr>
      <w:hyperlink r:id="rId1">
        <w:r>
          <w:rPr>
            <w:rStyle w:val="Hyperlink"/>
          </w:rPr>
          <w:t>https://ec.europa.eu/transport/sites/transport/files/legislation/brexit-notice-to-stakeholders-maritime-transport.pdf</w:t>
        </w:r>
      </w:hyperlink>
    </w:p>
  </w:footnote>
  <w:footnote w:id="3">
    <w:p>
      <w:pPr>
        <w:pStyle w:val="FootnoteText"/>
        <w:ind w:left="142" w:hanging="142"/>
      </w:pPr>
      <w:r>
        <w:rPr>
          <w:rStyle w:val="FootnoteReference"/>
        </w:rPr>
        <w:footnoteRef/>
      </w:r>
      <w:r>
        <w:tab/>
        <w:t>Директива 2009/15/ЕО на Европейския парламент и на Съвета от 23 април 2009 г. относно общите правила и стандарти за организациите за проверка и преглед на кораби и за съответните дейности на морските администрации (ОВ L 131, 28.5.2009 г., стр. 47).</w:t>
      </w:r>
    </w:p>
  </w:footnote>
  <w:footnote w:id="4">
    <w:p>
      <w:pPr>
        <w:pStyle w:val="FootnoteText"/>
      </w:pPr>
      <w:r>
        <w:rPr>
          <w:rStyle w:val="FootnoteReference"/>
        </w:rPr>
        <w:footnoteRef/>
      </w:r>
      <w:r>
        <w:tab/>
        <w:t>ОВ C ,  г., стр. .</w:t>
      </w:r>
    </w:p>
  </w:footnote>
  <w:footnote w:id="5">
    <w:p>
      <w:pPr>
        <w:pStyle w:val="FootnoteText"/>
      </w:pPr>
      <w:r>
        <w:rPr>
          <w:rStyle w:val="FootnoteReference"/>
        </w:rPr>
        <w:footnoteRef/>
      </w:r>
      <w:r>
        <w:tab/>
        <w:t>ОВ C ,  г., стр. .</w:t>
      </w:r>
    </w:p>
  </w:footnote>
  <w:footnote w:id="6">
    <w:p>
      <w:pPr>
        <w:pStyle w:val="FootnoteText"/>
        <w:ind w:left="142" w:hanging="142"/>
      </w:pPr>
      <w:r>
        <w:rPr>
          <w:rStyle w:val="FootnoteReference"/>
        </w:rPr>
        <w:footnoteRef/>
      </w:r>
      <w:r>
        <w:tab/>
        <w:t>Регламент (ЕО) № 391/2009 на Европейския парламент и на Съвета от 23 април 2009 г. относно общи правила и стандарти за организациите за проверка и преглед на кораби (ОВ L 131, 28.5.2009 г., стр. 11).</w:t>
      </w:r>
    </w:p>
  </w:footnote>
  <w:footnote w:id="7">
    <w:p>
      <w:pPr>
        <w:pStyle w:val="FootnoteText"/>
        <w:ind w:left="142" w:hanging="142"/>
      </w:pPr>
      <w:r>
        <w:rPr>
          <w:rStyle w:val="FootnoteReference"/>
        </w:rPr>
        <w:footnoteRef/>
      </w:r>
      <w:r>
        <w:tab/>
        <w:t>Директива 2009/15/ЕО на Европейския парламент и на Съвета от 23 април 2009 г. относно общите правила и стандарти за организациите за проверка и преглед на кораби и за съответните дейности на морските администрации (ОВ L 131, 28.5.2009 г., стр. 47).</w:t>
      </w:r>
    </w:p>
  </w:footnote>
  <w:footnote w:id="8">
    <w:p>
      <w:pPr>
        <w:pStyle w:val="FootnoteText"/>
      </w:pPr>
      <w:r>
        <w:rPr>
          <w:rStyle w:val="FootnoteReference"/>
        </w:rPr>
        <w:footnoteRef/>
      </w:r>
      <w:r>
        <w:tab/>
        <w:t>Директива 94/57/ЕО на Съвета от 22 ноември 1994 г. относно общи правила и стандарти за оправомощените организации за инспектиране и преглед на кораби и за съответните действия на морските администрации (ОВ L 319, 12.12.1994 г., стр.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5AA10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69A6B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6F68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26E78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9A0C52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350ABE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51EE214"/>
    <w:lvl w:ilvl="0">
      <w:start w:val="1"/>
      <w:numFmt w:val="decimal"/>
      <w:pStyle w:val="ListNumber"/>
      <w:lvlText w:val="%1."/>
      <w:lvlJc w:val="left"/>
      <w:pPr>
        <w:tabs>
          <w:tab w:val="num" w:pos="360"/>
        </w:tabs>
        <w:ind w:left="360" w:hanging="360"/>
      </w:pPr>
    </w:lvl>
  </w:abstractNum>
  <w:abstractNum w:abstractNumId="7">
    <w:nsid w:val="FFFFFF89"/>
    <w:multiLevelType w:val="singleLevel"/>
    <w:tmpl w:val="BBD8E77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7-26 07:24:4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70DCBF3-1752-43CF-AF60-C4F18B357381"/>
    <w:docVar w:name="LW_COVERPAGE_TYPE" w:val="1"/>
    <w:docVar w:name="LW_CROSSREFERENCE" w:val="&lt;UNUSED&gt;"/>
    <w:docVar w:name="LW_DocType" w:val="COM"/>
    <w:docVar w:name="LW_EMISSION" w:val="1.8.2018"/>
    <w:docVar w:name="LW_EMISSION_ISODATE" w:val="2018-08-01"/>
    <w:docVar w:name="LW_EMISSION_LOCATION" w:val="BRX"/>
    <w:docVar w:name="LW_EMISSION_PREFIX" w:val="Брюксел,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98"/>
    <w:docVar w:name="LW_REF.II.NEW.CP_YEAR" w:val="2018"/>
    <w:docVar w:name="LW_REF.INST.NEW" w:val="COM"/>
    <w:docVar w:name="LW_REF.INST.NEW_ADOPTED" w:val="final"/>
    <w:docVar w:name="LW_REF.INST.NEW_TEXT" w:val="(2018) 5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4?) \u8470? 391/2009 \u1089? \u1086?\u1075?\u1083?\u1077?\u1076? \u1085?\u1072? \u1086?\u1090?\u1090?\u1077?\u1075?\u1083?\u1103?\u1085?\u1077?\u1090?\u1086? \u1085?\u1072? \u1054?\u1073?\u1077?\u1076?\u1080?\u1085?\u1077?\u1085?\u1086?\u1090?\u1086? \u1082?\u1088?\u1072?\u1083?\u1089?\u1090?\u1074?\u1086? \u1086?\u1090? \u1057?\u1098?\u1102?\u1079?\u1072?"/>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62506">
      <w:bodyDiv w:val="1"/>
      <w:marLeft w:val="0"/>
      <w:marRight w:val="0"/>
      <w:marTop w:val="0"/>
      <w:marBottom w:val="0"/>
      <w:divBdr>
        <w:top w:val="none" w:sz="0" w:space="0" w:color="auto"/>
        <w:left w:val="none" w:sz="0" w:space="0" w:color="auto"/>
        <w:bottom w:val="none" w:sz="0" w:space="0" w:color="auto"/>
        <w:right w:val="none" w:sz="0" w:space="0" w:color="auto"/>
      </w:divBdr>
    </w:div>
    <w:div w:id="1565723284">
      <w:bodyDiv w:val="1"/>
      <w:marLeft w:val="0"/>
      <w:marRight w:val="0"/>
      <w:marTop w:val="0"/>
      <w:marBottom w:val="0"/>
      <w:divBdr>
        <w:top w:val="none" w:sz="0" w:space="0" w:color="auto"/>
        <w:left w:val="none" w:sz="0" w:space="0" w:color="auto"/>
        <w:bottom w:val="none" w:sz="0" w:space="0" w:color="auto"/>
        <w:right w:val="none" w:sz="0" w:space="0" w:color="auto"/>
      </w:divBdr>
    </w:div>
    <w:div w:id="17828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ort/sites/transport/files/legislation/brexit-notice-to-stakeholders-maritime-trans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F2C45-2F16-4977-8187-823508FA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2185</Words>
  <Characters>13045</Characters>
  <Application>Microsoft Office Word</Application>
  <DocSecurity>0</DocSecurity>
  <Lines>241</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2018-07-05T08:30:00Z</cp:lastPrinted>
  <dcterms:created xsi:type="dcterms:W3CDTF">2018-07-25T08:59:00Z</dcterms:created>
  <dcterms:modified xsi:type="dcterms:W3CDTF">2018-07-26T05:24:00Z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