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CF4DFC1-9679-4285-A879-D6E442EC8826" style="width:450.8pt;height:334.2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1. ВЪВЕДЕНИЕ </w:t>
      </w:r>
    </w:p>
    <w:p>
      <w:pPr>
        <w:jc w:val="both"/>
        <w:rPr>
          <w:rFonts w:ascii="Times New Roman" w:hAnsi="Times New Roman" w:cs="Times New Roman"/>
          <w:noProof/>
          <w:sz w:val="24"/>
          <w:szCs w:val="24"/>
        </w:rPr>
      </w:pPr>
      <w:r>
        <w:rPr>
          <w:rFonts w:ascii="Times New Roman" w:hAnsi="Times New Roman"/>
          <w:noProof/>
          <w:sz w:val="24"/>
        </w:rPr>
        <w:t>С Регламент (ЕС) № 517/2014 на Европейския парламент и на Съвета от 16 април 2014 г. за флуорсъдържащите парникови газове и за отмяна на Регламент (ЕО) № 842/2006</w:t>
      </w:r>
      <w:r>
        <w:rPr>
          <w:rStyle w:val="FootnoteReference"/>
          <w:rFonts w:ascii="Times New Roman" w:hAnsi="Times New Roman"/>
          <w:noProof/>
          <w:sz w:val="24"/>
        </w:rPr>
        <w:footnoteReference w:id="1"/>
      </w:r>
      <w:r>
        <w:rPr>
          <w:rFonts w:ascii="Times New Roman" w:hAnsi="Times New Roman"/>
          <w:noProof/>
          <w:sz w:val="24"/>
        </w:rPr>
        <w:t xml:space="preserve"> (Регламент за флуорсъдържащите газове) се определят правила за опазване на околната среда чрез намаляване на емисиите на флуорсъдържащи парникови газове. </w:t>
      </w:r>
    </w:p>
    <w:p>
      <w:pPr>
        <w:rPr>
          <w:rFonts w:ascii="Times New Roman" w:hAnsi="Times New Roman" w:cs="Times New Roman"/>
          <w:noProof/>
          <w:sz w:val="24"/>
          <w:szCs w:val="24"/>
        </w:rPr>
      </w:pPr>
      <w:r>
        <w:rPr>
          <w:rFonts w:ascii="Times New Roman" w:hAnsi="Times New Roman"/>
          <w:noProof/>
          <w:sz w:val="24"/>
        </w:rPr>
        <w:t>За тази цел в Регламента са определени правила по отношение на:</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съдържането, употребата, възстановяването и унищожаването на флуорсъдържащи парникови газове;</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 xml:space="preserve">условия за пускането на пазара на определени продукти и оборудване, които съдържат или чието функциониране зависи от флуорсъдържащи газове; </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 xml:space="preserve">условия за използването на флуорсъдържащи газове; и </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количествени ограничения за пускането на пазара на флуоровъглеводороди.</w:t>
      </w:r>
    </w:p>
    <w:p>
      <w:pPr>
        <w:jc w:val="both"/>
        <w:rPr>
          <w:rFonts w:ascii="Times New Roman" w:hAnsi="Times New Roman" w:cs="Times New Roman"/>
          <w:noProof/>
          <w:sz w:val="24"/>
          <w:szCs w:val="24"/>
        </w:rPr>
      </w:pPr>
      <w:r>
        <w:rPr>
          <w:rFonts w:ascii="Times New Roman" w:hAnsi="Times New Roman"/>
          <w:noProof/>
          <w:sz w:val="24"/>
        </w:rPr>
        <w:t xml:space="preserve">С член 12, параграф 15 и член 21, параграф 1 от Регламента за флуорсъдържащите газове Комисията се оправомощава да приема делегирани актове. </w:t>
      </w:r>
    </w:p>
    <w:p>
      <w:pPr>
        <w:jc w:val="both"/>
        <w:rPr>
          <w:rFonts w:ascii="Times New Roman" w:hAnsi="Times New Roman" w:cs="Times New Roman"/>
          <w:i/>
          <w:noProof/>
          <w:sz w:val="24"/>
          <w:szCs w:val="24"/>
        </w:rPr>
      </w:pPr>
      <w:r>
        <w:rPr>
          <w:rFonts w:ascii="Times New Roman" w:hAnsi="Times New Roman"/>
          <w:noProof/>
          <w:sz w:val="24"/>
        </w:rPr>
        <w:t xml:space="preserve">Оправомощаването в член 12, параграф 15 се отнася до </w:t>
      </w:r>
      <w:r>
        <w:rPr>
          <w:rFonts w:ascii="Times New Roman" w:hAnsi="Times New Roman"/>
          <w:i/>
          <w:noProof/>
          <w:sz w:val="24"/>
        </w:rPr>
        <w:t xml:space="preserve">„изменение на изискванията за етикетиране, определени в параграфи 4—12, когато това е целесъобразно предвид развитието в областта на търговията или технологиите“. </w:t>
      </w:r>
    </w:p>
    <w:p>
      <w:pPr>
        <w:jc w:val="both"/>
        <w:rPr>
          <w:rFonts w:ascii="Times New Roman" w:hAnsi="Times New Roman" w:cs="Times New Roman"/>
          <w:noProof/>
          <w:sz w:val="24"/>
          <w:szCs w:val="24"/>
        </w:rPr>
      </w:pPr>
      <w:r>
        <w:rPr>
          <w:rFonts w:ascii="Times New Roman" w:hAnsi="Times New Roman"/>
          <w:noProof/>
          <w:sz w:val="24"/>
        </w:rPr>
        <w:t xml:space="preserve">Оправомощаването в член 21, параграф 1 се отнася до </w:t>
      </w:r>
      <w:r>
        <w:rPr>
          <w:rFonts w:ascii="Times New Roman" w:hAnsi="Times New Roman"/>
          <w:i/>
          <w:noProof/>
          <w:sz w:val="24"/>
        </w:rPr>
        <w:t>„актуализиране на приложения I, II и IV въз основа на новите доклади за оценка, приети от Междуправителствения комитет по изменение на климата, или на новите доклади на Групата за научна оценка към Монреалския протокол относно потенциала за глобално затопляне на посочените в списъците вещества“</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В приложение I са изброени флуоровъглеводородите, обхванати от Регламента, в приложение II са изброени други флуорсъдържащи газове, които са обект на докладване по член 19 от Регламента, в приложение IV е установен методът за изчисляване на потенциала за глобално затопляне на смес (течна или газообразна смес, съставена от две или повече вещества, най-малко едно от които е включено в приложение I или в приложение II).</w:t>
      </w:r>
      <w:r>
        <w:rPr>
          <w:rFonts w:ascii="Times New Roman" w:hAnsi="Times New Roman"/>
          <w:i/>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2. ПРАВНО ОСНОВАНИЕ</w:t>
      </w:r>
    </w:p>
    <w:p>
      <w:pPr>
        <w:jc w:val="both"/>
        <w:rPr>
          <w:rFonts w:ascii="Times New Roman" w:hAnsi="Times New Roman" w:cs="Times New Roman"/>
          <w:b/>
          <w:noProof/>
          <w:sz w:val="24"/>
          <w:szCs w:val="24"/>
        </w:rPr>
      </w:pPr>
      <w:r>
        <w:rPr>
          <w:rFonts w:ascii="Times New Roman" w:hAnsi="Times New Roman"/>
          <w:noProof/>
          <w:sz w:val="24"/>
        </w:rPr>
        <w:t xml:space="preserve">Настоящият доклад се изисква съгласно член 22, параграф 2 от Регламента за флуорсъдържащите газове. По силата на посочения член Комисията има правомощието да приема делегирани актове за срок от пет години, считано от 10 юни 2014 г. От Комисията също така се изисква да изготви доклад относно делегирането на правомощия не по-късно от девет месеца преди изтичането на петгодишния срок. В член 22, параграф 2 също така е посочено, че делегирането на правомощия за приемане на делегирани актове </w:t>
      </w:r>
      <w:r>
        <w:rPr>
          <w:rFonts w:ascii="Times New Roman" w:hAnsi="Times New Roman"/>
          <w:i/>
          <w:noProof/>
          <w:sz w:val="24"/>
        </w:rPr>
        <w:t>„се продължава мълчаливо за нови срокове от пет години, освен ако Европейският парламент или Съветът не възразят срещу подобно продължаване не по-късно от три месеца преди изтичането на всеки срок“.</w:t>
      </w:r>
    </w:p>
    <w:p>
      <w:pPr>
        <w:jc w:val="both"/>
        <w:rPr>
          <w:rFonts w:ascii="Times New Roman" w:hAnsi="Times New Roman" w:cs="Times New Roman"/>
          <w:b/>
          <w:noProof/>
          <w:sz w:val="24"/>
          <w:szCs w:val="24"/>
        </w:rPr>
      </w:pPr>
      <w:r>
        <w:rPr>
          <w:rFonts w:ascii="Times New Roman" w:hAnsi="Times New Roman"/>
          <w:b/>
          <w:noProof/>
          <w:sz w:val="24"/>
        </w:rPr>
        <w:t xml:space="preserve">3. УПРАЖНЯВАНЕ НА ДЕЛЕГИРАНЕТО </w:t>
      </w:r>
    </w:p>
    <w:p>
      <w:pPr>
        <w:jc w:val="both"/>
        <w:rPr>
          <w:rFonts w:ascii="Times New Roman" w:hAnsi="Times New Roman" w:cs="Times New Roman"/>
          <w:noProof/>
          <w:sz w:val="24"/>
          <w:szCs w:val="24"/>
        </w:rPr>
      </w:pPr>
      <w:r>
        <w:rPr>
          <w:rFonts w:ascii="Times New Roman" w:hAnsi="Times New Roman"/>
          <w:noProof/>
          <w:sz w:val="24"/>
        </w:rPr>
        <w:t xml:space="preserve">След влизането в сила на Регламент (ЕС) № 517/2014 за флуорсъдържащите газове и на периода, обхванат от настоящия доклад, Комисията не е използвала правомощието да приема делегирани актове, посочено в член 12, параграф 15 и член 21, параграф 1. Въпреки това причините, които са накарали съзаконодателите да предоставят на Комисията правомощието да приема делегирани актове, остават в сила. </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оправомощаването в член 12, параграф 15, свързано с етикетирането, необходимостта от евентуално актуализиране на тези изисквания предвид развитието в областта на търговията или технологиите остава в сила. Точният момент на всякакви развития от този род както и въздействието им върху етикетирането не може да бъде предвиден или да бъде ограничен във времето. По същия начин, оправомощаването в член 21, параграф 1, свързано с актуализирането на приложения I, II и IV, зависи от развития на равнището на ООН, които нито могат да бъдат предвидени, нито да бъдат ограничени във времето.   </w:t>
      </w:r>
    </w:p>
    <w:p>
      <w:pPr>
        <w:jc w:val="both"/>
        <w:rPr>
          <w:rFonts w:ascii="Times New Roman" w:hAnsi="Times New Roman" w:cs="Times New Roman"/>
          <w:b/>
          <w:noProof/>
          <w:sz w:val="24"/>
          <w:szCs w:val="24"/>
        </w:rPr>
      </w:pPr>
      <w:r>
        <w:rPr>
          <w:rFonts w:ascii="Times New Roman" w:hAnsi="Times New Roman"/>
          <w:b/>
          <w:noProof/>
          <w:sz w:val="24"/>
        </w:rPr>
        <w:t xml:space="preserve">4. ЗАКЛЮЧЕНИЕ </w:t>
      </w:r>
    </w:p>
    <w:p>
      <w:pPr>
        <w:jc w:val="both"/>
        <w:rPr>
          <w:rFonts w:ascii="Times New Roman" w:hAnsi="Times New Roman" w:cs="Times New Roman"/>
          <w:noProof/>
          <w:sz w:val="24"/>
          <w:szCs w:val="24"/>
        </w:rPr>
      </w:pPr>
      <w:r>
        <w:rPr>
          <w:rFonts w:ascii="Times New Roman" w:hAnsi="Times New Roman"/>
          <w:noProof/>
          <w:sz w:val="24"/>
        </w:rPr>
        <w:t xml:space="preserve">Комисията е на мнение, че независимо от факта, че до момента Комисията не е приела никакви делегирани актове, тъй като развитията, необходими за използването от Комисията на даденото ѝ правомощие да приема делегирани актове, все още не са настъпили, е вероятно това да стане в бъдеще. </w:t>
      </w:r>
    </w:p>
    <w:p>
      <w:pPr>
        <w:jc w:val="both"/>
        <w:rPr>
          <w:rFonts w:ascii="Times New Roman" w:hAnsi="Times New Roman" w:cs="Times New Roman"/>
          <w:noProof/>
          <w:sz w:val="24"/>
          <w:szCs w:val="24"/>
        </w:rPr>
      </w:pPr>
      <w:r>
        <w:rPr>
          <w:rFonts w:ascii="Times New Roman" w:hAnsi="Times New Roman"/>
          <w:noProof/>
          <w:sz w:val="24"/>
        </w:rPr>
        <w:t xml:space="preserve">Поради това делегирането на правомощия, посочено в член 12, параграф 15 и член 21, параграф 1, следва да бъда продължено мълчаливо за допълнителен срок от пет години, както е предвидено в член 22, параграф 2 от Регламента. </w:t>
      </w:r>
    </w:p>
    <w:p>
      <w:pPr>
        <w:jc w:val="both"/>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3450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Arial"/>
          <w:lang w:val="pl-PL"/>
        </w:rPr>
      </w:pPr>
      <w:r>
        <w:rPr>
          <w:rStyle w:val="FootnoteReference"/>
        </w:rPr>
        <w:footnoteRef/>
      </w:r>
      <w:r>
        <w:t xml:space="preserve"> </w:t>
      </w:r>
      <w:r>
        <w:rPr>
          <w:rFonts w:ascii="Times New Roman" w:hAnsi="Times New Roman"/>
        </w:rPr>
        <w:t>ОВ L 150, 20.5.2014 г., стр. 195—230.</w:t>
      </w:r>
    </w:p>
    <w:p>
      <w:pPr>
        <w:pStyle w:val="FootnoteText"/>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50B"/>
    <w:multiLevelType w:val="hybridMultilevel"/>
    <w:tmpl w:val="6B32DE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4E0578"/>
    <w:multiLevelType w:val="hybridMultilevel"/>
    <w:tmpl w:val="FC7CCEE4"/>
    <w:lvl w:ilvl="0" w:tplc="59D01846">
      <w:start w:val="1"/>
      <w:numFmt w:val="bullet"/>
      <w:lvlText w:val="-"/>
      <w:lvlJc w:val="left"/>
      <w:pPr>
        <w:ind w:left="939"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DA3984"/>
    <w:multiLevelType w:val="hybridMultilevel"/>
    <w:tmpl w:val="5E9288C6"/>
    <w:lvl w:ilvl="0" w:tplc="BD529FBC">
      <w:numFmt w:val="bullet"/>
      <w:lvlText w:val="-"/>
      <w:lvlJc w:val="left"/>
      <w:pPr>
        <w:ind w:left="579" w:hanging="360"/>
      </w:pPr>
      <w:rPr>
        <w:rFonts w:ascii="Times New Roman" w:eastAsiaTheme="minorHAnsi" w:hAnsi="Times New Roman" w:cs="Times New Roman"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3">
    <w:nsid w:val="678C3C50"/>
    <w:multiLevelType w:val="hybridMultilevel"/>
    <w:tmpl w:val="F3CA12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A80855"/>
    <w:multiLevelType w:val="hybridMultilevel"/>
    <w:tmpl w:val="8B92C1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EN Philip (CLIMA)">
    <w15:presenceInfo w15:providerId="None" w15:userId="OWEN Philip (C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F4DFC1-9679-4285-A879-D6E442EC8826"/>
    <w:docVar w:name="LW_COVERPAGE_TYPE" w:val="1"/>
    <w:docVar w:name="LW_CROSSREFERENCE" w:val="&lt;UNUSED&gt;"/>
    <w:docVar w:name="LW_DocType" w:val="NORMAL"/>
    <w:docVar w:name="LW_EMISSION" w:val="3.8.2018"/>
    <w:docVar w:name="LW_EMISSION_ISODATE" w:val="2018-08-03"/>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91?\u1087?\u1088?\u1072?\u1078?\u1085?\u1103?\u1074?\u1072?\u1085?\u1077?\u1090?\u1086? \u1085?\u1072? \u1087?\u1088?\u1072?\u1074?\u1086?\u1084?\u1086?\u1097?\u1080?\u1077?\u1090?\u1086? \u1076?\u1072? \u1087?\u1088?\u1080?\u1077?\u1084?\u1072? \u1076?\u1077?\u1083?\u1077?\u1075?\u1080?\u1088?\u1072?\u1085?\u1080? \u1072?\u1082?\u1090?\u1086?\u1074?\u1077?, \u1076?\u1072?\u1076?\u1077?\u1085?\u1086? \u1085?\u1072? \u1050?\u1086?\u1084?\u1080?\u1089?\u1080?\u1103?\u1090?\u1072? \u1089?\u1098?\u1075?\u1083?\u1072?\u1089?\u1085?\u1086? \u1056?\u1077?\u1075?\u1083?\u1072?\u1084?\u1077?\u1085?\u1090? (\u1045?\u1057?) \u8470? 517/2014 \u1079?\u1072? \u1092?\u1083?\u1091?\u1086?\u1088?\u1089?\u1098?\u1076?\u1098?\u1088?\u1078?\u1072?\u1097?\u1080?\u1090?\u1077? \u1087?\u1072?\u1088?\u1085?\u1080?\u1082?\u1086?\u1074?\u1080? \u1075?\u1072?\u1079?\u1086?\u1074?\u1077? \u1080? \u1079?\u1072? \u1086?\u1090?\u1084?\u1103?\u1085?\u1072? \u1085?\u1072? \u1056?\u1077?\u1075?\u1083?\u1072?\u1084?\u1077?\u1085?\u1090? (\u1045?\u1054?) \u8470? 842/2006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EFDB-98AD-4FAB-9889-0B0A1DA4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631</Words>
  <Characters>3522</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2018-05-29T12:25:00Z</dcterms:created>
  <dcterms:modified xsi:type="dcterms:W3CDTF">2018-08-06T08:14:00Z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