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86D3AC5-72F2-429B-84D4-CC9FD43BB4D5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jc w:val="center"/>
        <w:rPr>
          <w:caps/>
          <w:noProof/>
        </w:rPr>
      </w:pPr>
      <w:r>
        <w:rPr>
          <w:caps/>
          <w:noProof/>
        </w:rPr>
        <w:t>Проект на</w:t>
      </w:r>
    </w:p>
    <w:p>
      <w:pPr>
        <w:jc w:val="center"/>
        <w:rPr>
          <w:b/>
          <w:noProof/>
        </w:rPr>
      </w:pPr>
      <w:r>
        <w:rPr>
          <w:b/>
          <w:noProof/>
        </w:rPr>
        <w:t>РЕШЕНИЕ № …/2018 НА КОМИТЕТА ПО СИП</w:t>
      </w:r>
    </w:p>
    <w:p>
      <w:pPr>
        <w:jc w:val="center"/>
        <w:rPr>
          <w:b/>
          <w:noProof/>
        </w:rPr>
      </w:pPr>
      <w:r>
        <w:rPr>
          <w:b/>
          <w:noProof/>
        </w:rPr>
        <w:t>създаден съгласно Временното споразумение за икономическо партньорство между Гана, от една страна, и Европейската общност и нейните държави членки, от друга страна,</w:t>
      </w:r>
    </w:p>
    <w:p>
      <w:pPr>
        <w:jc w:val="center"/>
        <w:rPr>
          <w:b/>
          <w:noProof/>
        </w:rPr>
      </w:pPr>
      <w:r>
        <w:rPr>
          <w:b/>
          <w:noProof/>
        </w:rPr>
        <w:t>от [</w:t>
      </w:r>
      <w:r>
        <w:rPr>
          <w:b/>
          <w:i/>
          <w:noProof/>
        </w:rPr>
        <w:t>дата</w:t>
      </w:r>
      <w:r>
        <w:rPr>
          <w:b/>
          <w:noProof/>
        </w:rPr>
        <w:t>]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във връзка с присъединяването на Република Хърватия към Европейския съюз</w:t>
      </w:r>
    </w:p>
    <w:p>
      <w:pPr>
        <w:rPr>
          <w:noProof/>
        </w:rPr>
      </w:pPr>
      <w:r>
        <w:rPr>
          <w:noProof/>
        </w:rPr>
        <w:t>КОМИТЕТЪТ ПО СИП,</w:t>
      </w:r>
    </w:p>
    <w:p>
      <w:pPr>
        <w:rPr>
          <w:noProof/>
        </w:rPr>
      </w:pPr>
      <w:r>
        <w:rPr>
          <w:noProof/>
        </w:rPr>
        <w:t>като взе предвид Временното споразумение за икономическо партньорство между Гана, от една страна, и Европейската общност и нейните държави членки, от друга страна („Споразумението“), подписано в Брюксел на 28 юли 2016 г., което се прилага временно от 15 декември 2016 г., и по-специално членове 76, 77 и 81,</w:t>
      </w:r>
    </w:p>
    <w:p>
      <w:pPr>
        <w:rPr>
          <w:noProof/>
        </w:rPr>
      </w:pPr>
      <w:r>
        <w:rPr>
          <w:noProof/>
        </w:rPr>
        <w:t>като взе предвид Договора за присъединяване на Република Хърватия към Европейския съюз („Съюза“) и Акта за присъединяване към Споразумението, депозиран от Република Хърватия на 8 ноември 2017 г.,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като има предвид, че: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Споразумението се прилага на териториите, на които се прилага Договорът за функционирането на Европейския съюз, и при условията, определени в посочения договор, от една страна, и на територията на Гана, от друга страна.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Съгласно член 77 от Споразумението Комитетът по СИП може да се произнесе по предприемането на необходимите изменения във връзка с присъединяването на нови държави членки към Съюза,</w:t>
      </w:r>
    </w:p>
    <w:p>
      <w:pPr>
        <w:pStyle w:val="Titrearticle"/>
        <w:jc w:val="both"/>
        <w:rPr>
          <w:i w:val="0"/>
          <w:noProof/>
        </w:rPr>
      </w:pPr>
      <w:r>
        <w:rPr>
          <w:i w:val="0"/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i/>
          <w:noProof/>
        </w:rPr>
      </w:pPr>
      <w:r>
        <w:rPr>
          <w:noProof/>
        </w:rPr>
        <w:t>Като страна по Споразумението Република Хърватия приема и взема предвид по същия начин като останалите държави — членки на Съюза, текстовете на Споразумението, както и приложенията, протоколите и декларациите към него.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i/>
          <w:noProof/>
        </w:rPr>
      </w:pPr>
      <w:r>
        <w:rPr>
          <w:noProof/>
        </w:rPr>
        <w:t xml:space="preserve">Споразумението се изменя, както следва: член 81 се заменя със следното: </w:t>
      </w:r>
    </w:p>
    <w:p>
      <w:pPr>
        <w:pStyle w:val="Titrearticle"/>
        <w:rPr>
          <w:noProof/>
        </w:rPr>
      </w:pPr>
      <w:r>
        <w:rPr>
          <w:noProof/>
        </w:rPr>
        <w:t>„Член 81</w:t>
      </w:r>
    </w:p>
    <w:p>
      <w:pPr>
        <w:jc w:val="center"/>
        <w:rPr>
          <w:b/>
          <w:noProof/>
        </w:rPr>
      </w:pPr>
      <w:r>
        <w:rPr>
          <w:b/>
          <w:noProof/>
        </w:rPr>
        <w:t>Автентични езици</w:t>
      </w:r>
    </w:p>
    <w:p>
      <w:pPr>
        <w:rPr>
          <w:i/>
          <w:noProof/>
        </w:rPr>
      </w:pPr>
      <w:r>
        <w:rPr>
          <w:noProof/>
        </w:rPr>
        <w:t>Настоящото споразумение е изготвено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 и шведски език, като всички текстове са еднакво автентични.“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3</w:t>
      </w:r>
    </w:p>
    <w:p>
      <w:pPr>
        <w:rPr>
          <w:i/>
          <w:noProof/>
        </w:rPr>
      </w:pPr>
      <w:r>
        <w:rPr>
          <w:noProof/>
        </w:rPr>
        <w:t>Съюзът предоставя на Република Гана текста на Споразумението на хърватски език.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Разпоредбите на Споразумението се прилагат за стоките, изнесени от Република Гана за Република Хърватия или от Република Хърватия за Република Гана, които отговарят на правилата за произход в сила на територията на страните по Споразумението и които към 15 декември 2016 г. са били под режим транзит или под режим временно складиране, в митнически склад или в свободна зона в Република Гана или в Република Хърватия.</w:t>
      </w:r>
    </w:p>
    <w:p>
      <w:pPr>
        <w:spacing w:before="0" w:after="0"/>
        <w:rPr>
          <w:noProof/>
        </w:rPr>
      </w:pPr>
      <w:r>
        <w:rPr>
          <w:noProof/>
        </w:rPr>
        <w:t>В случаите по параграф 1 се предоставя преференциално третиране, при условие че в срок до четири месеца, считано от датата на влизане в сила на настоящото решение, на митническите органи на страната вносител бъде предоставено доказателство за произхода, издадено със задна дата от митническите органи на страната износител.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spacing w:before="0" w:after="0"/>
        <w:rPr>
          <w:noProof/>
        </w:rPr>
      </w:pPr>
      <w:r>
        <w:rPr>
          <w:noProof/>
        </w:rPr>
        <w:t>Република Гана се ангажира да не предявява претенции и искания, да не предприема защитни мерки, да не изменя, нито да отменя отстъпки по член ХХIV (6) и член ХХVIII от ГАТТ от 1994 г. или член ХХI от ГАТС във връзка с присъединяването на Република Хърватия към Съюза.</w:t>
      </w:r>
    </w:p>
    <w:p>
      <w:pPr>
        <w:pStyle w:val="Titrearticle"/>
        <w:rPr>
          <w:i w:val="0"/>
          <w:noProof/>
        </w:rPr>
      </w:pPr>
      <w:r>
        <w:rPr>
          <w:noProof/>
        </w:rPr>
        <w:t xml:space="preserve">Член 6 </w:t>
      </w:r>
    </w:p>
    <w:p>
      <w:pPr>
        <w:rPr>
          <w:noProof/>
        </w:rPr>
      </w:pPr>
      <w:r>
        <w:rPr>
          <w:noProof/>
        </w:rPr>
        <w:t>Настоящото решение влиза в сила от датата на подписването му.</w:t>
      </w:r>
    </w:p>
    <w:p>
      <w:pPr>
        <w:rPr>
          <w:noProof/>
        </w:rPr>
      </w:pPr>
      <w:r>
        <w:rPr>
          <w:noProof/>
        </w:rPr>
        <w:t>Въпреки това членове 3 и 4 са приложими от 15 декември 2016 г.</w:t>
      </w:r>
    </w:p>
    <w:p>
      <w:pPr>
        <w:pStyle w:val="Fait"/>
        <w:spacing w:after="840"/>
        <w:rPr>
          <w:noProof/>
        </w:rPr>
      </w:pPr>
      <w:r>
        <w:rPr>
          <w:noProof/>
        </w:rPr>
        <w:t>Съставено в xxx на xxx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jc w:val="left"/>
              <w:rPr>
                <w:noProof/>
              </w:rPr>
            </w:pPr>
            <w:r>
              <w:rPr>
                <w:i/>
                <w:noProof/>
              </w:rPr>
              <w:t xml:space="preserve">За Република Гана </w:t>
            </w:r>
          </w:p>
        </w:tc>
        <w:tc>
          <w:tcPr>
            <w:tcW w:w="4645" w:type="dxa"/>
          </w:tcPr>
          <w:p>
            <w:pPr>
              <w:jc w:val="right"/>
              <w:rPr>
                <w:noProof/>
              </w:rPr>
            </w:pPr>
            <w:r>
              <w:rPr>
                <w:i/>
                <w:noProof/>
              </w:rPr>
              <w:t xml:space="preserve">За Европейския съюз 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106B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A50CC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1D407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1F6E0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F3083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A1C1A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841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252D6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30 15:58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86D3AC5-72F2-429B-84D4-CC9FD43BB4D5"/>
    <w:docVar w:name="LW_COVERPAGE_TYPE" w:val="1"/>
    <w:docVar w:name="LW_CROSSREFERENCE" w:val="&lt;UNUSED&gt;"/>
    <w:docVar w:name="LW_DocType" w:val="ANNEX"/>
    <w:docVar w:name="LW_EMISSION" w:val="6.8.2018"/>
    <w:docVar w:name="LW_EMISSION_ISODATE" w:val="2018-08-0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7?\u1086?\u1079?\u1080?\u1094?\u1080?\u1103?\u1090?\u1072? \u1085?\u1072? \u1045?\u1074?\u1088?\u1086?\u1087?\u1077?\u1081?\u1089?\u1082?\u1080?\u1103? \u1089?\u1098?\u1102?\u1079? \u1089? \u1086?\u1075?\u1083?\u1077?\u1076? \u1087?\u1088?\u1080?\u1077?\u1084?\u1072?\u1085?\u1077?\u1090?\u1086? \u1085?\u1072? \u1088?\u1077?\u1096?\u1077?\u1085?\u1080?\u1077? \u1085?\u1072? \u1050?\u1086?\u1084?\u1080?\u1090?\u1077?\u1090?\u1072? \u1087?\u1086? \u1057?\u1048?\u1055?, \u1089?\u1098?\u1079?\u1076?\u1072?\u1076?\u1077?\u1085? \u1089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3?\u1072?\u1085?\u107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OBJETACTEPRINCIPAL.CP" w:val="\u1079?\u1072? \u1091?\u1089?\u1090?\u1072?\u1085?\u1086?\u1074?\u1103?\u1074?\u1072?\u1085?\u1077? \u1085?\u1072? \u1087?\u1086?\u1079?\u1080?\u1094?\u1080?\u1103?\u1090?\u1072? \u1085?\u1072? \u1045?\u1074?\u1088?\u1086?\u1087?\u1077?\u1081?\u1089?\u1082?\u1080?\u1103? \u1089?\u1098?\u1102?\u1079? \u1089? \u1086?\u1075?\u1083?\u1077?\u1076? \u1087?\u1088?\u1080?\u1077?\u1084?\u1072?\u1085?\u1077?\u1090?\u1086? \u1085?\u1072? \u1088?\u1077?\u1096?\u1077?\u1085?\u1080?\u1077? \u1085?\u1072? \u1050?\u1086?\u1084?\u1080?\u1090?\u1077?\u1090?\u1072? \u1087?\u1086? \u1057?\u1048?\u1055?, \u1089?\u1098?\u1079?\u1076?\u1072?\u1076?\u1077?\u1085? \u1089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3?\u1072?\u1085?\u107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8) 5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_x000b_"/>
    <w:docVar w:name="LW_TYPEACTEPRINCIPAL.CP" w:val="\u1055?\u1088?\u1077?\u1076?\u1083?\u1086?\u1078?\u1077?\u1085?\u1080?\u1077? \u1079?\u1072? \u1056?\u1077?\u1096?\u1077?\u1085?\u1080?\u1077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498</Words>
  <Characters>2783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2018-07-25T10:58:00Z</dcterms:created>
  <dcterms:modified xsi:type="dcterms:W3CDTF">2018-07-30T13:58:00Z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