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94896AD-6E01-4C01-9F90-4A6F0B60EF29" style="width:450.75pt;height:333.75pt">
            <v:imagedata r:id="rId9" o:title=""/>
          </v:shape>
        </w:pict>
      </w:r>
    </w:p>
    <w:bookmarkEnd w:id="0"/>
    <w:p>
      <w:pPr>
        <w:spacing w:after="240"/>
        <w:jc w:val="both"/>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keepLines/>
        <w:spacing w:after="240"/>
        <w:jc w:val="both"/>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Въведение</w:t>
      </w:r>
    </w:p>
    <w:p>
      <w:pPr>
        <w:spacing w:after="240"/>
        <w:jc w:val="both"/>
        <w:rPr>
          <w:rFonts w:ascii="Times New Roman" w:hAnsi="Times New Roman"/>
          <w:noProof/>
          <w:sz w:val="24"/>
          <w:szCs w:val="24"/>
        </w:rPr>
      </w:pPr>
      <w:r>
        <w:rPr>
          <w:rFonts w:ascii="Times New Roman" w:hAnsi="Times New Roman"/>
          <w:noProof/>
          <w:sz w:val="24"/>
          <w:szCs w:val="24"/>
        </w:rPr>
        <w:t>Тихоокеанският регион включва 15 държави от групата на държавите от Африка, Карибите и Тихоокеанския басейн (АКТБ) и четири отвъдморските страни и територии (OCT). Регионът има обща сухоземна площ от 580 000 km</w:t>
      </w:r>
      <w:r>
        <w:rPr>
          <w:rFonts w:ascii="Times New Roman" w:hAnsi="Times New Roman"/>
          <w:noProof/>
          <w:sz w:val="24"/>
          <w:szCs w:val="24"/>
          <w:vertAlign w:val="superscript"/>
        </w:rPr>
        <w:t>2</w:t>
      </w:r>
      <w:r>
        <w:rPr>
          <w:rFonts w:ascii="Times New Roman" w:hAnsi="Times New Roman"/>
          <w:noProof/>
          <w:sz w:val="24"/>
          <w:szCs w:val="24"/>
        </w:rPr>
        <w:t xml:space="preserve"> и много обширна изключителна икономическа зона (ИИЗ) от близо 30 милиона km</w:t>
      </w:r>
      <w:r>
        <w:rPr>
          <w:rFonts w:ascii="Times New Roman" w:hAnsi="Times New Roman"/>
          <w:noProof/>
          <w:sz w:val="24"/>
          <w:szCs w:val="24"/>
          <w:vertAlign w:val="superscript"/>
        </w:rPr>
        <w:t>2</w:t>
      </w:r>
      <w:r>
        <w:rPr>
          <w:rFonts w:ascii="Times New Roman" w:hAnsi="Times New Roman"/>
          <w:noProof/>
          <w:sz w:val="24"/>
          <w:szCs w:val="24"/>
        </w:rPr>
        <w:t xml:space="preserve"> при общо население от около 12 милиона души, сред които над 500 000 граждани на ЕС.</w:t>
      </w:r>
    </w:p>
    <w:p>
      <w:pPr>
        <w:autoSpaceDE w:val="0"/>
        <w:autoSpaceDN w:val="0"/>
        <w:adjustRightInd w:val="0"/>
        <w:spacing w:after="240"/>
        <w:jc w:val="both"/>
        <w:rPr>
          <w:rFonts w:ascii="Times New Roman" w:hAnsi="Times New Roman"/>
          <w:bCs/>
          <w:noProof/>
          <w:sz w:val="24"/>
          <w:szCs w:val="24"/>
        </w:rPr>
      </w:pPr>
      <w:r>
        <w:rPr>
          <w:rFonts w:ascii="Times New Roman" w:hAnsi="Times New Roman"/>
          <w:noProof/>
          <w:sz w:val="24"/>
          <w:szCs w:val="24"/>
        </w:rPr>
        <w:t>ЕС има стратегически интереси в Тихоокеанския регион. Заедно ЕС и 15-те тихоокеански държави от групата на АКТБ съставляват силна коалиция за борба с изменението на климата и решаването на други глобални въпроси, сред които и управлението на океаните. Тихоокеанският регион също така носи икономически и търговски възможности за ЕС, по-специално по отношение на рибарството</w:t>
      </w:r>
      <w:r>
        <w:rPr>
          <w:rStyle w:val="FootnoteReference"/>
          <w:rFonts w:ascii="Times New Roman" w:hAnsi="Times New Roman"/>
          <w:noProof/>
          <w:sz w:val="24"/>
          <w:szCs w:val="24"/>
        </w:rPr>
        <w:footnoteReference w:id="2"/>
      </w:r>
      <w:r>
        <w:rPr>
          <w:rFonts w:ascii="Times New Roman" w:hAnsi="Times New Roman"/>
          <w:noProof/>
          <w:sz w:val="24"/>
          <w:szCs w:val="24"/>
        </w:rPr>
        <w:t xml:space="preserve"> и минералите. По-тесните връзки с тихоокеанските държави ще засилят също сътрудничеството на ЕС с Австралия и Нова Зеландия в региона. </w:t>
      </w:r>
    </w:p>
    <w:p>
      <w:pPr>
        <w:autoSpaceDE w:val="0"/>
        <w:autoSpaceDN w:val="0"/>
        <w:adjustRightInd w:val="0"/>
        <w:spacing w:after="240"/>
        <w:jc w:val="both"/>
        <w:rPr>
          <w:rFonts w:ascii="Times New Roman" w:hAnsi="Times New Roman"/>
          <w:bCs/>
          <w:noProof/>
          <w:sz w:val="24"/>
          <w:szCs w:val="24"/>
        </w:rPr>
      </w:pPr>
      <w:r>
        <w:rPr>
          <w:rFonts w:ascii="Times New Roman" w:hAnsi="Times New Roman"/>
          <w:noProof/>
          <w:sz w:val="24"/>
          <w:szCs w:val="24"/>
        </w:rPr>
        <w:t xml:space="preserve">Тихоокеанският регион представлява възможност за използването, по координиран и всеобхватен начин, на редица различни компоненти на външната дейност на ЕС, в това число общата външна политика и политика на сигурност, политиката на ЕС за развитие и икономическата дипломация. Предвид факта, че много малко държави членки имат представителства в държавите от Тихоокеанския регион, установяването на по-тесни връзки с Тихоокеанската общност (SPC), наричана по-рано „Комисията за южната част на Тихия океан“, ще бъде също така начин за засилване на сътрудничеството на ЕС с държавите от този регион.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ЕС изпълнява част от своите регионални и двустранни програми чрез регионални организации в Тихоокеанския регион. SPC е главната изпълняваща организация за програмите на ЕС в Тихоокеанския регион. На 11 февруари 2016 г. с писмо до ръководителя на делегацията на ЕС за Тихоокеанския регион във Фиджи SPC покани ЕС да стане постоянен наблюдател. Това представлява възможност за укрепване на партньорството между ЕС и SPC и за засилване на диалога за политиките, който ЕС води със SPC по регионални въпроси.</w:t>
      </w:r>
    </w:p>
    <w:p>
      <w:pPr>
        <w:pStyle w:val="Bodytext20"/>
        <w:keepNext/>
        <w:keepLines/>
        <w:shd w:val="clear" w:color="auto" w:fill="auto"/>
        <w:spacing w:before="0" w:after="240" w:line="240" w:lineRule="auto"/>
        <w:ind w:firstLine="0"/>
        <w:rPr>
          <w:rFonts w:ascii="Times New Roman" w:hAnsi="Times New Roman" w:cs="Times New Roman"/>
          <w:b/>
          <w:noProof/>
          <w:sz w:val="24"/>
          <w:szCs w:val="24"/>
        </w:rPr>
      </w:pPr>
      <w:r>
        <w:rPr>
          <w:rFonts w:ascii="Times New Roman" w:hAnsi="Times New Roman" w:cs="Times New Roman"/>
          <w:b/>
          <w:noProof/>
          <w:sz w:val="24"/>
          <w:szCs w:val="24"/>
        </w:rPr>
        <w:t xml:space="preserve">Тихоокеанската общност (SPC)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 xml:space="preserve">SPC е създадена по силата на Споразумението от Канбера през 1947 г. Тя е главната регионална изпълняваща организация и играе активна роля за приобщаващото регионално развитие, сътрудничеството и интеграцията в Тихоокеанския регион. Понастоящем тя наброява 26 членове: Австралия, Американска Самоа, Вануату, Гуам, Кирибати, Маршалови острови, Науру, Нова Каледония, Нова Зеландия, Ниуе, Острови Кук, Острови Питкерн, Палау, Папуа-Нова Гвинея, Самоа, Северни Мариански острови, Соломонови острови, Съединени американски щати, Токелау, Тонга, Тувалу, Уолис и Футуна, Федеративни щати Микронезия, Фиджи, Франция и Френска Полинезия.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 xml:space="preserve">С цел да се способства за по-тясното и по-съществено взаимодействие с образувания, </w:t>
      </w:r>
      <w:r>
        <w:rPr>
          <w:rFonts w:ascii="Times New Roman" w:hAnsi="Times New Roman" w:cs="Times New Roman"/>
          <w:noProof/>
          <w:sz w:val="24"/>
          <w:szCs w:val="24"/>
        </w:rPr>
        <w:lastRenderedPageBreak/>
        <w:t>които не желаят или не отговарят на условията за членство в Тихоокеанската общност, общността прие през ноември 2015 г., по време на 9</w:t>
      </w:r>
      <w:r>
        <w:rPr>
          <w:rFonts w:ascii="Times New Roman" w:hAnsi="Times New Roman" w:cs="Times New Roman"/>
          <w:noProof/>
          <w:sz w:val="24"/>
          <w:szCs w:val="24"/>
          <w:vertAlign w:val="superscript"/>
        </w:rPr>
        <w:t>-ата</w:t>
      </w:r>
      <w:r>
        <w:rPr>
          <w:rFonts w:ascii="Times New Roman" w:hAnsi="Times New Roman" w:cs="Times New Roman"/>
          <w:noProof/>
          <w:sz w:val="24"/>
          <w:szCs w:val="24"/>
        </w:rPr>
        <w:t xml:space="preserve"> си конференция, нова </w:t>
      </w:r>
      <w:hyperlink r:id="rId16">
        <w:r>
          <w:rPr>
            <w:rStyle w:val="Hyperlink"/>
            <w:rFonts w:ascii="Times New Roman" w:hAnsi="Times New Roman" w:cs="Times New Roman"/>
            <w:noProof/>
            <w:color w:val="auto"/>
            <w:sz w:val="24"/>
            <w:szCs w:val="24"/>
            <w:u w:val="none"/>
          </w:rPr>
          <w:t>Политика относно членството и статута на наблюдател</w:t>
        </w:r>
      </w:hyperlink>
      <w:r>
        <w:rPr>
          <w:rFonts w:ascii="Times New Roman" w:hAnsi="Times New Roman" w:cs="Times New Roman"/>
          <w:noProof/>
          <w:sz w:val="24"/>
          <w:szCs w:val="24"/>
        </w:rPr>
        <w:t xml:space="preserve"> [ SPC/CRGA 45 (15)], като създаде категорията „постоянни наблюдатели към Тихоокеанската общност“. </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Отчитайки значението на координирания подход към политиката за развитие и планирането в тази област, Европейската комисия и SPC засилиха сътрудничеството си, като</w:t>
      </w:r>
      <w:r>
        <w:rPr>
          <w:rStyle w:val="Bodytext2Bold"/>
          <w:rFonts w:eastAsiaTheme="minorHAnsi"/>
          <w:noProof/>
          <w:color w:val="auto"/>
        </w:rPr>
        <w:t xml:space="preserve"> </w:t>
      </w:r>
      <w:r>
        <w:rPr>
          <w:rFonts w:ascii="Times New Roman" w:hAnsi="Times New Roman" w:cs="Times New Roman"/>
          <w:noProof/>
          <w:sz w:val="24"/>
          <w:szCs w:val="24"/>
        </w:rPr>
        <w:t xml:space="preserve"> подписаха на 16 юни 2015 г. </w:t>
      </w:r>
      <w:hyperlink r:id="rId17">
        <w:r>
          <w:rPr>
            <w:rStyle w:val="Hyperlink"/>
            <w:rFonts w:ascii="Times New Roman" w:hAnsi="Times New Roman" w:cs="Times New Roman"/>
            <w:noProof/>
            <w:color w:val="auto"/>
            <w:sz w:val="24"/>
            <w:szCs w:val="24"/>
            <w:u w:val="none"/>
          </w:rPr>
          <w:t>административна договореност</w:t>
        </w:r>
      </w:hyperlink>
      <w:r>
        <w:rPr>
          <w:rFonts w:ascii="Times New Roman" w:hAnsi="Times New Roman" w:cs="Times New Roman"/>
          <w:noProof/>
          <w:sz w:val="24"/>
          <w:szCs w:val="24"/>
        </w:rPr>
        <w:t xml:space="preserve"> за установяване на партньорство</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В този контекст Комисията получи неформална покана да участва като наблюдател в годишните управленски заседания на SPC. След като прие новата си Политика относно членството и статута на наблюдател, на 11 февруари 2016 г. SPC </w:t>
      </w:r>
      <w:hyperlink r:id="rId18">
        <w:r>
          <w:rPr>
            <w:rStyle w:val="Hyperlink"/>
            <w:rFonts w:ascii="Times New Roman" w:hAnsi="Times New Roman" w:cs="Times New Roman"/>
            <w:noProof/>
            <w:color w:val="auto"/>
            <w:sz w:val="24"/>
            <w:szCs w:val="24"/>
            <w:u w:val="none"/>
          </w:rPr>
          <w:t>покани</w:t>
        </w:r>
      </w:hyperlink>
      <w:r>
        <w:rPr>
          <w:rFonts w:ascii="Times New Roman" w:hAnsi="Times New Roman" w:cs="Times New Roman"/>
          <w:noProof/>
          <w:sz w:val="24"/>
          <w:szCs w:val="24"/>
        </w:rPr>
        <w:t xml:space="preserve"> Европейския съюз да стане първият постоянен наблюдател към Тихоокеанската общност.</w:t>
      </w:r>
    </w:p>
    <w:p>
      <w:pPr>
        <w:keepNext/>
        <w:keepLines/>
        <w:spacing w:after="240"/>
        <w:jc w:val="both"/>
        <w:rPr>
          <w:rFonts w:ascii="Times New Roman" w:hAnsi="Times New Roman"/>
          <w:noProof/>
          <w:sz w:val="24"/>
          <w:szCs w:val="24"/>
        </w:rPr>
      </w:pPr>
      <w:r>
        <w:rPr>
          <w:rFonts w:ascii="Times New Roman" w:hAnsi="Times New Roman"/>
          <w:b/>
          <w:noProof/>
          <w:sz w:val="24"/>
          <w:szCs w:val="24"/>
        </w:rPr>
        <w:t>Статутът на постоянен наблюдател към Тихоокеанската общност</w:t>
      </w:r>
    </w:p>
    <w:p>
      <w:pPr>
        <w:pStyle w:val="Bodytext20"/>
        <w:shd w:val="clear" w:color="auto" w:fill="auto"/>
        <w:tabs>
          <w:tab w:val="left" w:pos="696"/>
        </w:tabs>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 xml:space="preserve">Статутът на постоянен наблюдател е предназначен да привлече за участие образувания във или извън рамките на Тихоокеанския регион, които имат желанието и капацитета за съществено взаимодействие с Тихоокеанската общност, но не желаят или не отговарят на условията за статут на член. </w:t>
      </w:r>
    </w:p>
    <w:p>
      <w:pPr>
        <w:spacing w:after="240"/>
        <w:jc w:val="both"/>
        <w:rPr>
          <w:rFonts w:ascii="Times New Roman" w:hAnsi="Times New Roman"/>
          <w:noProof/>
          <w:sz w:val="24"/>
          <w:szCs w:val="24"/>
        </w:rPr>
      </w:pPr>
      <w:r>
        <w:rPr>
          <w:rFonts w:ascii="Times New Roman" w:hAnsi="Times New Roman"/>
          <w:noProof/>
          <w:sz w:val="24"/>
          <w:szCs w:val="24"/>
        </w:rPr>
        <w:t>Както се посочва в Политиката относно членството и статута на наблюдател на Тихоокеанската общност (наричана по-нататък „Политиката“), постоянните наблюдатели могат да очакват следното третиране:</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szCs w:val="24"/>
        </w:rPr>
        <w:t>Постоянните наблюдатели могат да присъстват на заседанията на Комитета на представителите на правителствата и администрациите</w:t>
      </w:r>
      <w:r>
        <w:rPr>
          <w:rStyle w:val="FootnoteReference"/>
          <w:rFonts w:ascii="Times New Roman" w:hAnsi="Times New Roman"/>
          <w:noProof/>
          <w:sz w:val="24"/>
          <w:szCs w:val="24"/>
        </w:rPr>
        <w:footnoteReference w:id="4"/>
      </w:r>
      <w:r>
        <w:rPr>
          <w:rFonts w:ascii="Times New Roman" w:hAnsi="Times New Roman"/>
          <w:noProof/>
          <w:sz w:val="24"/>
          <w:szCs w:val="24"/>
        </w:rPr>
        <w:t xml:space="preserve"> (КППА) и на Конференцията</w:t>
      </w:r>
      <w:r>
        <w:rPr>
          <w:rStyle w:val="FootnoteReference"/>
          <w:rFonts w:ascii="Times New Roman" w:hAnsi="Times New Roman"/>
          <w:noProof/>
          <w:sz w:val="24"/>
          <w:szCs w:val="24"/>
        </w:rPr>
        <w:footnoteReference w:id="5"/>
      </w:r>
      <w:r>
        <w:rPr>
          <w:rFonts w:ascii="Times New Roman" w:hAnsi="Times New Roman"/>
          <w:noProof/>
          <w:sz w:val="24"/>
          <w:szCs w:val="24"/>
        </w:rPr>
        <w:t xml:space="preserve"> и други заседания на SPC. С разрешение на председателя те могат да участват в обсъжданията и дебатите.</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szCs w:val="24"/>
        </w:rPr>
        <w:t>Постоянните наблюдатели могат да представят предложения на заседанията на SPC. Тези предложения се представят на членовете на Тихоокеанската общност за вземане на решение по тях само при искане на поне един член на Тихоокеанската общност.</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szCs w:val="24"/>
        </w:rPr>
        <w:t>Председателят на заседанието може да реши по целесъобразност да предостави на даден постоянен наблюдател допълнително време за изказване за отговор във връзка с представени от него позиции или предложения.</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szCs w:val="24"/>
        </w:rPr>
        <w:t>Постоянните наблюдатели могат, по преценка на членовете на Тихоокеанската общност и секретариата на SPC, да бъдат поканени да участват в работни групи, създадени от управителния орган или от секретариата, при спазване на обичайните процедури, уреждащи състава на тези работни групи.</w:t>
      </w:r>
    </w:p>
    <w:p>
      <w:pPr>
        <w:pStyle w:val="ListParagraph"/>
        <w:numPr>
          <w:ilvl w:val="0"/>
          <w:numId w:val="3"/>
        </w:numPr>
        <w:spacing w:after="240"/>
        <w:contextualSpacing w:val="0"/>
        <w:jc w:val="both"/>
        <w:rPr>
          <w:rFonts w:ascii="Times New Roman" w:hAnsi="Times New Roman"/>
          <w:noProof/>
          <w:sz w:val="24"/>
          <w:szCs w:val="24"/>
        </w:rPr>
      </w:pPr>
      <w:r>
        <w:rPr>
          <w:rFonts w:ascii="Times New Roman" w:hAnsi="Times New Roman"/>
          <w:noProof/>
          <w:sz w:val="24"/>
          <w:szCs w:val="24"/>
        </w:rPr>
        <w:lastRenderedPageBreak/>
        <w:t xml:space="preserve">Секретариатът на SPC възнамерява да уведомява всички постоянни наблюдатели за работни срещи, семинари и други </w:t>
      </w:r>
      <w:r>
        <w:rPr>
          <w:rFonts w:ascii="Times New Roman" w:hAnsi="Times New Roman"/>
          <w:i/>
          <w:noProof/>
          <w:sz w:val="24"/>
          <w:szCs w:val="24"/>
        </w:rPr>
        <w:t>ad hoc</w:t>
      </w:r>
      <w:r>
        <w:rPr>
          <w:rFonts w:ascii="Times New Roman" w:hAnsi="Times New Roman"/>
          <w:noProof/>
          <w:sz w:val="24"/>
          <w:szCs w:val="24"/>
        </w:rPr>
        <w:t xml:space="preserve"> срещи на членовете, свикани от Тихоокеанската общност и нейния секретариат, както и да отправя покани до постоянните наблюдатели във връзка с такива събития.</w:t>
      </w:r>
    </w:p>
    <w:p>
      <w:pPr>
        <w:pStyle w:val="Bodytext20"/>
        <w:shd w:val="clear" w:color="auto" w:fill="auto"/>
        <w:tabs>
          <w:tab w:val="left" w:pos="696"/>
        </w:tabs>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Предоставянето на статут на постоянен наблюдател се извършва при спазване на следната процедура, която е подробно описана в Политиката:</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szCs w:val="24"/>
        </w:rPr>
        <w:t xml:space="preserve">Подаване на писмено заявление до Конференцията на Тихоокеанската общност, адресирано до генералния директор на секретариата, в което заявителят излага сбито доколко критериите за получаване на статут на постоянен наблюдател са изпълнени. </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szCs w:val="24"/>
        </w:rPr>
        <w:t>Оценка на заявлението от страна на секретариата и препоръка до председателя на Конференцията и всички членове на SPC.</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szCs w:val="24"/>
        </w:rPr>
        <w:t>Оценка на заявлението от страна на Комитета на представителите на правителствата и администрациите (КППА) и препоръка до Конференцията.</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szCs w:val="24"/>
        </w:rPr>
        <w:t>Решение, прието от Конференцията с консенсус.</w:t>
      </w:r>
    </w:p>
    <w:p>
      <w:pPr>
        <w:pStyle w:val="ListParagraph"/>
        <w:numPr>
          <w:ilvl w:val="0"/>
          <w:numId w:val="9"/>
        </w:numPr>
        <w:spacing w:after="240"/>
        <w:contextualSpacing w:val="0"/>
        <w:jc w:val="both"/>
        <w:rPr>
          <w:rFonts w:ascii="Times New Roman" w:hAnsi="Times New Roman"/>
          <w:noProof/>
          <w:sz w:val="24"/>
          <w:szCs w:val="24"/>
        </w:rPr>
      </w:pPr>
      <w:r>
        <w:rPr>
          <w:rFonts w:ascii="Times New Roman" w:hAnsi="Times New Roman"/>
          <w:noProof/>
          <w:sz w:val="24"/>
          <w:szCs w:val="24"/>
        </w:rPr>
        <w:t>Уведомяване на заявителя за решението от страна на генералния директор на секретариата.</w:t>
      </w:r>
    </w:p>
    <w:p>
      <w:pPr>
        <w:spacing w:after="240"/>
        <w:jc w:val="both"/>
        <w:rPr>
          <w:rFonts w:ascii="Times New Roman" w:hAnsi="Times New Roman"/>
          <w:noProof/>
          <w:sz w:val="24"/>
          <w:szCs w:val="24"/>
        </w:rPr>
      </w:pPr>
      <w:r>
        <w:rPr>
          <w:rFonts w:ascii="Times New Roman" w:hAnsi="Times New Roman"/>
          <w:noProof/>
          <w:sz w:val="24"/>
          <w:szCs w:val="24"/>
        </w:rPr>
        <w:t xml:space="preserve">Въпреки че се очаква постоянните наблюдатели да финансират собственото си участие в заседанията на Тихоокеанската общност, по изключение от точка 37 от Политиката годишната вноска в бюджета на </w:t>
      </w:r>
      <w:r>
        <w:rPr>
          <w:rStyle w:val="Bodytext2Bold"/>
          <w:rFonts w:eastAsiaTheme="minorHAnsi"/>
          <w:b w:val="0"/>
          <w:noProof/>
          <w:color w:val="auto"/>
        </w:rPr>
        <w:t>Тихоокеанската общност</w:t>
      </w:r>
      <w:r>
        <w:rPr>
          <w:rFonts w:ascii="Times New Roman" w:hAnsi="Times New Roman"/>
          <w:noProof/>
          <w:sz w:val="24"/>
          <w:szCs w:val="24"/>
        </w:rPr>
        <w:t xml:space="preserve"> може да отпадне с решение на Конференцията, ако постоянният наблюдател предоставя значителна финансова подкрепа за програмите на SPC чрез други механизми. С оглед на съществения финансов принос на ЕС в региона (вж. по-долу) заявлението за получаване на статут на постоянен наблюдател ще бъде подадено с условие Конференцията да го освободи от годишната му вноска в бюджета на SPC.</w:t>
      </w:r>
    </w:p>
    <w:p>
      <w:pPr>
        <w:spacing w:after="240"/>
        <w:jc w:val="both"/>
        <w:rPr>
          <w:rFonts w:ascii="Times New Roman" w:hAnsi="Times New Roman"/>
          <w:noProof/>
          <w:sz w:val="24"/>
          <w:szCs w:val="24"/>
        </w:rPr>
      </w:pPr>
      <w:r>
        <w:rPr>
          <w:rFonts w:ascii="Times New Roman" w:hAnsi="Times New Roman"/>
          <w:noProof/>
          <w:sz w:val="24"/>
          <w:szCs w:val="24"/>
        </w:rPr>
        <w:t xml:space="preserve">Процедурата за получаване на статут на постоянен наблюдател е с административен характер. Статутът на постоянен наблюдател като такъв не предоставя никакви материални права, нито създава задължения. В съответствие с член 17, параграф 1 от Договора за Европейския съюз Комисията следва да представлява Съюза в SPC. </w:t>
      </w:r>
    </w:p>
    <w:p>
      <w:pPr>
        <w:pStyle w:val="Bodytext20"/>
        <w:keepNext/>
        <w:keepLines/>
        <w:shd w:val="clear" w:color="auto" w:fill="auto"/>
        <w:tabs>
          <w:tab w:val="left" w:pos="696"/>
        </w:tabs>
        <w:spacing w:before="0" w:after="240" w:line="240" w:lineRule="auto"/>
        <w:ind w:firstLine="0"/>
        <w:rPr>
          <w:rFonts w:ascii="Times New Roman" w:hAnsi="Times New Roman" w:cs="Times New Roman"/>
          <w:b/>
          <w:noProof/>
          <w:sz w:val="24"/>
          <w:szCs w:val="24"/>
        </w:rPr>
      </w:pPr>
      <w:r>
        <w:rPr>
          <w:rFonts w:ascii="Times New Roman" w:hAnsi="Times New Roman" w:cs="Times New Roman"/>
          <w:b/>
          <w:noProof/>
          <w:sz w:val="24"/>
          <w:szCs w:val="24"/>
        </w:rPr>
        <w:t>Цели</w:t>
      </w:r>
    </w:p>
    <w:p>
      <w:pPr>
        <w:pStyle w:val="Bodytext20"/>
        <w:shd w:val="clear" w:color="auto" w:fill="auto"/>
        <w:spacing w:before="0" w:after="240" w:line="240" w:lineRule="auto"/>
        <w:ind w:firstLine="0"/>
        <w:rPr>
          <w:rFonts w:ascii="Times New Roman" w:hAnsi="Times New Roman" w:cs="Times New Roman"/>
          <w:noProof/>
          <w:sz w:val="24"/>
          <w:szCs w:val="24"/>
        </w:rPr>
      </w:pPr>
      <w:r>
        <w:rPr>
          <w:rFonts w:ascii="Times New Roman" w:hAnsi="Times New Roman" w:cs="Times New Roman"/>
          <w:noProof/>
          <w:sz w:val="24"/>
          <w:szCs w:val="24"/>
        </w:rPr>
        <w:t>Комисията и SPC са развили дългогодишното сътрудничество с цел подпомагане на развитието в тихоокеанските островни държави и територии</w:t>
      </w:r>
      <w:r>
        <w:rPr>
          <w:rStyle w:val="CommentReference"/>
          <w:rFonts w:ascii="Times New Roman" w:hAnsi="Times New Roman" w:cs="Times New Roman"/>
          <w:noProof/>
          <w:sz w:val="24"/>
          <w:szCs w:val="24"/>
        </w:rPr>
        <w:t>.</w:t>
      </w:r>
      <w:r>
        <w:rPr>
          <w:rFonts w:ascii="Times New Roman" w:hAnsi="Times New Roman" w:cs="Times New Roman"/>
          <w:noProof/>
          <w:sz w:val="24"/>
          <w:szCs w:val="24"/>
        </w:rPr>
        <w:t xml:space="preserve"> Дейностите на ЕС, подкрепяни чрез Тихоокеанската общност, досега са дали възможност за справянето с предизвикателства и за насърчаването на релевантни възможности, наред с другото, в областите на изменението на климата, намаляването на риска от бедствия, рибарството, развитието на търговията, устойчивата енергетика, културата, правата на човека и дълбоководните минерали. През 2017 г. ЕС отпусна около 160 милиона евро за програми за развитие за държавите от Тихоокеанския регион. </w:t>
      </w:r>
    </w:p>
    <w:p>
      <w:pPr>
        <w:pStyle w:val="Bodytext20"/>
        <w:shd w:val="clear" w:color="auto" w:fill="auto"/>
        <w:tabs>
          <w:tab w:val="left" w:pos="696"/>
        </w:tabs>
        <w:spacing w:before="0" w:after="240" w:line="240" w:lineRule="auto"/>
        <w:ind w:firstLine="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Регионалният мандат на SPC е тясно съгласуван с ключови сектори в Тихоокеанския регион, а също така и с акцентите на помощта на ЕС за развитие. </w:t>
      </w:r>
      <w:r>
        <w:rPr>
          <w:rFonts w:ascii="Times New Roman" w:hAnsi="Times New Roman" w:cs="Times New Roman"/>
          <w:noProof/>
          <w:sz w:val="24"/>
          <w:szCs w:val="24"/>
        </w:rPr>
        <w:t xml:space="preserve">SPC е най-големият партньор на ЕС по изпълнението в Тихоокеанския регион и регионална организация от </w:t>
      </w:r>
      <w:r>
        <w:rPr>
          <w:rFonts w:ascii="Times New Roman" w:hAnsi="Times New Roman" w:cs="Times New Roman"/>
          <w:noProof/>
          <w:sz w:val="24"/>
          <w:szCs w:val="24"/>
        </w:rPr>
        <w:lastRenderedPageBreak/>
        <w:t>ключово значение, що се отнася до утвърждаването на взаимните интереси. На годишна основа ЕС предоставя на SPC средно 30 милиона евро. През 2016 г. това е представлявало близо 40 % от годишните разходи на SPC. Значителната подкрепа, предоставяна от Комисията на SPC, също е аргумент за по-тясното взаимодействие между двете институции.</w:t>
      </w:r>
    </w:p>
    <w:p>
      <w:pPr>
        <w:pStyle w:val="Bodytext20"/>
        <w:shd w:val="clear" w:color="auto" w:fill="auto"/>
        <w:tabs>
          <w:tab w:val="left" w:pos="696"/>
        </w:tabs>
        <w:spacing w:before="0" w:after="240" w:line="240" w:lineRule="auto"/>
        <w:ind w:firstLine="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Като цяло статутът на постоянен наблюдател представлява </w:t>
      </w:r>
      <w:r>
        <w:rPr>
          <w:rFonts w:ascii="Times New Roman" w:hAnsi="Times New Roman" w:cs="Times New Roman"/>
          <w:b/>
          <w:noProof/>
          <w:color w:val="000000" w:themeColor="text1"/>
          <w:sz w:val="24"/>
          <w:szCs w:val="24"/>
        </w:rPr>
        <w:t>възможност за ЕС да повиши съгласуваността и ефикасността, а също така и качеството, видимостта и въздействието на дейностите на Комисията и SPC</w:t>
      </w:r>
      <w:r>
        <w:rPr>
          <w:rFonts w:ascii="Times New Roman" w:hAnsi="Times New Roman" w:cs="Times New Roman"/>
          <w:noProof/>
          <w:color w:val="000000" w:themeColor="text1"/>
          <w:sz w:val="24"/>
          <w:szCs w:val="24"/>
        </w:rPr>
        <w:t>.</w:t>
      </w:r>
      <w:r>
        <w:rPr>
          <w:rFonts w:ascii="Times New Roman" w:hAnsi="Times New Roman" w:cs="Times New Roman"/>
          <w:b/>
          <w:noProof/>
          <w:color w:val="000000" w:themeColor="text1"/>
          <w:sz w:val="24"/>
          <w:szCs w:val="24"/>
        </w:rPr>
        <w:t xml:space="preserve"> Той ще спомогне и за укрепване на диалога за политиката, воден от Комисията със SPC по регионални въпроси</w:t>
      </w:r>
      <w:r>
        <w:rPr>
          <w:rFonts w:ascii="Times New Roman" w:hAnsi="Times New Roman" w:cs="Times New Roman"/>
          <w:noProof/>
          <w:color w:val="000000" w:themeColor="text1"/>
          <w:sz w:val="24"/>
          <w:szCs w:val="24"/>
        </w:rPr>
        <w:t>. Освен това статутът на постоянен наблюдател ще засили сътрудничеството на ЕС с Тихоокеанската общност, което би могло да бъде от взаимен интерес с оглед на предстоящите преговори с държавите от АКТБ относно Споразумението за партньорство след Котону. Предвид това, че една държава — членка на ЕС (Франция), вече е пълноправен член на SPC (редом с Австралия, Нова Зеландия и Съединените американски щати), придобиването от Комисията на статут на постоянен наблюдател би предоставило на ЕС възможности да разшири партньорствата си в региона.</w:t>
      </w:r>
    </w:p>
    <w:p>
      <w:pPr>
        <w:keepNext/>
        <w:keepLines/>
        <w:spacing w:after="240"/>
        <w:jc w:val="both"/>
        <w:rPr>
          <w:rFonts w:ascii="Times New Roman" w:hAnsi="Times New Roman"/>
          <w:b/>
          <w:noProof/>
          <w:sz w:val="24"/>
          <w:szCs w:val="24"/>
        </w:rPr>
      </w:pPr>
      <w:r>
        <w:rPr>
          <w:rFonts w:ascii="Times New Roman" w:hAnsi="Times New Roman"/>
          <w:b/>
          <w:noProof/>
          <w:sz w:val="24"/>
          <w:szCs w:val="24"/>
        </w:rPr>
        <w:t>Заключение</w:t>
      </w:r>
    </w:p>
    <w:p>
      <w:pPr>
        <w:spacing w:after="240"/>
        <w:jc w:val="both"/>
        <w:rPr>
          <w:rFonts w:ascii="Times New Roman" w:hAnsi="Times New Roman"/>
          <w:noProof/>
          <w:sz w:val="24"/>
          <w:szCs w:val="24"/>
        </w:rPr>
      </w:pPr>
      <w:r>
        <w:rPr>
          <w:rFonts w:ascii="Times New Roman" w:hAnsi="Times New Roman"/>
          <w:noProof/>
          <w:sz w:val="24"/>
          <w:szCs w:val="24"/>
        </w:rPr>
        <w:t xml:space="preserve">Тъй като SPC е едновременно стратегическа регионална платформа и ключов регионален партньор, с който е желателно да се търси засилено сътрудничество в областите от взаимен интерес, Комисията възнамерява да отговори положително на поканата на SPC да стане постоянен наблюдател от името на ЕС. Официалното заявление, което ще бъде отправено до генералния директор на секретариата, ще включва изрично условие Конференцията да не прилага задължението за финансова вноска в бюджета на Тихоокеанската общност.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70588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ЕС членува в две регионални организации за управление на рибарството (РОУР) в Тихия океан — Комисията за риболова в Западния и Централния Тихи океан (WCPFC) и Регионалната организация за управление на рибарството в южната част на Тихия океан (SPRFMO), в рамките на които активно допринася за дългосрочното опазване и управление на рибните ресурси.  </w:t>
      </w:r>
    </w:p>
  </w:footnote>
  <w:footnote w:id="3">
    <w:p>
      <w:pPr>
        <w:pStyle w:val="FootnoteText"/>
      </w:pPr>
      <w:r>
        <w:rPr>
          <w:rStyle w:val="FootnoteReference"/>
        </w:rPr>
        <w:footnoteRef/>
      </w:r>
      <w:r>
        <w:t xml:space="preserve"> </w:t>
      </w:r>
      <w:r>
        <w:rPr>
          <w:rFonts w:ascii="Times New Roman" w:hAnsi="Times New Roman"/>
        </w:rPr>
        <w:t>Документ, заведен в Ares под № (2015) 2773568</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Комитетът на представителите на правителствата и администрациите (КППА) е комитет на Конференцията на Тихоокеанската общност, който заседава веднъж годишно. В годините, в които Конференцията не провежда заседание, КППА има правомощия да взема решения относно управлението.</w:t>
      </w:r>
    </w:p>
  </w:footnote>
  <w:footnote w:id="5">
    <w:p>
      <w:pPr>
        <w:pStyle w:val="FootnoteText"/>
        <w:jc w:val="both"/>
      </w:pPr>
      <w:r>
        <w:rPr>
          <w:rStyle w:val="FootnoteReference"/>
          <w:rFonts w:ascii="Times New Roman" w:hAnsi="Times New Roman"/>
        </w:rPr>
        <w:footnoteRef/>
      </w:r>
      <w:r>
        <w:rPr>
          <w:rFonts w:ascii="Times New Roman" w:hAnsi="Times New Roman"/>
        </w:rPr>
        <w:t xml:space="preserve"> Конференцията на Тихоокеанската общност е управителният орган на организацията. Тя заседава на всеки две години. Всяка държава членка и територия има право на един глас при вземането на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9CE"/>
    <w:multiLevelType w:val="hybridMultilevel"/>
    <w:tmpl w:val="3CE0D9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0B4308"/>
    <w:multiLevelType w:val="hybridMultilevel"/>
    <w:tmpl w:val="19043642"/>
    <w:lvl w:ilvl="0" w:tplc="0809000F">
      <w:start w:val="1"/>
      <w:numFmt w:val="decimal"/>
      <w:lvlText w:val="%1."/>
      <w:lvlJc w:val="left"/>
      <w:pPr>
        <w:ind w:left="360" w:hanging="360"/>
      </w:pPr>
    </w:lvl>
    <w:lvl w:ilvl="1" w:tplc="C63474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948207B"/>
    <w:multiLevelType w:val="hybridMultilevel"/>
    <w:tmpl w:val="F4423508"/>
    <w:lvl w:ilvl="0" w:tplc="859417A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nsid w:val="28C66196"/>
    <w:multiLevelType w:val="hybridMultilevel"/>
    <w:tmpl w:val="E236B05E"/>
    <w:lvl w:ilvl="0" w:tplc="859417AE">
      <w:start w:val="1"/>
      <w:numFmt w:val="lowerLetter"/>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6F4F44"/>
    <w:multiLevelType w:val="hybridMultilevel"/>
    <w:tmpl w:val="53844704"/>
    <w:lvl w:ilvl="0" w:tplc="0809000F">
      <w:start w:val="1"/>
      <w:numFmt w:val="decimal"/>
      <w:lvlText w:val="%1."/>
      <w:lvlJc w:val="left"/>
      <w:pPr>
        <w:ind w:left="76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A853C1A"/>
    <w:multiLevelType w:val="hybridMultilevel"/>
    <w:tmpl w:val="19043642"/>
    <w:lvl w:ilvl="0" w:tplc="0809000F">
      <w:start w:val="1"/>
      <w:numFmt w:val="decimal"/>
      <w:lvlText w:val="%1."/>
      <w:lvlJc w:val="left"/>
      <w:pPr>
        <w:ind w:left="360" w:hanging="360"/>
      </w:pPr>
    </w:lvl>
    <w:lvl w:ilvl="1" w:tplc="C63474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C97D02"/>
    <w:multiLevelType w:val="hybridMultilevel"/>
    <w:tmpl w:val="1FCA0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8540FA"/>
    <w:multiLevelType w:val="multilevel"/>
    <w:tmpl w:val="DDDE22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94896AD-6E01-4C01-9F90-4A6F0B60EF29"/>
    <w:docVar w:name="LW_COVERPAGE_TYPE" w:val="1"/>
    <w:docVar w:name="LW_CROSSREFERENCE" w:val="&lt;UNUSED&gt;"/>
    <w:docVar w:name="LW_DocType" w:val="NORMAL"/>
    <w:docVar w:name="LW_EMISSION" w:val="6.8.2018"/>
    <w:docVar w:name="LW_EMISSION_ISODATE" w:val="2018-08-06"/>
    <w:docVar w:name="LW_EMISSION_LOCATION" w:val="BRX"/>
    <w:docVar w:name="LW_EMISSION_PREFIX" w:val="Брюксел, "/>
    <w:docVar w:name="LW_EMISSION_SUFFIX" w:val="\u1075?."/>
    <w:docVar w:name="LW_ID_DOCTYPE_NONLW" w:val="CP-01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9?\u1095?\u1072?\u1089?\u1090?\u1080?\u1077? \u1085?a \u1045?\u1074?\u1088?\u1086?\u1087?\u1077?\u1081?\u1089?\u1082?\u1080?\u1103? \u1089?\u1098?\u1102?\u1079? \u1082?\u1072?\u1090?\u1086? \u1087?\u1086?\u1089?\u1090?\u1086?\u1103?\u1085?\u1077?\u1085? \u1085?\u1072?\u1073?\u1083?\u1102?\u1076?\u1072?\u1090?\u1077?\u1083? \u1082?\u1098?\u1084? \u1058?\u1080?\u1093?\u1086?\u1086?\u1082?\u1077?\u1072?\u1085?\u1089?\u1082?\u1072?\u1090?\u1072? \u1086?\u1073?\u1097?\u1085?\u1086?\u1089?\u1090? (SPC)_x000d__x000d__x000b_"/>
    <w:docVar w:name="LW_TYPE.DOC.CP" w:val="\u1057?\u1066?\u1054?\u1041?\u1065?\u1045?\u1053?\u1048?\u1045? \u1053?\u1040? \u1050?\u1054?\u1052?\u1048?\u1057?\u1048?\u1071?\u1058?\u1040? \u1044?\u1054? \u1057?\u1066?\u1042?\u1045?\u1058?\u1040? \u1048? \u1045?\u1042?\u1056?\u1054?\u1055?\u1045?\u1049?\u1057?\u1050?\u1048?\u1071? \u1055?\u1040?\u1056?\u1051?\u1040?\u1052?\u1045?\u1053?\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DefaultParagraphFont"/>
    <w:link w:val="Bodytext20"/>
    <w:locked/>
    <w:rPr>
      <w:shd w:val="clear" w:color="auto" w:fill="FFFFFF"/>
    </w:rPr>
  </w:style>
  <w:style w:type="paragraph" w:customStyle="1" w:styleId="Bodytext20">
    <w:name w:val="Body text (2)"/>
    <w:basedOn w:val="Normal"/>
    <w:link w:val="Bodytext2"/>
    <w:pPr>
      <w:widowControl w:val="0"/>
      <w:shd w:val="clear" w:color="auto" w:fill="FFFFFF"/>
      <w:spacing w:before="540" w:after="280" w:line="274" w:lineRule="exact"/>
      <w:ind w:hanging="760"/>
      <w:jc w:val="both"/>
    </w:pPr>
    <w:rPr>
      <w:rFonts w:asciiTheme="minorHAnsi" w:hAnsiTheme="minorHAnsi" w:cstheme="minorBidi"/>
    </w:rPr>
  </w:style>
  <w:style w:type="character" w:customStyle="1" w:styleId="Bodytext2Bold">
    <w:name w:val="Body text (2) + Bold"/>
    <w:basedOn w:val="Bodytext2"/>
    <w:rPr>
      <w:rFonts w:ascii="Times New Roman" w:eastAsia="Times New Roman" w:hAnsi="Times New Roman" w:cs="Times New Roman" w:hint="default"/>
      <w:b/>
      <w:bCs/>
      <w:color w:val="000000"/>
      <w:spacing w:val="0"/>
      <w:w w:val="100"/>
      <w:position w:val="0"/>
      <w:sz w:val="24"/>
      <w:szCs w:val="24"/>
      <w:shd w:val="clear" w:color="auto" w:fill="FFFFFF"/>
      <w:lang w:val="bg-BG" w:eastAsia="bg-BG" w:bidi="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hAnsi="Calibri" w:cs="Times New Roman"/>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hAnsi="Calibri" w:cs="Times New Roman"/>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libri" w:hAnsi="Calibri"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DefaultParagraphFont"/>
    <w:link w:val="Bodytext20"/>
    <w:locked/>
    <w:rPr>
      <w:shd w:val="clear" w:color="auto" w:fill="FFFFFF"/>
    </w:rPr>
  </w:style>
  <w:style w:type="paragraph" w:customStyle="1" w:styleId="Bodytext20">
    <w:name w:val="Body text (2)"/>
    <w:basedOn w:val="Normal"/>
    <w:link w:val="Bodytext2"/>
    <w:pPr>
      <w:widowControl w:val="0"/>
      <w:shd w:val="clear" w:color="auto" w:fill="FFFFFF"/>
      <w:spacing w:before="540" w:after="280" w:line="274" w:lineRule="exact"/>
      <w:ind w:hanging="760"/>
      <w:jc w:val="both"/>
    </w:pPr>
    <w:rPr>
      <w:rFonts w:asciiTheme="minorHAnsi" w:hAnsiTheme="minorHAnsi" w:cstheme="minorBidi"/>
    </w:rPr>
  </w:style>
  <w:style w:type="character" w:customStyle="1" w:styleId="Bodytext2Bold">
    <w:name w:val="Body text (2) + Bold"/>
    <w:basedOn w:val="Bodytext2"/>
    <w:rPr>
      <w:rFonts w:ascii="Times New Roman" w:eastAsia="Times New Roman" w:hAnsi="Times New Roman" w:cs="Times New Roman" w:hint="default"/>
      <w:b/>
      <w:bCs/>
      <w:color w:val="000000"/>
      <w:spacing w:val="0"/>
      <w:w w:val="100"/>
      <w:position w:val="0"/>
      <w:sz w:val="24"/>
      <w:szCs w:val="24"/>
      <w:shd w:val="clear" w:color="auto" w:fill="FFFFFF"/>
      <w:lang w:val="bg-BG" w:eastAsia="bg-BG" w:bidi="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eastAsia="bg-BG"/>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hAnsi="Calibri" w:cs="Times New Roman"/>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hAnsi="Calibri" w:cs="Times New Roman"/>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libri" w:hAnsi="Calibri"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71587">
      <w:bodyDiv w:val="1"/>
      <w:marLeft w:val="0"/>
      <w:marRight w:val="0"/>
      <w:marTop w:val="0"/>
      <w:marBottom w:val="0"/>
      <w:divBdr>
        <w:top w:val="none" w:sz="0" w:space="0" w:color="auto"/>
        <w:left w:val="none" w:sz="0" w:space="0" w:color="auto"/>
        <w:bottom w:val="none" w:sz="0" w:space="0" w:color="auto"/>
        <w:right w:val="none" w:sz="0" w:space="0" w:color="auto"/>
      </w:divBdr>
    </w:div>
    <w:div w:id="592474042">
      <w:bodyDiv w:val="1"/>
      <w:marLeft w:val="0"/>
      <w:marRight w:val="0"/>
      <w:marTop w:val="0"/>
      <w:marBottom w:val="0"/>
      <w:divBdr>
        <w:top w:val="none" w:sz="0" w:space="0" w:color="auto"/>
        <w:left w:val="none" w:sz="0" w:space="0" w:color="auto"/>
        <w:bottom w:val="none" w:sz="0" w:space="0" w:color="auto"/>
        <w:right w:val="none" w:sz="0" w:space="0" w:color="auto"/>
      </w:divBdr>
    </w:div>
    <w:div w:id="696466574">
      <w:bodyDiv w:val="1"/>
      <w:marLeft w:val="0"/>
      <w:marRight w:val="0"/>
      <w:marTop w:val="0"/>
      <w:marBottom w:val="0"/>
      <w:divBdr>
        <w:top w:val="none" w:sz="0" w:space="0" w:color="auto"/>
        <w:left w:val="none" w:sz="0" w:space="0" w:color="auto"/>
        <w:bottom w:val="none" w:sz="0" w:space="0" w:color="auto"/>
        <w:right w:val="none" w:sz="0" w:space="0" w:color="auto"/>
      </w:divBdr>
    </w:div>
    <w:div w:id="771241622">
      <w:bodyDiv w:val="1"/>
      <w:marLeft w:val="0"/>
      <w:marRight w:val="0"/>
      <w:marTop w:val="0"/>
      <w:marBottom w:val="0"/>
      <w:divBdr>
        <w:top w:val="none" w:sz="0" w:space="0" w:color="auto"/>
        <w:left w:val="none" w:sz="0" w:space="0" w:color="auto"/>
        <w:bottom w:val="none" w:sz="0" w:space="0" w:color="auto"/>
        <w:right w:val="none" w:sz="0" w:space="0" w:color="auto"/>
      </w:divBdr>
    </w:div>
    <w:div w:id="1579705143">
      <w:bodyDiv w:val="1"/>
      <w:marLeft w:val="0"/>
      <w:marRight w:val="0"/>
      <w:marTop w:val="0"/>
      <w:marBottom w:val="0"/>
      <w:divBdr>
        <w:top w:val="none" w:sz="0" w:space="0" w:color="auto"/>
        <w:left w:val="none" w:sz="0" w:space="0" w:color="auto"/>
        <w:bottom w:val="none" w:sz="0" w:space="0" w:color="auto"/>
        <w:right w:val="none" w:sz="0" w:space="0" w:color="auto"/>
      </w:divBdr>
    </w:div>
    <w:div w:id="19753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Invitatio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Administrative%20arrangemen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Policy_on_Membership_and_Permanent_Observer_Status.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58B8E-3F7E-4F77-9CF4-09316749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1415</Words>
  <Characters>8411</Characters>
  <Application>Microsoft Office Word</Application>
  <DocSecurity>0</DocSecurity>
  <Lines>145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2018-07-19T11:33:00Z</cp:lastPrinted>
  <dcterms:created xsi:type="dcterms:W3CDTF">2018-07-19T08:34:00Z</dcterms:created>
  <dcterms:modified xsi:type="dcterms:W3CDTF">2018-07-31T14:05:00Z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