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672152FA-31F6-46B4-8375-E68C32F12A32" style="width:450.75pt;height:406.5pt">
            <v:imagedata r:id="rId8" o:title=""/>
          </v:shape>
        </w:pict>
      </w:r>
    </w:p>
    <w:bookmarkEnd w:id="0"/>
    <w:p>
      <w:pPr>
        <w:rPr>
          <w:rFonts w:ascii="Times New Roman" w:hAnsi="Times New Roman" w:cs="Times New Roman"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/>
        <w:rPr>
          <w:rFonts w:ascii="Times New Roman" w:hAnsi="Times New Roman" w:cs="Times New Roman"/>
          <w:b/>
          <w:noProof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Приложениe II: Действия по линия на програмата „Перикъл 2020“, за които са поети задължения по предходни бюджети, но които са изпълнени през 2017 г.</w:t>
      </w:r>
    </w:p>
    <w:p>
      <w:pPr>
        <w:spacing w:after="0"/>
        <w:rPr>
          <w:rFonts w:ascii="Times New Roman" w:hAnsi="Times New Roman" w:cs="Times New Roman"/>
          <w:b/>
          <w:noProof/>
          <w:szCs w:val="28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"/>
        <w:gridCol w:w="4077"/>
        <w:gridCol w:w="33"/>
        <w:gridCol w:w="2093"/>
        <w:gridCol w:w="33"/>
        <w:gridCol w:w="1701"/>
      </w:tblGrid>
      <w:tr>
        <w:trPr>
          <w:trHeight w:val="132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Организатор</w:t>
            </w:r>
            <w:r>
              <w:rPr>
                <w:rStyle w:val="FootnoteReference"/>
                <w:rFonts w:ascii="Times New Roman" w:hAnsi="Times New Roman"/>
                <w:b/>
                <w:noProof/>
              </w:rPr>
              <w:footnoteReference w:id="1"/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Действие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Място и 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Финансово участие на Комисията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(общ размер на отпуснатите средства в евро)</w:t>
            </w:r>
          </w:p>
        </w:tc>
      </w:tr>
      <w:tr>
        <w:trPr>
          <w:trHeight w:val="493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Семинари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Българска народна банка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Задълбочаване на познанията за турските органи на националните центрове за анализи (НЦА) и сред националните компетентни органи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София, България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15—17 март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6 288,30</w:t>
            </w:r>
          </w:p>
        </w:tc>
      </w:tr>
      <w:tr>
        <w:trPr>
          <w:trHeight w:val="50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Нова заплаха при фалшифицирането на еврото — Deep Web („дълбоката мрежа“) и криптовалутите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4—5 април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69 908,67</w:t>
            </w:r>
          </w:p>
        </w:tc>
      </w:tr>
      <w:tr>
        <w:trPr>
          <w:trHeight w:val="519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686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Семинар относно установяване на истинността на евромонетите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16—18 май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130 000,00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 на истинността на евромонетите и класифициране на фалшифицирани евромонети</w:t>
            </w:r>
          </w:p>
        </w:tc>
      </w:tr>
      <w:tr>
        <w:trPr>
          <w:trHeight w:val="464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Заседание/семинар на платформата ЕС—Китай относно защитата на валутите срещу фалшифициране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Брюксел, Белгия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7—9 ноември 2017</w:t>
            </w:r>
            <w:r>
              <w:rPr>
                <w:rFonts w:ascii="Times New Roman" w:hAnsi="Times New Roman"/>
                <w:b/>
                <w:noProof/>
                <w:spacing w:val="-6"/>
                <w:lang w:val="en-GB"/>
              </w:rPr>
              <w:t> </w:t>
            </w:r>
            <w:r>
              <w:rPr>
                <w:rFonts w:ascii="Times New Roman" w:hAnsi="Times New Roman"/>
                <w:b/>
                <w:noProof/>
                <w:spacing w:val="-6"/>
              </w:rPr>
              <w:t>г.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103 549,90</w:t>
            </w:r>
          </w:p>
        </w:tc>
      </w:tr>
      <w:tr>
        <w:trPr>
          <w:trHeight w:val="464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 на истинността на евромонетите и класифициране на фалшифицирани евромонети</w:t>
            </w:r>
          </w:p>
        </w:tc>
      </w:tr>
      <w:tr>
        <w:trPr>
          <w:trHeight w:val="62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Технически обучения</w:t>
            </w:r>
          </w:p>
        </w:tc>
      </w:tr>
      <w:tr>
        <w:trPr>
          <w:trHeight w:val="662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Практическо обучение за потребители на LICO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pacing w:val="-6"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Айндховен, Нидерландия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pacing w:val="-6"/>
              </w:rPr>
              <w:t>27—30 март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90 000,00</w:t>
            </w:r>
          </w:p>
        </w:tc>
      </w:tr>
      <w:tr>
        <w:trPr>
          <w:trHeight w:val="66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повишаване на ефективността при установяване на истинността на евромонетите и класифициране на фалшифицирани евромонети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Европейска комисия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ГД „Икономически и финансови въпроси“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Тактическо техническо обучение: Защита на еврото срещу фалшифициране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Лима, Перу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7—9 ноември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highlight w:val="cyan"/>
              </w:rPr>
            </w:pPr>
            <w:r>
              <w:rPr>
                <w:rFonts w:ascii="Times New Roman" w:hAnsi="Times New Roman"/>
                <w:b/>
                <w:noProof/>
              </w:rPr>
              <w:t>141 255,18</w:t>
            </w:r>
          </w:p>
        </w:tc>
      </w:tr>
      <w:tr>
        <w:trPr>
          <w:trHeight w:val="345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421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Обмен на служители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Испания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BIBE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Аржентина, Колумбия, Чили, Перу, Еквадор и Испания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Буенос Айрес, Богота, Сантяго, Лима, Кито,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Брюксел, Мадрид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 януари—31 юли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103 747,72</w:t>
            </w:r>
          </w:p>
        </w:tc>
      </w:tr>
      <w:tr>
        <w:trPr>
          <w:trHeight w:val="522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 на ноу-хау</w:t>
            </w:r>
          </w:p>
        </w:tc>
      </w:tr>
      <w:tr>
        <w:trPr>
          <w:trHeight w:val="510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Обмен на служители между Италия, Босна и Херцеговина, Китай, Кипър, Ирландия, Черна гора, Испания,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Рим, Фабриано, Сараево,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Пекин, Никозия, Дъблин и Подгорица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 март—30 ноември 2017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38 770,00</w:t>
            </w:r>
          </w:p>
        </w:tc>
      </w:tr>
      <w:tr>
        <w:trPr>
          <w:trHeight w:val="329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  <w:tr>
        <w:trPr>
          <w:trHeight w:val="510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Проучвания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Франция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Monnaie de Paris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Наноструктурирани фотохромни полимери за нови защитни характеристики на евромонетите — Фаза 2 на проучването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 xml:space="preserve">Париж, Франция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септември 2016 г.—октомври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127 673,00</w:t>
            </w:r>
          </w:p>
        </w:tc>
      </w:tr>
      <w:tr>
        <w:trPr>
          <w:trHeight w:val="3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 xml:space="preserve">Основна цел на действието: </w:t>
            </w:r>
            <w:r>
              <w:rPr>
                <w:rFonts w:ascii="Times New Roman" w:hAnsi="Times New Roman"/>
                <w:noProof/>
              </w:rPr>
              <w:t>засилване на защитните характеристики на бъдещите евромонети</w:t>
            </w:r>
          </w:p>
        </w:tc>
      </w:tr>
      <w:tr>
        <w:trPr>
          <w:trHeight w:val="596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  <w:sz w:val="36"/>
              </w:rPr>
              <w:t>Закупуване на оборудване</w:t>
            </w:r>
          </w:p>
        </w:tc>
      </w:tr>
      <w:tr>
        <w:trPr>
          <w:trHeight w:val="11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Италия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UCIFM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Закупуване на оборудване, което да се използва от специализирани органи за борба срещу фалшифицирането за защита на еврото срещу фалшифициране, и обучение на полицията на Черна гора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Подгорица, Черна гора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20—23 март 2017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13 251,37</w:t>
            </w:r>
          </w:p>
        </w:tc>
      </w:tr>
      <w:tr>
        <w:trPr>
          <w:trHeight w:val="439"/>
          <w:jc w:val="center"/>
        </w:trPr>
        <w:tc>
          <w:tcPr>
            <w:tcW w:w="9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</w:rPr>
              <w:t>Основна цел на действието:</w:t>
            </w:r>
            <w:r>
              <w:rPr>
                <w:rFonts w:ascii="Times New Roman" w:hAnsi="Times New Roman"/>
                <w:noProof/>
              </w:rPr>
              <w:t xml:space="preserve"> укрепване на сътрудничеството и обмена на ноу-хау</w:t>
            </w:r>
          </w:p>
        </w:tc>
      </w:tr>
    </w:tbl>
    <w:p>
      <w:pPr>
        <w:pStyle w:val="Footer"/>
        <w:ind w:left="0"/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417" w:bottom="1843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75595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  <w:sz w:val="16"/>
        </w:rPr>
        <w:t xml:space="preserve">Несъкратените имена на организаторите могат да бъдат намерени в списъка на компетентните национални органи, посочен в член 2, буква б) от Регламент (ЕО) № 1338/2001 на Съвета (ОВ C 264, 12.8.2015 г., стр. 2—29). </w:t>
      </w: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  <w:p>
      <w:pPr>
        <w:spacing w:line="240" w:lineRule="auto"/>
        <w:ind w:left="142" w:hanging="142"/>
        <w:rPr>
          <w:rFonts w:ascii="Times New Roman" w:eastAsia="Times New Roman" w:hAnsi="Times New Roman" w:cs="Times New Roman"/>
          <w:bCs/>
          <w:sz w:val="16"/>
          <w:szCs w:val="16"/>
          <w:lang w:val="en" w:eastAsia="en-GB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Default"/>
    </w:pPr>
    <w:r>
      <w:tab/>
    </w:r>
  </w:p>
  <w:p>
    <w:pPr>
      <w:pStyle w:val="Header"/>
      <w:rPr>
        <w:szCs w:val="24"/>
      </w:rPr>
    </w:pPr>
    <w:r>
      <w:t xml:space="preserve"> </w:t>
    </w:r>
    <w: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2"/>
    <w:docVar w:name="LW_ANNEX_NBR_LAST" w:val="2"/>
    <w:docVar w:name="LW_ANNEX_UNIQUE" w:val="0"/>
    <w:docVar w:name="LW_CORRIGENDUM" w:val="&lt;UNUSED&gt;"/>
    <w:docVar w:name="LW_COVERPAGE_EXISTS" w:val="True"/>
    <w:docVar w:name="LW_COVERPAGE_GUID" w:val="672152FA-31F6-46B4-8375-E68C32F12A32"/>
    <w:docVar w:name="LW_COVERPAGE_TYPE" w:val="1"/>
    <w:docVar w:name="LW_CROSSREFERENCE" w:val="&lt;UNUSED&gt;"/>
    <w:docVar w:name="LW_DocType" w:val="NORMAL"/>
    <w:docVar w:name="LW_EMISSION" w:val="13.8.2018"/>
    <w:docVar w:name="LW_EMISSION_ISODATE" w:val="2018-08-1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0?\u1079?\u1087?\u1098?\u1083?\u1085?\u1077?\u1085?\u1080?\u1077?\u1090?\u1086? \u1080? \u1088?\u1077?\u1079?\u1091?\u1083?\u1090?\u1072?\u1090?\u1080?\u1090?\u1077? \u1085?\u1072? \u1087?\u1088?\u1086?\u1075?\u1088?\u1072?\u1084?\u1072?\u1090?\u1072? \u8222?\u1055?\u1077?\u1088?\u1080?\u1082?\u1098?\u1083? 2020\u8220? \u1079?\u1072? \u1079?\u1072?\u1097?\u1080?\u1090?\u1072? \u1085?\u1072? \u1077?\u1074?\u1088?\u1086?\u1090?\u1086? \u1089?\u1088?\u1077?\u1097?\u1091? \u1092?\u1072?\u1083?\u1096?\u1080?\u1092?\u1080?\u1094?\u1080?\u1088?\u1072?\u1085?\u1077? \u1087?\u1088?\u1077?\u1079? 2017 \u1075?. 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5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Com">
    <w:name w:val="Z_Com"/>
    <w:basedOn w:val="Normal"/>
    <w:next w:val="ZDGName"/>
    <w:uiPriority w:val="99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ZDGName">
    <w:name w:val="Z_DGName"/>
    <w:basedOn w:val="Normal"/>
    <w:uiPriority w:val="99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Declassification">
    <w:name w:val="Declassification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 w:line="240" w:lineRule="auto"/>
      <w:ind w:left="-567" w:right="-567"/>
    </w:pPr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02400-4D2D-4E3E-A35F-B32A1CF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460</Words>
  <Characters>2766</Characters>
  <Application>Microsoft Office Word</Application>
  <DocSecurity>0</DocSecurity>
  <Lines>153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BOREEL Daniel (ECFIN)</dc:creator>
  <cp:lastModifiedBy>DIGIT/A3</cp:lastModifiedBy>
  <cp:revision>11</cp:revision>
  <cp:lastPrinted>2016-04-07T07:48:00Z</cp:lastPrinted>
  <dcterms:created xsi:type="dcterms:W3CDTF">2018-07-19T09:11:00Z</dcterms:created>
  <dcterms:modified xsi:type="dcterms:W3CDTF">2018-08-09T11:08:00Z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Level of sensitivity">
    <vt:lpwstr>Standard treatment</vt:lpwstr>
  </property>
  <property fmtid="{D5CDD505-2E9C-101B-9397-08002B2CF9AE}" pid="8" name="Unique annex">
    <vt:lpwstr>0</vt:lpwstr>
  </property>
  <property fmtid="{D5CDD505-2E9C-101B-9397-08002B2CF9AE}" pid="9" name="Last edited using">
    <vt:lpwstr>LW 6.0.1, Build 20180503</vt:lpwstr>
  </property>
  <property fmtid="{D5CDD505-2E9C-101B-9397-08002B2CF9AE}" pid="10" name="Created using">
    <vt:lpwstr>LW 6.0.1, Build 20180503</vt:lpwstr>
  </property>
</Properties>
</file>