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97537942-6BA9-43B3-A6A8-A0B2CF6DD8A3" style="width:450.75pt;height:393pt">
            <v:imagedata r:id="rId8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 II: Actions Pericles 2020 engagées au titre de budgets précédents mais mises en œuvre en 2017</w:t>
      </w:r>
    </w:p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"/>
        <w:gridCol w:w="4077"/>
        <w:gridCol w:w="33"/>
        <w:gridCol w:w="2093"/>
        <w:gridCol w:w="33"/>
        <w:gridCol w:w="1701"/>
      </w:tblGrid>
      <w:tr>
        <w:trPr>
          <w:trHeight w:val="132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Organisateur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Activité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Lieu et date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Contribution de la 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(montant total engagé en EUR)</w:t>
            </w:r>
          </w:p>
        </w:tc>
      </w:tr>
      <w:tr>
        <w:trPr>
          <w:trHeight w:val="629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Séminaires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Bulgarie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Banque de Bulgarie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Faire mieux connaître les CAN aux autorités turques et parmi les autorités nationales compétentes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Sofia (Bulgarie)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 – 17 mars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6 288,30</w:t>
            </w:r>
          </w:p>
        </w:tc>
      </w:tr>
      <w:tr>
        <w:trPr>
          <w:trHeight w:val="50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renforcement de la coopération et échange de connaissances</w:t>
            </w:r>
          </w:p>
        </w:tc>
      </w:tr>
      <w:tr>
        <w:trPr>
          <w:trHeight w:val="68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La contrefaçon de l’euro et la menace nouvelle du web invisible et des cryptomonnaies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Rome (Italie)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 et 5 avril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69 908,67</w:t>
            </w:r>
          </w:p>
        </w:tc>
      </w:tr>
      <w:tr>
        <w:trPr>
          <w:trHeight w:val="68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68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Atelier sur l’authentification des pièces en euros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Belgique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 – 18 mai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130 000,00</w:t>
            </w:r>
          </w:p>
        </w:tc>
      </w:tr>
      <w:tr>
        <w:trPr>
          <w:trHeight w:val="46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accroissement de l’efficacité de l’authentification des pièces en euros et de la classification des fausses pièces en euros</w:t>
            </w:r>
          </w:p>
        </w:tc>
      </w:tr>
      <w:tr>
        <w:trPr>
          <w:trHeight w:val="46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Plateforme UE-Chine: réunion/séminaire sur la protection des monnaies contre la contrefaçon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Belgique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07 – 9 novembre 2017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103 549,90</w:t>
            </w:r>
          </w:p>
        </w:tc>
      </w:tr>
      <w:tr>
        <w:trPr>
          <w:trHeight w:val="46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accroissement de l’efficacité de l’authentification des pièces en euros et de la classification des fausses pièces en euros</w:t>
            </w:r>
          </w:p>
        </w:tc>
      </w:tr>
      <w:tr>
        <w:trPr>
          <w:trHeight w:val="620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Formations techniques</w:t>
            </w:r>
          </w:p>
        </w:tc>
      </w:tr>
      <w:tr>
        <w:trPr>
          <w:trHeight w:val="662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Formation pratique pour les utilisateurs de LICO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Eindhoven (Pays-Bas)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 – 30 mars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90 000,00</w:t>
            </w:r>
          </w:p>
        </w:tc>
      </w:tr>
      <w:tr>
        <w:trPr>
          <w:trHeight w:val="662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accroissement de l’efficacité de l’authentification des pièces en euros et de la classification des fausses pièces en euros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Commission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ECFIN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Formation technique et tactique: protéger l'euro contre le faux monnayage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Lima, Pérou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 – 9 novembre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141 255,18</w:t>
            </w:r>
          </w:p>
        </w:tc>
      </w:tr>
      <w:tr>
        <w:trPr>
          <w:trHeight w:val="477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62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Échanges de personnel</w:t>
            </w:r>
          </w:p>
        </w:tc>
      </w:tr>
      <w:tr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Espagne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entre l’Argentine, la Colombie, le Chili, le Pérou, l’Équateur et l’Espagne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Buenos Aires, Bogota, Santiago, Lima, Quito,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Bruxelles, Madrid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1er janvier au 31 juillet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103 747,72</w:t>
            </w:r>
          </w:p>
        </w:tc>
      </w:tr>
      <w:tr>
        <w:trPr>
          <w:trHeight w:val="522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Échange de personnel entre l’Italie, la Bosnie-et-Herzégovine, la Chine, Chypre, l’Irlande, le Monténégro et l’Espagne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Rome, Fabriano, Sarajevo,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it-IT"/>
              </w:rPr>
            </w:pPr>
            <w:r>
              <w:rPr>
                <w:rFonts w:ascii="Times New Roman" w:hAnsi="Times New Roman"/>
                <w:b/>
                <w:noProof/>
                <w:lang w:val="it-IT"/>
              </w:rPr>
              <w:t>Pékin, Nicosie, Dublin et Podgorica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mars – 30 novembre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38 770,00</w:t>
            </w:r>
          </w:p>
        </w:tc>
      </w:tr>
      <w:tr>
        <w:trPr>
          <w:trHeight w:val="48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renforcement de la coopération et échange de connaissances</w:t>
            </w:r>
          </w:p>
        </w:tc>
      </w:tr>
      <w:tr>
        <w:trPr>
          <w:trHeight w:val="510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Études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France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Polymères photochromes nanostructurés pour de nouveaux dispositifs de sécurisation des pièces – 2e phase d’étude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Paris (France)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Septembre 2016 à octobre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127 673,00</w:t>
            </w:r>
          </w:p>
        </w:tc>
      </w:tr>
      <w:tr>
        <w:trPr>
          <w:trHeight w:val="39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Principaux objectifs de l'action: </w:t>
            </w:r>
            <w:r>
              <w:rPr>
                <w:rFonts w:ascii="Times New Roman" w:hAnsi="Times New Roman"/>
                <w:noProof/>
              </w:rPr>
              <w:t>améliorer les éléments de sécurité des futures pièces en euros</w:t>
            </w:r>
          </w:p>
        </w:tc>
      </w:tr>
      <w:tr>
        <w:trPr>
          <w:trHeight w:val="59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Achat d’équipement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Italie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Acquisition de matériel destiné aux autorités spécialisées dans la lutte contre le faux monnayage pour protéger l’euro contre le faux monnayage et former la police du Monténégro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Podgorica (Monténégro)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– 23 mars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13 251,37</w:t>
            </w:r>
          </w:p>
        </w:tc>
      </w:tr>
      <w:tr>
        <w:trPr>
          <w:trHeight w:val="567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Principaux objectifs de l'action:</w:t>
            </w:r>
            <w:r>
              <w:rPr>
                <w:rFonts w:ascii="Times New Roman" w:hAnsi="Times New Roman"/>
                <w:noProof/>
              </w:rPr>
              <w:t xml:space="preserve">  renforcement de la coopération et échange de connaissances</w:t>
            </w:r>
          </w:p>
        </w:tc>
      </w:tr>
    </w:tbl>
    <w:p>
      <w:pPr>
        <w:spacing w:after="0"/>
        <w:rPr>
          <w:rFonts w:ascii="Times New Roman" w:hAnsi="Times New Roman" w:cs="Times New Roman"/>
          <w:b/>
          <w:noProof/>
          <w:sz w:val="28"/>
          <w:szCs w:val="28"/>
        </w:rPr>
      </w:pPr>
    </w:p>
    <w:p>
      <w:pPr>
        <w:pStyle w:val="Footer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84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559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fr-BE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Le nom complet des organisateurs figure dans la liste des autorités nationales compétentes visées à l’article 2, point b), du règlement (CE) nº 1338/2001 du Conseil, JO C 264 du 12.8.2015, p. 2. </w:t>
      </w: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fr-BE" w:eastAsia="en-GB"/>
        </w:rPr>
      </w:pP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fr-BE" w:eastAsia="en-GB"/>
        </w:rPr>
      </w:pP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fr-BE" w:eastAsia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u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97537942-6BA9-43B3-A6A8-A0B2CF6DD8A3"/>
    <w:docVar w:name="LW_COVERPAGE_TYPE" w:val="1"/>
    <w:docVar w:name="LW_CROSSREFERENCE" w:val="&lt;UNUSED&gt;"/>
    <w:docVar w:name="LW_DocType" w:val="NORMAL"/>
    <w:docVar w:name="LW_EMISSION" w:val="13.8.2018"/>
    <w:docVar w:name="LW_EMISSION_ISODATE" w:val="2018-08-13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concernant la mise en \u339?uvre et les résultats en 2017 du programme Pericles 2020 pour la protection de l'euro contre le faux monnayage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RAPPORT DE LA COMMISSION AU PARLEMENT EUROPÉEN ET A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58E65-7AE2-4137-9572-E9405E3B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453</Words>
  <Characters>2709</Characters>
  <Application>Microsoft Office Word</Application>
  <DocSecurity>0</DocSecurity>
  <Lines>129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10</cp:revision>
  <cp:lastPrinted>2016-04-07T07:48:00Z</cp:lastPrinted>
  <dcterms:created xsi:type="dcterms:W3CDTF">2018-07-19T09:11:00Z</dcterms:created>
  <dcterms:modified xsi:type="dcterms:W3CDTF">2018-08-09T11:09:00Z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