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5DD7AC4-20CF-4171-850C-36723D6C0D73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00"/>
        <w:gridCol w:w="1601"/>
        <w:gridCol w:w="1700"/>
        <w:gridCol w:w="2125"/>
        <w:gridCol w:w="1561"/>
        <w:gridCol w:w="1102"/>
      </w:tblGrid>
      <w:tr>
        <w:tc>
          <w:tcPr>
            <w:tcW w:w="646" w:type="pct"/>
          </w:tcPr>
          <w:p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Предложение </w:t>
            </w:r>
          </w:p>
        </w:tc>
        <w:tc>
          <w:tcPr>
            <w:tcW w:w="862" w:type="pct"/>
          </w:tcPr>
          <w:p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Референтен документ</w:t>
            </w:r>
          </w:p>
        </w:tc>
        <w:tc>
          <w:tcPr>
            <w:tcW w:w="915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Уведомяване</w:t>
            </w:r>
          </w:p>
        </w:tc>
        <w:tc>
          <w:tcPr>
            <w:tcW w:w="1144" w:type="pct"/>
          </w:tcPr>
          <w:p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Предмет </w:t>
            </w:r>
          </w:p>
        </w:tc>
        <w:tc>
          <w:tcPr>
            <w:tcW w:w="840" w:type="pct"/>
          </w:tcPr>
          <w:p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Коментари</w:t>
            </w:r>
          </w:p>
        </w:tc>
        <w:tc>
          <w:tcPr>
            <w:tcW w:w="593" w:type="pct"/>
          </w:tcPr>
          <w:p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Позиция на ЕС</w:t>
            </w:r>
          </w:p>
        </w:tc>
      </w:tr>
      <w:tr>
        <w:tc>
          <w:tcPr>
            <w:tcW w:w="64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862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ECE/TRANS/WP.15/240</w:t>
            </w:r>
          </w:p>
        </w:tc>
        <w:tc>
          <w:tcPr>
            <w:tcW w:w="915" w:type="pct"/>
          </w:tcPr>
          <w:p>
            <w:pPr>
              <w:jc w:val="center"/>
              <w:rPr>
                <w:noProof/>
                <w:szCs w:val="24"/>
              </w:rPr>
            </w:pPr>
            <w:hyperlink r:id="rId15">
              <w:r>
                <w:rPr>
                  <w:rStyle w:val="Hyperlink"/>
                  <w:noProof/>
                </w:rPr>
                <w:t>C.N.304.2018.</w:t>
              </w:r>
            </w:hyperlink>
            <w:r>
              <w:rPr>
                <w:noProof/>
              </w:rPr>
              <w:t>TREATIES-XI.B.14</w:t>
            </w:r>
          </w:p>
        </w:tc>
        <w:tc>
          <w:tcPr>
            <w:tcW w:w="1144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Проект за изменения на приложения A и B към ADR</w:t>
            </w:r>
          </w:p>
        </w:tc>
        <w:tc>
          <w:tcPr>
            <w:tcW w:w="840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рамките на Работната група по превоза на опасни товари (WP.15).</w:t>
            </w:r>
          </w:p>
        </w:tc>
        <w:tc>
          <w:tcPr>
            <w:tcW w:w="593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Измененията се приемат.</w:t>
            </w:r>
          </w:p>
        </w:tc>
      </w:tr>
      <w:tr>
        <w:tc>
          <w:tcPr>
            <w:tcW w:w="64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862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ECE/TRANS/WP.15/240/Add.1</w:t>
            </w:r>
          </w:p>
        </w:tc>
        <w:tc>
          <w:tcPr>
            <w:tcW w:w="915" w:type="pct"/>
          </w:tcPr>
          <w:p>
            <w:pPr>
              <w:jc w:val="center"/>
              <w:rPr>
                <w:noProof/>
                <w:szCs w:val="24"/>
              </w:rPr>
            </w:pPr>
            <w:hyperlink r:id="rId16">
              <w:r>
                <w:rPr>
                  <w:rStyle w:val="Hyperlink"/>
                  <w:noProof/>
                </w:rPr>
                <w:t>C.N.304.2018.</w:t>
              </w:r>
            </w:hyperlink>
            <w:r>
              <w:rPr>
                <w:noProof/>
              </w:rPr>
              <w:t>TREATIES-XI.B.14</w:t>
            </w:r>
          </w:p>
        </w:tc>
        <w:tc>
          <w:tcPr>
            <w:tcW w:w="1144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pacing w:val="-3"/>
                <w:szCs w:val="24"/>
                <w:shd w:val="clear" w:color="auto" w:fill="FFFFFF"/>
              </w:rPr>
              <w:t>Проект за изменения на приложения A и B към ADR — Добавка (</w:t>
            </w:r>
            <w:r>
              <w:rPr>
                <w:i/>
                <w:noProof/>
                <w:spacing w:val="-3"/>
                <w:szCs w:val="24"/>
                <w:bdr w:val="none" w:sz="0" w:space="0" w:color="auto" w:frame="1"/>
              </w:rPr>
              <w:t>преиздадена на 8 юни 2018 г.) </w:t>
            </w:r>
          </w:p>
        </w:tc>
        <w:tc>
          <w:tcPr>
            <w:tcW w:w="840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рамките на Работната група по превоза на опасни товари (WP.15).</w:t>
            </w:r>
          </w:p>
        </w:tc>
        <w:tc>
          <w:tcPr>
            <w:tcW w:w="593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Измененията се приемат.</w:t>
            </w:r>
          </w:p>
        </w:tc>
      </w:tr>
      <w:tr>
        <w:tc>
          <w:tcPr>
            <w:tcW w:w="64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862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ECE/TRANS/WP.15/240/Corr.1</w:t>
            </w:r>
          </w:p>
        </w:tc>
        <w:tc>
          <w:tcPr>
            <w:tcW w:w="915" w:type="pct"/>
          </w:tcPr>
          <w:p>
            <w:pPr>
              <w:jc w:val="center"/>
              <w:rPr>
                <w:noProof/>
                <w:szCs w:val="24"/>
              </w:rPr>
            </w:pPr>
            <w:hyperlink r:id="rId17">
              <w:r>
                <w:rPr>
                  <w:rStyle w:val="Hyperlink"/>
                  <w:noProof/>
                </w:rPr>
                <w:t>C.N.304.2018.</w:t>
              </w:r>
            </w:hyperlink>
            <w:r>
              <w:rPr>
                <w:noProof/>
              </w:rPr>
              <w:t>TREATIES-XI.B.14</w:t>
            </w:r>
          </w:p>
        </w:tc>
        <w:tc>
          <w:tcPr>
            <w:tcW w:w="1144" w:type="pct"/>
          </w:tcPr>
          <w:p>
            <w:pPr>
              <w:jc w:val="center"/>
              <w:rPr>
                <w:noProof/>
                <w:spacing w:val="-3"/>
                <w:szCs w:val="24"/>
                <w:shd w:val="clear" w:color="auto" w:fill="FFFFFF"/>
              </w:rPr>
            </w:pPr>
            <w:r>
              <w:rPr>
                <w:noProof/>
                <w:spacing w:val="-3"/>
                <w:szCs w:val="24"/>
                <w:shd w:val="clear" w:color="auto" w:fill="FFFFFF"/>
              </w:rPr>
              <w:t>Проект за изменения на приложения A и B към ADR — Поправка (</w:t>
            </w:r>
            <w:r>
              <w:rPr>
                <w:i/>
                <w:noProof/>
                <w:spacing w:val="-3"/>
                <w:szCs w:val="24"/>
                <w:shd w:val="clear" w:color="auto" w:fill="FFFFFF"/>
              </w:rPr>
              <w:t>преиздадена на 8 юни 2018 г.)</w:t>
            </w:r>
          </w:p>
        </w:tc>
        <w:tc>
          <w:tcPr>
            <w:tcW w:w="840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рамките на Работната група по превоза на опасни товари (WP.15).</w:t>
            </w:r>
          </w:p>
        </w:tc>
        <w:tc>
          <w:tcPr>
            <w:tcW w:w="593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Измененията се приемат.</w:t>
            </w:r>
          </w:p>
        </w:tc>
      </w:tr>
      <w:tr>
        <w:tc>
          <w:tcPr>
            <w:tcW w:w="646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862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ECE/ADN/45</w:t>
            </w:r>
          </w:p>
        </w:tc>
        <w:tc>
          <w:tcPr>
            <w:tcW w:w="915" w:type="pct"/>
          </w:tcPr>
          <w:p>
            <w:pPr>
              <w:jc w:val="center"/>
              <w:rPr>
                <w:noProof/>
                <w:szCs w:val="24"/>
              </w:rPr>
            </w:pPr>
            <w:hyperlink r:id="rId18">
              <w:r>
                <w:rPr>
                  <w:rStyle w:val="Hyperlink"/>
                  <w:noProof/>
                </w:rPr>
                <w:t>C.N.297.2018.</w:t>
              </w:r>
            </w:hyperlink>
            <w:r>
              <w:rPr>
                <w:noProof/>
              </w:rPr>
              <w:t>TREATIES-XI.D.6</w:t>
            </w:r>
          </w:p>
        </w:tc>
        <w:tc>
          <w:tcPr>
            <w:tcW w:w="1144" w:type="pct"/>
          </w:tcPr>
          <w:p>
            <w:pPr>
              <w:jc w:val="center"/>
              <w:rPr>
                <w:noProof/>
                <w:spacing w:val="-3"/>
                <w:szCs w:val="24"/>
                <w:shd w:val="clear" w:color="auto" w:fill="FFFFFF"/>
              </w:rPr>
            </w:pPr>
            <w:r>
              <w:rPr>
                <w:noProof/>
                <w:szCs w:val="24"/>
              </w:rPr>
              <w:t>Проект за изменения на приложените правила към ADN</w:t>
            </w:r>
          </w:p>
        </w:tc>
        <w:tc>
          <w:tcPr>
            <w:tcW w:w="840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Технически консенсус в рамките на Административния комитет на ADN.</w:t>
            </w:r>
          </w:p>
        </w:tc>
        <w:tc>
          <w:tcPr>
            <w:tcW w:w="593" w:type="pct"/>
          </w:tcPr>
          <w:p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Измененията се приемат.</w:t>
            </w:r>
          </w:p>
        </w:tc>
      </w:tr>
    </w:tbl>
    <w:p>
      <w:pPr>
        <w:rPr>
          <w:noProof/>
        </w:rPr>
      </w:pPr>
    </w:p>
    <w:sectPr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9A0EB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92089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98A74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72E89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73CBA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47ACA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A6C9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3188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8-09 17:06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5DD7AC4-20CF-4171-850C-36723D6C0D73"/>
    <w:docVar w:name="LW_COVERPAGE_TYPE" w:val="1"/>
    <w:docVar w:name="LW_CROSSREFERENCE" w:val="&lt;UNUSED&gt;"/>
    <w:docVar w:name="LW_DocType" w:val="ANNEX"/>
    <w:docVar w:name="LW_EMISSION" w:val="17.8.2018"/>
    <w:docVar w:name="LW_EMISSION_ISODATE" w:val="2018-08-17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87?\u1086? \u1086?\u1090?\u1085?\u1086?\u1096?\u1077?\u1085?\u1080?\u1077? \u1085?\u1072? \u1080?\u1079?\u1084?\u1077?\u1085?\u1077?\u1085?\u1080?\u1103?\u1090?\u1072? \u1085?\u1072? \u1087?\u1088?\u1080?\u1083?\u1086?\u1078?\u1077?\u1085?\u1080?\u1103?\u1090?\u1072? \u1082?\u1098?\u1084? \u1045?\u1074?\u1088?\u1086?\u1087?\u1077?\u1081?\u1089?\u1082?\u1072?\u1090?\u1072? \u1089?\u1087?\u1086?\u1075?\u1086?\u1076?\u1073?\u1072? \u1079?\u1072? \u1084?\u1077?\u1078?\u1076?\u1091?\u1085?\u1072?\u1088?\u1086?\u1076?\u1077?\u1085? \u1087?\u1088?\u1077?\u1074?\u1086?\u1079? \u1085?\u1072? \u1086?\u1087?\u1072?\u1089?\u1085?\u1080? \u1090?\u1086?\u1074?\u1072?\u1088?\u1080? \u1087?\u1086? \u1096?\u1086?\u1089?\u1077? (ADR) \u1080? \u1085?\u1072? \u1087?\u1088?\u1080?\u1083?\u1086?\u1078?\u1077?\u1085?\u1080?\u1090?\u1077? \u1087?\u1088?\u1072?\u1074?\u1080?\u1083?\u1072? \u1082?\u1098?\u1084? \u1045?\u1074?\u1088?\u1086?\u1087?\u1077?\u1081?\u1089?\u1082?\u1086?\u1090?\u1086? \u1089?\u1087?\u1086?\u1088?\u1072?\u1079?\u1091?\u1084?\u1077?\u1085?\u1080?\u1077? \u1079?\u1072? \u1084?\u1077?\u1078?\u1076?\u1091?\u1085?\u1072?\u1088?\u1086?\u1076?\u1077?\u1085? \u1087?\u1088?\u1077?\u1074?\u1086?\u1079? \u1085?\u1072? \u1086?\u1087?\u1072?\u1089?\u1085?\u1080? \u1090?\u1086?\u1074?\u1072?\u1088?\u1080? \u1087?\u1086? \u1074?\u1098?\u1090?\u1088?\u1077?\u1096?\u1085?\u1080?\u1090?\u1077? \u1074?\u1086?\u1076?\u1085?\u1080? \u1087?\u1098?\u1090?\u1080?\u1097?\u1072? (ADN), \u1087?\u1088?\u1080?\u1077?\u1090?\u1080? \u1086?\u1090? \u1056?\u1072?\u1073?\u1086?\u1090?\u1085?\u1072?\u1090?\u1072? \u1075?\u1088?\u1091?\u1087?\u1072? \u1087?\u1086? \u1087?\u1088?\u1077?\u1074?\u1086?\u1079?\u1072? \u1085?\u1072? \u1086?\u1087?\u1072?\u1089?\u1085?\u1080? \u1090?\u1086?\u1074?\u1072?\u1088?\u1080? (WP.15) \u1080? \u1040?\u1076?\u1084?\u1080?\u1085?\u1080?\u1089?\u1090?\u1088?\u1072?\u1090?\u1080?\u1074?\u1085?\u1080?\u1103? \u1082?\u1086?\u1084?\u1080?\u1090?\u1077?\u1090? \u1085?\u1072? ADN"/>
    <w:docVar w:name="LW_OBJETACTEPRINCIPAL.CP" w:val="\u1079?\u1072? \u1091?\u1089?\u1090?\u1072?\u1085?\u1086?\u1074?\u1103?\u1074?\u1072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87?\u1086? \u1086?\u1090?\u1085?\u1086?\u1096?\u1077?\u1085?\u1080?\u1077? \u1085?\u1072? \u1080?\u1079?\u1084?\u1077?\u1085?\u1077?\u1085?\u1080?\u1103?\u1090?\u1072? \u1085?\u1072? \u1087?\u1088?\u1080?\u1083?\u1086?\u1078?\u1077?\u1085?\u1080?\u1103?\u1090?\u1072? \u1082?\u1098?\u1084? \u1045?\u1074?\u1088?\u1086?\u1087?\u1077?\u1081?\u1089?\u1082?\u1072?\u1090?\u1072? \u1089?\u1087?\u1086?\u1075?\u1086?\u1076?\u1073?\u1072? \u1079?\u1072? \u1084?\u1077?\u1078?\u1076?\u1091?\u1085?\u1072?\u1088?\u1086?\u1076?\u1077?\u1085? \u1087?\u1088?\u1077?\u1074?\u1086?\u1079? \u1085?\u1072? \u1086?\u1087?\u1072?\u1089?\u1085?\u1080? \u1090?\u1086?\u1074?\u1072?\u1088?\u1080? \u1087?\u1086? \u1096?\u1086?\u1089?\u1077? (ADR) \u1080? \u1085?\u1072? \u1087?\u1088?\u1080?\u1083?\u1086?\u1078?\u1077?\u1085?\u1080?\u1090?\u1077? \u1087?\u1088?\u1072?\u1074?\u1080?\u1083?\u1072? \u1082?\u1098?\u1084? \u1045?\u1074?\u1088?\u1086?\u1087?\u1077?\u1081?\u1089?\u1082?\u1086?\u1090?\u1086? \u1089?\u1087?\u1086?\u1088?\u1072?\u1079?\u1091?\u1084?\u1077?\u1085?\u1080?\u1077? \u1079?\u1072? \u1084?\u1077?\u1078?\u1076?\u1091?\u1085?\u1072?\u1088?\u1086?\u1076?\u1077?\u1085? \u1087?\u1088?\u1077?\u1074?\u1086?\u1079? \u1085?\u1072? \u1086?\u1087?\u1072?\u1089?\u1085?\u1080? \u1090?\u1086?\u1074?\u1072?\u1088?\u1080? \u1087?\u1086? \u1074?\u1098?\u1090?\u1088?\u1077?\u1096?\u1085?\u1080?\u1090?\u1077? \u1074?\u1086?\u1076?\u1085?\u1080? \u1087?\u1098?\u1090?\u1080?\u1097?\u1072? (ADN), \u1087?\u1088?\u1080?\u1077?\u1090?\u1080? \u1086?\u1090? \u1056?\u1072?\u1073?\u1086?\u1090?\u1085?\u1072?\u1090?\u1072? \u1075?\u1088?\u1091?\u1087?\u1072? \u1087?\u1086? \u1087?\u1088?\u1077?\u1074?\u1086?\u1079?\u1072? \u1085?\u1072? \u1086?\u1087?\u1072?\u1089?\u1085?\u1080? \u1090?\u1086?\u1074?\u1072?\u1088?\u1080? (WP.15) \u1080? \u1040?\u1076?\u1084?\u1080?\u1085?\u1080?\u1089?\u1090?\u1088?\u1072?\u1090?\u1080?\u1074?\u1085?\u1080?\u1103? \u1082?\u1086?\u1084?\u1080?\u1090?\u1077?\u1090? \u1085?\u1072? ADN"/>
    <w:docVar w:name="LW_PART_NBR" w:val="1"/>
    <w:docVar w:name="LW_PART_NBR_TOTAL" w:val="1"/>
    <w:docVar w:name="LW_REF.INST.NEW" w:val="COM"/>
    <w:docVar w:name="LW_REF.INST.NEW_ADOPTED" w:val="final"/>
    <w:docVar w:name="LW_REF.INST.NEW_TEXT" w:val="(2018) 59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64?\u1045?\u1053?\u1048?\u1045? \u1053?\u1040? \u1057?\u1066?\u1042?\u1045?\u1058?\u1040?"/>
    <w:docVar w:name="LW_TYPEACTEPRINCIPAL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yperlink" Target="https://treaties.un.org/doc/Publication/CN/2018/CN.297.2018-Frn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treaties.un.org/doc/Publication/CN/2018/CN.304.2018-E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eaties.un.org/doc/Publication/CN/2018/CN.304.2018-Eng.pdf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reaties.un.org/doc/Publication/CN/2018/CN.304.2018-Eng.pdf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182</Words>
  <Characters>1178</Characters>
  <Application>Microsoft Office Word</Application>
  <DocSecurity>0</DocSecurity>
  <Lines>168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STANCIU Monica (MOVE)</dc:creator>
  <cp:keywords/>
  <dc:description/>
  <cp:lastModifiedBy>DIGIT/A3</cp:lastModifiedBy>
  <cp:revision>7</cp:revision>
  <cp:lastPrinted>2018-07-03T07:42:00Z</cp:lastPrinted>
  <dcterms:created xsi:type="dcterms:W3CDTF">2018-08-08T10:13:00Z</dcterms:created>
  <dcterms:modified xsi:type="dcterms:W3CDTF">2018-08-09T15:06:00Z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