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AAE5517-46A3-4495-B3C6-3ABE30232653" style="width:450.5pt;height:452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 xml:space="preserve">ANNEXE </w:t>
      </w:r>
    </w:p>
    <w:tbl>
      <w:tblPr>
        <w:tblStyle w:val="TableGrid"/>
        <w:tblW w:w="5000" w:type="pct"/>
        <w:tblLook w:val="04A0" w:firstRow="1" w:lastRow="0" w:firstColumn="1" w:lastColumn="0" w:noHBand="0" w:noVBand="1"/>
      </w:tblPr>
      <w:tblGrid>
        <w:gridCol w:w="1047"/>
        <w:gridCol w:w="2420"/>
        <w:gridCol w:w="2056"/>
        <w:gridCol w:w="1281"/>
        <w:gridCol w:w="1302"/>
        <w:gridCol w:w="1183"/>
      </w:tblGrid>
      <w:tr>
        <w:tc>
          <w:tcPr>
            <w:tcW w:w="599" w:type="pct"/>
          </w:tcPr>
          <w:p>
            <w:pPr>
              <w:jc w:val="center"/>
              <w:rPr>
                <w:b/>
                <w:noProof/>
                <w:szCs w:val="24"/>
              </w:rPr>
            </w:pPr>
            <w:r>
              <w:rPr>
                <w:b/>
                <w:noProof/>
              </w:rPr>
              <w:t xml:space="preserve">Proposition </w:t>
            </w:r>
          </w:p>
        </w:tc>
        <w:tc>
          <w:tcPr>
            <w:tcW w:w="1464" w:type="pct"/>
          </w:tcPr>
          <w:p>
            <w:pPr>
              <w:jc w:val="center"/>
              <w:rPr>
                <w:b/>
                <w:noProof/>
                <w:szCs w:val="24"/>
              </w:rPr>
            </w:pPr>
            <w:r>
              <w:rPr>
                <w:b/>
                <w:noProof/>
              </w:rPr>
              <w:t>Document de référence</w:t>
            </w:r>
          </w:p>
        </w:tc>
        <w:tc>
          <w:tcPr>
            <w:tcW w:w="623" w:type="pct"/>
          </w:tcPr>
          <w:p>
            <w:pPr>
              <w:jc w:val="center"/>
              <w:rPr>
                <w:noProof/>
                <w:szCs w:val="24"/>
              </w:rPr>
            </w:pPr>
            <w:r>
              <w:rPr>
                <w:b/>
                <w:noProof/>
              </w:rPr>
              <w:t>Notification</w:t>
            </w:r>
          </w:p>
        </w:tc>
        <w:tc>
          <w:tcPr>
            <w:tcW w:w="930" w:type="pct"/>
          </w:tcPr>
          <w:p>
            <w:pPr>
              <w:jc w:val="center"/>
              <w:rPr>
                <w:b/>
                <w:noProof/>
                <w:szCs w:val="24"/>
              </w:rPr>
            </w:pPr>
            <w:r>
              <w:rPr>
                <w:b/>
                <w:noProof/>
              </w:rPr>
              <w:t xml:space="preserve">Objet </w:t>
            </w:r>
          </w:p>
        </w:tc>
        <w:tc>
          <w:tcPr>
            <w:tcW w:w="721" w:type="pct"/>
          </w:tcPr>
          <w:p>
            <w:pPr>
              <w:jc w:val="center"/>
              <w:rPr>
                <w:b/>
                <w:noProof/>
                <w:szCs w:val="24"/>
              </w:rPr>
            </w:pPr>
            <w:r>
              <w:rPr>
                <w:b/>
                <w:noProof/>
              </w:rPr>
              <w:t>Remarques</w:t>
            </w:r>
          </w:p>
        </w:tc>
        <w:tc>
          <w:tcPr>
            <w:tcW w:w="664" w:type="pct"/>
          </w:tcPr>
          <w:p>
            <w:pPr>
              <w:jc w:val="center"/>
              <w:rPr>
                <w:b/>
                <w:noProof/>
                <w:szCs w:val="24"/>
              </w:rPr>
            </w:pPr>
            <w:r>
              <w:rPr>
                <w:b/>
                <w:noProof/>
              </w:rPr>
              <w:t>Position de l'UE</w:t>
            </w:r>
          </w:p>
        </w:tc>
      </w:tr>
      <w:tr>
        <w:tc>
          <w:tcPr>
            <w:tcW w:w="599" w:type="pct"/>
          </w:tcPr>
          <w:p>
            <w:pPr>
              <w:jc w:val="center"/>
              <w:rPr>
                <w:noProof/>
                <w:szCs w:val="24"/>
              </w:rPr>
            </w:pPr>
            <w:r>
              <w:rPr>
                <w:noProof/>
              </w:rPr>
              <w:t>1</w:t>
            </w:r>
          </w:p>
        </w:tc>
        <w:tc>
          <w:tcPr>
            <w:tcW w:w="1464" w:type="pct"/>
          </w:tcPr>
          <w:p>
            <w:pPr>
              <w:jc w:val="center"/>
              <w:rPr>
                <w:noProof/>
                <w:szCs w:val="24"/>
              </w:rPr>
            </w:pPr>
            <w:r>
              <w:rPr>
                <w:noProof/>
              </w:rPr>
              <w:t>ECE/TRANS/WP.15/240</w:t>
            </w:r>
          </w:p>
        </w:tc>
        <w:tc>
          <w:tcPr>
            <w:tcW w:w="623" w:type="pct"/>
          </w:tcPr>
          <w:p>
            <w:pPr>
              <w:jc w:val="center"/>
              <w:rPr>
                <w:noProof/>
                <w:szCs w:val="24"/>
              </w:rPr>
            </w:pPr>
            <w:hyperlink r:id="rId15">
              <w:r>
                <w:rPr>
                  <w:rStyle w:val="Hyperlink"/>
                  <w:noProof/>
                </w:rPr>
                <w:t>C.N.304.2018.</w:t>
              </w:r>
            </w:hyperlink>
            <w:r>
              <w:rPr>
                <w:noProof/>
              </w:rPr>
              <w:t>TREATIES-XI.B.14</w:t>
            </w:r>
          </w:p>
        </w:tc>
        <w:tc>
          <w:tcPr>
            <w:tcW w:w="930" w:type="pct"/>
          </w:tcPr>
          <w:p>
            <w:pPr>
              <w:jc w:val="center"/>
              <w:rPr>
                <w:noProof/>
                <w:szCs w:val="24"/>
              </w:rPr>
            </w:pPr>
            <w:r>
              <w:rPr>
                <w:noProof/>
              </w:rPr>
              <w:t>Projets d’amendements des annexes A et B de l’ADR</w:t>
            </w:r>
          </w:p>
        </w:tc>
        <w:tc>
          <w:tcPr>
            <w:tcW w:w="721" w:type="pct"/>
          </w:tcPr>
          <w:p>
            <w:pPr>
              <w:jc w:val="center"/>
              <w:rPr>
                <w:noProof/>
                <w:szCs w:val="24"/>
              </w:rPr>
            </w:pPr>
            <w:r>
              <w:rPr>
                <w:noProof/>
              </w:rPr>
              <w:t>Consensus technique au sein du groupe de travail sur le transport de marchandises dangereuses (WP.15)</w:t>
            </w:r>
          </w:p>
        </w:tc>
        <w:tc>
          <w:tcPr>
            <w:tcW w:w="664" w:type="pct"/>
          </w:tcPr>
          <w:p>
            <w:pPr>
              <w:jc w:val="center"/>
              <w:rPr>
                <w:noProof/>
                <w:szCs w:val="24"/>
              </w:rPr>
            </w:pPr>
            <w:r>
              <w:rPr>
                <w:noProof/>
              </w:rPr>
              <w:t>Accepter les amendements.</w:t>
            </w:r>
          </w:p>
        </w:tc>
      </w:tr>
      <w:tr>
        <w:tc>
          <w:tcPr>
            <w:tcW w:w="599" w:type="pct"/>
          </w:tcPr>
          <w:p>
            <w:pPr>
              <w:jc w:val="center"/>
              <w:rPr>
                <w:noProof/>
                <w:szCs w:val="24"/>
              </w:rPr>
            </w:pPr>
            <w:r>
              <w:rPr>
                <w:noProof/>
              </w:rPr>
              <w:t>2</w:t>
            </w:r>
          </w:p>
        </w:tc>
        <w:tc>
          <w:tcPr>
            <w:tcW w:w="1464" w:type="pct"/>
          </w:tcPr>
          <w:p>
            <w:pPr>
              <w:jc w:val="center"/>
              <w:rPr>
                <w:noProof/>
                <w:szCs w:val="24"/>
              </w:rPr>
            </w:pPr>
            <w:r>
              <w:rPr>
                <w:noProof/>
              </w:rPr>
              <w:t>ECE/TRANS/WP.15/240/Add.1</w:t>
            </w:r>
          </w:p>
        </w:tc>
        <w:tc>
          <w:tcPr>
            <w:tcW w:w="623" w:type="pct"/>
          </w:tcPr>
          <w:p>
            <w:pPr>
              <w:jc w:val="center"/>
              <w:rPr>
                <w:noProof/>
                <w:szCs w:val="24"/>
              </w:rPr>
            </w:pPr>
            <w:hyperlink r:id="rId16">
              <w:r>
                <w:rPr>
                  <w:rStyle w:val="Hyperlink"/>
                  <w:noProof/>
                </w:rPr>
                <w:t>C.N.304.2018.</w:t>
              </w:r>
            </w:hyperlink>
            <w:r>
              <w:rPr>
                <w:noProof/>
              </w:rPr>
              <w:t>TREATIES-XI.B.14</w:t>
            </w:r>
          </w:p>
        </w:tc>
        <w:tc>
          <w:tcPr>
            <w:tcW w:w="930" w:type="pct"/>
          </w:tcPr>
          <w:p>
            <w:pPr>
              <w:jc w:val="center"/>
              <w:rPr>
                <w:noProof/>
                <w:szCs w:val="24"/>
              </w:rPr>
            </w:pPr>
            <w:r>
              <w:rPr>
                <w:rFonts w:ascii="Open Sans" w:hAnsi="Open Sans"/>
                <w:noProof/>
                <w:spacing w:val="-3"/>
                <w:sz w:val="23"/>
                <w:shd w:val="clear" w:color="auto" w:fill="FFFFFF"/>
              </w:rPr>
              <w:t>Projets d’amendements des annexes A et B de l’ADR - Addendum (</w:t>
            </w:r>
            <w:r>
              <w:rPr>
                <w:rFonts w:ascii="Open Sans" w:hAnsi="Open Sans"/>
                <w:i/>
                <w:noProof/>
                <w:spacing w:val="-3"/>
                <w:sz w:val="23"/>
                <w:bdr w:val="none" w:sz="0" w:space="0" w:color="auto" w:frame="1"/>
              </w:rPr>
              <w:t>Réédité le 8 juin 2018) </w:t>
            </w:r>
          </w:p>
        </w:tc>
        <w:tc>
          <w:tcPr>
            <w:tcW w:w="721" w:type="pct"/>
          </w:tcPr>
          <w:p>
            <w:pPr>
              <w:jc w:val="center"/>
              <w:rPr>
                <w:noProof/>
                <w:szCs w:val="24"/>
              </w:rPr>
            </w:pPr>
            <w:r>
              <w:rPr>
                <w:noProof/>
              </w:rPr>
              <w:t>Consensus technique au sein du groupe de travail sur le transport de marchandises dangereuses (WP.15)</w:t>
            </w:r>
          </w:p>
        </w:tc>
        <w:tc>
          <w:tcPr>
            <w:tcW w:w="664" w:type="pct"/>
          </w:tcPr>
          <w:p>
            <w:pPr>
              <w:jc w:val="center"/>
              <w:rPr>
                <w:noProof/>
                <w:szCs w:val="24"/>
              </w:rPr>
            </w:pPr>
            <w:r>
              <w:rPr>
                <w:noProof/>
              </w:rPr>
              <w:t>Accepter les amendements.</w:t>
            </w:r>
          </w:p>
        </w:tc>
      </w:tr>
      <w:tr>
        <w:tc>
          <w:tcPr>
            <w:tcW w:w="599" w:type="pct"/>
          </w:tcPr>
          <w:p>
            <w:pPr>
              <w:jc w:val="center"/>
              <w:rPr>
                <w:noProof/>
                <w:szCs w:val="24"/>
              </w:rPr>
            </w:pPr>
            <w:r>
              <w:rPr>
                <w:noProof/>
              </w:rPr>
              <w:t>3</w:t>
            </w:r>
          </w:p>
        </w:tc>
        <w:tc>
          <w:tcPr>
            <w:tcW w:w="1464" w:type="pct"/>
          </w:tcPr>
          <w:p>
            <w:pPr>
              <w:jc w:val="center"/>
              <w:rPr>
                <w:noProof/>
                <w:szCs w:val="24"/>
              </w:rPr>
            </w:pPr>
            <w:r>
              <w:rPr>
                <w:noProof/>
              </w:rPr>
              <w:t>ECE/TRANS/WP.15/240/Corr.1</w:t>
            </w:r>
          </w:p>
        </w:tc>
        <w:tc>
          <w:tcPr>
            <w:tcW w:w="623" w:type="pct"/>
          </w:tcPr>
          <w:p>
            <w:pPr>
              <w:jc w:val="center"/>
              <w:rPr>
                <w:noProof/>
                <w:szCs w:val="24"/>
              </w:rPr>
            </w:pPr>
            <w:hyperlink r:id="rId17">
              <w:r>
                <w:rPr>
                  <w:rStyle w:val="Hyperlink"/>
                  <w:noProof/>
                </w:rPr>
                <w:t>C.N.304.2018.</w:t>
              </w:r>
            </w:hyperlink>
            <w:r>
              <w:rPr>
                <w:noProof/>
              </w:rPr>
              <w:t>TREATIES-XI.B.14</w:t>
            </w:r>
          </w:p>
        </w:tc>
        <w:tc>
          <w:tcPr>
            <w:tcW w:w="930" w:type="pct"/>
          </w:tcPr>
          <w:p>
            <w:pPr>
              <w:jc w:val="center"/>
              <w:rPr>
                <w:rFonts w:ascii="Open Sans" w:hAnsi="Open Sans"/>
                <w:noProof/>
                <w:spacing w:val="-3"/>
                <w:sz w:val="23"/>
                <w:szCs w:val="23"/>
                <w:shd w:val="clear" w:color="auto" w:fill="FFFFFF"/>
              </w:rPr>
            </w:pPr>
            <w:r>
              <w:rPr>
                <w:rFonts w:ascii="Open Sans" w:hAnsi="Open Sans"/>
                <w:noProof/>
                <w:spacing w:val="-3"/>
                <w:sz w:val="23"/>
                <w:shd w:val="clear" w:color="auto" w:fill="FFFFFF"/>
              </w:rPr>
              <w:t>Projets d’amendements des annexes A et B de l’ADR - Corrigendum (</w:t>
            </w:r>
            <w:r>
              <w:rPr>
                <w:rFonts w:ascii="Open Sans" w:hAnsi="Open Sans"/>
                <w:i/>
                <w:noProof/>
                <w:spacing w:val="-3"/>
                <w:sz w:val="23"/>
                <w:shd w:val="clear" w:color="auto" w:fill="FFFFFF"/>
              </w:rPr>
              <w:t>Réédité le 8 juin 2018</w:t>
            </w:r>
            <w:r>
              <w:rPr>
                <w:rFonts w:ascii="Open Sans" w:hAnsi="Open Sans"/>
                <w:noProof/>
                <w:spacing w:val="-3"/>
                <w:sz w:val="23"/>
                <w:shd w:val="clear" w:color="auto" w:fill="FFFFFF"/>
              </w:rPr>
              <w:t>)</w:t>
            </w:r>
          </w:p>
        </w:tc>
        <w:tc>
          <w:tcPr>
            <w:tcW w:w="721" w:type="pct"/>
          </w:tcPr>
          <w:p>
            <w:pPr>
              <w:jc w:val="center"/>
              <w:rPr>
                <w:noProof/>
                <w:szCs w:val="24"/>
              </w:rPr>
            </w:pPr>
            <w:r>
              <w:rPr>
                <w:noProof/>
              </w:rPr>
              <w:t>Consensus technique au sein du groupe de travail sur le transport de marchandises dangereuses (WP.15)</w:t>
            </w:r>
          </w:p>
        </w:tc>
        <w:tc>
          <w:tcPr>
            <w:tcW w:w="664" w:type="pct"/>
          </w:tcPr>
          <w:p>
            <w:pPr>
              <w:jc w:val="center"/>
              <w:rPr>
                <w:noProof/>
                <w:szCs w:val="24"/>
              </w:rPr>
            </w:pPr>
            <w:r>
              <w:rPr>
                <w:noProof/>
              </w:rPr>
              <w:t>Accepter les amendements.</w:t>
            </w:r>
          </w:p>
        </w:tc>
      </w:tr>
      <w:tr>
        <w:tc>
          <w:tcPr>
            <w:tcW w:w="599" w:type="pct"/>
          </w:tcPr>
          <w:p>
            <w:pPr>
              <w:jc w:val="center"/>
              <w:rPr>
                <w:noProof/>
                <w:szCs w:val="24"/>
              </w:rPr>
            </w:pPr>
            <w:r>
              <w:rPr>
                <w:noProof/>
              </w:rPr>
              <w:t>4</w:t>
            </w:r>
          </w:p>
        </w:tc>
        <w:tc>
          <w:tcPr>
            <w:tcW w:w="1464" w:type="pct"/>
          </w:tcPr>
          <w:p>
            <w:pPr>
              <w:jc w:val="center"/>
              <w:rPr>
                <w:noProof/>
                <w:szCs w:val="24"/>
              </w:rPr>
            </w:pPr>
            <w:r>
              <w:rPr>
                <w:noProof/>
              </w:rPr>
              <w:t>ECE/ADN/45</w:t>
            </w:r>
          </w:p>
        </w:tc>
        <w:tc>
          <w:tcPr>
            <w:tcW w:w="623" w:type="pct"/>
          </w:tcPr>
          <w:p>
            <w:pPr>
              <w:jc w:val="center"/>
              <w:rPr>
                <w:noProof/>
                <w:szCs w:val="24"/>
              </w:rPr>
            </w:pPr>
            <w:hyperlink r:id="rId18">
              <w:r>
                <w:rPr>
                  <w:rStyle w:val="Hyperlink"/>
                  <w:noProof/>
                </w:rPr>
                <w:t>C.N.297.2018.</w:t>
              </w:r>
            </w:hyperlink>
            <w:r>
              <w:rPr>
                <w:noProof/>
              </w:rPr>
              <w:t>TREATIES-XI.D.6</w:t>
            </w:r>
          </w:p>
        </w:tc>
        <w:tc>
          <w:tcPr>
            <w:tcW w:w="930" w:type="pct"/>
          </w:tcPr>
          <w:p>
            <w:pPr>
              <w:jc w:val="center"/>
              <w:rPr>
                <w:rFonts w:ascii="Open Sans" w:hAnsi="Open Sans"/>
                <w:noProof/>
                <w:spacing w:val="-3"/>
                <w:sz w:val="23"/>
                <w:szCs w:val="23"/>
                <w:shd w:val="clear" w:color="auto" w:fill="FFFFFF"/>
              </w:rPr>
            </w:pPr>
            <w:r>
              <w:rPr>
                <w:noProof/>
              </w:rPr>
              <w:t>Projets d'amendements du règlement annexé à l'ADN</w:t>
            </w:r>
          </w:p>
        </w:tc>
        <w:tc>
          <w:tcPr>
            <w:tcW w:w="721" w:type="pct"/>
          </w:tcPr>
          <w:p>
            <w:pPr>
              <w:jc w:val="center"/>
              <w:rPr>
                <w:noProof/>
                <w:szCs w:val="24"/>
              </w:rPr>
            </w:pPr>
            <w:r>
              <w:rPr>
                <w:noProof/>
              </w:rPr>
              <w:t>Consensus technique au sein du comité d'administration de l’ADN</w:t>
            </w:r>
          </w:p>
        </w:tc>
        <w:tc>
          <w:tcPr>
            <w:tcW w:w="664" w:type="pct"/>
          </w:tcPr>
          <w:p>
            <w:pPr>
              <w:jc w:val="center"/>
              <w:rPr>
                <w:noProof/>
                <w:szCs w:val="24"/>
              </w:rPr>
            </w:pPr>
            <w:r>
              <w:rPr>
                <w:noProof/>
              </w:rPr>
              <w:t>Accepter les amendements.</w:t>
            </w:r>
          </w:p>
        </w:tc>
      </w:tr>
    </w:tbl>
    <w:p>
      <w:pPr>
        <w:rPr>
          <w:noProof/>
        </w:rPr>
      </w:pPr>
    </w:p>
    <w:sectPr>
      <w:footerReference w:type="default" r:id="rId19"/>
      <w:footerReference w:type="first" r:id="rId2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9A0EB1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92089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98A74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172E89D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73CBA0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47ACA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A6C96A4"/>
    <w:lvl w:ilvl="0">
      <w:start w:val="1"/>
      <w:numFmt w:val="decimal"/>
      <w:pStyle w:val="ListNumber"/>
      <w:lvlText w:val="%1."/>
      <w:lvlJc w:val="left"/>
      <w:pPr>
        <w:tabs>
          <w:tab w:val="num" w:pos="360"/>
        </w:tabs>
        <w:ind w:left="360" w:hanging="360"/>
      </w:pPr>
    </w:lvl>
  </w:abstractNum>
  <w:abstractNum w:abstractNumId="7">
    <w:nsid w:val="FFFFFF89"/>
    <w:multiLevelType w:val="singleLevel"/>
    <w:tmpl w:val="F31888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8-09 17:06:4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1"/>
    <w:docVar w:name="LW_ANNEX_NBR_LAST" w:val="1"/>
    <w:docVar w:name="LW_ANNEX_UNIQUE" w:val="1"/>
    <w:docVar w:name="LW_CORRIGENDUM" w:val="&lt;UNUSED&gt;"/>
    <w:docVar w:name="LW_COVERPAGE_EXISTS" w:val="True"/>
    <w:docVar w:name="LW_COVERPAGE_GUID" w:val="5AAE5517-46A3-4495-B3C6-3ABE30232653"/>
    <w:docVar w:name="LW_COVERPAGE_TYPE" w:val="1"/>
    <w:docVar w:name="LW_CROSSREFERENCE" w:val="&lt;UNUSED&gt;"/>
    <w:docVar w:name="LW_DocType" w:val="ANNEX"/>
    <w:docVar w:name="LW_EMISSION" w:val="17.8.2018"/>
    <w:docVar w:name="LW_EMISSION_ISODATE" w:val="2018-08-17"/>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établissant la position à adopter au nom de l\u8217?Union concernant les amendements apportés aux annexes de l\u8217?accord européen relatif au transport international des marchandises dangereuses par route (ADR) et au règlement annexé à l\u8217?accord européen relatif au transport international des marchandises dangereuses par voies de navigation intérieures (ADN), adoptés par le groupe de travail sur le transport de marchandises dangereuses (WP.15) et le comité d\u8217?administration de l\u8217?ADN_x000b_"/>
    <w:docVar w:name="LW_OBJETACTEPRINCIPAL.CP" w:val="établissant la position à adopter au nom de l\u8217?Union concernant les amendements apportés aux annexes de l\u8217?accord européen relatif au transport international des marchandises dangereuses par route (ADR) et au règlement annexé à l\u8217?accord européen relatif au transport international des marchandises dangereuses par voies de navigation intérieures (ADN), adoptés par le groupe de travail sur le transport de marchandises dangereuses (WP.15) et le comité d\u8217?administration de l\u8217?ADN_x000b_"/>
    <w:docVar w:name="LW_PART_NBR" w:val="1"/>
    <w:docVar w:name="LW_PART_NBR_TOTAL" w:val="1"/>
    <w:docVar w:name="LW_REF.INST.NEW" w:val="COM"/>
    <w:docVar w:name="LW_REF.INST.NEW_ADOPTED" w:val="final"/>
    <w:docVar w:name="LW_REF.INST.NEW_TEXT" w:val="(2018) 5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DÉCISION DU CONSEIL"/>
    <w:docVar w:name="LW_TYPEACTEPRINCIPAL.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s://treaties.un.org/doc/Publication/CN/2018/CN.297.2018-Frn.pd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reaties.un.org/doc/Publication/CN/2018/CN.304.2018-Eng.pdf" TargetMode="External"/><Relationship Id="rId2" Type="http://schemas.openxmlformats.org/officeDocument/2006/relationships/styles" Target="styles.xml"/><Relationship Id="rId16" Type="http://schemas.openxmlformats.org/officeDocument/2006/relationships/hyperlink" Target="https://treaties.un.org/doc/Publication/CN/2018/CN.304.2018-Eng.pdf"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reaties.un.org/doc/Publication/CN/2018/CN.304.2018-Eng.pdf"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Pages>
  <Words>184</Words>
  <Characters>1224</Characters>
  <Application>Microsoft Office Word</Application>
  <DocSecurity>0</DocSecurity>
  <Lines>174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STANCIU Monica (MOVE)</dc:creator>
  <cp:keywords/>
  <dc:description/>
  <cp:lastModifiedBy>DIGIT/A3</cp:lastModifiedBy>
  <cp:revision>7</cp:revision>
  <cp:lastPrinted>2018-07-03T07:42:00Z</cp:lastPrinted>
  <dcterms:created xsi:type="dcterms:W3CDTF">2018-08-01T13:15:00Z</dcterms:created>
  <dcterms:modified xsi:type="dcterms:W3CDTF">2018-08-09T15:06:00Z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