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D5D629CD-3DB9-451D-899D-DBA844385BA5" style="width:450.8pt;height:406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caps/>
          <w:smallCaps w:val="0"/>
          <w:noProof/>
        </w:rPr>
      </w:pPr>
      <w:r>
        <w:rPr>
          <w:caps/>
          <w:smallCaps w:val="0"/>
          <w:noProof/>
        </w:rPr>
        <w:t>1.</w:t>
      </w:r>
      <w:r>
        <w:rPr>
          <w:noProof/>
        </w:rPr>
        <w:tab/>
      </w:r>
      <w:r>
        <w:rPr>
          <w:caps/>
          <w:smallCaps w:val="0"/>
          <w:noProof/>
        </w:rPr>
        <w:t>КОНТЕКСТ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Настоящото предложение се отнася до решението за определяне на позицията, която да бъде заета от името на Съюза </w:t>
      </w:r>
      <w:r>
        <w:rPr>
          <w:noProof/>
          <w:color w:val="000000"/>
        </w:rPr>
        <w:t>в</w:t>
      </w:r>
      <w:r>
        <w:rPr>
          <w:noProof/>
        </w:rPr>
        <w:t xml:space="preserve"> рамките на Съвместния комитет, създаден по силата на Рамковото споразумение между Европейския съюз и неговите държави членки, от една страна, и Австралия, от друга страна.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</w:rPr>
        <w:t>1.1.</w:t>
      </w:r>
      <w:r>
        <w:rPr>
          <w:noProof/>
        </w:rPr>
        <w:tab/>
        <w:t>Рамковото споразумение между ЕС и Австралия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Рамковото споразумение между Европейския съюз и неговите държави членки, от една страна, и Австралия, от друга страна („Споразумението“), има за цел да установи засилено партньорство между ЕС и неговите държави членки и Австралия и да задълбочи и подобри сътрудничеството по въпроси от взаимен интерес, като бъдат отразени споделените ценности и общи принципи, включително чрез засилване на диалога на високо равнище. Със Споразумението ще се създаде съгласувана, правно обвързваща рамка за отношенията на ЕС с Австралия.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1.2.</w:t>
      </w:r>
      <w:r>
        <w:rPr>
          <w:noProof/>
        </w:rPr>
        <w:tab/>
        <w:t xml:space="preserve">Съвместен комитет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Съвместният комитет се създава по силата на член 56 от Споразумението. Неговите основни задачи са да улеснява изпълнението и да съдейства за постигане на общите цели на Споразумението, както и да поддържа цялостната съгласуваност в отношенията между ЕС и Австралия. Останалите задачи на Съвместния комитет включват: наблюдение на развитието на отношенията между ЕС и Австралия; обмен на становища и отправяне на предложения по всички въпроси от общ интерес; полагане на усилия за разрешаване на спорове, които биха могли да възникнат в областите, обхванати от Споразумението.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Съвместният комитет прави препоръки и приема решения, когато е уместно, за привеждане в действие на конкретни аспекти на Споразумението. Съвместният комитет действа с консенсус и заседава на равнище висши служители. Съвместният комитет приема свой процедурен правилник. Той може да създава подкомитети и работни групи, които да се занимават с конкретни въпроси.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1.3</w:t>
      </w:r>
      <w:r>
        <w:rPr>
          <w:noProof/>
        </w:rPr>
        <w:tab/>
        <w:t>Предвиденият акт на Съвместния комитет</w:t>
      </w:r>
    </w:p>
    <w:p>
      <w:pPr>
        <w:rPr>
          <w:noProof/>
        </w:rPr>
      </w:pPr>
      <w:r>
        <w:rPr>
          <w:noProof/>
          <w:color w:val="000000"/>
        </w:rPr>
        <w:t xml:space="preserve">Целта на предвидените актове е </w:t>
      </w:r>
      <w:r>
        <w:rPr>
          <w:noProof/>
        </w:rPr>
        <w:t xml:space="preserve">в съответствие с член 56, параграф 4 от Споразумението </w:t>
      </w:r>
      <w:r>
        <w:rPr>
          <w:noProof/>
          <w:color w:val="000000"/>
        </w:rPr>
        <w:t>да</w:t>
      </w:r>
      <w:r>
        <w:rPr>
          <w:noProof/>
        </w:rPr>
        <w:t xml:space="preserve"> бъдат приети процедурният правилник за организацията на Съвместния комитет и мандатът на подкомитетите и работните групи, за да се даде възможност за прилагането на Споразумението. </w:t>
      </w:r>
    </w:p>
    <w:p>
      <w:pPr>
        <w:pStyle w:val="ManualHeading1"/>
        <w:rPr>
          <w:caps/>
          <w:smallCaps w:val="0"/>
          <w:noProof/>
        </w:rPr>
      </w:pPr>
      <w:r>
        <w:rPr>
          <w:caps/>
          <w:smallCaps w:val="0"/>
          <w:noProof/>
        </w:rPr>
        <w:t>2.</w:t>
      </w:r>
      <w:r>
        <w:rPr>
          <w:noProof/>
        </w:rPr>
        <w:tab/>
      </w:r>
      <w:r>
        <w:rPr>
          <w:caps/>
          <w:smallCaps w:val="0"/>
          <w:noProof/>
        </w:rPr>
        <w:t>Позиция, която трябва да се заеме от името на Съюза</w:t>
      </w:r>
    </w:p>
    <w:p>
      <w:pPr>
        <w:pStyle w:val="Text1"/>
        <w:ind w:left="0"/>
        <w:rPr>
          <w:rFonts w:eastAsia="Arial Unicode MS"/>
          <w:noProof/>
        </w:rPr>
      </w:pPr>
      <w:r>
        <w:rPr>
          <w:noProof/>
        </w:rPr>
        <w:t xml:space="preserve">Позицията, която следва да бъде заета от името на Съюза, следва да има за цел приемането на процедурния правилник на Съвместния комитет ЕС—Австралия и на мандата на подкомитетите и работните групи. Позицията следва да се основава на проектите на решения на Съвместния комитет. </w:t>
      </w:r>
    </w:p>
    <w:p>
      <w:pPr>
        <w:pStyle w:val="ManualHeading1"/>
        <w:rPr>
          <w:caps/>
          <w:smallCaps w:val="0"/>
          <w:noProof/>
        </w:rPr>
      </w:pPr>
      <w:r>
        <w:rPr>
          <w:caps/>
          <w:smallCaps w:val="0"/>
          <w:noProof/>
        </w:rPr>
        <w:lastRenderedPageBreak/>
        <w:t>3.</w:t>
      </w:r>
      <w:r>
        <w:rPr>
          <w:noProof/>
        </w:rPr>
        <w:tab/>
      </w:r>
      <w:r>
        <w:rPr>
          <w:caps/>
          <w:smallCaps w:val="0"/>
          <w:noProof/>
        </w:rPr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3.1</w:t>
      </w:r>
      <w:r>
        <w:rPr>
          <w:noProof/>
        </w:rPr>
        <w:tab/>
        <w:t>Процесуалноправно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3.1.1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на които се подчинява съответният орган. То включва и инструменти, които нямат правно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rPr>
          <w:noProof/>
        </w:rPr>
        <w:t>3.1.2</w:t>
      </w:r>
      <w:r>
        <w:rPr>
          <w:noProof/>
        </w:rPr>
        <w:tab/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Съвместният комитет е орган, създаден по силата на Рамковото споразумение между Европейския съюз и неговите държави членки, от една страна, и Австралия, от друга страна</w:t>
      </w:r>
      <w:r>
        <w:t>.</w:t>
      </w:r>
    </w:p>
    <w:p>
      <w:r>
        <w:rPr>
          <w:noProof/>
        </w:rPr>
        <w:t>Актовете, които Съвместният комитет има за задача да приема, са актове с правно действие. Това е така, защото в съответствие с член 56, параграф 3, буква и) от Споразумението Съвместният комитет следва да приема решения, които са обвързващи за страните по Споразумението.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3.2</w:t>
      </w:r>
      <w:r>
        <w:rPr>
          <w:noProof/>
        </w:rPr>
        <w:tab/>
        <w:t>Материалноправно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3.2.1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 218, параграф 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rPr>
          <w:noProof/>
        </w:rPr>
      </w:pPr>
      <w:r>
        <w:rPr>
          <w:noProof/>
        </w:rPr>
        <w:t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на решение съгласно член 218, параграф 9 от ДФЕС ще трябва, по изключение, да включва съответните различни правни основания.</w:t>
      </w:r>
    </w:p>
    <w:p>
      <w:pPr>
        <w:pStyle w:val="ManualHeading3"/>
        <w:rPr>
          <w:noProof/>
        </w:rPr>
      </w:pPr>
      <w:r>
        <w:rPr>
          <w:noProof/>
        </w:rPr>
        <w:t>3.2.2</w:t>
      </w:r>
      <w:r>
        <w:rPr>
          <w:noProof/>
        </w:rPr>
        <w:tab/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Целта на предвидените действия е да се съдейства за постигането на целите на Споразумението и да бъде улеснено неговото изпълнение. </w:t>
      </w:r>
    </w:p>
    <w:p>
      <w:pPr>
        <w:rPr>
          <w:noProof/>
        </w:rPr>
      </w:pPr>
      <w:r>
        <w:rPr>
          <w:noProof/>
        </w:rPr>
        <w:lastRenderedPageBreak/>
        <w:t>Споразумението преследва цели и съдържа части, отнасящи се до областите на общата външна политика и политика на сигурност, общата търговска политика и сътрудничеството с развитите държави. Тези аспекти на Споразумението са неразривно свързани, без единият от тях да е акцесорен по отношение на другия. Подписването на Споразумението се основава на член 37 от ДЕС, член 207 от ДФЕС и член 212, параграф 1 от ДФЕС.</w:t>
      </w:r>
    </w:p>
    <w:p>
      <w:pPr>
        <w:rPr>
          <w:noProof/>
        </w:rPr>
      </w:pPr>
      <w:r>
        <w:rPr>
          <w:noProof/>
        </w:rPr>
        <w:t>Поради това предвиденият акт следва да се основава на същите материалноправни основания.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3.3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С оглед на изложеното по-горе правното основание за предложеното решение следва да бъде член 37 от ДЕС, член 207 от ДФЕС и член 212, параграф 1 от ДФЕС във връзка с член 218, параграф 9 от ДФЕС.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2018/0307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Съвместния комитет, създаден по силата на Рамковото споразумение между Европейския съюз и неговите държави членки, от една страна, и Австралия, от друга страна, във връзка с приемането на решения от страна на Съвместния комитет относно процедурния правилник на Съвместния комитет и приемането на мандата на подкомитетите и работните групи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 37 от него,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207 и член 212, параграф 1,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 w:themeColor="text1"/>
        </w:rPr>
      </w:pPr>
      <w:r>
        <w:t>(1)</w:t>
      </w:r>
      <w:r>
        <w:tab/>
      </w:r>
      <w:r>
        <w:rPr>
          <w:noProof/>
        </w:rPr>
        <w:t>Рамковото споразумение между Европейския съюз и неговите държави членки, от една страна, и Австралия, от друга страна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(„Споразумението“), беше подписано в Брюксел на 7 август 2017 г. и се прилага временно от </w:t>
      </w:r>
      <w:r>
        <w:rPr>
          <w:noProof/>
          <w:color w:val="000000" w:themeColor="text1"/>
        </w:rPr>
        <w:t>[…];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 56, параграф 1 от Споразумението се създава Съвместен комитет, чиято цел е да улеснява изпълнението на Споразумението („Съвместен комитет“);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 56, параграф 4 от Споразумението се предвижда, че Съвместният комитет следва да приеме свой процедурен правилник и че може да създава подкомитети и работни групи, които да се занимават с конкретни въпроси.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Процедурният правилник на Съвместния комитет и мандатът на подкомитетите и работните групи следва да бъдат приети възможно най-скоро с цел да се гарантира ефективното прилагане на Споразумението;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Следователно позицията на Съюза в рамките на Съвместния комитет следва да се основава на приложените проекти на решения на Съвместния комитет,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на първото заседание на съвместния комитет, се основава на проектите за решения на Съвместния комитет, приложени към настоящото решение.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631818" w15:done="0"/>
  <w15:commentEx w15:paraId="27A020F8" w15:done="0"/>
  <w15:commentEx w15:paraId="451D922D" w15:done="0"/>
  <w15:commentEx w15:paraId="1A7D9826" w15:done="0"/>
  <w15:commentEx w15:paraId="5F42AE70" w15:done="0"/>
  <w15:commentEx w15:paraId="1C2AE7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Дело C-399/12 Германия/Съвет (OIV), ECLI:EU:C:2014:2258, т. 61—64. </w:t>
      </w:r>
    </w:p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 L 237, 15.9.2017 г., стр.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6AA6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DF8F0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13822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7B4EB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F1437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CAA1E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72CC4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IEV Dragomir (SG)">
    <w15:presenceInfo w15:providerId="None" w15:userId="ILIEV Dragomir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8-17 17:24:1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D5D629CD-3DB9-451D-899D-DBA844385BA5"/>
    <w:docVar w:name="LW_COVERPAGE_TYPE" w:val="1"/>
    <w:docVar w:name="LW_CROSSREFERENCE" w:val="&lt;UNUSED&gt;"/>
    <w:docVar w:name="LW_DocType" w:val="COM"/>
    <w:docVar w:name="LW_EMISSION" w:val="13.8.2018"/>
    <w:docVar w:name="LW_EMISSION_ISODATE" w:val="2018-08-13"/>
    <w:docVar w:name="LW_EMISSION_LOCATION" w:val="BRX"/>
    <w:docVar w:name="LW_EMISSION_PREFIX" w:val="Брюксел, "/>
    <w:docVar w:name="LW_EMISSION_SUFFIX" w:val="&lt;EMPTY&gt;"/>
    <w:docVar w:name="LW_ID_DOCMODEL" w:val="SG-064"/>
    <w:docVar w:name="LW_ID_DOCSIGNATURE" w:val="SJ-019"/>
    <w:docVar w:name="LW_ID_DOCSTRUCTURE" w:val="COM/PL/ORG"/>
    <w:docVar w:name="LW_ID_DOCTYPE" w:val="SG-064"/>
    <w:docVar w:name="LW_ID_EXP.MOTIFS.NEW" w:val="EM_PL_"/>
    <w:docVar w:name="LW_ID_STATUT" w:val="SG-064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307"/>
    <w:docVar w:name="LW_REF.II.NEW.CP_YEAR" w:val="2018"/>
    <w:docVar w:name="LW_REF.INST.NEW" w:val="JOIN"/>
    <w:docVar w:name="LW_REF.INST.NEW_ADOPTED" w:val="final"/>
    <w:docVar w:name="LW_REF.INST.NEW_TEXT" w:val="(2018) 2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7?\u1086? \u1089?\u1080?\u1083?\u1072?\u1090?\u1072? \u1085?\u1072? \u1056?\u1072?\u1084?\u1082?\u1086?\u1074?\u1086?\u1090?\u1086? \u1089?\u1087?\u1086?\u1088?\u1072?\u1079?\u1091?\u1084?\u1077?\u1085?\u1080?\u1077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40?\u1074?\u1089?\u1090?\u1088?\u1072?\u1083?\u1080?\u1103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103? \u1086?\u1090? \u1089?\u1090?\u1088?\u1072?\u1085?\u1072? \u1085?\u1072? \u1057?\u1098?\u1074?\u1084?\u1077?\u1089?\u1090?\u1085?\u1080?\u1103? \u1082?\u1086?\u1084?\u1080?\u1090?\u1077?\u1090? \u1086?\u1090?\u1085?\u1086?\u1089?\u1085?\u1086? \u1087?\u1088?\u1086?\u1094?\u1077?\u1076?\u1091?\u1088?\u1085?\u1080?\u1103? \u1087?\u1088?\u1072?\u1074?\u1080?\u1083?\u1085?\u1080?\u1082? \u1085?\u1072? \u1057?\u1098?\u1074?\u1084?\u1077?\u1089?\u1090?\u1085?\u1080?\u1103? \u1082?\u1086?\u1084?\u1080?\u1090?\u1077?\u1090? \u1080? \u1087?\u1088?\u1080?\u1077?\u1084?\u1072?\u1085?\u1077?\u1090?\u1086? \u1085?\u1072? \u1084?\u1072?\u1085?\u1076?\u1072?\u1090?\u1072? \u1085?\u1072? \u1087?\u1086?\u1076?\u1082?\u1086?\u1084?\u1080?\u1090?\u1077?\u1090?\u1080?\u1090?\u1077? \u1080? \u1088?\u1072?\u1073?\u1086?\u1090?\u1085?\u1080?\u1090?\u1077? \u1075?\u1088?\u1091?\u1087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numPr>
        <w:numId w:val="1"/>
      </w:numPr>
    </w:pPr>
    <w:rPr>
      <w:rFonts w:eastAsia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pPr>
      <w:numPr>
        <w:numId w:val="1"/>
      </w:numPr>
    </w:pPr>
    <w:rPr>
      <w:rFonts w:eastAsia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B84B-8950-405F-8033-A966D660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1225</Words>
  <Characters>6899</Characters>
  <Application>Microsoft Office Word</Application>
  <DocSecurity>0</DocSecurity>
  <Lines>143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2018-05-23T08:51:00Z</cp:lastPrinted>
  <dcterms:created xsi:type="dcterms:W3CDTF">2018-08-16T09:41:00Z</dcterms:created>
  <dcterms:modified xsi:type="dcterms:W3CDTF">2018-08-17T15:24:00Z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