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44053D67-CF25-4122-A8B2-71713B6B3055" style="width:450.75pt;height:351.7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КОНТЕКСТ НА ПРЕДЛОЖЕНИЕТО</w:t>
      </w:r>
    </w:p>
    <w:p>
      <w:pPr>
        <w:pStyle w:val="ManualNumPar1"/>
        <w:rPr>
          <w:noProof/>
        </w:rPr>
      </w:pPr>
      <w:r>
        <w:t>1.</w:t>
      </w:r>
      <w:r>
        <w:tab/>
      </w:r>
      <w:r>
        <w:rPr>
          <w:noProof/>
        </w:rPr>
        <w:t>Приложимите разпоредби за предоставяне на финансово участие от Европейския фонд за приспособяване към глобализацията (ЕФПГ) са определени в Регламент (ЕС) № 1309/2013 на Европейския парламент и на Съвета от 17 декември 2013 г. относно Европейския фонд за приспособяване към глобализацията (2014 — 2020 г.) и за отмяна на Регламент (ЕО) № 1927/2006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(„Регламента за ЕФПГ“).</w:t>
      </w:r>
    </w:p>
    <w:p>
      <w:pPr>
        <w:pStyle w:val="ManualNumPar1"/>
        <w:rPr>
          <w:noProof/>
        </w:rPr>
      </w:pPr>
      <w:r>
        <w:t>2.</w:t>
      </w:r>
      <w:r>
        <w:tab/>
      </w:r>
      <w:r>
        <w:rPr>
          <w:noProof/>
        </w:rPr>
        <w:t>На 23 февруари 2018 г. Нидерландия подаде заявление EGF/2018/001 NL/Предоставяне на финансови услуги за предоставяне на финансово участие от ЕФПГ вследствие на съкращения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в икономическия сектор, класифициран в разделение 64 по NACE Rev. 2 („Предоставяне на финансови услуги, без застраховане и допълнително пенсионно осигуряване“) в регионите на ниво 2 по NUTS Friesland (NL12), Drenthe (NL13) и Overijssel (NL21) в Нидерландия.</w:t>
      </w:r>
    </w:p>
    <w:p>
      <w:pPr>
        <w:pStyle w:val="ManualNumPar1"/>
        <w:rPr>
          <w:noProof/>
        </w:rPr>
      </w:pPr>
      <w:r>
        <w:t>3.</w:t>
      </w:r>
      <w:r>
        <w:tab/>
      </w:r>
      <w:r>
        <w:rPr>
          <w:noProof/>
        </w:rPr>
        <w:t xml:space="preserve">След оценка на заявлението Комисията заключи в съответствие с всички приложими разпоредби на Регламента за ЕФПГ, че условията за предоставяне на финансово участие от ЕФПГ са изпълнени. </w:t>
      </w:r>
    </w:p>
    <w:p>
      <w:pPr>
        <w:pStyle w:val="ManualHeading1"/>
        <w:rPr>
          <w:noProof/>
        </w:rPr>
      </w:pPr>
      <w:r>
        <w:rPr>
          <w:noProof/>
        </w:rPr>
        <w:t>ОБОБЩЕНИ ДАННИ ЗА ЗАЯВЛЕНИЕТО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27"/>
      </w:tblGrid>
      <w:tr>
        <w:tc>
          <w:tcPr>
            <w:tcW w:w="0" w:type="auto"/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Заявление по ЕФПГ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EGF_Ref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EGF/2018/001 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NL/Предоставяне на финансови услуги</w:t>
            </w:r>
          </w:p>
        </w:tc>
      </w:tr>
      <w:tr>
        <w:tc>
          <w:tcPr>
            <w:tcW w:w="0" w:type="auto"/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Държава членка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Нидерландия</w:t>
            </w:r>
          </w:p>
        </w:tc>
      </w:tr>
      <w:t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Засегнат(и) регион(и) (ниво 2 по NUTS</w:t>
            </w:r>
            <w:r>
              <w:rPr>
                <w:rStyle w:val="FootnoteReference"/>
                <w:noProof/>
              </w:rPr>
              <w:footnoteReference w:id="3"/>
            </w:r>
            <w:r>
              <w:rPr>
                <w:noProof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0" w:after="0"/>
              <w:ind w:rightChars="192" w:right="461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NL12 — Friesland</w:t>
            </w:r>
          </w:p>
          <w:p>
            <w:pPr>
              <w:spacing w:before="0" w:after="0"/>
              <w:ind w:rightChars="192" w:right="461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NL13 — Drenthe </w:t>
            </w:r>
          </w:p>
          <w:p>
            <w:pPr>
              <w:spacing w:before="0" w:after="0"/>
              <w:ind w:rightChars="192" w:right="461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NL21 — Overijssel</w:t>
            </w:r>
          </w:p>
        </w:tc>
      </w:tr>
      <w:t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Дата на подаване на заявлението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23 февруари 2018 г.</w:t>
            </w:r>
          </w:p>
        </w:tc>
      </w:tr>
      <w:t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Дата на потвърждението за получаване на заявлението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23 февруари 2018 г.</w:t>
            </w:r>
          </w:p>
        </w:tc>
      </w:tr>
      <w:t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Дата на искането за допълнителна информация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9 март 2018 г.</w:t>
            </w:r>
          </w:p>
        </w:tc>
      </w:tr>
      <w:t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Срок за предоставяне на допълнителната информация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noProof/>
              </w:rPr>
            </w:pPr>
            <w:r>
              <w:rPr>
                <w:noProof/>
              </w:rPr>
              <w:t>4 май 2018 г.</w:t>
            </w:r>
          </w:p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Срок за приключване на оценката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27 юли 2018 г.</w:t>
            </w:r>
          </w:p>
        </w:tc>
      </w:tr>
      <w:tr>
        <w:tc>
          <w:tcPr>
            <w:tcW w:w="0" w:type="auto"/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Критерий за намеса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Член 4, параграф 1, буква б) от Регламента за ЕФПГ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br w:type="page"/>
              <w:t>Брой на засегнатите предприятия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</w:t>
            </w:r>
          </w:p>
        </w:tc>
      </w:tr>
      <w:tr>
        <w:tc>
          <w:tcPr>
            <w:tcW w:w="0" w:type="auto"/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Сектор(и) на икономическа дейност</w:t>
            </w:r>
          </w:p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(разделение по NACE Rev. 2)</w:t>
            </w:r>
            <w:r>
              <w:rPr>
                <w:rStyle w:val="FootnoteReference"/>
                <w:noProof/>
              </w:rPr>
              <w:footnoteReference w:id="4"/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Разделение 64 — Предоставяне на финансови услуги, без застраховане и допълнително пенсионно осигуряване</w:t>
            </w:r>
          </w:p>
        </w:tc>
      </w:tr>
      <w:t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Референтен период (девет месеца):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 xml:space="preserve">24 март 2017 г. — 24 декември 2017 г. </w:t>
            </w:r>
          </w:p>
        </w:tc>
      </w:tr>
      <w:t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Общ брой на бенефициерите, отговарящи на критериите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1324</w:t>
            </w:r>
          </w:p>
        </w:tc>
      </w:tr>
      <w:t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Общ брой на бенефициерите от целевата група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450</w:t>
            </w:r>
          </w:p>
        </w:tc>
      </w:tr>
      <w:tr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Брой на младите хора от целевата група, които не работят и не са ангажирани в никаква форма на образование или обучение (NEET)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</w:rPr>
            </w:pPr>
            <w:r>
              <w:rPr>
                <w:noProof/>
              </w:rPr>
              <w:t>Бюджет за персонализирани услуги (EUR)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rightChars="192" w:right="461"/>
              <w:jc w:val="left"/>
              <w:rPr>
                <w:noProof/>
              </w:rPr>
            </w:pPr>
            <w:r>
              <w:rPr>
                <w:noProof/>
              </w:rPr>
              <w:t xml:space="preserve">1 908 000 </w:t>
            </w:r>
          </w:p>
        </w:tc>
      </w:tr>
      <w:t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</w:rPr>
            </w:pPr>
            <w:r>
              <w:rPr>
                <w:noProof/>
              </w:rPr>
              <w:t>Бюджет за прилагането на ЕФПГ</w:t>
            </w:r>
            <w:r>
              <w:rPr>
                <w:rStyle w:val="FootnoteReference"/>
                <w:noProof/>
              </w:rPr>
              <w:footnoteReference w:id="5"/>
            </w:r>
            <w:r>
              <w:rPr>
                <w:noProof/>
              </w:rPr>
              <w:t xml:space="preserve"> (EUR)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rightChars="192" w:right="461"/>
              <w:jc w:val="left"/>
              <w:rPr>
                <w:noProof/>
              </w:rPr>
            </w:pPr>
            <w:r>
              <w:rPr>
                <w:noProof/>
              </w:rPr>
              <w:t>     79 500</w:t>
            </w:r>
          </w:p>
        </w:tc>
      </w:tr>
      <w:t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</w:rPr>
            </w:pPr>
            <w:r>
              <w:rPr>
                <w:noProof/>
              </w:rPr>
              <w:t>Общ бюджет (EUR)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rightChars="192" w:right="461"/>
              <w:jc w:val="left"/>
              <w:rPr>
                <w:noProof/>
              </w:rPr>
            </w:pPr>
            <w:r>
              <w:rPr>
                <w:noProof/>
              </w:rPr>
              <w:t>1 987 500</w:t>
            </w:r>
          </w:p>
        </w:tc>
      </w:tr>
      <w:t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</w:rPr>
            </w:pPr>
            <w:r>
              <w:rPr>
                <w:noProof/>
              </w:rPr>
              <w:t>Финансово участие от ЕФПГ (60 %) (EUR)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rightChars="192" w:right="461"/>
              <w:jc w:val="left"/>
              <w:rPr>
                <w:noProof/>
              </w:rPr>
            </w:pPr>
            <w:r>
              <w:rPr>
                <w:noProof/>
              </w:rPr>
              <w:t>1 192 500</w:t>
            </w:r>
          </w:p>
        </w:tc>
      </w:tr>
    </w:tbl>
    <w:p>
      <w:pPr>
        <w:pStyle w:val="ManualHeading1"/>
        <w:spacing w:before="480"/>
        <w:ind w:left="851" w:hanging="851"/>
        <w:rPr>
          <w:noProof/>
        </w:rPr>
      </w:pPr>
      <w:r>
        <w:rPr>
          <w:noProof/>
        </w:rPr>
        <w:t>ОЦЕНКА НА ЗАЯВЛЕНИЕТО</w:t>
      </w:r>
    </w:p>
    <w:p>
      <w:pPr>
        <w:pStyle w:val="ManualHeading2"/>
        <w:spacing w:before="240"/>
        <w:ind w:left="851" w:hanging="851"/>
        <w:rPr>
          <w:noProof/>
        </w:rPr>
      </w:pPr>
      <w:r>
        <w:rPr>
          <w:noProof/>
        </w:rPr>
        <w:t>Процедура</w:t>
      </w:r>
    </w:p>
    <w:p>
      <w:pPr>
        <w:pStyle w:val="ManualNumPar1"/>
        <w:rPr>
          <w:noProof/>
        </w:rPr>
      </w:pPr>
      <w:r>
        <w:t>4.</w:t>
      </w:r>
      <w:r>
        <w:tab/>
      </w:r>
      <w:r>
        <w:rPr>
          <w:noProof/>
        </w:rPr>
        <w:t xml:space="preserve">Нидерландия подаде заявление </w:t>
      </w:r>
      <w:r>
        <w:rPr>
          <w:noProof/>
        </w:rPr>
        <w:fldChar w:fldCharType="begin"/>
      </w:r>
      <w:r>
        <w:rPr>
          <w:noProof/>
        </w:rPr>
        <w:instrText xml:space="preserve"> REF EGF_Ref \h  \* MERGEFORMAT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EGF/2018/001 </w:t>
      </w:r>
      <w:r>
        <w:rPr>
          <w:noProof/>
        </w:rPr>
        <w:fldChar w:fldCharType="end"/>
      </w:r>
      <w:r>
        <w:rPr>
          <w:noProof/>
        </w:rPr>
        <w:t xml:space="preserve">NL/Предоставяне на финансови услуги на 23 февруари 2018 г. — в рамките на 12 седмици от датата, на която са били изпълнени критериите за намеса, определени в член 4 от Регламента за ЕФПГ. Комисията потвърди в същия ден получаването на заявлението, а на 9 март 2018 г. поиска допълнителна информация от Нидерландия. Тази допълнителна информация бе предоставена след удължаване на крайния срок от шест седмици с още две седмици в резултат на надлежно обосновано искане от страна на Нидерландия. Предвиденият 12-седмичен срок от датата на получаване на пълното заявление, в който Комисията следва да приключи оценката си за това дали то отговаря на условията за предоставяне на финансово участие, изтича на 27 юли 2018 г. </w:t>
      </w:r>
    </w:p>
    <w:p>
      <w:pPr>
        <w:pStyle w:val="ManualHeading2"/>
        <w:rPr>
          <w:noProof/>
        </w:rPr>
      </w:pPr>
      <w:r>
        <w:rPr>
          <w:noProof/>
        </w:rPr>
        <w:t>Допустимост на заявлението</w:t>
      </w:r>
    </w:p>
    <w:p>
      <w:pPr>
        <w:pStyle w:val="ManualHeading3"/>
        <w:rPr>
          <w:noProof/>
        </w:rPr>
      </w:pPr>
      <w:r>
        <w:rPr>
          <w:noProof/>
        </w:rPr>
        <w:t>Засегнати предприятия и бенефициери</w:t>
      </w:r>
    </w:p>
    <w:p>
      <w:pPr>
        <w:pStyle w:val="ManualNumPar1"/>
        <w:rPr>
          <w:noProof/>
        </w:rPr>
      </w:pPr>
      <w:r>
        <w:t>5.</w:t>
      </w:r>
      <w:r>
        <w:tab/>
      </w:r>
      <w:r>
        <w:rPr>
          <w:noProof/>
        </w:rPr>
        <w:t>Заявлението се отнася до 1324 работници, съкратени в икономическия сектор, класифициран в разделение 64 на NACE Rev. 2 — „Предоставяне на финансови услуги, без застраховане и допълнително пенсионно осигуряване“. Съкращенията са извършени в регионите на ниво 2 по NUTS NL12 — Friesland, NL13 — Drenthe и NL21 — Overijssel</w:t>
      </w:r>
      <w:r>
        <w:rPr>
          <w:rStyle w:val="FootnoteReference"/>
          <w:noProof/>
        </w:rPr>
        <w:footnoteReference w:id="6"/>
      </w:r>
      <w:r>
        <w:rPr>
          <w:noProof/>
        </w:rPr>
        <w:t>.</w:t>
      </w:r>
    </w:p>
    <w:tbl>
      <w:tblPr>
        <w:tblW w:w="834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480"/>
        <w:gridCol w:w="360"/>
        <w:gridCol w:w="2940"/>
        <w:gridCol w:w="600"/>
        <w:gridCol w:w="600"/>
      </w:tblGrid>
      <w:tr>
        <w:trPr>
          <w:trHeight w:val="284"/>
          <w:tblHeader/>
        </w:trPr>
        <w:tc>
          <w:tcPr>
            <w:tcW w:w="834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spacing w:beforeLines="20" w:before="48" w:afterLines="20" w:after="48" w:line="276" w:lineRule="auto"/>
              <w:ind w:left="57"/>
              <w:jc w:val="center"/>
              <w:rPr>
                <w:rFonts w:eastAsia="Calibri"/>
                <w:noProof/>
                <w:szCs w:val="24"/>
              </w:rPr>
            </w:pPr>
            <w:r>
              <w:rPr>
                <w:b/>
                <w:noProof/>
              </w:rPr>
              <w:t>Предприятия и брой на съкратените лица през референтния период</w:t>
            </w:r>
          </w:p>
        </w:tc>
      </w:tr>
      <w:tr>
        <w:tc>
          <w:tcPr>
            <w:tcW w:w="336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right="252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Rabobank</w:t>
            </w:r>
          </w:p>
        </w:tc>
        <w:tc>
          <w:tcPr>
            <w:tcW w:w="84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981</w:t>
            </w:r>
          </w:p>
        </w:tc>
        <w:tc>
          <w:tcPr>
            <w:tcW w:w="354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BNP Paribas</w:t>
            </w:r>
          </w:p>
        </w:tc>
        <w:tc>
          <w:tcPr>
            <w:tcW w:w="60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</w:t>
            </w:r>
          </w:p>
        </w:tc>
      </w:tr>
      <w:tr>
        <w:trPr>
          <w:trHeight w:val="138"/>
        </w:trPr>
        <w:tc>
          <w:tcPr>
            <w:tcW w:w="33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ING Bank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149</w:t>
            </w:r>
          </w:p>
        </w:tc>
        <w:tc>
          <w:tcPr>
            <w:tcW w:w="35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SBOT BV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</w:t>
            </w:r>
          </w:p>
        </w:tc>
      </w:tr>
      <w:tr>
        <w:trPr>
          <w:trHeight w:val="138"/>
        </w:trPr>
        <w:tc>
          <w:tcPr>
            <w:tcW w:w="33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ABN-AMRO: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112</w:t>
            </w:r>
          </w:p>
        </w:tc>
        <w:tc>
          <w:tcPr>
            <w:tcW w:w="35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Kas Bank NV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</w:t>
            </w:r>
          </w:p>
        </w:tc>
      </w:tr>
      <w:tr>
        <w:tc>
          <w:tcPr>
            <w:tcW w:w="33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Volksbank/SNS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29</w:t>
            </w:r>
          </w:p>
        </w:tc>
        <w:tc>
          <w:tcPr>
            <w:tcW w:w="35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Pale BV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</w:t>
            </w:r>
          </w:p>
        </w:tc>
      </w:tr>
      <w:tr>
        <w:tc>
          <w:tcPr>
            <w:tcW w:w="33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Kredietbank Nederland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35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Royal Bank of Scotland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</w:t>
            </w:r>
          </w:p>
        </w:tc>
      </w:tr>
      <w:tr>
        <w:tc>
          <w:tcPr>
            <w:tcW w:w="33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Triodos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</w:t>
            </w:r>
          </w:p>
        </w:tc>
        <w:tc>
          <w:tcPr>
            <w:tcW w:w="35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CEM Finance BV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</w:t>
            </w:r>
          </w:p>
        </w:tc>
      </w:tr>
      <w:t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F. Van Lanschot Bankers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</w:t>
            </w:r>
          </w:p>
        </w:tc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DNB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</w:t>
            </w:r>
          </w:p>
        </w:tc>
      </w:tr>
      <w:t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Lacent BV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</w:t>
            </w:r>
          </w:p>
        </w:tc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KBC Bank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</w:t>
            </w:r>
          </w:p>
        </w:tc>
      </w:tr>
      <w:t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Santander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</w:t>
            </w:r>
          </w:p>
        </w:tc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Krediet Unie BV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</w:t>
            </w:r>
          </w:p>
        </w:tc>
      </w:tr>
      <w:t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Kempen &amp; Co NV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</w:t>
            </w:r>
          </w:p>
        </w:tc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UBS Europe SE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</w:t>
            </w:r>
          </w:p>
        </w:tc>
      </w:tr>
      <w:tr>
        <w:trPr>
          <w:trHeight w:val="284"/>
        </w:trPr>
        <w:tc>
          <w:tcPr>
            <w:tcW w:w="3840" w:type="dxa"/>
            <w:gridSpan w:val="2"/>
            <w:tcBorders>
              <w:bottom w:val="nil"/>
              <w:right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/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noProof/>
              </w:rPr>
              <w:br w:type="page"/>
            </w:r>
            <w:r>
              <w:rPr>
                <w:b/>
                <w:noProof/>
              </w:rPr>
              <w:t>Общ брой на предприятията:</w:t>
            </w:r>
            <w:r>
              <w:rPr>
                <w:b/>
                <w:noProof/>
                <w:sz w:val="22"/>
              </w:rPr>
              <w:t xml:space="preserve"> 20</w:t>
            </w:r>
          </w:p>
        </w:tc>
        <w:tc>
          <w:tcPr>
            <w:tcW w:w="3300" w:type="dxa"/>
            <w:gridSpan w:val="2"/>
            <w:tcBorders>
              <w:left w:val="nil"/>
              <w:bottom w:val="nil"/>
              <w:right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 w:right="227"/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</w:rPr>
              <w:t>Общ брой на съкратените лица:</w:t>
            </w:r>
            <w:r>
              <w:rPr>
                <w:b/>
                <w:noProof/>
                <w:sz w:val="22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left w:val="nil"/>
              <w:bottom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 w:right="227"/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</w:rPr>
              <w:t>1</w:t>
            </w:r>
            <w:r>
              <w:rPr>
                <w:noProof/>
              </w:rPr>
              <w:t> </w:t>
            </w:r>
            <w:r>
              <w:rPr>
                <w:b/>
                <w:noProof/>
              </w:rPr>
              <w:t>324</w:t>
            </w:r>
          </w:p>
        </w:tc>
      </w:tr>
      <w:tr>
        <w:trPr>
          <w:trHeight w:val="284"/>
        </w:trPr>
        <w:tc>
          <w:tcPr>
            <w:tcW w:w="7140" w:type="dxa"/>
            <w:gridSpan w:val="4"/>
            <w:tcBorders>
              <w:top w:val="nil"/>
              <w:bottom w:val="nil"/>
              <w:right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 w:right="227"/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</w:rPr>
              <w:t>Общ брой на самостоятелно заетите лица, чиято дейност е прекратена:</w:t>
            </w:r>
            <w:r>
              <w:rPr>
                <w:noProof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 w:right="227"/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</w:rPr>
              <w:t>0</w:t>
            </w:r>
          </w:p>
        </w:tc>
      </w:tr>
      <w:tr>
        <w:trPr>
          <w:trHeight w:val="284"/>
        </w:trPr>
        <w:tc>
          <w:tcPr>
            <w:tcW w:w="7140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/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</w:rPr>
              <w:t xml:space="preserve">Общ брой на отговарящите на критериите работници и самостоятелно заети лица: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 w:right="227"/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</w:rPr>
              <w:t>1</w:t>
            </w:r>
            <w:r>
              <w:rPr>
                <w:noProof/>
              </w:rPr>
              <w:t> </w:t>
            </w:r>
            <w:r>
              <w:rPr>
                <w:b/>
                <w:noProof/>
              </w:rPr>
              <w:t>324</w:t>
            </w:r>
          </w:p>
        </w:tc>
      </w:tr>
    </w:tbl>
    <w:p>
      <w:pPr>
        <w:pStyle w:val="ManualHeading3"/>
        <w:rPr>
          <w:noProof/>
        </w:rPr>
      </w:pPr>
      <w:r>
        <w:rPr>
          <w:noProof/>
        </w:rPr>
        <w:t>Критерии за намеса</w:t>
      </w:r>
    </w:p>
    <w:p>
      <w:pPr>
        <w:spacing w:before="0" w:after="0"/>
        <w:ind w:rightChars="192" w:right="461"/>
        <w:rPr>
          <w:noProof/>
        </w:rPr>
      </w:pPr>
      <w:r>
        <w:rPr>
          <w:noProof/>
        </w:rPr>
        <w:t>Нидерландия подаде заявлението си съгласно критериите за намеса по член 4, параграф 1, буква б) от Регламента за ЕФПГ, съгласно който трябва да са съкратени най-малко 500 работници за референтен период от девет месеца в предприятия, извършващи дейност в един и същ икономически сектор на ниво разделение по NACE Rev. 2 и разположени в един или два съседни региона на ниво 2 по NUTS, намиращи се в дадена държава членка.</w:t>
      </w:r>
      <w:r>
        <w:rPr>
          <w:noProof/>
          <w:color w:val="FFFFFF" w:themeColor="background1"/>
        </w:rPr>
        <w:t xml:space="preserve"> </w:t>
      </w:r>
      <w:r>
        <w:rPr>
          <w:noProof/>
        </w:rPr>
        <w:t>В регион 2 по NUTS NL21 — Overijssel бяха извършени 610 съкращения. Деветмесечният референтен период за заявлението започва на 24 март 2017 г. и приключва на 24 декември 2017 г.</w:t>
      </w:r>
    </w:p>
    <w:p>
      <w:pPr>
        <w:pStyle w:val="ManualHeading3"/>
        <w:rPr>
          <w:noProof/>
        </w:rPr>
      </w:pPr>
      <w:r>
        <w:rPr>
          <w:noProof/>
        </w:rPr>
        <w:t>Изчисляване на броя на съкращенията и на случаите на прекратяване на дейност</w:t>
      </w:r>
    </w:p>
    <w:p>
      <w:pPr>
        <w:pStyle w:val="ManualNumPar1"/>
        <w:rPr>
          <w:noProof/>
        </w:rPr>
      </w:pPr>
      <w:r>
        <w:t>6.</w:t>
      </w:r>
      <w:r>
        <w:tab/>
      </w:r>
      <w:r>
        <w:rPr>
          <w:noProof/>
        </w:rPr>
        <w:t>Броят на всички съкратени работници (1324) по време на референтния период е изчислен от датата на индивидуалното предизвестие от работодателя за съкращаване или за прекратяване на трудовия договор на работника.</w:t>
      </w:r>
    </w:p>
    <w:p>
      <w:pPr>
        <w:pStyle w:val="ManualNumPar1"/>
        <w:rPr>
          <w:noProof/>
        </w:rPr>
      </w:pPr>
      <w:r>
        <w:t>7.</w:t>
      </w:r>
      <w:r>
        <w:tab/>
      </w:r>
      <w:r>
        <w:rPr>
          <w:noProof/>
        </w:rPr>
        <w:t>Общият брой на отговарящите на критериите бенефициери е 1324.</w:t>
      </w:r>
    </w:p>
    <w:p>
      <w:pPr>
        <w:pStyle w:val="ManualHeading3"/>
        <w:tabs>
          <w:tab w:val="clear" w:pos="850"/>
          <w:tab w:val="left" w:pos="0"/>
        </w:tabs>
        <w:ind w:left="0" w:firstLine="0"/>
        <w:rPr>
          <w:noProof/>
        </w:rPr>
      </w:pPr>
      <w:r>
        <w:rPr>
          <w:noProof/>
        </w:rPr>
        <w:t>Връзка между съкращенията и световната финансова и икономическа криза, предмет на Регламент (ЕО) № 546/2009</w:t>
      </w:r>
    </w:p>
    <w:p>
      <w:pPr>
        <w:pStyle w:val="ManualNumPar1"/>
        <w:rPr>
          <w:noProof/>
        </w:rPr>
      </w:pPr>
      <w:r>
        <w:t>8.</w:t>
      </w:r>
      <w:r>
        <w:tab/>
      </w:r>
      <w:r>
        <w:rPr>
          <w:noProof/>
        </w:rPr>
        <w:t>За да установи връзката между съкращенията и световната финансова и икономическа криза, предмет на Регламент (ЕО) № 546/2009, Нидерландия твърди, че финансово-икономическата криза е оказала сериозно въздействие върху услугите и функционирането на нидерландските банки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</w:t>
      </w:r>
      <w:r>
        <w:rPr>
          <w:rStyle w:val="FootnoteReference"/>
          <w:noProof/>
        </w:rPr>
        <w:footnoteReference w:id="9"/>
      </w:r>
      <w:r>
        <w:rPr>
          <w:noProof/>
        </w:rPr>
        <w:t>.</w:t>
      </w:r>
    </w:p>
    <w:p>
      <w:pPr>
        <w:pStyle w:val="ManualNumPar1"/>
        <w:rPr>
          <w:noProof/>
        </w:rPr>
      </w:pPr>
      <w:r>
        <w:t>9.</w:t>
      </w:r>
      <w:r>
        <w:tab/>
      </w:r>
      <w:r>
        <w:rPr>
          <w:noProof/>
        </w:rPr>
        <w:t>Условията на ниски лихвени проценти, въведени в отговор на финансовата криза, по-строгите регулаторни условия, значителният спад на пазара на ипотечни кредити и в предоставянето на кредити за малките и средните предприятия (МСП) доведе до намаляване на рентабилността и създаде спешна необходимост от намаляване на разходите. Докладът на Комисията от 2018 г. потвърждава ниското равнище на лихвените проценти, спада в отпускането на заеми за МСП и задлъжнялостта на домакинствата в Нидерландия</w:t>
      </w:r>
      <w:r>
        <w:rPr>
          <w:rStyle w:val="FootnoteReference"/>
          <w:noProof/>
        </w:rPr>
        <w:footnoteReference w:id="10"/>
      </w:r>
      <w:r>
        <w:rPr>
          <w:noProof/>
        </w:rPr>
        <w:t>.</w:t>
      </w:r>
    </w:p>
    <w:p>
      <w:pPr>
        <w:pStyle w:val="ManualNumPar1"/>
        <w:rPr>
          <w:noProof/>
        </w:rPr>
      </w:pPr>
      <w:r>
        <w:t>10.</w:t>
      </w:r>
      <w:r>
        <w:tab/>
      </w:r>
      <w:r>
        <w:rPr>
          <w:noProof/>
        </w:rPr>
        <w:t>Между 2006 г. и 2015 г. в ипотечния пазар е отбелязан значителен спад</w:t>
      </w:r>
      <w:r>
        <w:rPr>
          <w:rStyle w:val="FootnoteReference"/>
          <w:noProof/>
        </w:rPr>
        <w:footnoteReference w:id="11"/>
      </w:r>
      <w:r>
        <w:rPr>
          <w:noProof/>
        </w:rPr>
        <w:t>. От 2016 г. насам е налице слабо възстановяване, въпреки че нивата все още са много по-ниски, отколкото преди финансово-икономическата криза. Темпът на нарастване на брой на новите годишни ипотечни кредити е понастоящем почти нулев, докато преди кризата от 2008 г. той нарастваше с 4—5 % годишно. Влизането на нови участници на пазара — например пенсионните фондове и застрахователи — допринасят допълнително за спада в ипотечния бизнес за банките.</w:t>
      </w:r>
    </w:p>
    <w:p>
      <w:pPr>
        <w:pStyle w:val="ManualNumPar1"/>
        <w:rPr>
          <w:noProof/>
        </w:rPr>
      </w:pPr>
      <w:r>
        <w:t>11.</w:t>
      </w:r>
      <w:r>
        <w:tab/>
      </w:r>
      <w:r>
        <w:rPr>
          <w:noProof/>
        </w:rPr>
        <w:t>През последните 10 години се наблюдава чувствителен спад при предоставянето на кредити за малките и средните предприятия (МСП)</w:t>
      </w:r>
      <w:r>
        <w:rPr>
          <w:rStyle w:val="FootnoteReference"/>
          <w:noProof/>
        </w:rPr>
        <w:footnoteReference w:id="12"/>
      </w:r>
      <w:r>
        <w:rPr>
          <w:noProof/>
        </w:rPr>
        <w:t xml:space="preserve">, като възстановяването не е достигнало нивата от 2008 г. </w:t>
      </w:r>
    </w:p>
    <w:p>
      <w:pPr>
        <w:pStyle w:val="ManualNumPar1"/>
        <w:rPr>
          <w:noProof/>
        </w:rPr>
      </w:pPr>
      <w:r>
        <w:t>12.</w:t>
      </w:r>
      <w:r>
        <w:tab/>
      </w:r>
      <w:r>
        <w:rPr>
          <w:noProof/>
        </w:rPr>
        <w:t>В резултат на това банките са съкратили броя на служителите си, основно чрез затваряне на регионални клонове и преминаване към онлайн банкиране. Половината от клоновете са били затворени през 2004—2014 г.</w:t>
      </w:r>
      <w:r>
        <w:rPr>
          <w:rStyle w:val="FootnoteReference"/>
          <w:noProof/>
        </w:rPr>
        <w:footnoteReference w:id="13"/>
      </w:r>
      <w:r>
        <w:rPr>
          <w:noProof/>
        </w:rPr>
        <w:t xml:space="preserve">, като тенденцията все още не е приключила. Повечето от съкратените служители са работили пряко с клиенти или са били ангажирали със свързана с това администрация. </w:t>
      </w:r>
    </w:p>
    <w:p>
      <w:pPr>
        <w:pStyle w:val="ManualNumPar1"/>
        <w:rPr>
          <w:noProof/>
        </w:rPr>
      </w:pPr>
      <w:r>
        <w:t>13.</w:t>
      </w:r>
      <w:r>
        <w:tab/>
      </w:r>
      <w:r>
        <w:rPr>
          <w:noProof/>
        </w:rPr>
        <w:t xml:space="preserve">До момента за сектора „Предоставяне на финансови услуги, без застраховане и допълнително пенсионно осигуряване“ не са подавани заявления по ЕФПГ. </w:t>
      </w:r>
    </w:p>
    <w:p>
      <w:pPr>
        <w:keepNext/>
        <w:tabs>
          <w:tab w:val="left" w:pos="850"/>
        </w:tabs>
        <w:ind w:left="850" w:hanging="850"/>
        <w:outlineLvl w:val="2"/>
        <w:rPr>
          <w:i/>
          <w:noProof/>
        </w:rPr>
      </w:pPr>
      <w:r>
        <w:rPr>
          <w:i/>
          <w:noProof/>
        </w:rPr>
        <w:t xml:space="preserve">Събития, довели до съкращенията и до прекратяването на дейността </w:t>
      </w:r>
    </w:p>
    <w:p>
      <w:pPr>
        <w:pStyle w:val="ManualNumPar1"/>
        <w:rPr>
          <w:noProof/>
        </w:rPr>
      </w:pPr>
      <w:r>
        <w:t>14.</w:t>
      </w:r>
      <w:r>
        <w:tab/>
      </w:r>
      <w:r>
        <w:rPr>
          <w:noProof/>
        </w:rPr>
        <w:t>Ниските лихвени проценти (ниските лихвени маржове) са оказали пряко отрицателно въздействие върху рентабилността на банките. Възстановяването на рентабилността се постига основно чрез намаляване на разходите посредством премахване на регионалните клонове и автоматизация, за да се продължи дейността. В резултат на това броят на служителите във всички банки постоянно намалява.</w:t>
      </w:r>
    </w:p>
    <w:p>
      <w:pPr>
        <w:pStyle w:val="ManualNumPar1"/>
        <w:rPr>
          <w:noProof/>
        </w:rPr>
      </w:pPr>
      <w:r>
        <w:t>15.</w:t>
      </w:r>
      <w:r>
        <w:tab/>
      </w:r>
      <w:r>
        <w:rPr>
          <w:noProof/>
        </w:rPr>
        <w:t>Между април 2016 г. и април 2017 г. броят на съкращенията в нидерландския банков сектор е нараснал с 8,6 %, докато средният брой на съкращенията във всички сектори е намалял с 12,8 %</w:t>
      </w:r>
      <w:r>
        <w:rPr>
          <w:rStyle w:val="FootnoteReference"/>
          <w:noProof/>
        </w:rPr>
        <w:footnoteReference w:id="14"/>
      </w:r>
      <w:r>
        <w:rPr>
          <w:noProof/>
        </w:rPr>
        <w:t>. Rabobank е имала 1434 клона през 2004 г.; през 2014 г. са останали само 566 (- 60 %). ABN-AMRO е затворила 427 от клоновете си през същия период (- 57 %)</w:t>
      </w:r>
      <w:r>
        <w:rPr>
          <w:rStyle w:val="FootnoteReference"/>
          <w:noProof/>
        </w:rPr>
        <w:footnoteReference w:id="15"/>
      </w:r>
      <w:r>
        <w:rPr>
          <w:noProof/>
        </w:rPr>
        <w:t xml:space="preserve">. Volksbank (SNS) е затворила 14 % от регионалните си клонове в периода 2004—2014 г. Броят на затворените регионални клонове е най-висок във Friesland, Drenthe и Overijssel. Тъй като ING никога не e ималa толкова регионални клонове, колкото другите банки (276), тя не е затваряли такива, но е намалила броя на служителите в съществуващите си клонове. </w:t>
      </w:r>
    </w:p>
    <w:p>
      <w:pPr>
        <w:pStyle w:val="ManualNumPar1"/>
        <w:rPr>
          <w:noProof/>
        </w:rPr>
      </w:pPr>
      <w:r>
        <w:t>16.</w:t>
      </w:r>
      <w:r>
        <w:tab/>
      </w:r>
      <w:r>
        <w:rPr>
          <w:noProof/>
        </w:rPr>
        <w:t>През периода 2010—2016 г. общият брой на служителите в четирите гореспоменати банки е намалял от 158 588 на 122 556; това представлява спад с 23 %</w:t>
      </w:r>
      <w:r>
        <w:rPr>
          <w:rStyle w:val="FootnoteReference"/>
          <w:noProof/>
        </w:rPr>
        <w:footnoteReference w:id="16"/>
      </w:r>
      <w:r>
        <w:rPr>
          <w:noProof/>
        </w:rPr>
        <w:t xml:space="preserve">. </w:t>
      </w:r>
    </w:p>
    <w:p>
      <w:pPr>
        <w:pStyle w:val="ManualNumPar1"/>
        <w:rPr>
          <w:noProof/>
        </w:rPr>
      </w:pPr>
      <w:r>
        <w:t>17.</w:t>
      </w:r>
      <w:r>
        <w:tab/>
      </w:r>
      <w:r>
        <w:rPr>
          <w:noProof/>
        </w:rPr>
        <w:t>Освен това се предвиждат мащабни съкращения в ABN-AMRO</w:t>
      </w:r>
      <w:r>
        <w:rPr>
          <w:rStyle w:val="FootnoteReference"/>
          <w:noProof/>
        </w:rPr>
        <w:footnoteReference w:id="17"/>
      </w:r>
      <w:r>
        <w:rPr>
          <w:noProof/>
        </w:rPr>
        <w:t>, ING</w:t>
      </w:r>
      <w:r>
        <w:rPr>
          <w:rStyle w:val="FootnoteReference"/>
          <w:noProof/>
        </w:rPr>
        <w:footnoteReference w:id="18"/>
      </w:r>
      <w:r>
        <w:rPr>
          <w:noProof/>
        </w:rPr>
        <w:t xml:space="preserve"> и Rabobank</w:t>
      </w:r>
      <w:r>
        <w:rPr>
          <w:rStyle w:val="FootnoteReference"/>
          <w:noProof/>
        </w:rPr>
        <w:footnoteReference w:id="19"/>
      </w:r>
      <w:r>
        <w:rPr>
          <w:noProof/>
        </w:rPr>
        <w:t>. Volksbank, която не е била обект на мащабна реорганизация или преструктуриране през последните години, обяви планове за реорганизация и съкращения</w:t>
      </w:r>
      <w:r>
        <w:rPr>
          <w:rStyle w:val="FootnoteReference"/>
          <w:noProof/>
        </w:rPr>
        <w:footnoteReference w:id="20"/>
      </w:r>
      <w:r>
        <w:rPr>
          <w:noProof/>
        </w:rPr>
        <w:t>.</w:t>
      </w:r>
    </w:p>
    <w:p>
      <w:pPr>
        <w:pStyle w:val="ManualNumPar1"/>
        <w:rPr>
          <w:noProof/>
        </w:rPr>
      </w:pPr>
      <w:r>
        <w:t>18.</w:t>
      </w:r>
      <w:r>
        <w:tab/>
      </w:r>
      <w:r>
        <w:rPr>
          <w:noProof/>
        </w:rPr>
        <w:t>Броят на хората в сектора, нуждаещи се от обезщетения за безработица, е нараснал над три пъти за периода 2008—2015 г.</w:t>
      </w:r>
      <w:r>
        <w:rPr>
          <w:rStyle w:val="FootnoteReference"/>
          <w:noProof/>
        </w:rPr>
        <w:footnoteReference w:id="21"/>
      </w:r>
      <w:r>
        <w:rPr>
          <w:rStyle w:val="FootnoteReference"/>
          <w:noProof/>
        </w:rPr>
        <w:footnoteReference w:id="22"/>
      </w:r>
      <w:r>
        <w:rPr>
          <w:noProof/>
        </w:rPr>
        <w:t xml:space="preserve">, а през 2016 г. броят на лицата от банковия сектор, които са подали искане за обезщетение за безработица, е нараснал с 27,7 % в сравнение с 2015 г. като следствие от реорганизацията на сектора. Освен това банковият сектор е единственият, в който заетостта е спаднала през 2016 г.; всички други сектори отчитат намаляване на броя на обезщетенията за безработица. </w:t>
      </w:r>
    </w:p>
    <w:p>
      <w:pPr>
        <w:pStyle w:val="ManualNumPar1"/>
        <w:rPr>
          <w:noProof/>
        </w:rPr>
      </w:pPr>
      <w:r>
        <w:t>19.</w:t>
      </w:r>
      <w:r>
        <w:tab/>
      </w:r>
      <w:r>
        <w:rPr>
          <w:noProof/>
        </w:rPr>
        <w:t xml:space="preserve">Съкращенията са засегнали служители с ниско или средно ниво на образование, например административен персонал и рецепционисти. Търсенето на пазара на труда за тези видове длъжности е слабо. В банковия сектор жените заемат предимно длъжности от по-ниско и средно равнище; поради това сред жените има повече безработни (55 %), отколкото сред мъжете (45 %). 45 % от безработните в банковия сектор са на 55 или повече години. </w:t>
      </w:r>
    </w:p>
    <w:p>
      <w:pPr>
        <w:keepNext/>
        <w:tabs>
          <w:tab w:val="left" w:pos="0"/>
        </w:tabs>
        <w:outlineLvl w:val="2"/>
        <w:rPr>
          <w:i/>
          <w:noProof/>
        </w:rPr>
      </w:pPr>
      <w:r>
        <w:rPr>
          <w:i/>
          <w:noProof/>
        </w:rPr>
        <w:t>Очаквано въздействие на съкращенията върху местната, регионалната или националната икономика и върху заетостта</w:t>
      </w:r>
    </w:p>
    <w:p>
      <w:pPr>
        <w:pStyle w:val="ManualNumPar1"/>
        <w:rPr>
          <w:noProof/>
        </w:rPr>
      </w:pPr>
      <w:r>
        <w:t>20.</w:t>
      </w:r>
      <w:r>
        <w:tab/>
      </w:r>
      <w:r>
        <w:rPr>
          <w:noProof/>
        </w:rPr>
        <w:t>Съкращенията в банковия сектор са сериозно предизвикателство в трите засегнати провинции</w:t>
      </w:r>
      <w:r>
        <w:rPr>
          <w:rStyle w:val="FootnoteReference"/>
          <w:noProof/>
          <w:spacing w:val="6"/>
        </w:rPr>
        <w:footnoteReference w:id="23"/>
      </w:r>
      <w:r>
        <w:rPr>
          <w:noProof/>
          <w:sz w:val="22"/>
        </w:rPr>
        <w:t>.</w:t>
      </w:r>
      <w:r>
        <w:rPr>
          <w:i/>
          <w:noProof/>
          <w:sz w:val="22"/>
        </w:rPr>
        <w:t xml:space="preserve"> </w:t>
      </w:r>
      <w:r>
        <w:rPr>
          <w:noProof/>
        </w:rPr>
        <w:t>Безработицата и в трите региона е по-висока от средната национална стойност от 5,4 %. Във Friesland тя е 10,8 %</w:t>
      </w:r>
      <w:r>
        <w:rPr>
          <w:rStyle w:val="FootnoteReference"/>
          <w:noProof/>
          <w:spacing w:val="6"/>
        </w:rPr>
        <w:footnoteReference w:id="24"/>
      </w:r>
      <w:r>
        <w:rPr>
          <w:noProof/>
        </w:rPr>
        <w:t>, в Drenthe — 7%</w:t>
      </w:r>
      <w:r>
        <w:rPr>
          <w:rStyle w:val="FootnoteReference"/>
          <w:noProof/>
          <w:spacing w:val="6"/>
        </w:rPr>
        <w:footnoteReference w:id="25"/>
      </w:r>
      <w:r>
        <w:rPr>
          <w:noProof/>
        </w:rPr>
        <w:t>, а в Overijssel — 6,3 %</w:t>
      </w:r>
      <w:r>
        <w:rPr>
          <w:rStyle w:val="FootnoteReference"/>
          <w:noProof/>
          <w:spacing w:val="6"/>
        </w:rPr>
        <w:footnoteReference w:id="26"/>
      </w:r>
      <w:r>
        <w:rPr>
          <w:noProof/>
        </w:rPr>
        <w:t>. Като цяло 66 % от хората са успели да намерят нова работа до една година след уволняването им. В банковия сектор само 39 % от хората са намерили нова работа в срок от една година</w:t>
      </w:r>
      <w:r>
        <w:rPr>
          <w:rStyle w:val="FootnoteReference"/>
          <w:noProof/>
          <w:spacing w:val="6"/>
        </w:rPr>
        <w:footnoteReference w:id="27"/>
      </w:r>
      <w:r>
        <w:rPr>
          <w:noProof/>
        </w:rPr>
        <w:t>.</w:t>
      </w:r>
    </w:p>
    <w:p>
      <w:pPr>
        <w:pStyle w:val="ManualNumPar1"/>
        <w:rPr>
          <w:noProof/>
        </w:rPr>
      </w:pPr>
      <w:r>
        <w:t>21.</w:t>
      </w:r>
      <w:r>
        <w:tab/>
      </w:r>
      <w:r>
        <w:rPr>
          <w:noProof/>
        </w:rPr>
        <w:t>Според Нидерландската агенция за осигуряване на работниците и служителите (UWV) перспективите на тези хора да си намерят нова работа в същия сектор не са големи, тъй като не се очаква равнището на заетостта в сектора да се възстанови. Според прогнозите ще има нов спад на заетостта в този сектор през 2018 г.</w:t>
      </w:r>
      <w:r>
        <w:rPr>
          <w:rStyle w:val="FootnoteReference"/>
          <w:noProof/>
        </w:rPr>
        <w:footnoteReference w:id="28"/>
      </w:r>
      <w:r>
        <w:rPr>
          <w:noProof/>
        </w:rPr>
        <w:t xml:space="preserve"> </w:t>
      </w:r>
    </w:p>
    <w:p>
      <w:pPr>
        <w:pStyle w:val="ManualNumPar1"/>
        <w:rPr>
          <w:noProof/>
        </w:rPr>
      </w:pPr>
      <w:r>
        <w:t>22.</w:t>
      </w:r>
      <w:r>
        <w:tab/>
      </w:r>
      <w:r>
        <w:rPr>
          <w:noProof/>
        </w:rPr>
        <w:t>Във Friesland 16 % от хората, които са поискали обезщетения за безработица, са изпълнявали длъжности в банковия сектор, които вече не са необходими в региона поради, наред с други причини, закриването на регионалните клонове на банките</w:t>
      </w:r>
      <w:r>
        <w:rPr>
          <w:rStyle w:val="FootnoteReference"/>
          <w:noProof/>
        </w:rPr>
        <w:footnoteReference w:id="29"/>
      </w:r>
      <w:r>
        <w:rPr>
          <w:noProof/>
        </w:rPr>
        <w:t xml:space="preserve">. </w:t>
      </w:r>
    </w:p>
    <w:p>
      <w:pPr>
        <w:pStyle w:val="ManualNumPar1"/>
        <w:rPr>
          <w:noProof/>
        </w:rPr>
      </w:pPr>
      <w:r>
        <w:t>23.</w:t>
      </w:r>
      <w:r>
        <w:tab/>
      </w:r>
      <w:r>
        <w:rPr>
          <w:noProof/>
        </w:rPr>
        <w:t>В Overijjssel банковият сектор заема второ място в списъка на професионалните среди на хората, които искат обезщетения за безработица</w:t>
      </w:r>
      <w:r>
        <w:rPr>
          <w:rStyle w:val="FootnoteReference"/>
          <w:noProof/>
          <w:spacing w:val="4"/>
        </w:rPr>
        <w:footnoteReference w:id="30"/>
      </w:r>
      <w:r>
        <w:rPr>
          <w:noProof/>
        </w:rPr>
        <w:t xml:space="preserve">. </w:t>
      </w:r>
    </w:p>
    <w:p>
      <w:pPr>
        <w:pStyle w:val="ManualNumPar1"/>
        <w:rPr>
          <w:noProof/>
        </w:rPr>
      </w:pPr>
      <w:r>
        <w:t>24.</w:t>
      </w:r>
      <w:r>
        <w:tab/>
      </w:r>
      <w:r>
        <w:rPr>
          <w:noProof/>
        </w:rPr>
        <w:t>Очаквано въздействие на съкращенията в засегнатите територии е свързано и с трудностите при преквалификацията в рамките на един и същи сектор. UWV съветва хората от банковия сектор в тези три провинции да помислят за смяна на професията си, сектора или региона</w:t>
      </w:r>
      <w:r>
        <w:rPr>
          <w:rStyle w:val="FootnoteReference"/>
          <w:noProof/>
        </w:rPr>
        <w:footnoteReference w:id="31"/>
      </w:r>
      <w:r>
        <w:rPr>
          <w:rStyle w:val="FootnoteReference"/>
          <w:noProof/>
        </w:rPr>
        <w:t xml:space="preserve"> </w:t>
      </w:r>
      <w:r>
        <w:rPr>
          <w:rStyle w:val="FootnoteReference"/>
          <w:noProof/>
        </w:rPr>
        <w:footnoteReference w:id="32"/>
      </w:r>
      <w:r>
        <w:rPr>
          <w:rStyle w:val="FootnoteReference"/>
          <w:noProof/>
        </w:rPr>
        <w:t>.</w:t>
      </w:r>
      <w:r>
        <w:rPr>
          <w:noProof/>
        </w:rPr>
        <w:t>. Трите засегнати области не са така индустриализирани и диверсифицирани като други региони в Нидерландия; повечето дружества са МСП</w:t>
      </w:r>
      <w:r>
        <w:rPr>
          <w:rStyle w:val="FootnoteReference"/>
          <w:noProof/>
        </w:rPr>
        <w:footnoteReference w:id="33"/>
      </w:r>
      <w:r>
        <w:rPr>
          <w:rStyle w:val="FootnoteReference"/>
          <w:noProof/>
        </w:rPr>
        <w:t>.</w:t>
      </w:r>
      <w:r>
        <w:rPr>
          <w:noProof/>
        </w:rPr>
        <w:t xml:space="preserve">. Въпреки това там съществуват нови възможности за работа в здравеопазването, ИКТ, логистиката, финансовия контрол и други сектори. </w:t>
      </w:r>
    </w:p>
    <w:p>
      <w:pPr>
        <w:pStyle w:val="ManualNumPar1"/>
        <w:rPr>
          <w:noProof/>
        </w:rPr>
      </w:pPr>
      <w:r>
        <w:t>25.</w:t>
      </w:r>
      <w:r>
        <w:tab/>
      </w:r>
      <w:r>
        <w:rPr>
          <w:noProof/>
        </w:rPr>
        <w:t xml:space="preserve">Част от 1324-мата съкратени работници принадлежат към уязвими групи; чиновници/персонал по продажбите (52 % в заявлението), жени (59 %), възрастни хора над 55 години (27 %). Половината от уволнените работници са били със специализирани/технически работни места. Ето защо е важно да се подпомогне бързото им реинтегриране на пазара на труда, тъй като </w:t>
      </w:r>
      <w:r>
        <w:rPr>
          <w:rStyle w:val="tlid-translation"/>
          <w:noProof/>
        </w:rPr>
        <w:t>ще им бъде трудно да намерят нова работа самостоятелно</w:t>
      </w:r>
      <w:r>
        <w:rPr>
          <w:noProof/>
        </w:rPr>
        <w:t xml:space="preserve">. </w:t>
      </w:r>
    </w:p>
    <w:p>
      <w:pPr>
        <w:pStyle w:val="ManualNumPar1"/>
        <w:rPr>
          <w:noProof/>
        </w:rPr>
      </w:pPr>
      <w:r>
        <w:t>26.</w:t>
      </w:r>
      <w:r>
        <w:tab/>
      </w:r>
      <w:r>
        <w:rPr>
          <w:noProof/>
        </w:rPr>
        <w:t>Средната продължителност на обезщетенията за безработица за безработни банкови служители трае много повече, отколкото за безработни лица от други сектори. Освен това данни от UWV сочат, че поне 12 % от тези, които са кандидатствали за получаване на обезщетения за безработица, по-рано са работили във финансовия сектор</w:t>
      </w:r>
      <w:r>
        <w:rPr>
          <w:rStyle w:val="FootnoteReference"/>
          <w:noProof/>
        </w:rPr>
        <w:footnoteReference w:id="34"/>
      </w:r>
      <w:r>
        <w:rPr>
          <w:noProof/>
        </w:rPr>
        <w:t>.</w:t>
      </w:r>
    </w:p>
    <w:p>
      <w:pPr>
        <w:pStyle w:val="ManualHeading2"/>
        <w:rPr>
          <w:noProof/>
        </w:rPr>
      </w:pPr>
      <w:r>
        <w:rPr>
          <w:noProof/>
        </w:rPr>
        <w:t>Бенефициери от целевата група и предложени действия</w:t>
      </w:r>
    </w:p>
    <w:p>
      <w:pPr>
        <w:pStyle w:val="ManualHeading3"/>
        <w:rPr>
          <w:noProof/>
        </w:rPr>
      </w:pPr>
      <w:r>
        <w:rPr>
          <w:noProof/>
        </w:rPr>
        <w:t>Бенефициери от целевата група</w:t>
      </w:r>
    </w:p>
    <w:p>
      <w:pPr>
        <w:pStyle w:val="ManualNumPar1"/>
        <w:rPr>
          <w:noProof/>
        </w:rPr>
      </w:pPr>
      <w:r>
        <w:t>27.</w:t>
      </w:r>
      <w:r>
        <w:tab/>
      </w:r>
      <w:r>
        <w:rPr>
          <w:noProof/>
        </w:rPr>
        <w:t>Прогнозният брой на съкратените работници, за които се очаква да вземат участие в мерките, е 450. Другите отговарящи на критериите за подпомагане работници се прехвърлят в други сектори или региони, пенсионират се или участват в национални и местни схеми за повторно наемане на работа. По-долу е представена разбивката на тези работници по пол, гражданство и възрастова група: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40"/>
        <w:gridCol w:w="1939"/>
        <w:gridCol w:w="1176"/>
        <w:gridCol w:w="1176"/>
      </w:tblGrid>
      <w:tr>
        <w:trPr>
          <w:jc w:val="center"/>
        </w:trPr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Категория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 xml:space="preserve">Брой на </w:t>
            </w:r>
            <w:r>
              <w:rPr>
                <w:noProof/>
              </w:rPr>
              <w:br/>
              <w:t>бенефициерите от целевата група*</w:t>
            </w:r>
          </w:p>
        </w:tc>
      </w:tr>
      <w:tr>
        <w:trPr>
          <w:jc w:val="center"/>
        </w:trPr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Пол: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right w:val="nil"/>
            </w:tcBorders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Мъже: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183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(40,7 %)</w:t>
            </w:r>
          </w:p>
        </w:tc>
      </w:tr>
      <w:tr>
        <w:trPr>
          <w:jc w:val="center"/>
        </w:trPr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before="60" w:after="60"/>
              <w:rPr>
                <w:noProof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Жени: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267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(59,3 %)</w:t>
            </w:r>
          </w:p>
        </w:tc>
      </w:tr>
      <w:tr>
        <w:trPr>
          <w:jc w:val="center"/>
        </w:trPr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Гражданство: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Граждани на държави — членки на ЕС: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450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(100,0 %)</w:t>
            </w:r>
          </w:p>
        </w:tc>
      </w:tr>
      <w:tr>
        <w:trPr>
          <w:jc w:val="center"/>
        </w:trPr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before="60" w:after="60"/>
              <w:rPr>
                <w:noProof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Граждани на трети държави: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(0 %)</w:t>
            </w:r>
          </w:p>
        </w:tc>
      </w:tr>
      <w:tr>
        <w:trPr>
          <w:jc w:val="center"/>
        </w:trPr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Възрастова група: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15—24 години: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(8,4 %)</w:t>
            </w:r>
          </w:p>
        </w:tc>
      </w:tr>
      <w:tr>
        <w:trPr>
          <w:jc w:val="center"/>
        </w:trPr>
        <w:tc>
          <w:tcPr>
            <w:tcW w:w="1740" w:type="dxa"/>
          </w:tcPr>
          <w:p>
            <w:pPr>
              <w:spacing w:before="60" w:after="60"/>
              <w:rPr>
                <w:noProof/>
              </w:rPr>
            </w:pPr>
          </w:p>
        </w:tc>
        <w:tc>
          <w:tcPr>
            <w:tcW w:w="1939" w:type="dxa"/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25—29 години:</w:t>
            </w:r>
          </w:p>
        </w:tc>
        <w:tc>
          <w:tcPr>
            <w:tcW w:w="1176" w:type="dxa"/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1176" w:type="dxa"/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(11,1 %)</w:t>
            </w:r>
          </w:p>
        </w:tc>
      </w:tr>
      <w:tr>
        <w:trPr>
          <w:jc w:val="center"/>
        </w:trPr>
        <w:tc>
          <w:tcPr>
            <w:tcW w:w="1740" w:type="dxa"/>
          </w:tcPr>
          <w:p>
            <w:pPr>
              <w:spacing w:before="60" w:after="60"/>
              <w:rPr>
                <w:noProof/>
              </w:rPr>
            </w:pPr>
          </w:p>
        </w:tc>
        <w:tc>
          <w:tcPr>
            <w:tcW w:w="1939" w:type="dxa"/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30—54 години:</w:t>
            </w:r>
          </w:p>
        </w:tc>
        <w:tc>
          <w:tcPr>
            <w:tcW w:w="1176" w:type="dxa"/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241</w:t>
            </w:r>
          </w:p>
        </w:tc>
        <w:tc>
          <w:tcPr>
            <w:tcW w:w="1176" w:type="dxa"/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(53,6 %)</w:t>
            </w:r>
          </w:p>
        </w:tc>
      </w:tr>
      <w:tr>
        <w:trPr>
          <w:jc w:val="center"/>
        </w:trPr>
        <w:tc>
          <w:tcPr>
            <w:tcW w:w="1740" w:type="dxa"/>
          </w:tcPr>
          <w:p>
            <w:pPr>
              <w:spacing w:before="60" w:after="60"/>
              <w:rPr>
                <w:noProof/>
              </w:rPr>
            </w:pPr>
          </w:p>
        </w:tc>
        <w:tc>
          <w:tcPr>
            <w:tcW w:w="1939" w:type="dxa"/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55—64 години:</w:t>
            </w:r>
          </w:p>
        </w:tc>
        <w:tc>
          <w:tcPr>
            <w:tcW w:w="1176" w:type="dxa"/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104</w:t>
            </w:r>
          </w:p>
        </w:tc>
        <w:tc>
          <w:tcPr>
            <w:tcW w:w="1176" w:type="dxa"/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(23,1 %)</w:t>
            </w:r>
          </w:p>
        </w:tc>
      </w:tr>
      <w:tr>
        <w:trPr>
          <w:jc w:val="center"/>
        </w:trPr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before="60" w:after="60"/>
              <w:rPr>
                <w:noProof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над 64 години: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(3,8 %)</w:t>
            </w:r>
          </w:p>
        </w:tc>
      </w:tr>
    </w:tbl>
    <w:p>
      <w:pPr>
        <w:pStyle w:val="Text1"/>
        <w:rPr>
          <w:noProof/>
        </w:rPr>
      </w:pPr>
      <w:r>
        <w:rPr>
          <w:noProof/>
        </w:rPr>
        <w:t>*:% е със закръгляване.</w:t>
      </w:r>
    </w:p>
    <w:p>
      <w:pPr>
        <w:pStyle w:val="ManualHeading3"/>
        <w:rPr>
          <w:noProof/>
          <w:u w:val="single"/>
        </w:rPr>
      </w:pPr>
      <w:r>
        <w:rPr>
          <w:noProof/>
        </w:rPr>
        <w:t>Допустимост на предложените действия</w:t>
      </w:r>
    </w:p>
    <w:p>
      <w:pPr>
        <w:pStyle w:val="ManualNumPar1"/>
        <w:rPr>
          <w:noProof/>
        </w:rPr>
      </w:pPr>
      <w:r>
        <w:t>28.</w:t>
      </w:r>
      <w:r>
        <w:tab/>
      </w:r>
      <w:r>
        <w:rPr>
          <w:noProof/>
        </w:rPr>
        <w:t xml:space="preserve">Персонализираните услуги, които ще бъдат предоставяни на съкратените работници, включват следните действия: </w:t>
      </w:r>
    </w:p>
    <w:p>
      <w:pPr>
        <w:pStyle w:val="Tiret1"/>
        <w:numPr>
          <w:ilvl w:val="0"/>
          <w:numId w:val="10"/>
        </w:numPr>
        <w:rPr>
          <w:noProof/>
        </w:rPr>
      </w:pPr>
      <w:r>
        <w:rPr>
          <w:noProof/>
          <w:u w:val="single"/>
        </w:rPr>
        <w:t>Прием на съкратените работници</w:t>
      </w:r>
      <w:r>
        <w:rPr>
          <w:noProof/>
        </w:rPr>
        <w:t xml:space="preserve">: с тази мярка ще бъде очертан профилът на участниците според техните способности, потенциал и перспективи за работа. Всеки прием ще приключва с предоставяне на съвет. </w:t>
      </w:r>
    </w:p>
    <w:p>
      <w:pPr>
        <w:pStyle w:val="Tiret1"/>
        <w:numPr>
          <w:ilvl w:val="0"/>
          <w:numId w:val="12"/>
        </w:numPr>
        <w:rPr>
          <w:noProof/>
        </w:rPr>
      </w:pPr>
      <w:r>
        <w:rPr>
          <w:noProof/>
          <w:u w:val="single"/>
        </w:rPr>
        <w:t>Помощ при търсене на работа</w:t>
      </w:r>
      <w:r>
        <w:rPr>
          <w:noProof/>
        </w:rPr>
        <w:t>: тази мярка ще започне с отправяне на предложение за персонализирана програма. Наред с другото тя ще включва подготовка на документите за трансфер, интензивно обучение за кандидатстване за работа, организиране на пазари на работни места и интензивно установяване на контакти с работодатели.</w:t>
      </w:r>
    </w:p>
    <w:p>
      <w:pPr>
        <w:pStyle w:val="Tiret1"/>
        <w:numPr>
          <w:ilvl w:val="0"/>
          <w:numId w:val="12"/>
        </w:numPr>
        <w:rPr>
          <w:noProof/>
        </w:rPr>
      </w:pPr>
      <w:r>
        <w:rPr>
          <w:noProof/>
          <w:u w:val="single"/>
        </w:rPr>
        <w:t>Резерв за мобилност</w:t>
      </w:r>
      <w:r>
        <w:rPr>
          <w:noProof/>
        </w:rPr>
        <w:t xml:space="preserve">: тази мярка се изразява в създаването на гъвкав резерв за търсещите работа лица и за работодателите, предлагащи временна работа. Ще бъде основан специализиран резерв за бивши работници от банковия сектор за мобилност на регионално равнище. Тази мярка ще осигури на работниците професионален опит (евентуално след преквалификация) и ще им помогне да се запознаят с нови работодатели. </w:t>
      </w:r>
    </w:p>
    <w:p>
      <w:pPr>
        <w:pStyle w:val="Tiret1"/>
        <w:numPr>
          <w:ilvl w:val="0"/>
          <w:numId w:val="12"/>
        </w:numPr>
        <w:rPr>
          <w:noProof/>
        </w:rPr>
      </w:pPr>
      <w:r>
        <w:rPr>
          <w:noProof/>
          <w:u w:val="single"/>
        </w:rPr>
        <w:t>Обучение и наставничество за насърчаване на предприемачеството</w:t>
      </w:r>
      <w:r>
        <w:rPr>
          <w:noProof/>
        </w:rPr>
        <w:t>: някои от участниците могат да използват уменията и опита си, за да започнат собствен бизнес. Тази мярка ще им осигури обучение и наставничество посредством развиване на уменията им, помощ за изготвяне на устойчив бизнес план и насоки във връзка с преминаването през законовите процедури.</w:t>
      </w:r>
    </w:p>
    <w:p>
      <w:pPr>
        <w:pStyle w:val="Tiret1"/>
        <w:numPr>
          <w:ilvl w:val="0"/>
          <w:numId w:val="12"/>
        </w:numPr>
        <w:rPr>
          <w:noProof/>
        </w:rPr>
      </w:pPr>
      <w:r>
        <w:rPr>
          <w:noProof/>
          <w:u w:val="single"/>
        </w:rPr>
        <w:t>Обучение и преквалификация</w:t>
      </w:r>
      <w:r>
        <w:rPr>
          <w:noProof/>
        </w:rPr>
        <w:t>: чрез тази мярка ще се осигуряват обучение, преквалификация и други образователни възможности както за сектора на търговията на дребно, така и за нови професионални профили, например в областта на транспорта, информационните услуги, техническите професии и др.</w:t>
      </w:r>
    </w:p>
    <w:p>
      <w:pPr>
        <w:pStyle w:val="Tiret1"/>
        <w:numPr>
          <w:ilvl w:val="0"/>
          <w:numId w:val="12"/>
        </w:numPr>
        <w:rPr>
          <w:i/>
          <w:noProof/>
        </w:rPr>
      </w:pPr>
      <w:r>
        <w:rPr>
          <w:noProof/>
          <w:u w:val="single"/>
        </w:rPr>
        <w:t>Съдействие при пренасочване към друга дейност</w:t>
      </w:r>
      <w:r>
        <w:rPr>
          <w:noProof/>
        </w:rPr>
        <w:t>: чрез тази мярка ще се предлагат професионално ориентиране, консултиране и обучение за развиване на компетенциите.</w:t>
      </w:r>
    </w:p>
    <w:p>
      <w:pPr>
        <w:pStyle w:val="Tiret1"/>
        <w:numPr>
          <w:ilvl w:val="0"/>
          <w:numId w:val="12"/>
        </w:numPr>
        <w:rPr>
          <w:noProof/>
        </w:rPr>
      </w:pPr>
      <w:r>
        <w:rPr>
          <w:noProof/>
          <w:u w:val="single"/>
        </w:rPr>
        <w:t>Безвъзмездни средства за насърчаване на предприемачеството</w:t>
      </w:r>
      <w:r>
        <w:rPr>
          <w:noProof/>
        </w:rPr>
        <w:t xml:space="preserve">: чрез тази мярка ще се предоставят безвъзмездни средства за покриване на инвестиционните разходи, ако участникът придобие необходимите умения и има устойчив бизнес план. </w:t>
      </w:r>
    </w:p>
    <w:p>
      <w:pPr>
        <w:pStyle w:val="ManualNumPar1"/>
        <w:rPr>
          <w:noProof/>
        </w:rPr>
      </w:pPr>
      <w:r>
        <w:t>29.</w:t>
      </w:r>
      <w:r>
        <w:tab/>
      </w:r>
      <w:r>
        <w:rPr>
          <w:noProof/>
        </w:rPr>
        <w:t>Предложените действия, описани в настоящия документ, представляват активни мерки на пазара на труда в рамките на допустимите действия, посочени в член 7 от Регламента за ЕФПГ. Тези действия не заместват пасивните мерки за социална закрила.</w:t>
      </w:r>
    </w:p>
    <w:p>
      <w:pPr>
        <w:pStyle w:val="ManualNumPar1"/>
        <w:rPr>
          <w:noProof/>
        </w:rPr>
      </w:pPr>
      <w:r>
        <w:t>30.</w:t>
      </w:r>
      <w:r>
        <w:tab/>
      </w:r>
      <w:r>
        <w:rPr>
          <w:noProof/>
        </w:rPr>
        <w:t>Нидерландия предостави поисканата информация относно действията, които са задължителни за засегнатите предприятия по силата на националното законодателство или в съответствие с колективни споразумения. Тя потвърди, че финансовото участие от ЕФПГ няма да замени тези действия.</w:t>
      </w:r>
    </w:p>
    <w:p>
      <w:pPr>
        <w:pStyle w:val="ManualHeading3"/>
        <w:rPr>
          <w:noProof/>
        </w:rPr>
      </w:pPr>
      <w:r>
        <w:rPr>
          <w:noProof/>
        </w:rPr>
        <w:t>Прогнозен бюджет</w:t>
      </w:r>
    </w:p>
    <w:p>
      <w:pPr>
        <w:pStyle w:val="ManualNumPar1"/>
        <w:rPr>
          <w:noProof/>
        </w:rPr>
      </w:pPr>
      <w:r>
        <w:t>31.</w:t>
      </w:r>
      <w:r>
        <w:tab/>
      </w:r>
      <w:r>
        <w:rPr>
          <w:noProof/>
        </w:rPr>
        <w:t>Общите прогнозни разходи са в размер на 1 987 500 евро, като в тях се включват разходи за персонализирани услуги в размер на 1 908 000 евро и разходи за дейности по подготовка, управление, информиране и популяризиране, контрол и докладване в размер на 79 500 евро.</w:t>
      </w:r>
    </w:p>
    <w:p>
      <w:pPr>
        <w:pStyle w:val="ManualNumPar1"/>
        <w:rPr>
          <w:noProof/>
        </w:rPr>
      </w:pPr>
      <w:r>
        <w:t>32.</w:t>
      </w:r>
      <w:r>
        <w:tab/>
      </w:r>
      <w:r>
        <w:rPr>
          <w:noProof/>
        </w:rPr>
        <w:t>Общият размер на поисканото финансово участие от ЕФПГ възлиза на 1 192 500 евро (60 % от общите разходи).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548"/>
        <w:gridCol w:w="1548"/>
        <w:gridCol w:w="1548"/>
      </w:tblGrid>
      <w:tr>
        <w:tc>
          <w:tcPr>
            <w:tcW w:w="464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Действия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Прогнозен брой участници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Прогнозни разходи за един участник*</w:t>
            </w:r>
            <w:r>
              <w:rPr>
                <w:rFonts w:eastAsia="Times New Roman"/>
                <w:noProof/>
                <w:sz w:val="22"/>
              </w:rPr>
              <w:br/>
            </w:r>
            <w:r>
              <w:rPr>
                <w:i/>
                <w:noProof/>
                <w:sz w:val="22"/>
              </w:rPr>
              <w:t>(EUR)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Общо прогнозни разходи</w:t>
            </w:r>
          </w:p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i/>
                <w:noProof/>
                <w:sz w:val="22"/>
              </w:rPr>
              <w:t xml:space="preserve">(EUR) </w:t>
            </w:r>
          </w:p>
        </w:tc>
      </w:tr>
      <w:tr>
        <w:tc>
          <w:tcPr>
            <w:tcW w:w="9288" w:type="dxa"/>
            <w:gridSpan w:val="4"/>
            <w:shd w:val="clear" w:color="auto" w:fill="auto"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Персонализирани услуги (действия по член 7, параграф 1, букви а) и в) от Регламента за ЕФПГ)</w:t>
            </w:r>
          </w:p>
        </w:tc>
      </w:tr>
      <w:tr>
        <w:trPr>
          <w:trHeight w:val="802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left"/>
              <w:rPr>
                <w:noProof/>
              </w:rPr>
            </w:pPr>
            <w:r>
              <w:rPr>
                <w:noProof/>
              </w:rPr>
              <w:t>Прием (Intake)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250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1152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288 000</w:t>
            </w:r>
          </w:p>
        </w:tc>
      </w:tr>
      <w:tr>
        <w:trPr>
          <w:trHeight w:val="802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left"/>
              <w:rPr>
                <w:noProof/>
              </w:rPr>
            </w:pPr>
            <w:r>
              <w:rPr>
                <w:noProof/>
              </w:rPr>
              <w:t>Помощ при търсене на работа (Trajectbegeleiding reintegratie)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450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900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405 000</w:t>
            </w:r>
          </w:p>
        </w:tc>
      </w:tr>
      <w:tr>
        <w:trPr>
          <w:trHeight w:val="802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left"/>
              <w:rPr>
                <w:noProof/>
              </w:rPr>
            </w:pPr>
            <w:r>
              <w:rPr>
                <w:noProof/>
              </w:rPr>
              <w:t>Резерв за мобилност (Mobiliteitspool)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175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3200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560 000</w:t>
            </w:r>
          </w:p>
        </w:tc>
      </w:tr>
      <w:tr>
        <w:trPr>
          <w:trHeight w:val="802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left"/>
              <w:rPr>
                <w:noProof/>
              </w:rPr>
            </w:pPr>
            <w:r>
              <w:rPr>
                <w:noProof/>
              </w:rPr>
              <w:t>Обучение и наставничество за насърчаване на предприемачеството (Promotie, cursussen en begeleiding ondernemerschap)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2000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40 000</w:t>
            </w:r>
          </w:p>
        </w:tc>
      </w:tr>
      <w:tr>
        <w:trPr>
          <w:trHeight w:val="802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left"/>
              <w:rPr>
                <w:noProof/>
              </w:rPr>
            </w:pPr>
            <w:r>
              <w:rPr>
                <w:noProof/>
              </w:rPr>
              <w:t xml:space="preserve">Обучение и преквалификация (Scholing en cursussen)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3500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262 500</w:t>
            </w:r>
          </w:p>
        </w:tc>
      </w:tr>
      <w:tr>
        <w:trPr>
          <w:trHeight w:val="966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left"/>
              <w:rPr>
                <w:noProof/>
              </w:rPr>
            </w:pPr>
            <w:r>
              <w:rPr>
                <w:noProof/>
              </w:rPr>
              <w:t>Съдействие при пренасочване към друга дейност (Outplacement begeleiding)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1500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52 500</w:t>
            </w:r>
          </w:p>
        </w:tc>
      </w:tr>
      <w:tr>
        <w:trPr>
          <w:trHeight w:val="1095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</w:rPr>
            </w:pPr>
            <w:r>
              <w:rPr>
                <w:noProof/>
              </w:rPr>
              <w:t>Безвъзмездни средства за насърчаване на предприемачеството (Toelage ondernemerschap)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15 000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300 000</w:t>
            </w:r>
          </w:p>
        </w:tc>
      </w:tr>
      <w:tr>
        <w:trPr>
          <w:trHeight w:val="398"/>
        </w:trPr>
        <w:tc>
          <w:tcPr>
            <w:tcW w:w="4644" w:type="dxa"/>
            <w:vMerge w:val="restart"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Междинен сбор (a):</w:t>
            </w:r>
          </w:p>
          <w:p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 xml:space="preserve">Процент от пакета персонализирани услуги: </w:t>
            </w:r>
          </w:p>
        </w:tc>
        <w:tc>
          <w:tcPr>
            <w:tcW w:w="3096" w:type="dxa"/>
            <w:gridSpan w:val="2"/>
            <w:vMerge w:val="restart"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—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</w:rPr>
              <w:t>1 908 000</w:t>
            </w:r>
          </w:p>
        </w:tc>
      </w:tr>
      <w:tr>
        <w:trPr>
          <w:trHeight w:val="397"/>
        </w:trPr>
        <w:tc>
          <w:tcPr>
            <w:tcW w:w="4644" w:type="dxa"/>
            <w:vMerge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3096" w:type="dxa"/>
            <w:gridSpan w:val="2"/>
            <w:vMerge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(100</w:t>
            </w:r>
            <w:r>
              <w:rPr>
                <w:noProof/>
              </w:rPr>
              <w:t> </w:t>
            </w:r>
            <w:r>
              <w:rPr>
                <w:noProof/>
                <w:sz w:val="22"/>
              </w:rPr>
              <w:t>%)</w:t>
            </w:r>
          </w:p>
        </w:tc>
      </w:tr>
      <w:tr>
        <w:tc>
          <w:tcPr>
            <w:tcW w:w="9288" w:type="dxa"/>
            <w:gridSpan w:val="4"/>
            <w:shd w:val="clear" w:color="auto" w:fill="auto"/>
            <w:vAlign w:val="center"/>
          </w:tcPr>
          <w:p>
            <w:pPr>
              <w:spacing w:before="60" w:after="60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Помощи и стимули (действия по член 7, параграф 1, буква б) от Регламента за ЕФПГ)</w:t>
            </w:r>
          </w:p>
        </w:tc>
      </w:tr>
      <w:tr>
        <w:trPr>
          <w:trHeight w:val="802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left"/>
              <w:rPr>
                <w:noProof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rPr>
          <w:trHeight w:val="203"/>
        </w:trPr>
        <w:tc>
          <w:tcPr>
            <w:tcW w:w="4644" w:type="dxa"/>
            <w:vMerge w:val="restart"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Междинен сбор (б):</w:t>
            </w:r>
          </w:p>
          <w:p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Процент от пакета персонализирани услуги:</w:t>
            </w:r>
          </w:p>
        </w:tc>
        <w:tc>
          <w:tcPr>
            <w:tcW w:w="3096" w:type="dxa"/>
            <w:gridSpan w:val="2"/>
            <w:vMerge w:val="restart"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—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</w:rPr>
              <w:t>0</w:t>
            </w:r>
          </w:p>
        </w:tc>
      </w:tr>
      <w:tr>
        <w:trPr>
          <w:trHeight w:val="202"/>
        </w:trPr>
        <w:tc>
          <w:tcPr>
            <w:tcW w:w="4644" w:type="dxa"/>
            <w:vMerge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3096" w:type="dxa"/>
            <w:gridSpan w:val="2"/>
            <w:vMerge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(100</w:t>
            </w:r>
            <w:r>
              <w:rPr>
                <w:noProof/>
              </w:rPr>
              <w:t> </w:t>
            </w:r>
            <w:r>
              <w:rPr>
                <w:noProof/>
                <w:sz w:val="22"/>
              </w:rPr>
              <w:t>%)</w:t>
            </w:r>
          </w:p>
        </w:tc>
      </w:tr>
      <w:tr>
        <w:tc>
          <w:tcPr>
            <w:tcW w:w="9288" w:type="dxa"/>
            <w:gridSpan w:val="4"/>
            <w:shd w:val="clear" w:color="auto" w:fill="auto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Действия по член 7, параграф 4 от Регламента за ЕФПГ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before="60" w:after="60"/>
              <w:ind w:left="284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 Подготовка</w:t>
            </w:r>
          </w:p>
        </w:tc>
        <w:tc>
          <w:tcPr>
            <w:tcW w:w="3096" w:type="dxa"/>
            <w:gridSpan w:val="2"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—</w:t>
            </w:r>
          </w:p>
        </w:tc>
        <w:tc>
          <w:tcPr>
            <w:tcW w:w="1548" w:type="dxa"/>
            <w:shd w:val="clear" w:color="auto" w:fill="auto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before="60" w:after="60"/>
              <w:ind w:left="284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2. Управление</w:t>
            </w:r>
          </w:p>
        </w:tc>
        <w:tc>
          <w:tcPr>
            <w:tcW w:w="3096" w:type="dxa"/>
            <w:gridSpan w:val="2"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—</w:t>
            </w:r>
          </w:p>
        </w:tc>
        <w:tc>
          <w:tcPr>
            <w:tcW w:w="1548" w:type="dxa"/>
            <w:shd w:val="clear" w:color="auto" w:fill="auto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</w:rPr>
              <w:t>19 875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before="60" w:after="60"/>
              <w:ind w:left="284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3. Информиране и публичност</w:t>
            </w:r>
          </w:p>
        </w:tc>
        <w:tc>
          <w:tcPr>
            <w:tcW w:w="3096" w:type="dxa"/>
            <w:gridSpan w:val="2"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—</w:t>
            </w:r>
          </w:p>
        </w:tc>
        <w:tc>
          <w:tcPr>
            <w:tcW w:w="1548" w:type="dxa"/>
            <w:shd w:val="clear" w:color="auto" w:fill="auto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</w:rPr>
              <w:t>39 750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before="60" w:after="60"/>
              <w:ind w:left="284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4. Контрол и докладване</w:t>
            </w:r>
          </w:p>
        </w:tc>
        <w:tc>
          <w:tcPr>
            <w:tcW w:w="3096" w:type="dxa"/>
            <w:gridSpan w:val="2"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—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</w:rPr>
              <w:t>19 875</w:t>
            </w:r>
          </w:p>
        </w:tc>
      </w:tr>
      <w:tr>
        <w:trPr>
          <w:trHeight w:val="203"/>
        </w:trPr>
        <w:tc>
          <w:tcPr>
            <w:tcW w:w="4644" w:type="dxa"/>
            <w:vMerge w:val="restart"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Междинен сбор (в):</w:t>
            </w:r>
          </w:p>
          <w:p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Процент от общите разходи:</w:t>
            </w:r>
          </w:p>
        </w:tc>
        <w:tc>
          <w:tcPr>
            <w:tcW w:w="3096" w:type="dxa"/>
            <w:gridSpan w:val="2"/>
            <w:vMerge w:val="restart"/>
            <w:shd w:val="clear" w:color="auto" w:fill="D9D9D9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—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</w:rPr>
              <w:t>79 500</w:t>
            </w:r>
          </w:p>
        </w:tc>
      </w:tr>
      <w:tr>
        <w:trPr>
          <w:trHeight w:val="202"/>
        </w:trPr>
        <w:tc>
          <w:tcPr>
            <w:tcW w:w="4644" w:type="dxa"/>
            <w:vMerge/>
            <w:shd w:val="clear" w:color="auto" w:fill="auto"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3096" w:type="dxa"/>
            <w:gridSpan w:val="2"/>
            <w:vMerge/>
            <w:shd w:val="clear" w:color="auto" w:fill="D9D9D9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(</w:t>
            </w:r>
            <w:r>
              <w:rPr>
                <w:noProof/>
              </w:rPr>
              <w:t>4 </w:t>
            </w:r>
            <w:r>
              <w:rPr>
                <w:noProof/>
                <w:sz w:val="22"/>
              </w:rPr>
              <w:t>%)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Общо разходи (а + б + в):</w:t>
            </w:r>
          </w:p>
        </w:tc>
        <w:tc>
          <w:tcPr>
            <w:tcW w:w="3096" w:type="dxa"/>
            <w:gridSpan w:val="2"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—</w:t>
            </w:r>
          </w:p>
        </w:tc>
        <w:tc>
          <w:tcPr>
            <w:tcW w:w="1548" w:type="dxa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</w:t>
            </w:r>
            <w:r>
              <w:rPr>
                <w:noProof/>
              </w:rPr>
              <w:t> </w:t>
            </w:r>
            <w:r>
              <w:rPr>
                <w:noProof/>
                <w:sz w:val="22"/>
              </w:rPr>
              <w:t>987</w:t>
            </w:r>
            <w:r>
              <w:rPr>
                <w:noProof/>
              </w:rPr>
              <w:t> </w:t>
            </w:r>
            <w:r>
              <w:rPr>
                <w:noProof/>
                <w:sz w:val="22"/>
              </w:rPr>
              <w:t>500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Финансово участие от ЕФПГ (60 % от общия размер на разходите)</w:t>
            </w:r>
          </w:p>
        </w:tc>
        <w:tc>
          <w:tcPr>
            <w:tcW w:w="3096" w:type="dxa"/>
            <w:gridSpan w:val="2"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—</w:t>
            </w:r>
          </w:p>
        </w:tc>
        <w:tc>
          <w:tcPr>
            <w:tcW w:w="1548" w:type="dxa"/>
            <w:shd w:val="clear" w:color="auto" w:fill="auto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</w:t>
            </w:r>
            <w:r>
              <w:rPr>
                <w:noProof/>
              </w:rPr>
              <w:t> 192</w:t>
            </w:r>
            <w:r>
              <w:rPr>
                <w:noProof/>
                <w:sz w:val="22"/>
              </w:rPr>
              <w:t> 500</w:t>
            </w:r>
          </w:p>
        </w:tc>
      </w:tr>
    </w:tbl>
    <w:p>
      <w:pPr>
        <w:pStyle w:val="Text1"/>
        <w:rPr>
          <w:noProof/>
        </w:rPr>
      </w:pPr>
      <w:r>
        <w:rPr>
          <w:noProof/>
        </w:rPr>
        <w:t>*: цифрите са закръглени.</w:t>
      </w:r>
    </w:p>
    <w:p>
      <w:pPr>
        <w:pStyle w:val="ManualNumPar1"/>
        <w:rPr>
          <w:noProof/>
        </w:rPr>
      </w:pPr>
      <w:r>
        <w:t>33.</w:t>
      </w:r>
      <w:r>
        <w:tab/>
      </w:r>
      <w:r>
        <w:rPr>
          <w:noProof/>
        </w:rPr>
        <w:t>Нидерландия е потвърдила, че разходите за инвестиции за самостоятелна заетост, започване на стопанска дейност и придобиване на дялово участие от служителите няма да надхвърлят 15 000 EUR за бенефициер.</w:t>
      </w:r>
    </w:p>
    <w:p>
      <w:pPr>
        <w:pStyle w:val="ManualHeading3"/>
        <w:rPr>
          <w:noProof/>
        </w:rPr>
      </w:pPr>
      <w:r>
        <w:rPr>
          <w:noProof/>
        </w:rPr>
        <w:t>Период на допустимост на разходите</w:t>
      </w:r>
    </w:p>
    <w:p>
      <w:pPr>
        <w:pStyle w:val="ManualNumPar1"/>
        <w:rPr>
          <w:noProof/>
        </w:rPr>
      </w:pPr>
      <w:r>
        <w:t>34.</w:t>
      </w:r>
      <w:r>
        <w:tab/>
      </w:r>
      <w:r>
        <w:rPr>
          <w:noProof/>
        </w:rPr>
        <w:t>Нидерландия е започнала да предоставя персонализирани услуги на бенефициерите от целевата група на 1 януари 2018 г. По тази причина разходите за действията са допустими за предоставяне на финансово участие от ЕФПГ в периода от 1 януари 2018 г. до 23 февруари 2020 г.</w:t>
      </w:r>
    </w:p>
    <w:p>
      <w:pPr>
        <w:pStyle w:val="ManualNumPar1"/>
        <w:rPr>
          <w:noProof/>
        </w:rPr>
      </w:pPr>
      <w:r>
        <w:t>35.</w:t>
      </w:r>
      <w:r>
        <w:tab/>
      </w:r>
      <w:r>
        <w:rPr>
          <w:noProof/>
        </w:rPr>
        <w:t>Нидерландия е започнала да извършва административни разходи по прилагането на ЕФПГ на 1 октомври 2017 г. По тази причина разходите за дейности по подготовка, управление, информиране и публичност, контрол и докладване са допустими за финансово участие от ЕФПГ в периода от 1 октомври 2017 г. до 23 август 2020 г.</w:t>
      </w:r>
    </w:p>
    <w:p>
      <w:pPr>
        <w:pStyle w:val="ManualHeading3"/>
        <w:rPr>
          <w:noProof/>
        </w:rPr>
      </w:pPr>
      <w:r>
        <w:rPr>
          <w:noProof/>
        </w:rPr>
        <w:t>Допълване с действия, финансирани с национални средства или със средства от Съюза</w:t>
      </w:r>
    </w:p>
    <w:p>
      <w:pPr>
        <w:pStyle w:val="ManualNumPar1"/>
        <w:rPr>
          <w:noProof/>
        </w:rPr>
      </w:pPr>
      <w:r>
        <w:t>36.</w:t>
      </w:r>
      <w:r>
        <w:tab/>
      </w:r>
      <w:r>
        <w:rPr>
          <w:noProof/>
        </w:rPr>
        <w:t>Средствата за национално предварително финансиране или съфинансиране се осигуряват от Агенцията за осигуряване на работниците и служителите (UWV), провинциите, образователните фондове и социалните партньори.</w:t>
      </w:r>
    </w:p>
    <w:p>
      <w:pPr>
        <w:pStyle w:val="ManualNumPar1"/>
        <w:rPr>
          <w:noProof/>
        </w:rPr>
      </w:pPr>
      <w:r>
        <w:t>37.</w:t>
      </w:r>
      <w:r>
        <w:tab/>
      </w:r>
      <w:r>
        <w:rPr>
          <w:noProof/>
        </w:rPr>
        <w:t>Нидерландия е потвърдила, че за описаните по-горе мерки, за които се предоставя финансово участие от ЕФПГ, няма да бъде получена финансова подкрепа от други финансови инструменти на Съюза.</w:t>
      </w:r>
    </w:p>
    <w:p>
      <w:pPr>
        <w:pStyle w:val="ManualHeading3"/>
        <w:tabs>
          <w:tab w:val="clear" w:pos="850"/>
          <w:tab w:val="left" w:pos="0"/>
        </w:tabs>
        <w:ind w:left="0" w:firstLine="0"/>
        <w:rPr>
          <w:noProof/>
        </w:rPr>
      </w:pPr>
      <w:r>
        <w:rPr>
          <w:noProof/>
        </w:rPr>
        <w:t>Процедури за провеждане на консултации с бенефициерите от целевата група, с техни представители или със социалните партньори, както и със съответните органи на местно и регионално равнище</w:t>
      </w:r>
    </w:p>
    <w:p>
      <w:pPr>
        <w:pStyle w:val="ManualNumPar1"/>
        <w:rPr>
          <w:noProof/>
        </w:rPr>
      </w:pPr>
      <w:r>
        <w:t>38.</w:t>
      </w:r>
      <w:r>
        <w:tab/>
      </w:r>
      <w:r>
        <w:rPr>
          <w:noProof/>
        </w:rPr>
        <w:t>Нидерландия посочи, че координираният пакет от персонализирани услуги е бил изготвен в тесни консултации със заинтересованите страни и социалните партньори, като например Нидерландската банкова асоциация (NVB), Нидерландската федерация на профсъюзите (FNV) и Националната християнска федерация на профсъюзите (CNV), по-специално относно изготвянето на съгласувания пакет от предлагани услуги. Социалните партньори ще участват и в управителния комитет, който ще бъде създаден за координиране на всички мерки на пазара на труда.</w:t>
      </w:r>
    </w:p>
    <w:p>
      <w:pPr>
        <w:pStyle w:val="ManualNumPar1"/>
        <w:rPr>
          <w:noProof/>
        </w:rPr>
      </w:pPr>
      <w:r>
        <w:t>39.</w:t>
      </w:r>
      <w:r>
        <w:tab/>
      </w:r>
      <w:r>
        <w:rPr>
          <w:noProof/>
        </w:rPr>
        <w:t>Дейностите по подготовката включваха срещи с представители на отрасъла и представители на община Leeuwarden и на трите провинции. Съответните партньори (социални партньори, представители на банковия сектор) са изготвили съвместно с UWV описание на естеството и мащаба на проблема. Изготвен е план за съкратените работници с цел да се увеличат шансовете им за пренасочване.</w:t>
      </w:r>
    </w:p>
    <w:p>
      <w:pPr>
        <w:pStyle w:val="ManualHeading3"/>
        <w:tabs>
          <w:tab w:val="clear" w:pos="850"/>
          <w:tab w:val="left" w:pos="0"/>
        </w:tabs>
        <w:ind w:left="0" w:firstLine="0"/>
        <w:rPr>
          <w:b/>
          <w:i w:val="0"/>
          <w:noProof/>
        </w:rPr>
      </w:pPr>
      <w:r>
        <w:rPr>
          <w:b/>
          <w:i w:val="0"/>
          <w:noProof/>
        </w:rPr>
        <w:t>Системи за управление и контрол</w:t>
      </w:r>
    </w:p>
    <w:p>
      <w:pPr>
        <w:pStyle w:val="ManualNumPar1"/>
        <w:rPr>
          <w:noProof/>
        </w:rPr>
      </w:pPr>
      <w:r>
        <w:t>40.</w:t>
      </w:r>
      <w:r>
        <w:tab/>
      </w:r>
      <w:r>
        <w:rPr>
          <w:noProof/>
        </w:rPr>
        <w:t>В заявлението е описана системата за управление и контрол и са посочени отговорностите на съответните органи. Системата е идентична на структурата, предвидена за ЕСФ. Разходите, свързани с дейностите, са включени в общия размер на разходите за проекта. Нидерландия е уведомила Комисията, че управлението ще се извършва от отдела, отговорен за прилагането на политика, към департамента за обслужване, сътрудничество и изпълнение (SZV; Министерство на социалните въпроси и заетостта).</w:t>
      </w:r>
    </w:p>
    <w:p>
      <w:pPr>
        <w:pStyle w:val="ManualNumPar1"/>
        <w:rPr>
          <w:noProof/>
        </w:rPr>
      </w:pPr>
      <w:r>
        <w:t>41.</w:t>
      </w:r>
      <w:r>
        <w:tab/>
      </w:r>
      <w:r>
        <w:rPr>
          <w:noProof/>
        </w:rPr>
        <w:t xml:space="preserve">Финансовият контрол ще се осъществява от генералния директор на Агенцията за предприятията в Нидерландия (RVO) към Министерството на икономическите въпроси и климата в качеството му на сертифициращ орган. Ролята на независим одитен орган ще изпълнява правителствената централна одитна служба към Министерството на финансите. </w:t>
      </w:r>
    </w:p>
    <w:p>
      <w:pPr>
        <w:pStyle w:val="ManualNumPar1"/>
        <w:rPr>
          <w:noProof/>
        </w:rPr>
      </w:pPr>
      <w:r>
        <w:t>42.</w:t>
      </w:r>
      <w:r>
        <w:tab/>
      </w:r>
      <w:r>
        <w:rPr>
          <w:noProof/>
        </w:rPr>
        <w:t>Що се отнася до вътрешния контрол и системите за счетоводна отчетност, от управата на провинция Drenthe са длъжни да съхраняват проверима административна документация за евентуален одит.</w:t>
      </w:r>
    </w:p>
    <w:p>
      <w:pPr>
        <w:pStyle w:val="ManualHeading3"/>
        <w:tabs>
          <w:tab w:val="clear" w:pos="850"/>
          <w:tab w:val="left" w:pos="0"/>
        </w:tabs>
        <w:ind w:left="0" w:firstLine="0"/>
        <w:rPr>
          <w:noProof/>
        </w:rPr>
      </w:pPr>
      <w:r>
        <w:rPr>
          <w:noProof/>
        </w:rPr>
        <w:t>Ангажименти, поети от засегнатата държава членка</w:t>
      </w:r>
    </w:p>
    <w:p>
      <w:pPr>
        <w:pStyle w:val="ManualNumPar1"/>
        <w:rPr>
          <w:noProof/>
        </w:rPr>
      </w:pPr>
      <w:r>
        <w:t>43.</w:t>
      </w:r>
      <w:r>
        <w:tab/>
      </w:r>
      <w:r>
        <w:rPr>
          <w:noProof/>
        </w:rPr>
        <w:t xml:space="preserve">Нидерландия е предоставила всички необходими гаранции за това, че: </w:t>
      </w:r>
    </w:p>
    <w:p>
      <w:pPr>
        <w:pStyle w:val="Tiret1"/>
        <w:numPr>
          <w:ilvl w:val="0"/>
          <w:numId w:val="12"/>
        </w:numPr>
        <w:rPr>
          <w:noProof/>
        </w:rPr>
      </w:pPr>
      <w:r>
        <w:rPr>
          <w:noProof/>
        </w:rPr>
        <w:t>при достъпа до предложените действия и тяхното изпълнение ще се спазват принципите на равнопоставеност и недискриминация;</w:t>
      </w:r>
    </w:p>
    <w:p>
      <w:pPr>
        <w:pStyle w:val="Tiret1"/>
        <w:numPr>
          <w:ilvl w:val="0"/>
          <w:numId w:val="12"/>
        </w:numPr>
        <w:rPr>
          <w:noProof/>
        </w:rPr>
      </w:pPr>
      <w:r>
        <w:rPr>
          <w:noProof/>
        </w:rPr>
        <w:t>са спазени изискванията, определени в националното законодателство и в законодателството на ЕС относно колективните съкращения;</w:t>
      </w:r>
    </w:p>
    <w:p>
      <w:pPr>
        <w:pStyle w:val="Tiret1"/>
        <w:numPr>
          <w:ilvl w:val="0"/>
          <w:numId w:val="12"/>
        </w:numPr>
        <w:rPr>
          <w:noProof/>
        </w:rPr>
      </w:pPr>
      <w:r>
        <w:rPr>
          <w:noProof/>
        </w:rPr>
        <w:t>за предложените действия няма да бъде получена финансова помощ от други фондове или финансови инструменти на Съюза и няма да бъде допуснато дублиране на финансирането;</w:t>
      </w:r>
    </w:p>
    <w:p>
      <w:pPr>
        <w:pStyle w:val="Tiret1"/>
        <w:numPr>
          <w:ilvl w:val="0"/>
          <w:numId w:val="12"/>
        </w:numPr>
        <w:rPr>
          <w:noProof/>
        </w:rPr>
      </w:pPr>
      <w:r>
        <w:rPr>
          <w:noProof/>
        </w:rPr>
        <w:t>предложените действия ще допълват действия, финансирани от структурните фондове;</w:t>
      </w:r>
    </w:p>
    <w:p>
      <w:pPr>
        <w:pStyle w:val="Tiret1"/>
        <w:numPr>
          <w:ilvl w:val="0"/>
          <w:numId w:val="12"/>
        </w:numPr>
        <w:rPr>
          <w:noProof/>
        </w:rPr>
      </w:pPr>
      <w:r>
        <w:rPr>
          <w:noProof/>
        </w:rPr>
        <w:t>финансовото участие от ЕФПГ ще бъде съобразено с процедурните и материалноправните разпоредби на Съюза относно държавните помощи.</w:t>
      </w:r>
    </w:p>
    <w:p>
      <w:pPr>
        <w:pStyle w:val="ManualHeading1"/>
        <w:rPr>
          <w:noProof/>
        </w:rPr>
      </w:pPr>
      <w:r>
        <w:rPr>
          <w:noProof/>
        </w:rPr>
        <w:t>ОТРАЖЕНИЕ ВЪРХУ БЮДЖЕТА</w:t>
      </w:r>
    </w:p>
    <w:p>
      <w:pPr>
        <w:pStyle w:val="ManualHeading2"/>
        <w:rPr>
          <w:noProof/>
        </w:rPr>
      </w:pPr>
      <w:r>
        <w:rPr>
          <w:noProof/>
        </w:rPr>
        <w:t>Бюджетно предложение</w:t>
      </w:r>
    </w:p>
    <w:p>
      <w:pPr>
        <w:pStyle w:val="ManualNumPar1"/>
        <w:rPr>
          <w:noProof/>
        </w:rPr>
      </w:pPr>
      <w:r>
        <w:t>44.</w:t>
      </w:r>
      <w:r>
        <w:tab/>
      </w:r>
      <w:r>
        <w:rPr>
          <w:noProof/>
        </w:rPr>
        <w:t>В съответствие с предвиденото в член 12 от Регламент (ЕС, Евратом) № 1311/2013 на Съвета от 2 декември 2013 г. за определяне на многогодишната финансова рамка за годините 2014 — 2020</w:t>
      </w:r>
      <w:r>
        <w:rPr>
          <w:rStyle w:val="FootnoteReference"/>
          <w:noProof/>
        </w:rPr>
        <w:footnoteReference w:id="35"/>
      </w:r>
      <w:r>
        <w:rPr>
          <w:noProof/>
        </w:rPr>
        <w:t xml:space="preserve"> ЕФПГ не може да надхвърля максимален годишен размер от 150 милиона евро (по цени от 2011 г.).</w:t>
      </w:r>
    </w:p>
    <w:p>
      <w:pPr>
        <w:pStyle w:val="ManualNumPar1"/>
        <w:rPr>
          <w:rFonts w:eastAsia="Calibri"/>
          <w:noProof/>
        </w:rPr>
      </w:pPr>
      <w:r>
        <w:t>45.</w:t>
      </w:r>
      <w:r>
        <w:tab/>
      </w:r>
      <w:r>
        <w:rPr>
          <w:noProof/>
        </w:rPr>
        <w:t>След като проучи заявлението с оглед на условията, определени в член 13, параграф 1 от Регламента за ЕФПГ, и като отчете броя на бенефициерите от целевата група, предложените действия и прогнозните разходи, Комисията предлага да бъдат мобилизирани средства от ЕФПГ в размер на 1 192 500 евро, което представлява 60 % от общите разходи за предложените действия, за предоставяне на финансово участие по заявлението.</w:t>
      </w:r>
    </w:p>
    <w:p>
      <w:pPr>
        <w:pStyle w:val="ManualNumPar1"/>
        <w:rPr>
          <w:rFonts w:eastAsia="Times New Roman"/>
          <w:noProof/>
        </w:rPr>
      </w:pPr>
      <w:r>
        <w:t>46.</w:t>
      </w:r>
      <w:r>
        <w:tab/>
      </w:r>
      <w:r>
        <w:rPr>
          <w:noProof/>
        </w:rPr>
        <w:t>Предложеното решение за мобилизиране на средства от ЕФПГ ще бъде взето съвместно от Европейския парламент и Съвета в съответствие с предвиденото в точка 13 от Междуинституционалното споразумение от 2 декември 2013 г. между Европейския парламент, Съвета и Комисията относно бюджетната дисциплина, сътрудничеството по бюджетни въпроси и доброто финансово управление</w:t>
      </w:r>
      <w:r>
        <w:rPr>
          <w:rStyle w:val="FootnoteReference"/>
          <w:noProof/>
        </w:rPr>
        <w:footnoteReference w:id="36"/>
      </w:r>
      <w:r>
        <w:rPr>
          <w:noProof/>
        </w:rPr>
        <w:t>.</w:t>
      </w:r>
    </w:p>
    <w:p>
      <w:pPr>
        <w:pStyle w:val="ManualHeading2"/>
        <w:rPr>
          <w:noProof/>
        </w:rPr>
      </w:pPr>
      <w:r>
        <w:rPr>
          <w:noProof/>
        </w:rPr>
        <w:t>Свързани актове</w:t>
      </w:r>
    </w:p>
    <w:p>
      <w:pPr>
        <w:pStyle w:val="ManualNumPar1"/>
        <w:rPr>
          <w:noProof/>
        </w:rPr>
      </w:pPr>
      <w:r>
        <w:t>47.</w:t>
      </w:r>
      <w:r>
        <w:tab/>
      </w:r>
      <w:r>
        <w:rPr>
          <w:noProof/>
        </w:rPr>
        <w:t>Едновременно с предложението за решение за мобилизиране на средства от ЕФПГ Комисията ще представи на Европейския парламент и на Съвета предложение за прехвърляне на сумата от 1 192 500 евро към съответния бюджетен ред.</w:t>
      </w:r>
    </w:p>
    <w:p>
      <w:pPr>
        <w:pStyle w:val="ManualNumPar1"/>
        <w:rPr>
          <w:noProof/>
        </w:rPr>
      </w:pPr>
      <w:r>
        <w:t>48.</w:t>
      </w:r>
      <w:r>
        <w:tab/>
      </w:r>
      <w:r>
        <w:rPr>
          <w:noProof/>
        </w:rPr>
        <w:t>Едновременно с приемането на настоящото предложение за решение за мобилизиране на средства от ЕФПГ Комисията ще приеме решение за предоставяне на финансово участие посредством акт за изпълнение, който ще влезе в сила на датата, на която Европейският парламент и Съветът приемат предложеното решение за мобилизиране на средства от ЕФПГ.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pgNumType w:start="1"/>
          <w:cols w:space="708"/>
          <w:docGrid w:linePitch="360"/>
        </w:sectPr>
      </w:pP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ЕВРОПЕЙСКИЯ ПАРЛАМЕНТ И НА СЪВЕТА</w:t>
      </w:r>
    </w:p>
    <w:p>
      <w:pPr>
        <w:pStyle w:val="Titreobjet"/>
        <w:rPr>
          <w:noProof/>
        </w:rPr>
      </w:pPr>
      <w:r>
        <w:rPr>
          <w:noProof/>
        </w:rPr>
        <w:t>за мобилизиране на средства от Европейския фонд за приспособяване към глобализацията във връзка със заявление от Нидерландия — EGF/2018/001 NL/Предоставяне на финансови услуги</w:t>
      </w:r>
    </w:p>
    <w:p>
      <w:pPr>
        <w:pStyle w:val="Institutionquiagit"/>
        <w:rPr>
          <w:noProof/>
        </w:rPr>
      </w:pPr>
      <w:r>
        <w:rPr>
          <w:noProof/>
        </w:rPr>
        <w:t>ЕВРОПЕЙСКИЯТ ПАРЛАМЕНТ И СЪВЕТЪТ НА ЕВРОПЕЙСКИЯ СЪЮЗ,</w:t>
      </w:r>
    </w:p>
    <w:p>
      <w:pPr>
        <w:rPr>
          <w:noProof/>
        </w:rPr>
      </w:pPr>
      <w:r>
        <w:rPr>
          <w:noProof/>
        </w:rPr>
        <w:t>като взеха предвид Договора за функционирането на Европейския съюз,</w:t>
      </w:r>
    </w:p>
    <w:p>
      <w:pPr>
        <w:rPr>
          <w:noProof/>
        </w:rPr>
      </w:pPr>
      <w:r>
        <w:rPr>
          <w:noProof/>
        </w:rPr>
        <w:t>като взеха предвид Регламент (EС) № 1309/2013 на Европейския парламент и на Съвета от 17 декември 2013 г. относно Европейския фонд за приспособяване към глобализацията (2014—2020 г.) и за отмяна на Регламент (ЕО) № 1927/2006</w:t>
      </w:r>
      <w:r>
        <w:rPr>
          <w:rStyle w:val="FootnoteReference"/>
          <w:noProof/>
        </w:rPr>
        <w:footnoteReference w:id="37"/>
      </w:r>
      <w:r>
        <w:rPr>
          <w:noProof/>
        </w:rPr>
        <w:t>, и по-специално член 15, параграф 4 от него,</w:t>
      </w:r>
    </w:p>
    <w:p>
      <w:pPr>
        <w:rPr>
          <w:noProof/>
        </w:rPr>
      </w:pPr>
      <w:r>
        <w:rPr>
          <w:noProof/>
        </w:rPr>
        <w:t>като взеха предвид Междуинституционалното споразумение от 2 декември 2013 г. между Европейския парламент, Съвета и Комисията относно бюджетната дисциплина, сътрудничеството по бюджетни въпроси и доброто финансово управление</w:t>
      </w:r>
      <w:r>
        <w:rPr>
          <w:rStyle w:val="FootnoteReference"/>
          <w:noProof/>
        </w:rPr>
        <w:footnoteReference w:id="38"/>
      </w:r>
      <w:r>
        <w:rPr>
          <w:noProof/>
        </w:rPr>
        <w:t>, и по-специално точка 13 от него,</w:t>
      </w:r>
    </w:p>
    <w:p>
      <w:pPr>
        <w:rPr>
          <w:noProof/>
        </w:rPr>
      </w:pPr>
      <w:r>
        <w:rPr>
          <w:noProof/>
        </w:rPr>
        <w:t>като взеха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имат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Европейският фонд за приспособяване към глобализацията (ЕФПГ) е създаден с цел оказване на подкрепа на съкратени работници и самостоятелно заети лица, чиято дейност е прекратена в резултат на големи структурни промени в моделите на световната търговия вследствие на глобализацията, в резултат на продължаване на световната финансова и икономическа криза или в резултат на нова световна финансова и икономическа криза, както и с цел подпомагане на тяхната реинтеграция на пазара на труда.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В съответствие с предвиденото в член 12 от Регламент (ЕС, Евратом) № 1311/2013 на Съвета</w:t>
      </w:r>
      <w:r>
        <w:rPr>
          <w:rStyle w:val="FootnoteReference"/>
          <w:noProof/>
        </w:rPr>
        <w:footnoteReference w:id="39"/>
      </w:r>
      <w:r>
        <w:rPr>
          <w:noProof/>
        </w:rPr>
        <w:t xml:space="preserve"> ЕФПГ не може да надхвърля максимален годишен размер от 150 милиона евро (по цени от 2011 г.).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На 23 февруари 2018 г. Нидерландия подаде заявление за мобилизиране на средства от ЕФПГ във връзка с извършени съкращения в икономическия сектор, класифициран в разделение 64 по Статистическата класификация на икономическите дейности в Европейската общност (NACE) Rev. 2 („Предоставяне на финансови услуги, без застраховане и допълнително пенсионно осигуряване“) в регионите на ниво 2 по Общата класификация на териториалните единици за статистически цели (NUTS)</w:t>
      </w:r>
      <w:r>
        <w:rPr>
          <w:rStyle w:val="FootnoteReference"/>
          <w:noProof/>
        </w:rPr>
        <w:footnoteReference w:id="40"/>
      </w:r>
      <w:r>
        <w:rPr>
          <w:noProof/>
        </w:rPr>
        <w:t xml:space="preserve"> Friesland (NL12), Drenthe (NL13) и Overijssel (NL21) в Нидерландия. Към него е била предоставена допълнителна информация, както е предвидено в член 8, параграф 3 от Регламент (ЕС) № 1309/2013. Заявлението отговаря на изискванията за определяне на финансово участие от ЕФПГ, установени в член 13 от Регламент (ЕС) № 1309/2013.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Поради това, за да бъде удовлетворено подаденото от Нидерландия заявление, следва да бъдат мобилизирани средства за предоставяне на финансово участие от ЕФПГ в размер на 1 192 500 EUR.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За да се сведе до минимум времето, необходимо за мобилизиране на средства от ЕФПГ, настоящото решение следва да се прилага от датата на приемането му,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ПРИЕХА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В рамките на общия бюджет на Съюза за финансовата 2018 година от Европейския фонд за приспособяване към глобализацията се мобилизират средства за предоставяне на сумата от 1 192 500 EUR под формата на бюджетни кредити за поети задължения и бюджетни кредити за плащания.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keepNext/>
        <w:keepLines/>
        <w:rPr>
          <w:noProof/>
        </w:rPr>
      </w:pPr>
      <w:r>
        <w:rPr>
          <w:noProof/>
        </w:rPr>
        <w:t xml:space="preserve">Настоящото решение влиза в сила в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. То се прилага от </w:t>
      </w:r>
      <w:r>
        <w:rPr>
          <w:noProof/>
          <w:color w:val="FF0000"/>
        </w:rPr>
        <w:t>[</w:t>
      </w:r>
      <w:r>
        <w:rPr>
          <w:i/>
          <w:noProof/>
          <w:color w:val="FF0000"/>
        </w:rPr>
        <w:t>датата на приемането му</w:t>
      </w:r>
      <w:r>
        <w:rPr>
          <w:noProof/>
          <w:color w:val="FF0000"/>
        </w:rPr>
        <w:t>]</w:t>
      </w:r>
      <w:r>
        <w:rPr>
          <w:rStyle w:val="FootnoteReference"/>
          <w:noProof/>
          <w:color w:val="FF0000"/>
        </w:rPr>
        <w:t xml:space="preserve"> </w:t>
      </w:r>
      <w:r>
        <w:rPr>
          <w:rStyle w:val="FootnoteReference"/>
          <w:noProof/>
          <w:color w:val="FF0000"/>
        </w:rPr>
        <w:footnoteReference w:customMarkFollows="1" w:id="41"/>
        <w:sym w:font="Symbol" w:char="F02A"/>
      </w:r>
      <w:r>
        <w:rPr>
          <w:noProof/>
        </w:rPr>
        <w:t>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>За Европейския парламент</w:t>
      </w: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>Председател</w:t>
      </w: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13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ОВ L 347, 20.12.2013 г., стр. 855.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По смисъла на член 3 от Регламента за ЕФПГ.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 1046/2012 на Комисията от 8 ноември 2012 г. за прилагане на Регламент (ЕО) № 1059/2003 на Европейския парламент и на Съвета за установяване на обща класификация на териториалните единици за статистически цели (NUTS) по отношение на предоставянето на динамичните редове според новото регионално деление (ОВ L 310, 9.11.2012 г., стр. 34).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ОВ L 393, 30.12.2006 г., стр. 1.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Съгласно член 7, параграф 4 от Регламент (EС) № 1309/2013.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Friesland (445), Drenthe (269), Overijssel (610)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1">
        <w:r>
          <w:rPr>
            <w:rStyle w:val="Hyperlink"/>
          </w:rPr>
          <w:t>https://www.rabobank.com/nl/about-rabobank/results-and-reports/annual-review/2015/organisational-structure/index.html</w:t>
        </w:r>
      </w:hyperlink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2">
        <w:r>
          <w:rPr>
            <w:rStyle w:val="Hyperlink"/>
          </w:rPr>
          <w:t>https://www.rabobank.com/nl/about-rabobank/results-and-reports/annual-review/2015/organisational-structure/index.html</w:t>
        </w:r>
      </w:hyperlink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3">
        <w:r>
          <w:rPr>
            <w:rStyle w:val="Hyperlink"/>
          </w:rPr>
          <w:t>https://www.dnb.nl/en/news/news-and-archive/persberichten-2016/dnb341434.jsp</w:t>
        </w:r>
      </w:hyperlink>
    </w:p>
    <w:p>
      <w:pPr>
        <w:pStyle w:val="FootnoteText"/>
        <w:ind w:firstLine="0"/>
      </w:pPr>
      <w:hyperlink r:id="rId4">
        <w:r>
          <w:rPr>
            <w:rStyle w:val="Hyperlink"/>
          </w:rPr>
          <w:t>https://www.ecb.europa.eu/press/key/date/2016/html/sp161003.en.html</w:t>
        </w:r>
      </w:hyperlink>
    </w:p>
    <w:p>
      <w:pPr>
        <w:pStyle w:val="FootnoteText"/>
        <w:ind w:firstLine="0"/>
      </w:pPr>
      <w:hyperlink r:id="rId5" w:history="1">
        <w:r>
          <w:rPr>
            <w:rStyle w:val="Hyperlink"/>
          </w:rPr>
          <w:t>https://www.ecb.europa.eu/press/key/date/2017/html/ecb.sp170510.en.html</w:t>
        </w:r>
      </w:hyperlink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6">
        <w:r>
          <w:rPr>
            <w:rStyle w:val="Hyperlink"/>
          </w:rPr>
          <w:t>https://ec.europa.eu/info/sites/info/files/2018-european-semester-country-report-netherland-en.pdf</w:t>
        </w:r>
      </w:hyperlink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spacing w:val="-8"/>
        </w:rPr>
        <w:t xml:space="preserve">Източник: </w:t>
      </w:r>
      <w:hyperlink r:id="rId7">
        <w:r>
          <w:rPr>
            <w:rStyle w:val="Hyperlink"/>
            <w:spacing w:val="-8"/>
          </w:rPr>
          <w:t>https://www.dnb.nl/nieuws/nieuwsoverzicht-en-archief/statistisch-nieuws-2017/dnb358895.jsp</w:t>
        </w:r>
      </w:hyperlink>
    </w:p>
  </w:footnote>
  <w:footnote w:id="12">
    <w:p>
      <w:pPr>
        <w:pStyle w:val="FootnoteText"/>
        <w:rPr>
          <w:rStyle w:val="Hyperlink"/>
        </w:rPr>
      </w:pPr>
      <w:r>
        <w:rPr>
          <w:rStyle w:val="FootnoteReference"/>
        </w:rPr>
        <w:footnoteRef/>
      </w:r>
      <w:r>
        <w:tab/>
      </w:r>
      <w:hyperlink r:id="rId8">
        <w:r>
          <w:rPr>
            <w:rStyle w:val="Hyperlink"/>
          </w:rPr>
          <w:t>https://www.dnb.nl/nieuws/nieuwsoverzicht-en-archief/dnbulletin-2014/dnb309784.jsp</w:t>
        </w:r>
      </w:hyperlink>
    </w:p>
    <w:p>
      <w:pPr>
        <w:pStyle w:val="FootnoteText"/>
      </w:pPr>
      <w:r>
        <w:tab/>
      </w:r>
      <w:r>
        <w:rPr>
          <w:rStyle w:val="Hyperlink"/>
          <w:color w:val="auto"/>
          <w:u w:val="none"/>
        </w:rPr>
        <w:t>Нидерландска федерация на банките, информационен документ за финансовите услуги, 2016 г.</w:t>
      </w:r>
    </w:p>
    <w:p>
      <w:pPr>
        <w:pStyle w:val="FootnoteText"/>
        <w:ind w:firstLine="0"/>
      </w:pPr>
      <w:hyperlink r:id="rId9">
        <w:r>
          <w:rPr>
            <w:rStyle w:val="Hyperlink"/>
          </w:rPr>
          <w:t>https://www.nvb.nl/media/document/000258_od15799-nvb-factsheet-zakelijke-dienstverlening-2016-04-07-def.pdf</w:t>
        </w:r>
      </w:hyperlink>
      <w:r>
        <w:t>.</w:t>
      </w:r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10">
        <w:r>
          <w:rPr>
            <w:rStyle w:val="Hyperlink"/>
          </w:rPr>
          <w:t>https://fd.nl/frontpage/fd-outlook/1086750/hoe-de-bank-uit-de-buurt-verdwijnt-en-straks-elders-weer-verschijnt</w:t>
        </w:r>
      </w:hyperlink>
    </w:p>
  </w:footnote>
  <w:footnote w:id="14">
    <w:p>
      <w:pPr>
        <w:pStyle w:val="FootnoteText"/>
      </w:pPr>
      <w:r>
        <w:rPr>
          <w:rStyle w:val="FootnoteReference"/>
        </w:rPr>
        <w:footnoteRef/>
      </w:r>
      <w:r>
        <w:tab/>
        <w:t>Newsflash Labourmarket, UWV, април 2017 г.</w:t>
      </w:r>
    </w:p>
  </w:footnote>
  <w:footnote w:id="15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11">
        <w:r>
          <w:rPr>
            <w:rStyle w:val="Hyperlink"/>
          </w:rPr>
          <w:t>https://fd.nl/frontpage/fd-outlook/1086750/hoe-de-bank-uit-de-buurt-verdwijnt-en-straks-elders-weer-verschijnt</w:t>
        </w:r>
      </w:hyperlink>
    </w:p>
  </w:footnote>
  <w:footnote w:id="16">
    <w:p>
      <w:pPr>
        <w:pStyle w:val="FootnoteText"/>
      </w:pPr>
      <w:r>
        <w:rPr>
          <w:rStyle w:val="FootnoteReference"/>
        </w:rPr>
        <w:footnoteRef/>
      </w:r>
      <w:r>
        <w:tab/>
        <w:t>Източник: годишни доклади на ING, ABN-AMRO, RABO-bank и Volksbank.</w:t>
      </w:r>
    </w:p>
  </w:footnote>
  <w:footnote w:id="17">
    <w:p>
      <w:pPr>
        <w:pStyle w:val="FootnoteText"/>
      </w:pPr>
      <w:r>
        <w:rPr>
          <w:rStyle w:val="FootnoteReference"/>
        </w:rPr>
        <w:footnoteRef/>
      </w:r>
      <w:r>
        <w:tab/>
        <w:t>Няколко годишни доклади на ABN-AMRO, 2011—2016 г.</w:t>
      </w:r>
    </w:p>
  </w:footnote>
  <w:footnote w:id="18">
    <w:p>
      <w:pPr>
        <w:pStyle w:val="FootnoteText"/>
      </w:pPr>
      <w:r>
        <w:rPr>
          <w:rStyle w:val="FootnoteReference"/>
        </w:rPr>
        <w:footnoteRef/>
      </w:r>
      <w:r>
        <w:tab/>
        <w:t xml:space="preserve">Годишни доклади за 2015 г. и 2016 г. на ING Bank. </w:t>
      </w:r>
    </w:p>
  </w:footnote>
  <w:footnote w:id="19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HTMLCite"/>
          <w:i w:val="0"/>
        </w:rPr>
        <w:t xml:space="preserve">Homas Escritt, Toby Sterling (11 декември 2015 г.). </w:t>
      </w:r>
      <w:hyperlink r:id="rId12">
        <w:r>
          <w:rPr>
            <w:rStyle w:val="Hyperlink"/>
          </w:rPr>
          <w:t xml:space="preserve">"Rabobank to cut 9,000 jobs and shed assets to boost profit” („Rabobank съкращава 9000 работни места и се освобождава от активи, за да стимулира печалбите“) </w:t>
        </w:r>
      </w:hyperlink>
    </w:p>
  </w:footnote>
  <w:footnote w:id="20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13">
        <w:r>
          <w:rPr>
            <w:rStyle w:val="Hyperlink"/>
          </w:rPr>
          <w:t>http://www.volkskrant.nl/economie/weer-een-ontslagronde-ook-sns-schrapt-honderden-voltijdbanen~a4435538/</w:t>
        </w:r>
      </w:hyperlink>
    </w:p>
  </w:footnote>
  <w:footnote w:id="21">
    <w:p>
      <w:pPr>
        <w:pStyle w:val="FootnoteText"/>
      </w:pPr>
      <w:r>
        <w:rPr>
          <w:rStyle w:val="FootnoteReference"/>
        </w:rPr>
        <w:footnoteRef/>
      </w:r>
      <w:r>
        <w:tab/>
        <w:t>Възможности за наемане на лица във финансовия сектор, UWV, март 2017 г.</w:t>
      </w:r>
    </w:p>
  </w:footnote>
  <w:footnote w:id="22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14">
        <w:r>
          <w:rPr>
            <w:rStyle w:val="Hyperlink"/>
          </w:rPr>
          <w:t>https://fd.nl/economie-politiek/1176581/somber-perspectief-voor-ontslagen-bankmedewerker</w:t>
        </w:r>
      </w:hyperlink>
    </w:p>
  </w:footnote>
  <w:footnote w:id="23">
    <w:p>
      <w:pPr>
        <w:pStyle w:val="FootnoteText"/>
      </w:pPr>
      <w:r>
        <w:rPr>
          <w:rStyle w:val="FootnoteReference"/>
        </w:rPr>
        <w:footnoteRef/>
      </w:r>
      <w:r>
        <w:tab/>
        <w:t xml:space="preserve">Данни от съкращения в банковия сектор, UWV. </w:t>
      </w:r>
    </w:p>
  </w:footnote>
  <w:footnote w:id="24">
    <w:p>
      <w:pPr>
        <w:pStyle w:val="FootnoteText"/>
      </w:pPr>
      <w:r>
        <w:rPr>
          <w:rStyle w:val="FootnoteReference"/>
        </w:rPr>
        <w:footnoteRef/>
      </w:r>
      <w:r>
        <w:tab/>
        <w:t xml:space="preserve">Факти и цифри: провинция Friesland: </w:t>
      </w:r>
      <w:hyperlink r:id="rId15">
        <w:r>
          <w:rPr>
            <w:rStyle w:val="Hyperlink"/>
          </w:rPr>
          <w:t>http://fryslan.databank.nl</w:t>
        </w:r>
      </w:hyperlink>
    </w:p>
  </w:footnote>
  <w:footnote w:id="25">
    <w:p>
      <w:pPr>
        <w:pStyle w:val="FootnoteText"/>
      </w:pPr>
      <w:r>
        <w:rPr>
          <w:rStyle w:val="FootnoteReference"/>
        </w:rPr>
        <w:footnoteRef/>
      </w:r>
      <w:r>
        <w:tab/>
        <w:t xml:space="preserve">Факти и цифри: провинция Drenthe </w:t>
      </w:r>
      <w:hyperlink r:id="rId16">
        <w:r>
          <w:rPr>
            <w:rStyle w:val="Hyperlink"/>
          </w:rPr>
          <w:t>http://www.provincie.drenthe.nl/feitenencijfers/cijfers/economie/</w:t>
        </w:r>
      </w:hyperlink>
    </w:p>
  </w:footnote>
  <w:footnote w:id="26">
    <w:p>
      <w:pPr>
        <w:pStyle w:val="FootnoteText"/>
      </w:pPr>
      <w:r>
        <w:rPr>
          <w:rStyle w:val="FootnoteReference"/>
        </w:rPr>
        <w:footnoteRef/>
      </w:r>
      <w:r>
        <w:tab/>
        <w:t xml:space="preserve">Източник: CBS Statline </w:t>
      </w:r>
      <w:hyperlink r:id="rId17">
        <w:r>
          <w:rPr>
            <w:rStyle w:val="Hyperlink"/>
          </w:rPr>
          <w:t>https://www.cbs.nl</w:t>
        </w:r>
      </w:hyperlink>
    </w:p>
  </w:footnote>
  <w:footnote w:id="27">
    <w:p>
      <w:pPr>
        <w:pStyle w:val="FootnoteText"/>
      </w:pPr>
      <w:r>
        <w:rPr>
          <w:rStyle w:val="FootnoteReference"/>
        </w:rPr>
        <w:footnoteRef/>
      </w:r>
      <w:r>
        <w:tab/>
        <w:t xml:space="preserve">Информационен документ за пазара на труда във финансовия сектор, UWV, 23 май 2017 г.  </w:t>
      </w:r>
    </w:p>
  </w:footnote>
  <w:footnote w:id="28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18">
        <w:r>
          <w:rPr>
            <w:rStyle w:val="Hyperlink"/>
          </w:rPr>
          <w:t>https://fd.nl/frontpage/ondernemen/1086910/banken-houden-nog-20-tot-30-kantoren</w:t>
        </w:r>
      </w:hyperlink>
    </w:p>
  </w:footnote>
  <w:footnote w:id="29">
    <w:p>
      <w:pPr>
        <w:pStyle w:val="FootnoteText"/>
      </w:pPr>
      <w:r>
        <w:rPr>
          <w:rStyle w:val="FootnoteReference"/>
        </w:rPr>
        <w:footnoteRef/>
      </w:r>
      <w:r>
        <w:tab/>
        <w:t>Разглеждан регион: Friesland, UWV, 2016 г.</w:t>
      </w:r>
    </w:p>
  </w:footnote>
  <w:footnote w:id="30">
    <w:p>
      <w:pPr>
        <w:pStyle w:val="FootnoteText"/>
      </w:pPr>
      <w:r>
        <w:rPr>
          <w:rStyle w:val="FootnoteReference"/>
        </w:rPr>
        <w:footnoteRef/>
      </w:r>
      <w:r>
        <w:tab/>
        <w:t>Разглеждан регион: Zwolle, UWV, 2016 г., разглеждан регион: Twente, UWV, 2016 г.</w:t>
      </w:r>
    </w:p>
  </w:footnote>
  <w:footnote w:id="31">
    <w:p>
      <w:pPr>
        <w:pStyle w:val="FootnoteText"/>
      </w:pPr>
      <w:r>
        <w:rPr>
          <w:rStyle w:val="FootnoteReference"/>
        </w:rPr>
        <w:footnoteRef/>
      </w:r>
      <w:r>
        <w:tab/>
        <w:t xml:space="preserve">Вж. бележки 28—30 </w:t>
      </w:r>
    </w:p>
  </w:footnote>
  <w:footnote w:id="32">
    <w:p>
      <w:pPr>
        <w:pStyle w:val="FootnoteText"/>
      </w:pPr>
      <w:r>
        <w:rPr>
          <w:rStyle w:val="FootnoteReference"/>
        </w:rPr>
        <w:footnoteRef/>
      </w:r>
      <w:r>
        <w:tab/>
        <w:t xml:space="preserve">Информационен документ за пазара на труда във финансовия сектор, UWV, 23 май 2017 г. </w:t>
      </w:r>
    </w:p>
  </w:footnote>
  <w:footnote w:id="33">
    <w:p>
      <w:pPr>
        <w:pStyle w:val="FootnoteText"/>
      </w:pPr>
      <w:r>
        <w:rPr>
          <w:rStyle w:val="FootnoteReference"/>
        </w:rPr>
        <w:footnoteRef/>
      </w:r>
      <w:r>
        <w:tab/>
        <w:t xml:space="preserve">Факти и цифри: провинция Overijssel: </w:t>
      </w:r>
      <w:hyperlink r:id="rId19">
        <w:r>
          <w:rPr>
            <w:rStyle w:val="Hyperlink"/>
          </w:rPr>
          <w:t>http://www.overijssel.nl/over-overijssel/cijfers-kaarten/</w:t>
        </w:r>
      </w:hyperlink>
    </w:p>
  </w:footnote>
  <w:footnote w:id="34">
    <w:p>
      <w:pPr>
        <w:pStyle w:val="FootnoteText"/>
      </w:pPr>
      <w:r>
        <w:rPr>
          <w:rStyle w:val="FootnoteReference"/>
        </w:rPr>
        <w:footnoteRef/>
      </w:r>
      <w:r>
        <w:tab/>
        <w:t>Разглеждан регион: Drenthe, UWV, 2016 г.</w:t>
      </w:r>
    </w:p>
  </w:footnote>
  <w:footnote w:id="35">
    <w:p>
      <w:pPr>
        <w:pStyle w:val="FootnoteText"/>
      </w:pPr>
      <w:r>
        <w:rPr>
          <w:rStyle w:val="FootnoteReference"/>
        </w:rPr>
        <w:footnoteRef/>
      </w:r>
      <w:r>
        <w:tab/>
        <w:t>ОВ L 347, 20.12.2013 г., стр. 884.</w:t>
      </w:r>
    </w:p>
  </w:footnote>
  <w:footnote w:id="36">
    <w:p>
      <w:pPr>
        <w:pStyle w:val="FootnoteText"/>
      </w:pPr>
      <w:r>
        <w:rPr>
          <w:rStyle w:val="FootnoteReference"/>
        </w:rPr>
        <w:footnoteRef/>
      </w:r>
      <w:r>
        <w:tab/>
        <w:t>ОВ C 373, 20.12.2013 г., стр. 1.</w:t>
      </w:r>
    </w:p>
  </w:footnote>
  <w:footnote w:id="37">
    <w:p>
      <w:pPr>
        <w:pStyle w:val="FootnoteText"/>
      </w:pPr>
      <w:r>
        <w:rPr>
          <w:rStyle w:val="FootnoteReference"/>
        </w:rPr>
        <w:footnoteRef/>
      </w:r>
      <w:r>
        <w:tab/>
        <w:t>ОВ L 347, 20.12.2013 г., стр. 855.</w:t>
      </w:r>
    </w:p>
  </w:footnote>
  <w:footnote w:id="38">
    <w:p>
      <w:pPr>
        <w:pStyle w:val="FootnoteText"/>
      </w:pPr>
      <w:r>
        <w:rPr>
          <w:rStyle w:val="FootnoteReference"/>
        </w:rPr>
        <w:footnoteRef/>
      </w:r>
      <w:r>
        <w:tab/>
        <w:t>ОВ C 373, 20.12.2013 г., стр. 1.</w:t>
      </w:r>
    </w:p>
  </w:footnote>
  <w:footnote w:id="39">
    <w:p>
      <w:pPr>
        <w:pStyle w:val="FootnoteText"/>
      </w:pPr>
      <w:r>
        <w:rPr>
          <w:rStyle w:val="FootnoteReference"/>
        </w:rPr>
        <w:footnoteRef/>
      </w:r>
      <w:r>
        <w:tab/>
        <w:t>Регламент (EC, Евратом) № 1311/2013 на Съвета от 2 декември 2013 г. за определяне на многогодишната финансова рамка за годините 2014—2020 (ОВ L 347, 20.12.2013 г., стр. 884).</w:t>
      </w:r>
    </w:p>
  </w:footnote>
  <w:footnote w:id="40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 1046/2012 на Комисията от 8 ноември 2012 г. за прилагане на Регламент (ЕО) № 1059/2003 на Европейския парламент и на Съвета за установяване на обща класификация на териториалните единици за статистически цели (NUTS) по отношение на предоставянето на динамичните редове според новото регионално деление (ОВ L 310, 9.11.2012 г., стр. 34).</w:t>
      </w:r>
    </w:p>
  </w:footnote>
  <w:footnote w:id="41">
    <w:p>
      <w:pPr>
        <w:pStyle w:val="FootnoteText"/>
        <w:rPr>
          <w:color w:val="FF0000"/>
        </w:rPr>
      </w:pPr>
      <w:r>
        <w:rPr>
          <w:rStyle w:val="FootnoteReference"/>
          <w:color w:val="FF0000"/>
        </w:rPr>
        <w:sym w:font="Symbol" w:char="F02A"/>
      </w:r>
      <w:r>
        <w:rPr>
          <w:color w:val="FF0000"/>
        </w:rPr>
        <w:t xml:space="preserve"> </w:t>
      </w:r>
      <w:r>
        <w:rPr>
          <w:color w:val="FF0000"/>
        </w:rPr>
        <w:tab/>
        <w:t>Датата да се попълни от Парламента преди публикуването в 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BB686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9E463D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80CFF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498EC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32C75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F90476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C2823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5869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2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12"/>
  </w:num>
  <w:num w:numId="13">
    <w:abstractNumId w:val="9"/>
  </w:num>
  <w:num w:numId="14">
    <w:abstractNumId w:val="21"/>
  </w:num>
  <w:num w:numId="15">
    <w:abstractNumId w:val="18"/>
  </w:num>
  <w:num w:numId="16">
    <w:abstractNumId w:val="12"/>
  </w:num>
  <w:num w:numId="17">
    <w:abstractNumId w:val="20"/>
  </w:num>
  <w:num w:numId="18">
    <w:abstractNumId w:val="11"/>
  </w:num>
  <w:num w:numId="19">
    <w:abstractNumId w:val="13"/>
  </w:num>
  <w:num w:numId="20">
    <w:abstractNumId w:val="9"/>
  </w:num>
  <w:num w:numId="21">
    <w:abstractNumId w:val="19"/>
  </w:num>
  <w:num w:numId="22">
    <w:abstractNumId w:val="8"/>
  </w:num>
  <w:num w:numId="23">
    <w:abstractNumId w:val="14"/>
  </w:num>
  <w:num w:numId="24">
    <w:abstractNumId w:val="16"/>
  </w:num>
  <w:num w:numId="25">
    <w:abstractNumId w:val="17"/>
  </w:num>
  <w:num w:numId="26">
    <w:abstractNumId w:val="10"/>
  </w:num>
  <w:num w:numId="27">
    <w:abstractNumId w:val="15"/>
  </w:num>
  <w:num w:numId="28">
    <w:abstractNumId w:val="21"/>
  </w:num>
  <w:num w:numId="29">
    <w:abstractNumId w:val="18"/>
  </w:num>
  <w:num w:numId="30">
    <w:abstractNumId w:val="12"/>
  </w:num>
  <w:num w:numId="31">
    <w:abstractNumId w:val="20"/>
  </w:num>
  <w:num w:numId="32">
    <w:abstractNumId w:val="11"/>
  </w:num>
  <w:num w:numId="33">
    <w:abstractNumId w:val="13"/>
  </w:num>
  <w:num w:numId="34">
    <w:abstractNumId w:val="9"/>
  </w:num>
  <w:num w:numId="35">
    <w:abstractNumId w:val="19"/>
  </w:num>
  <w:num w:numId="36">
    <w:abstractNumId w:val="8"/>
  </w:num>
  <w:num w:numId="37">
    <w:abstractNumId w:val="14"/>
  </w:num>
  <w:num w:numId="38">
    <w:abstractNumId w:val="16"/>
  </w:num>
  <w:num w:numId="39">
    <w:abstractNumId w:val="17"/>
  </w:num>
  <w:num w:numId="40">
    <w:abstractNumId w:val="10"/>
  </w:num>
  <w:num w:numId="41">
    <w:abstractNumId w:val="15"/>
  </w:num>
  <w:num w:numId="42">
    <w:abstractNumId w:val="21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VAREZ MARQUINA Marta (EMPL)">
    <w15:presenceInfo w15:providerId="None" w15:userId="ALVAREZ MARQUINA Marta (EMP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7-20 08:20:11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9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44053D67-CF25-4122-A8B2-71713B6B3055"/>
    <w:docVar w:name="LW_COVERPAGE_TYPE" w:val="1"/>
    <w:docVar w:name="LW_CROSSREFERENCE" w:val="&lt;UNUSED&gt;"/>
    <w:docVar w:name="LW_DocType" w:val="COM"/>
    <w:docVar w:name="LW_EMISSION" w:val="20.7.2018"/>
    <w:docVar w:name="LW_EMISSION_ISODATE" w:val="2018-07-20"/>
    <w:docVar w:name="LW_EMISSION_LOCATION" w:val="BRX"/>
    <w:docVar w:name="LW_EMISSION_PREFIX" w:val="Брюксел, "/>
    <w:docVar w:name="LW_EMISSION_SUFFIX" w:val="&lt;EMPTY&gt;"/>
    <w:docVar w:name="LW_ID_DOCMODEL" w:val="SJ-026"/>
    <w:docVar w:name="LW_ID_DOCSIGNATURE" w:val="SJ-026"/>
    <w:docVar w:name="LW_ID_DOCSTRUCTURE" w:val="COM/PL/ORG"/>
    <w:docVar w:name="LW_ID_DOCTYPE" w:val="SJ-026"/>
    <w:docVar w:name="LW_ID_EXP.MOTIFS.NEW" w:val="EM_PL_"/>
    <w:docVar w:name="LW_ID_STATUT" w:val="SJ-026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8"/>
    <w:docVar w:name="LW_REF.INST.NEW" w:val="COM"/>
    <w:docVar w:name="LW_REF.INST.NEW_ADOPTED" w:val="final"/>
    <w:docVar w:name="LW_REF.INST.NEW_TEXT" w:val="(2018) 54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79?\u1072? \u1084?\u1086?\u1073?\u1080?\u1083?\u1080?\u1079?\u1080?\u1088?\u1072?\u1085?\u1077? \u1085?\u1072? \u1089?\u1088?\u1077?\u1076?\u1089?\u1090?\u1074?\u1072? \u1086?\u1090? \u1045?\u1074?\u1088?\u1086?\u1087?\u1077?\u1081?\u1089?\u1082?\u1080?\u1103? \u1092?\u1086?\u1085?\u1076? \u1079?\u1072? \u1087?\u1088?\u1080?\u1089?\u1087?\u1086?\u1089?\u1086?\u1073?\u1103?\u1074?\u1072?\u1085?\u1077? \u1082?\u1098?\u1084? \u1075?\u1083?\u1086?\u1073?\u1072?\u1083?\u1080?\u1079?\u1072?\u1094?\u1080?\u1103?\u1090?\u1072? \u1074?\u1098?\u1074? \u1074?\u1088?\u1098?\u1079?\u1082?\u1072? \u1089?\u1098?\u1089? \u1079?\u1072?\u1103?\u1074?\u1083?\u1077?\u1085?\u1080?\u1077? \u1086?\u1090? \u1053?\u1080?\u1076?\u1077?\u1088?\u1083?\u1072?\u1085?\u1076?\u1080?\u1103? \u8212? EGF/2018/001 NL/\u1055?\u1088?\u1077?\u1076?\u1086?\u1089?\u1090?\u1072?\u1074?\u1103?\u1085?\u1077? \u1085?\u1072? \u1092?\u1080?\u1085?\u1072?\u1085?\u1089?\u1086?\u1074?\u1080? \u1091?\u1089?\u1083?\u1091?\u1075?\u1080?"/>
    <w:docVar w:name="LW_TYPE.DOC.CP" w:val="\u1056?\u1045?\u1064?\u1045?\u1053?\u1048?\u1045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character" w:customStyle="1" w:styleId="CommentTextChar1">
    <w:name w:val="Comment Text Char1"/>
    <w:basedOn w:val="DefaultParagraphFont"/>
    <w:uiPriority w:val="99"/>
    <w:rPr>
      <w:lang w:eastAsia="en-US"/>
    </w:rPr>
  </w:style>
  <w:style w:type="character" w:styleId="HTMLCite">
    <w:name w:val="HTML Cite"/>
    <w:uiPriority w:val="99"/>
    <w:rPr>
      <w:i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tlid-translation">
    <w:name w:val="tlid-translation"/>
    <w:basedOn w:val="DefaultParagraphFon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character" w:customStyle="1" w:styleId="CommentTextChar1">
    <w:name w:val="Comment Text Char1"/>
    <w:basedOn w:val="DefaultParagraphFont"/>
    <w:uiPriority w:val="99"/>
    <w:rPr>
      <w:lang w:eastAsia="en-US"/>
    </w:rPr>
  </w:style>
  <w:style w:type="character" w:styleId="HTMLCite">
    <w:name w:val="HTML Cite"/>
    <w:uiPriority w:val="99"/>
    <w:rPr>
      <w:i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tlid-translation">
    <w:name w:val="tlid-translation"/>
    <w:basedOn w:val="DefaultParagraphFon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nb.nl/nieuws/nieuwsoverzicht-en-archief/dnbulletin-2014/dnb309784.jsp" TargetMode="External"/><Relationship Id="rId13" Type="http://schemas.openxmlformats.org/officeDocument/2006/relationships/hyperlink" Target="http://www.volkskrant.nl/economie/weer-een-ontslagronde-ook-sns-schrapt-honderden-voltijdbanen~a4435538/" TargetMode="External"/><Relationship Id="rId18" Type="http://schemas.openxmlformats.org/officeDocument/2006/relationships/hyperlink" Target="https://fd.nl/frontpage/ondernemen/1086910/banken-houden-nog-20-tot-30-kantoren" TargetMode="External"/><Relationship Id="rId3" Type="http://schemas.openxmlformats.org/officeDocument/2006/relationships/hyperlink" Target="https://www.dnb.nl/en/news/news-and-archive/persberichten-2016/dnb341434.jsp" TargetMode="External"/><Relationship Id="rId7" Type="http://schemas.openxmlformats.org/officeDocument/2006/relationships/hyperlink" Target="https://www.dnb.nl/nieuws/nieuwsoverzicht-en-archief/statistisch-nieuws-2017/dnb358895.jsp" TargetMode="External"/><Relationship Id="rId12" Type="http://schemas.openxmlformats.org/officeDocument/2006/relationships/hyperlink" Target="http://uk.reuters.com/article/us-rabobank-cuts-idUKKBN0TS26F20151211" TargetMode="External"/><Relationship Id="rId17" Type="http://schemas.openxmlformats.org/officeDocument/2006/relationships/hyperlink" Target="https://www.cbs.nl/" TargetMode="External"/><Relationship Id="rId2" Type="http://schemas.openxmlformats.org/officeDocument/2006/relationships/hyperlink" Target="https://www.rabobank.com/nl/about-rabobank/results-and-reports/annual-review/2015/organisational-structure/index.html" TargetMode="External"/><Relationship Id="rId16" Type="http://schemas.openxmlformats.org/officeDocument/2006/relationships/hyperlink" Target="http://www.provincie.drenthe.nl/feitenencijfers/cijfers/economie/" TargetMode="External"/><Relationship Id="rId1" Type="http://schemas.openxmlformats.org/officeDocument/2006/relationships/hyperlink" Target="https://www.rabobank.com/nl/about-rabobank/results-and-reports/annual-review/2015/organisational-structure/index.html" TargetMode="External"/><Relationship Id="rId6" Type="http://schemas.openxmlformats.org/officeDocument/2006/relationships/hyperlink" Target="https://ec.europa.eu/info/sites/info/files/2018-european-semester-country-report-netherland-en.pdf" TargetMode="External"/><Relationship Id="rId11" Type="http://schemas.openxmlformats.org/officeDocument/2006/relationships/hyperlink" Target="https://fd.nl/frontpage/fd-outlook/1086750/hoe-de-bank-uit-de-buurt-verdwijnt-en-straks-elders-weer-verschijnt" TargetMode="External"/><Relationship Id="rId5" Type="http://schemas.openxmlformats.org/officeDocument/2006/relationships/hyperlink" Target="https://www.ecb.europa.eu/press/key/date/2017/html/ecb.sp170510.en.html" TargetMode="External"/><Relationship Id="rId15" Type="http://schemas.openxmlformats.org/officeDocument/2006/relationships/hyperlink" Target="http://fryslan.databank.nl/" TargetMode="External"/><Relationship Id="rId10" Type="http://schemas.openxmlformats.org/officeDocument/2006/relationships/hyperlink" Target="https://fd.nl/frontpage/fd-outlook/1086750/hoe-de-bank-uit-de-buurt-verdwijnt-en-straks-elders-weer-verschijnt" TargetMode="External"/><Relationship Id="rId19" Type="http://schemas.openxmlformats.org/officeDocument/2006/relationships/hyperlink" Target="http://www.overijssel.nl/over-overijssel/cijfers-kaarten/" TargetMode="External"/><Relationship Id="rId4" Type="http://schemas.openxmlformats.org/officeDocument/2006/relationships/hyperlink" Target="https://www.ecb.europa.eu/press/key/date/2016/html/sp161003.en.html" TargetMode="External"/><Relationship Id="rId9" Type="http://schemas.openxmlformats.org/officeDocument/2006/relationships/hyperlink" Target="https://www.nvb.nl/media/document/000258_od15799-nvb-factsheet-zakelijke-dienstverlening-2016-04-07-def.pdf" TargetMode="External"/><Relationship Id="rId14" Type="http://schemas.openxmlformats.org/officeDocument/2006/relationships/hyperlink" Target="https://fd.nl/economie-politiek/1176581/somber-perspectief-voor-ontslagen-bankmedewerk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94310-B641-455B-B27C-050931B4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3</TotalTime>
  <Pages>14</Pages>
  <Words>4048</Words>
  <Characters>22673</Characters>
  <Application>Microsoft Office Word</Application>
  <DocSecurity>0</DocSecurity>
  <Lines>629</Lines>
  <Paragraphs>347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17</cp:revision>
  <cp:lastPrinted>2018-06-01T09:14:00Z</cp:lastPrinted>
  <dcterms:created xsi:type="dcterms:W3CDTF">2018-07-13T09:11:00Z</dcterms:created>
  <dcterms:modified xsi:type="dcterms:W3CDTF">2018-07-20T06:20:00Z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SJ-026</vt:lpwstr>
  </property>
  <property fmtid="{D5CDD505-2E9C-101B-9397-08002B2CF9AE}" pid="10" name="DQCStatus">
    <vt:lpwstr>Green (DQC version 03)</vt:lpwstr>
  </property>
</Properties>
</file>