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D3DBBCA-C61F-410A-95B0-25A8A2A75CF6"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pStyle w:val="NormalCentered"/>
        <w:rPr>
          <w:b/>
          <w:noProof/>
        </w:rPr>
      </w:pPr>
      <w:r>
        <w:rPr>
          <w:b/>
          <w:noProof/>
        </w:rPr>
        <w:t xml:space="preserve">Предложение за Решение №.../2018 на Съвместния комитет ЕС—ДОТР, създаден по силата на Конвенцията от 20 май 1987 г. за общ транзитен режим </w:t>
      </w:r>
    </w:p>
    <w:p>
      <w:pPr>
        <w:pStyle w:val="NormalCentered"/>
        <w:rPr>
          <w:b/>
          <w:noProof/>
        </w:rPr>
      </w:pPr>
      <w:r>
        <w:rPr>
          <w:b/>
          <w:noProof/>
        </w:rPr>
        <w:t xml:space="preserve">от ... 2018 г. </w:t>
      </w:r>
    </w:p>
    <w:p>
      <w:pPr>
        <w:pStyle w:val="NormalCentered"/>
        <w:rPr>
          <w:b/>
          <w:noProof/>
        </w:rPr>
      </w:pPr>
      <w:r>
        <w:rPr>
          <w:b/>
          <w:noProof/>
        </w:rPr>
        <w:t>за изменение на посочената конвенция</w:t>
      </w:r>
    </w:p>
    <w:p>
      <w:pPr>
        <w:pStyle w:val="Institutionquiagit"/>
        <w:rPr>
          <w:noProof/>
        </w:rPr>
      </w:pPr>
      <w:r>
        <w:rPr>
          <w:noProof/>
        </w:rPr>
        <w:t>СЪВМЕСТНИЯТ КОМИТЕТ ЕС—ДОТР,</w:t>
      </w:r>
    </w:p>
    <w:p>
      <w:pPr>
        <w:rPr>
          <w:noProof/>
        </w:rPr>
      </w:pPr>
      <w:r>
        <w:rPr>
          <w:noProof/>
        </w:rPr>
        <w:t>като взе предвид Конвенцията от 20 май 1987 г. за общ транзитен режим, и по-специално член 15, параграф 3, буква а) от нея,</w:t>
      </w:r>
    </w:p>
    <w:p>
      <w:pPr>
        <w:rPr>
          <w:noProof/>
        </w:rPr>
      </w:pPr>
      <w:r>
        <w:rPr>
          <w:noProof/>
        </w:rPr>
        <w:t xml:space="preserve"> </w:t>
      </w:r>
    </w:p>
    <w:p>
      <w:pPr>
        <w:rPr>
          <w:noProof/>
        </w:rPr>
      </w:pPr>
      <w:r>
        <w:rPr>
          <w:noProof/>
        </w:rPr>
        <w:t>като има предвид, че:</w:t>
      </w:r>
    </w:p>
    <w:p>
      <w:pPr>
        <w:pStyle w:val="Considrant"/>
        <w:numPr>
          <w:ilvl w:val="0"/>
          <w:numId w:val="5"/>
        </w:numPr>
        <w:rPr>
          <w:noProof/>
        </w:rPr>
      </w:pPr>
      <w:r>
        <w:rPr>
          <w:noProof/>
        </w:rPr>
        <w:t>С член 15, параграф 3, буква а) от Конвенцията от 20 май 1987 г. за общ транзитен режим</w:t>
      </w:r>
      <w:r>
        <w:rPr>
          <w:rStyle w:val="FootnoteReference"/>
          <w:noProof/>
        </w:rPr>
        <w:footnoteReference w:id="1"/>
      </w:r>
      <w:r>
        <w:rPr>
          <w:noProof/>
        </w:rPr>
        <w:t xml:space="preserve"> (наричана по-нататък „Конвенцията“) създаденият по силата на същата конвенция Съвместен комитет (наричан по-нататък „Съвместният комитет“) се оправомощава да приема чрез решения изменения на допълненията към Конвенцията.</w:t>
      </w:r>
    </w:p>
    <w:p>
      <w:pPr>
        <w:pStyle w:val="Considrant"/>
        <w:rPr>
          <w:noProof/>
        </w:rPr>
      </w:pPr>
      <w:r>
        <w:rPr>
          <w:noProof/>
        </w:rPr>
        <w:t>Обединеното кралство Великобритания и Северна Ирландия (наричано по-нататък „Обединеното кралство“) изрази желание да се присъедини към Конвенцията като отделна договаряща страна и получи покана за тази цел с Решение № ... /2018 от ….. 2018 г.</w:t>
      </w:r>
    </w:p>
    <w:p>
      <w:pPr>
        <w:pStyle w:val="Considrant"/>
        <w:rPr>
          <w:noProof/>
        </w:rPr>
      </w:pPr>
      <w:r>
        <w:rPr>
          <w:noProof/>
        </w:rPr>
        <w:t>Съответно формулярите за обезпечение следва да бъдат променени, така че Обединеното кралство да се заличи сред държавите — членки на Съюза, и да се включи сред държавите с общ транзит.</w:t>
      </w:r>
    </w:p>
    <w:p>
      <w:pPr>
        <w:pStyle w:val="Considrant"/>
        <w:rPr>
          <w:noProof/>
        </w:rPr>
      </w:pPr>
      <w:r>
        <w:rPr>
          <w:noProof/>
        </w:rPr>
        <w:t>С цел да се позволи използването на формулярите за обезпечение, отпечатани в съответствие с критериите в сила преди ефективната дата на присъединяване на Обединеното кралство към Конвенцията като отделна договаряща страна, следва да бъде определен преходен период, по време на който отпечатаните формуляри да могат да продължат да се използват с някои адаптации.</w:t>
      </w:r>
    </w:p>
    <w:p>
      <w:pPr>
        <w:pStyle w:val="Considrant"/>
        <w:rPr>
          <w:noProof/>
        </w:rPr>
      </w:pPr>
      <w:r>
        <w:rPr>
          <w:noProof/>
        </w:rPr>
        <w:t>Датата на влизане в сила на настоящото решение следва да бъде обвързана с датата, на която присъединяването на Обединеното кралство към Конвенцията като отделна договаряща страна започне да поражда действие и при условие на това присъединяване.</w:t>
      </w:r>
    </w:p>
    <w:p>
      <w:pPr>
        <w:pStyle w:val="Considrant"/>
        <w:rPr>
          <w:noProof/>
        </w:rPr>
      </w:pPr>
      <w:r>
        <w:rPr>
          <w:noProof/>
        </w:rPr>
        <w:t>Поради това Конвенцията следва да бъде съответно изменена,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Допълнение III към Конвенцията от 20 май 1987 г. за общ транзитен режим (наричана по-нататък „Конвенцията“) се изменя съгласно приложението към настоящото решение.</w:t>
      </w:r>
    </w:p>
    <w:p>
      <w:pPr>
        <w:pStyle w:val="Titrearticle"/>
        <w:rPr>
          <w:noProof/>
        </w:rPr>
      </w:pPr>
      <w:r>
        <w:rPr>
          <w:noProof/>
        </w:rPr>
        <w:t>Член 2</w:t>
      </w:r>
    </w:p>
    <w:p>
      <w:pPr>
        <w:rPr>
          <w:noProof/>
        </w:rPr>
      </w:pPr>
      <w:r>
        <w:rPr>
          <w:noProof/>
        </w:rPr>
        <w:t>Версията на формулярите за обезпечение, съдържащи се в приложения В1—В6 на допълнение III към Конвенцията, приложима в деня преди влизането в сила на настоящото решение, може да продължи да се използва в продължение на една година от влизането в сила на настоящото решение, при условие че се извършат необходимите географски адаптации.</w:t>
      </w:r>
    </w:p>
    <w:p>
      <w:pPr>
        <w:pStyle w:val="Titrearticle"/>
        <w:rPr>
          <w:noProof/>
        </w:rPr>
      </w:pPr>
      <w:r>
        <w:rPr>
          <w:noProof/>
        </w:rPr>
        <w:t>Член 3</w:t>
      </w:r>
    </w:p>
    <w:p>
      <w:pPr>
        <w:rPr>
          <w:noProof/>
        </w:rPr>
      </w:pPr>
      <w:r>
        <w:rPr>
          <w:noProof/>
        </w:rPr>
        <w:t>Настоящото решение влиза в сила, при условие че Обединеното кралство се присъедини към Конвенцията като отделна договаряща страна и на датата, на която това присъединяване започне да поражда действие.</w:t>
      </w:r>
    </w:p>
    <w:p>
      <w:pPr>
        <w:rPr>
          <w:noProof/>
        </w:rPr>
      </w:pPr>
    </w:p>
    <w:p>
      <w:pPr>
        <w:pStyle w:val="Fait"/>
        <w:rPr>
          <w:noProof/>
        </w:rPr>
      </w:pPr>
      <w:r>
        <w:rPr>
          <w:noProof/>
        </w:rPr>
        <w:t>Съставено в Брюксел на […] година. 2018 г.</w:t>
      </w:r>
    </w:p>
    <w:p>
      <w:pPr>
        <w:pStyle w:val="Institutionquisigne"/>
        <w:rPr>
          <w:noProof/>
        </w:rPr>
      </w:pPr>
      <w:r>
        <w:rPr>
          <w:noProof/>
        </w:rPr>
        <w:tab/>
        <w:t>[За Съвместния комитет]</w:t>
      </w:r>
    </w:p>
    <w:p>
      <w:pPr>
        <w:pStyle w:val="Personnequisigne"/>
        <w:rPr>
          <w:noProof/>
        </w:rPr>
      </w:pPr>
      <w:r>
        <w:rPr>
          <w:noProof/>
        </w:rPr>
        <w:tab/>
        <w:t>Председател</w:t>
      </w:r>
    </w:p>
    <w:p>
      <w:pPr>
        <w:pStyle w:val="Institutionquisigne"/>
        <w:rPr>
          <w:noProof/>
        </w:rPr>
      </w:pPr>
      <w:r>
        <w:rPr>
          <w:noProof/>
        </w:rPr>
        <w:tab/>
        <w:t>Philip Kermode</w:t>
      </w:r>
    </w:p>
    <w:p>
      <w:pPr>
        <w:pStyle w:val="Personnequisigne"/>
        <w:rPr>
          <w:noProof/>
        </w:rPr>
        <w:sectPr>
          <w:footerReference w:type="default" r:id="rId16"/>
          <w:footerReference w:type="first" r:id="rId17"/>
          <w:endnotePr>
            <w:numFmt w:val="decimal"/>
          </w:endnotePr>
          <w:pgSz w:w="11907" w:h="16839"/>
          <w:pgMar w:top="1134" w:right="1417" w:bottom="1134" w:left="1417" w:header="709" w:footer="709" w:gutter="0"/>
          <w:cols w:space="720"/>
          <w:docGrid w:linePitch="360"/>
        </w:sectPr>
      </w:pPr>
    </w:p>
    <w:p>
      <w:pPr>
        <w:spacing w:line="360" w:lineRule="auto"/>
        <w:rPr>
          <w:rFonts w:eastAsia="Times New Roman"/>
          <w:noProof/>
          <w:szCs w:val="24"/>
        </w:rPr>
      </w:pPr>
      <w:r>
        <w:rPr>
          <w:noProof/>
        </w:rPr>
        <w:t>Допълнение III към Конвенцията от 20 май 1987 г. за общ транзитен режим се изменя, както следва:</w:t>
      </w:r>
    </w:p>
    <w:p>
      <w:pPr>
        <w:spacing w:line="360" w:lineRule="auto"/>
        <w:ind w:left="850" w:hanging="850"/>
        <w:jc w:val="left"/>
        <w:rPr>
          <w:rFonts w:eastAsia="Times New Roman"/>
          <w:noProof/>
          <w:szCs w:val="24"/>
        </w:rPr>
      </w:pPr>
      <w:r>
        <w:rPr>
          <w:noProof/>
        </w:rPr>
        <w:t>1) Приложение В1 се заменя със следното:</w:t>
      </w:r>
    </w:p>
    <w:p>
      <w:pPr>
        <w:spacing w:line="360" w:lineRule="auto"/>
        <w:ind w:left="850" w:hanging="850"/>
        <w:jc w:val="center"/>
        <w:rPr>
          <w:rFonts w:eastAsia="Times New Roman"/>
          <w:i/>
          <w:noProof/>
          <w:szCs w:val="24"/>
        </w:rPr>
      </w:pPr>
      <w:r>
        <w:rPr>
          <w:i/>
          <w:noProof/>
        </w:rPr>
        <w:t>„ПРИЛОЖЕНИЕ В1</w:t>
      </w:r>
    </w:p>
    <w:p>
      <w:pPr>
        <w:spacing w:line="360" w:lineRule="auto"/>
        <w:ind w:left="850" w:hanging="850"/>
        <w:jc w:val="left"/>
        <w:rPr>
          <w:rFonts w:eastAsia="Times New Roman"/>
          <w:b/>
          <w:noProof/>
          <w:szCs w:val="24"/>
        </w:rPr>
      </w:pPr>
      <w:r>
        <w:rPr>
          <w:b/>
          <w:noProof/>
        </w:rPr>
        <w:t>ПОРЪЧИТЕЛСТВО — ЕДНОКРАТНО ОБЕЗПЕЧЕНИЕ</w:t>
      </w:r>
    </w:p>
    <w:p>
      <w:pPr>
        <w:rPr>
          <w:rFonts w:eastAsia="Times New Roman"/>
          <w:b/>
          <w:noProof/>
          <w:szCs w:val="24"/>
        </w:rPr>
      </w:pPr>
      <w:r>
        <w:rPr>
          <w:b/>
          <w:noProof/>
        </w:rPr>
        <w:t>I. Задължение на поръчителя</w:t>
      </w:r>
    </w:p>
    <w:p>
      <w:pPr>
        <w:rPr>
          <w:rFonts w:eastAsia="Times New Roman"/>
          <w:noProof/>
          <w:sz w:val="22"/>
          <w:vertAlign w:val="superscript"/>
        </w:rPr>
      </w:pPr>
      <w:r>
        <w:rPr>
          <w:noProof/>
        </w:rPr>
        <w:t xml:space="preserve">1. Долуподписаният/долуподписаната </w:t>
      </w:r>
      <w:r>
        <w:rPr>
          <w:rStyle w:val="FootnoteReference"/>
          <w:noProof/>
        </w:rPr>
        <w:footnoteReference w:customMarkFollows="1" w:id="2"/>
        <w:t>1</w:t>
      </w:r>
    </w:p>
    <w:p>
      <w:pPr>
        <w:rPr>
          <w:rFonts w:eastAsia="Times New Roman"/>
          <w:noProof/>
          <w:szCs w:val="24"/>
        </w:rPr>
      </w:pPr>
      <w:r>
        <w:rPr>
          <w:noProof/>
        </w:rPr>
        <w:t>…………………………………………………………………………………………………..…………………………………………………………………………………………………..</w:t>
      </w:r>
    </w:p>
    <w:p>
      <w:pPr>
        <w:rPr>
          <w:rFonts w:eastAsia="Times New Roman"/>
          <w:noProof/>
          <w:szCs w:val="24"/>
        </w:rPr>
      </w:pPr>
      <w:r>
        <w:rPr>
          <w:noProof/>
        </w:rPr>
        <w:t xml:space="preserve">живущ/живуща в </w:t>
      </w:r>
      <w:r>
        <w:rPr>
          <w:rStyle w:val="FootnoteReference"/>
          <w:noProof/>
        </w:rPr>
        <w:footnoteReference w:customMarkFollows="1" w:id="3"/>
        <w:t>2</w:t>
      </w:r>
    </w:p>
    <w:p>
      <w:pPr>
        <w:rPr>
          <w:rFonts w:eastAsia="Times New Roman"/>
          <w:noProof/>
          <w:szCs w:val="24"/>
          <w:lang w:val="ru-RU"/>
        </w:rPr>
      </w:pPr>
      <w:r>
        <w:rPr>
          <w:noProof/>
        </w:rPr>
        <w:t>…………………………………………………………………………………………………... ……….…………………………………………………………………………………………..</w:t>
      </w:r>
    </w:p>
    <w:p>
      <w:pPr>
        <w:rPr>
          <w:rFonts w:eastAsia="Times New Roman"/>
          <w:noProof/>
          <w:szCs w:val="24"/>
        </w:rPr>
      </w:pPr>
      <w:r>
        <w:rPr>
          <w:noProof/>
        </w:rPr>
        <w:t>с настоящото поема солидарно задължение пред митническото учреждение по обезпечението</w:t>
      </w:r>
    </w:p>
    <w:p>
      <w:pPr>
        <w:rPr>
          <w:rFonts w:eastAsia="Times New Roman"/>
          <w:noProof/>
          <w:szCs w:val="24"/>
        </w:rPr>
      </w:pPr>
      <w:r>
        <w:rPr>
          <w:noProof/>
        </w:rPr>
        <w:t>…………………………………………………………………………………………………...</w:t>
      </w:r>
    </w:p>
    <w:p>
      <w:pPr>
        <w:rPr>
          <w:rFonts w:eastAsia="Times New Roman"/>
          <w:noProof/>
          <w:szCs w:val="24"/>
        </w:rPr>
      </w:pPr>
      <w:r>
        <w:rPr>
          <w:noProof/>
        </w:rPr>
        <w:t>за максимална сума от</w:t>
      </w:r>
    </w:p>
    <w:p>
      <w:pPr>
        <w:rPr>
          <w:rFonts w:eastAsia="Times New Roman"/>
          <w:noProof/>
          <w:szCs w:val="24"/>
        </w:rPr>
      </w:pPr>
      <w:r>
        <w:rPr>
          <w:noProof/>
        </w:rPr>
        <w:t>…………………………………………………………………………………………………...</w:t>
      </w:r>
    </w:p>
    <w:p>
      <w:pPr>
        <w:rPr>
          <w:rFonts w:eastAsia="Times New Roman"/>
          <w:noProof/>
          <w:szCs w:val="24"/>
        </w:rPr>
      </w:pPr>
      <w:r>
        <w:rPr>
          <w:noProof/>
        </w:rPr>
        <w:t xml:space="preserve">в полза на Европейския съюз (съставен от Кралство Белгия, Република България, Чешката република, Кралство Дания, Федерална република Германия, Република Естония, Република Гърция, Република Хърватия, Кралство Испания, Френската република, Ирландия, Италианската република, Република Кипър, Република Латвия, Република Литва, Великото херцогство Люксембург, Унгария, Република Малта, Кралство Нидерландия, Република Австрия, Република Полша, Португалската република, Румъния, Република Словения, Словашката република, Република Финландия, Кралство Швеция) и в полза на Република Исландия, бивша югославска република Македония, Кралство Норвегия, Република Сърбия, Конфедерация Швейцария, Република Турция, Обединеното кралство Великобритания и Северна Ирландия </w:t>
      </w:r>
      <w:r>
        <w:rPr>
          <w:rStyle w:val="FootnoteReference"/>
          <w:noProof/>
        </w:rPr>
        <w:footnoteReference w:customMarkFollows="1" w:id="4"/>
        <w:t>3</w:t>
      </w:r>
      <w:r>
        <w:rPr>
          <w:noProof/>
        </w:rPr>
        <w:t xml:space="preserve">, Княжество Андора и Република Сан Марино </w:t>
      </w:r>
      <w:r>
        <w:rPr>
          <w:rStyle w:val="FootnoteReference"/>
          <w:noProof/>
        </w:rPr>
        <w:footnoteReference w:customMarkFollows="1" w:id="5"/>
        <w:t>4</w:t>
      </w:r>
      <w:r>
        <w:rPr>
          <w:noProof/>
        </w:rPr>
        <w:t xml:space="preserve">, за сумите, които предоставящото настоящото обезпечение лице </w:t>
      </w:r>
      <w:r>
        <w:rPr>
          <w:rStyle w:val="FootnoteReference"/>
          <w:noProof/>
        </w:rPr>
        <w:footnoteReference w:customMarkFollows="1" w:id="6"/>
        <w:t>5</w:t>
      </w:r>
      <w:r>
        <w:rPr>
          <w:noProof/>
        </w:rPr>
        <w:t>:</w:t>
      </w:r>
    </w:p>
    <w:p>
      <w:pPr>
        <w:rPr>
          <w:rFonts w:eastAsia="Times New Roman"/>
          <w:noProof/>
          <w:szCs w:val="24"/>
        </w:rPr>
      </w:pPr>
      <w:r>
        <w:rPr>
          <w:noProof/>
        </w:rPr>
        <w:t>…………………………………………………………………………………………………..</w:t>
      </w:r>
    </w:p>
    <w:p>
      <w:pPr>
        <w:rPr>
          <w:rFonts w:eastAsia="Times New Roman"/>
          <w:noProof/>
          <w:szCs w:val="24"/>
        </w:rPr>
      </w:pPr>
      <w:r>
        <w:rPr>
          <w:noProof/>
        </w:rPr>
        <w:t xml:space="preserve">дължи или ще дължи на посочените по-горе държави под формата на мита и такси </w:t>
      </w:r>
      <w:r>
        <w:rPr>
          <w:rStyle w:val="FootnoteReference"/>
          <w:noProof/>
        </w:rPr>
        <w:footnoteReference w:customMarkFollows="1" w:id="7"/>
        <w:t xml:space="preserve">6 </w:t>
      </w:r>
      <w:r>
        <w:rPr>
          <w:noProof/>
        </w:rPr>
        <w:t xml:space="preserve">за описаните по-долу стоки, обхванати от следната митническа операция </w:t>
      </w:r>
      <w:r>
        <w:rPr>
          <w:rStyle w:val="FootnoteReference"/>
          <w:noProof/>
        </w:rPr>
        <w:footnoteReference w:customMarkFollows="1" w:id="8"/>
        <w:t>7</w:t>
      </w:r>
      <w:r>
        <w:rPr>
          <w:noProof/>
        </w:rPr>
        <w:t>:</w:t>
      </w:r>
    </w:p>
    <w:p>
      <w:pPr>
        <w:rPr>
          <w:rFonts w:eastAsia="Times New Roman"/>
          <w:noProof/>
          <w:szCs w:val="24"/>
        </w:rPr>
      </w:pPr>
      <w:r>
        <w:rPr>
          <w:noProof/>
        </w:rPr>
        <w:t>…………………………………………………………………………………………………...</w:t>
      </w:r>
    </w:p>
    <w:p>
      <w:pPr>
        <w:rPr>
          <w:rFonts w:eastAsia="Times New Roman"/>
          <w:noProof/>
          <w:szCs w:val="24"/>
        </w:rPr>
      </w:pPr>
      <w:r>
        <w:rPr>
          <w:noProof/>
        </w:rPr>
        <w:t>…………………………………………………………………………………………………...</w:t>
      </w:r>
    </w:p>
    <w:p>
      <w:pPr>
        <w:rPr>
          <w:rFonts w:eastAsia="Times New Roman"/>
          <w:noProof/>
          <w:szCs w:val="24"/>
          <w:lang w:val="ru-RU"/>
        </w:rPr>
      </w:pPr>
      <w:r>
        <w:rPr>
          <w:noProof/>
        </w:rPr>
        <w:t>Описание на стоките: ………</w:t>
      </w:r>
      <w:r>
        <w:rPr>
          <w:noProof/>
          <w:lang w:val="ru-RU"/>
        </w:rPr>
        <w:t>……………………………………………………………</w:t>
      </w:r>
      <w:r>
        <w:rPr>
          <w:noProof/>
        </w:rPr>
        <w:t>….        ……………………………………………………………………………...</w:t>
      </w:r>
      <w:r>
        <w:rPr>
          <w:noProof/>
          <w:lang w:val="ru-RU"/>
        </w:rPr>
        <w:t>..............................</w:t>
      </w:r>
    </w:p>
    <w:p>
      <w:pPr>
        <w:rPr>
          <w:rFonts w:eastAsia="Times New Roman"/>
          <w:noProof/>
          <w:szCs w:val="24"/>
        </w:rPr>
      </w:pPr>
      <w:r>
        <w:rPr>
          <w:noProof/>
        </w:rPr>
        <w:t>…………………………………………………………………………………………………...</w:t>
      </w:r>
    </w:p>
    <w:p>
      <w:pPr>
        <w:rPr>
          <w:rFonts w:eastAsia="Times New Roman"/>
          <w:noProof/>
          <w:szCs w:val="24"/>
        </w:rPr>
      </w:pPr>
      <w:r>
        <w:rPr>
          <w:noProof/>
        </w:rPr>
        <w:t>…………………………………………………………………………………………………..</w:t>
      </w:r>
    </w:p>
    <w:p>
      <w:pPr>
        <w:rPr>
          <w:rFonts w:eastAsia="Times New Roman"/>
          <w:noProof/>
          <w:szCs w:val="24"/>
        </w:rPr>
      </w:pPr>
      <w:r>
        <w:rPr>
          <w:noProof/>
        </w:rPr>
        <w:t>…………………………………………………………………………………………………..</w:t>
      </w:r>
    </w:p>
    <w:p>
      <w:pPr>
        <w:rPr>
          <w:rFonts w:eastAsia="Times New Roman"/>
          <w:noProof/>
          <w:szCs w:val="24"/>
        </w:rPr>
      </w:pPr>
      <w:r>
        <w:rPr>
          <w:noProof/>
        </w:rPr>
        <w:t>2. Долуподписаният/долуподписаната поема задължението да изплати поисканите суми при първо искане в писмен вид от страна на компетентните органи на посочените в точка 1 държави и без да има право на отсрочване на плащането за срок, по-дълъг от 30 дни от датата на искането, освен когато той/тя или друго заинтересовано лице в рамките на този срок докаже пред въпросните компетентни органи, че специалният режим, различен от режим специфична употреба, е приключил, че митническият надзор върху стоките под режим специфична употреба или временно складиране е завършил правилно или — при операции, различни от специални режими и временно складиране — че положението на стоките е било уредено.</w:t>
      </w:r>
    </w:p>
    <w:p>
      <w:pPr>
        <w:rPr>
          <w:rFonts w:eastAsia="Times New Roman"/>
          <w:noProof/>
          <w:szCs w:val="24"/>
        </w:rPr>
      </w:pPr>
      <w:r>
        <w:rPr>
          <w:noProof/>
        </w:rPr>
        <w:t>При поискване от страна на долуподписания/долуподписаната и при наличие на основателна причина компетентните органи могат да удължат 30-дневния срок от датата на искането за плащане, в който той/тя е задължен(а) да заплати исканите суми. Разходите, възникнали в резултат на отпускането на този допълнителен срок, по-специално лихвите, се изчисляват така, че размерът им да е равен на този, който би бил приложим при сходни обстоятелства на националния паричен или финансов пазар на въпросната държава.</w:t>
      </w:r>
    </w:p>
    <w:p>
      <w:pPr>
        <w:rPr>
          <w:rFonts w:eastAsia="Times New Roman"/>
          <w:noProof/>
          <w:szCs w:val="24"/>
        </w:rPr>
      </w:pPr>
      <w:r>
        <w:rPr>
          <w:noProof/>
        </w:rPr>
        <w:t>3. Това поръчителство поражда действие от датата на одобрението му от митническото учреждение по обезпечението. Долуподписаният/долуподписаната остава отговорен/отговорна за изплащане на всякакви задължения, възникнали по време на митническата операция, покрита от това поръчителство и започнала преди датата, от която евентуална отмяна или евентуално прекратяване на поръчителството са породили действие, дори ако искането за плащане е направено след тази дата.</w:t>
      </w:r>
    </w:p>
    <w:p>
      <w:pPr>
        <w:rPr>
          <w:rFonts w:eastAsia="Times New Roman"/>
          <w:noProof/>
          <w:szCs w:val="24"/>
        </w:rPr>
      </w:pPr>
      <w:r>
        <w:rPr>
          <w:noProof/>
        </w:rPr>
        <w:t xml:space="preserve">4. За целите на това поръчителство долуподписаният/долуподписаната посочва свой адрес за кореспонденция </w:t>
      </w:r>
      <w:r>
        <w:rPr>
          <w:rStyle w:val="FootnoteReference"/>
          <w:noProof/>
        </w:rPr>
        <w:footnoteReference w:customMarkFollows="1" w:id="9"/>
        <w:t>8</w:t>
      </w:r>
      <w:r>
        <w:rPr>
          <w:noProof/>
        </w:rPr>
        <w:t xml:space="preserve"> във всяка една от изброените в точка 1 други държави, във: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8"/>
        <w:gridCol w:w="7664"/>
      </w:tblGrid>
      <w:tr>
        <w:tc>
          <w:tcPr>
            <w:tcW w:w="1548" w:type="dxa"/>
          </w:tcPr>
          <w:p>
            <w:pPr>
              <w:spacing w:after="0"/>
              <w:rPr>
                <w:rFonts w:eastAsia="Times New Roman"/>
                <w:noProof/>
                <w:szCs w:val="24"/>
              </w:rPr>
            </w:pPr>
            <w:r>
              <w:rPr>
                <w:noProof/>
              </w:rPr>
              <w:t>Държава</w:t>
            </w:r>
          </w:p>
        </w:tc>
        <w:tc>
          <w:tcPr>
            <w:tcW w:w="7664" w:type="dxa"/>
          </w:tcPr>
          <w:p>
            <w:pPr>
              <w:spacing w:after="0"/>
              <w:rPr>
                <w:rFonts w:eastAsia="Times New Roman"/>
                <w:noProof/>
                <w:szCs w:val="24"/>
              </w:rPr>
            </w:pPr>
            <w:r>
              <w:rPr>
                <w:noProof/>
              </w:rPr>
              <w:t>Фамилно и собствено име или фирма, пълен адрес</w:t>
            </w:r>
          </w:p>
        </w:tc>
      </w:tr>
      <w:tr>
        <w:tc>
          <w:tcPr>
            <w:tcW w:w="1548" w:type="dxa"/>
          </w:tcPr>
          <w:p>
            <w:pPr>
              <w:spacing w:after="0"/>
              <w:rPr>
                <w:rFonts w:eastAsia="Times New Roman"/>
                <w:noProof/>
                <w:szCs w:val="24"/>
              </w:rPr>
            </w:pPr>
          </w:p>
        </w:tc>
        <w:tc>
          <w:tcPr>
            <w:tcW w:w="7664" w:type="dxa"/>
          </w:tcPr>
          <w:p>
            <w:pPr>
              <w:spacing w:after="0"/>
              <w:rPr>
                <w:rFonts w:eastAsia="Times New Roman"/>
                <w:noProof/>
                <w:szCs w:val="24"/>
              </w:rPr>
            </w:pPr>
          </w:p>
        </w:tc>
      </w:tr>
      <w:tr>
        <w:tc>
          <w:tcPr>
            <w:tcW w:w="1548" w:type="dxa"/>
          </w:tcPr>
          <w:p>
            <w:pPr>
              <w:spacing w:after="0"/>
              <w:rPr>
                <w:rFonts w:eastAsia="Times New Roman"/>
                <w:noProof/>
                <w:szCs w:val="24"/>
              </w:rPr>
            </w:pPr>
          </w:p>
        </w:tc>
        <w:tc>
          <w:tcPr>
            <w:tcW w:w="7664" w:type="dxa"/>
          </w:tcPr>
          <w:p>
            <w:pPr>
              <w:spacing w:after="0"/>
              <w:rPr>
                <w:rFonts w:eastAsia="Times New Roman"/>
                <w:noProof/>
                <w:szCs w:val="24"/>
              </w:rPr>
            </w:pPr>
          </w:p>
        </w:tc>
      </w:tr>
      <w:tr>
        <w:tc>
          <w:tcPr>
            <w:tcW w:w="1548" w:type="dxa"/>
          </w:tcPr>
          <w:p>
            <w:pPr>
              <w:spacing w:after="0"/>
              <w:rPr>
                <w:rFonts w:eastAsia="Times New Roman"/>
                <w:noProof/>
                <w:szCs w:val="24"/>
              </w:rPr>
            </w:pPr>
          </w:p>
        </w:tc>
        <w:tc>
          <w:tcPr>
            <w:tcW w:w="7664" w:type="dxa"/>
          </w:tcPr>
          <w:p>
            <w:pPr>
              <w:spacing w:after="0"/>
              <w:rPr>
                <w:rFonts w:eastAsia="Times New Roman"/>
                <w:noProof/>
                <w:szCs w:val="24"/>
              </w:rPr>
            </w:pPr>
          </w:p>
        </w:tc>
      </w:tr>
      <w:tr>
        <w:tc>
          <w:tcPr>
            <w:tcW w:w="1548" w:type="dxa"/>
          </w:tcPr>
          <w:p>
            <w:pPr>
              <w:spacing w:after="0"/>
              <w:rPr>
                <w:rFonts w:eastAsia="Times New Roman"/>
                <w:noProof/>
                <w:szCs w:val="24"/>
              </w:rPr>
            </w:pPr>
          </w:p>
        </w:tc>
        <w:tc>
          <w:tcPr>
            <w:tcW w:w="7664" w:type="dxa"/>
          </w:tcPr>
          <w:p>
            <w:pPr>
              <w:spacing w:after="0"/>
              <w:rPr>
                <w:rFonts w:eastAsia="Times New Roman"/>
                <w:noProof/>
                <w:szCs w:val="24"/>
              </w:rPr>
            </w:pPr>
          </w:p>
        </w:tc>
      </w:tr>
      <w:tr>
        <w:tc>
          <w:tcPr>
            <w:tcW w:w="1548" w:type="dxa"/>
          </w:tcPr>
          <w:p>
            <w:pPr>
              <w:spacing w:after="0"/>
              <w:rPr>
                <w:rFonts w:eastAsia="Times New Roman"/>
                <w:noProof/>
                <w:szCs w:val="24"/>
              </w:rPr>
            </w:pPr>
          </w:p>
        </w:tc>
        <w:tc>
          <w:tcPr>
            <w:tcW w:w="7664" w:type="dxa"/>
          </w:tcPr>
          <w:p>
            <w:pPr>
              <w:spacing w:after="0"/>
              <w:rPr>
                <w:rFonts w:eastAsia="Times New Roman"/>
                <w:noProof/>
                <w:szCs w:val="24"/>
              </w:rPr>
            </w:pPr>
          </w:p>
        </w:tc>
      </w:tr>
      <w:tr>
        <w:tc>
          <w:tcPr>
            <w:tcW w:w="1548" w:type="dxa"/>
          </w:tcPr>
          <w:p>
            <w:pPr>
              <w:spacing w:after="0"/>
              <w:rPr>
                <w:rFonts w:eastAsia="Times New Roman"/>
                <w:noProof/>
                <w:szCs w:val="24"/>
              </w:rPr>
            </w:pPr>
          </w:p>
        </w:tc>
        <w:tc>
          <w:tcPr>
            <w:tcW w:w="7664" w:type="dxa"/>
          </w:tcPr>
          <w:p>
            <w:pPr>
              <w:spacing w:after="0"/>
              <w:rPr>
                <w:rFonts w:eastAsia="Times New Roman"/>
                <w:noProof/>
                <w:szCs w:val="24"/>
              </w:rPr>
            </w:pPr>
          </w:p>
        </w:tc>
      </w:tr>
      <w:tr>
        <w:tc>
          <w:tcPr>
            <w:tcW w:w="1548" w:type="dxa"/>
          </w:tcPr>
          <w:p>
            <w:pPr>
              <w:spacing w:after="0"/>
              <w:rPr>
                <w:rFonts w:eastAsia="Times New Roman"/>
                <w:noProof/>
                <w:szCs w:val="24"/>
              </w:rPr>
            </w:pPr>
          </w:p>
        </w:tc>
        <w:tc>
          <w:tcPr>
            <w:tcW w:w="7664" w:type="dxa"/>
          </w:tcPr>
          <w:p>
            <w:pPr>
              <w:spacing w:after="0"/>
              <w:rPr>
                <w:rFonts w:eastAsia="Times New Roman"/>
                <w:noProof/>
                <w:szCs w:val="24"/>
              </w:rPr>
            </w:pPr>
          </w:p>
        </w:tc>
      </w:tr>
    </w:tbl>
    <w:p>
      <w:pPr>
        <w:rPr>
          <w:rFonts w:eastAsia="Times New Roman"/>
          <w:noProof/>
          <w:szCs w:val="24"/>
        </w:rPr>
      </w:pPr>
      <w:r>
        <w:rPr>
          <w:noProof/>
        </w:rPr>
        <w:t>Долуподписаният/долуподписаната потвърждава, че цялата кореспонденция, всички съобщения и всички документи по формалности или процедури, свързани с това поръчителство, изпратени до или извършени в писмена форма по отношение на който и да е от адресите за кореспонденция, се приемат като надлежно връчени му/ѝ.</w:t>
      </w:r>
    </w:p>
    <w:p>
      <w:pPr>
        <w:rPr>
          <w:rFonts w:eastAsia="Times New Roman"/>
          <w:noProof/>
          <w:szCs w:val="24"/>
        </w:rPr>
      </w:pPr>
      <w:r>
        <w:rPr>
          <w:noProof/>
        </w:rPr>
        <w:t>Долуподписаният/долуподписаната признава компетентността на съдилищата в районите, в които се намират неговите/нейните адреси за кореспонденция.</w:t>
      </w:r>
    </w:p>
    <w:p>
      <w:pPr>
        <w:rPr>
          <w:rFonts w:eastAsia="Times New Roman"/>
          <w:noProof/>
          <w:szCs w:val="24"/>
        </w:rPr>
      </w:pPr>
      <w:r>
        <w:rPr>
          <w:noProof/>
        </w:rPr>
        <w:t>Долуподписаният/долуподписаната се задължава да не променя адресите за кореспонденция или ако се налага да промени един или повече от тези адреси, да информира предварително за това митническото учреждение по обезпечението.</w:t>
      </w:r>
    </w:p>
    <w:p>
      <w:pPr>
        <w:rPr>
          <w:rFonts w:eastAsia="Times New Roman"/>
          <w:noProof/>
          <w:szCs w:val="24"/>
          <w:lang w:val="ru-RU"/>
        </w:rPr>
      </w:pPr>
      <w:r>
        <w:rPr>
          <w:noProof/>
        </w:rPr>
        <w:t>Съставено в …………………………………………………………………………………. на ………………………………………………………………</w:t>
      </w:r>
      <w:r>
        <w:rPr>
          <w:noProof/>
          <w:lang w:val="ru-RU"/>
        </w:rPr>
        <w:t>……………………………….</w:t>
      </w:r>
    </w:p>
    <w:p>
      <w:pPr>
        <w:rPr>
          <w:rFonts w:eastAsia="Times New Roman"/>
          <w:noProof/>
          <w:szCs w:val="24"/>
        </w:rPr>
      </w:pPr>
      <w:r>
        <w:rPr>
          <w:noProof/>
        </w:rPr>
        <w:t>…………………………………………………………………………………………………..</w:t>
      </w:r>
    </w:p>
    <w:p>
      <w:pPr>
        <w:jc w:val="center"/>
        <w:rPr>
          <w:rFonts w:eastAsia="Times New Roman"/>
          <w:noProof/>
          <w:szCs w:val="24"/>
        </w:rPr>
      </w:pPr>
      <w:r>
        <w:rPr>
          <w:noProof/>
        </w:rPr>
        <w:t xml:space="preserve">(Подпис) </w:t>
      </w:r>
      <w:r>
        <w:rPr>
          <w:rStyle w:val="FootnoteReference"/>
          <w:noProof/>
        </w:rPr>
        <w:footnoteReference w:customMarkFollows="1" w:id="10"/>
        <w:t>9</w:t>
      </w:r>
    </w:p>
    <w:p>
      <w:pPr>
        <w:rPr>
          <w:rFonts w:eastAsia="Times New Roman"/>
          <w:noProof/>
          <w:szCs w:val="24"/>
        </w:rPr>
      </w:pPr>
    </w:p>
    <w:p>
      <w:pPr>
        <w:rPr>
          <w:rFonts w:eastAsia="Times New Roman"/>
          <w:b/>
          <w:noProof/>
          <w:szCs w:val="24"/>
        </w:rPr>
      </w:pPr>
      <w:r>
        <w:rPr>
          <w:b/>
          <w:noProof/>
        </w:rPr>
        <w:t>II. Одобрение от страна на митническото учреждение по обезпечението</w:t>
      </w:r>
    </w:p>
    <w:p>
      <w:pPr>
        <w:rPr>
          <w:rFonts w:eastAsia="Times New Roman"/>
          <w:noProof/>
          <w:szCs w:val="24"/>
        </w:rPr>
      </w:pPr>
      <w:r>
        <w:rPr>
          <w:noProof/>
        </w:rPr>
        <w:t>Митническо учреждение по обезпечението ………………………………………………… …...........................................................................................................................................</w:t>
      </w:r>
    </w:p>
    <w:p>
      <w:pPr>
        <w:rPr>
          <w:rFonts w:eastAsia="Times New Roman"/>
          <w:noProof/>
          <w:szCs w:val="24"/>
        </w:rPr>
      </w:pPr>
      <w:r>
        <w:rPr>
          <w:noProof/>
        </w:rPr>
        <w:t>………………………………………………………………………………………………</w:t>
      </w:r>
    </w:p>
    <w:p>
      <w:pPr>
        <w:rPr>
          <w:rFonts w:eastAsia="Times New Roman"/>
          <w:noProof/>
          <w:szCs w:val="24"/>
        </w:rPr>
      </w:pPr>
      <w:r>
        <w:rPr>
          <w:noProof/>
        </w:rPr>
        <w:t>…………………………………………………………………………………………………..</w:t>
      </w:r>
    </w:p>
    <w:p>
      <w:pPr>
        <w:rPr>
          <w:rFonts w:eastAsia="Times New Roman"/>
          <w:noProof/>
          <w:szCs w:val="24"/>
        </w:rPr>
      </w:pPr>
      <w:r>
        <w:rPr>
          <w:noProof/>
        </w:rPr>
        <w:t xml:space="preserve">Поетото поръчителство е прието на .................. за обезпечаване на митническата операция, извършвана по митническа декларация/декларация за временно складиране </w:t>
      </w:r>
    </w:p>
    <w:p>
      <w:pPr>
        <w:rPr>
          <w:rFonts w:eastAsia="Times New Roman"/>
          <w:noProof/>
          <w:szCs w:val="24"/>
        </w:rPr>
      </w:pPr>
      <w:r>
        <w:rPr>
          <w:noProof/>
        </w:rPr>
        <w:t>№ ………………………….. от …………………………………………………………….....</w:t>
      </w:r>
    </w:p>
    <w:p>
      <w:pPr>
        <w:rPr>
          <w:rFonts w:eastAsia="Times New Roman"/>
          <w:noProof/>
          <w:szCs w:val="24"/>
        </w:rPr>
      </w:pPr>
    </w:p>
    <w:p>
      <w:pPr>
        <w:rPr>
          <w:rFonts w:eastAsia="Times New Roman"/>
          <w:noProof/>
          <w:szCs w:val="24"/>
        </w:rPr>
      </w:pPr>
      <w:r>
        <w:rPr>
          <w:noProof/>
        </w:rPr>
        <w:t>…………………………………………………………………………………………… </w:t>
      </w:r>
      <w:r>
        <w:rPr>
          <w:rStyle w:val="FootnoteReference"/>
          <w:noProof/>
        </w:rPr>
        <w:footnoteReference w:customMarkFollows="1" w:id="11"/>
        <w:t>10</w:t>
      </w:r>
    </w:p>
    <w:p>
      <w:pPr>
        <w:pBdr>
          <w:bottom w:val="single" w:sz="12" w:space="1" w:color="auto"/>
        </w:pBdr>
        <w:jc w:val="center"/>
        <w:rPr>
          <w:rFonts w:eastAsia="Times New Roman"/>
          <w:noProof/>
          <w:szCs w:val="24"/>
        </w:rPr>
      </w:pPr>
      <w:r>
        <w:rPr>
          <w:noProof/>
        </w:rPr>
        <w:t>(Печат и подпис)</w:t>
      </w:r>
    </w:p>
    <w:p>
      <w:pPr>
        <w:rPr>
          <w:noProof/>
        </w:rPr>
        <w:sectPr>
          <w:endnotePr>
            <w:numFmt w:val="decimal"/>
          </w:endnotePr>
          <w:pgSz w:w="11907" w:h="16839"/>
          <w:pgMar w:top="1134" w:right="1417" w:bottom="1134" w:left="1417" w:header="709" w:footer="709" w:gutter="0"/>
          <w:cols w:space="720"/>
          <w:docGrid w:linePitch="360"/>
        </w:sectPr>
      </w:pPr>
      <w:r>
        <w:rPr>
          <w:noProof/>
        </w:rPr>
        <w:tab/>
      </w:r>
    </w:p>
    <w:p>
      <w:pPr>
        <w:rPr>
          <w:noProof/>
        </w:rPr>
      </w:pPr>
      <w:r>
        <w:rPr>
          <w:noProof/>
        </w:rPr>
        <w:t>2) Приложение В2 се заменя със следното:</w:t>
      </w:r>
    </w:p>
    <w:p>
      <w:pPr>
        <w:spacing w:line="360" w:lineRule="auto"/>
        <w:jc w:val="center"/>
        <w:rPr>
          <w:rFonts w:eastAsia="Times New Roman"/>
          <w:bCs/>
          <w:i/>
          <w:noProof/>
          <w:szCs w:val="24"/>
        </w:rPr>
      </w:pPr>
      <w:r>
        <w:rPr>
          <w:i/>
          <w:noProof/>
        </w:rPr>
        <w:t>„ПРИЛОЖЕНИЕ В2</w:t>
      </w:r>
    </w:p>
    <w:p>
      <w:pPr>
        <w:spacing w:line="360" w:lineRule="auto"/>
        <w:jc w:val="center"/>
        <w:rPr>
          <w:rFonts w:eastAsia="Times New Roman"/>
          <w:b/>
          <w:bCs/>
          <w:noProof/>
          <w:szCs w:val="24"/>
        </w:rPr>
      </w:pPr>
      <w:r>
        <w:rPr>
          <w:b/>
          <w:noProof/>
        </w:rPr>
        <w:t>ПОРЪЧИТЕЛСТВО — ЕДНОКРАТНО ОБЕЗПЕЧЕНИЕ ПОД ФОРМАТА НА ВАУЧЕРИ</w:t>
      </w:r>
    </w:p>
    <w:p>
      <w:pPr>
        <w:rPr>
          <w:rFonts w:eastAsia="Times New Roman"/>
          <w:b/>
          <w:noProof/>
          <w:szCs w:val="24"/>
        </w:rPr>
      </w:pPr>
      <w:r>
        <w:rPr>
          <w:b/>
          <w:noProof/>
        </w:rPr>
        <w:t>I. Задължение на поръчителя</w:t>
      </w:r>
    </w:p>
    <w:p>
      <w:pPr>
        <w:rPr>
          <w:rFonts w:eastAsia="Times New Roman"/>
          <w:noProof/>
          <w:szCs w:val="24"/>
          <w:vertAlign w:val="superscript"/>
        </w:rPr>
      </w:pPr>
      <w:r>
        <w:rPr>
          <w:noProof/>
        </w:rPr>
        <w:t xml:space="preserve">1. Долуподписаният/долуподписаната </w:t>
      </w:r>
      <w:r>
        <w:rPr>
          <w:rStyle w:val="FootnoteReference"/>
          <w:noProof/>
        </w:rPr>
        <w:footnoteReference w:customMarkFollows="1" w:id="12"/>
        <w:t>1</w:t>
      </w:r>
      <w:r>
        <w:rPr>
          <w:noProof/>
        </w:rPr>
        <w:t xml:space="preserve"> </w:t>
      </w:r>
      <w:r>
        <w:rPr>
          <w:noProof/>
          <w:vertAlign w:val="superscript"/>
        </w:rPr>
        <w:t xml:space="preserve"> </w:t>
      </w:r>
    </w:p>
    <w:p>
      <w:pPr>
        <w:rPr>
          <w:rFonts w:eastAsia="Times New Roman"/>
          <w:noProof/>
          <w:szCs w:val="24"/>
        </w:rPr>
      </w:pPr>
      <w:r>
        <w:rPr>
          <w:noProof/>
        </w:rPr>
        <w:t>…………………………………………………………………………………………………..</w:t>
      </w:r>
    </w:p>
    <w:p>
      <w:pPr>
        <w:rPr>
          <w:rFonts w:eastAsia="Times New Roman"/>
          <w:noProof/>
          <w:szCs w:val="24"/>
        </w:rPr>
      </w:pPr>
      <w:r>
        <w:rPr>
          <w:noProof/>
        </w:rPr>
        <w:t>…………………………………………………………………………………………………..</w:t>
      </w:r>
    </w:p>
    <w:p>
      <w:pPr>
        <w:rPr>
          <w:rFonts w:eastAsia="Times New Roman"/>
          <w:noProof/>
          <w:szCs w:val="24"/>
          <w:vertAlign w:val="superscript"/>
        </w:rPr>
      </w:pPr>
      <w:r>
        <w:rPr>
          <w:noProof/>
        </w:rPr>
        <w:t xml:space="preserve">живущ/живуща в </w:t>
      </w:r>
      <w:r>
        <w:rPr>
          <w:rStyle w:val="FootnoteReference"/>
          <w:noProof/>
        </w:rPr>
        <w:footnoteReference w:customMarkFollows="1" w:id="13"/>
        <w:t>2</w:t>
      </w:r>
    </w:p>
    <w:p>
      <w:pPr>
        <w:rPr>
          <w:rFonts w:eastAsia="Times New Roman"/>
          <w:noProof/>
          <w:szCs w:val="24"/>
        </w:rPr>
      </w:pPr>
      <w:r>
        <w:rPr>
          <w:noProof/>
        </w:rPr>
        <w:t>…………………………………………………………………………………………………..</w:t>
      </w:r>
    </w:p>
    <w:p>
      <w:pPr>
        <w:rPr>
          <w:rFonts w:eastAsia="Times New Roman"/>
          <w:noProof/>
          <w:szCs w:val="24"/>
        </w:rPr>
      </w:pPr>
      <w:r>
        <w:rPr>
          <w:noProof/>
        </w:rPr>
        <w:t>…………………………………………………………………………………………………..</w:t>
      </w:r>
    </w:p>
    <w:p>
      <w:pPr>
        <w:rPr>
          <w:rFonts w:eastAsia="Times New Roman"/>
          <w:noProof/>
          <w:szCs w:val="24"/>
        </w:rPr>
      </w:pPr>
      <w:r>
        <w:rPr>
          <w:noProof/>
        </w:rPr>
        <w:t>с настоящото поема солидарно задължение пред митническото учреждение по обезпечението</w:t>
      </w:r>
    </w:p>
    <w:p>
      <w:pPr>
        <w:rPr>
          <w:rFonts w:eastAsia="Times New Roman"/>
          <w:noProof/>
          <w:szCs w:val="24"/>
        </w:rPr>
      </w:pPr>
      <w:r>
        <w:rPr>
          <w:noProof/>
        </w:rPr>
        <w:t>…………………………………………………………………………………………………...</w:t>
      </w:r>
    </w:p>
    <w:p>
      <w:pPr>
        <w:rPr>
          <w:rFonts w:eastAsia="Times New Roman"/>
          <w:noProof/>
          <w:szCs w:val="24"/>
        </w:rPr>
      </w:pPr>
      <w:r>
        <w:rPr>
          <w:noProof/>
        </w:rPr>
        <w:t xml:space="preserve">в полза на Европейския съюз (съставен от Кралство Белгия, Република България, Чешката република, Кралство Дания, Федерална република Германия, Република Естония, Република Гърция, Република Хърватия, Кралство Испания, Френската република, Ирландия, Италианската република, Република Кипър, Република Латвия, Република Литва, Великото херцогство Люксембург, Унгария, Република Малта, Кралство Нидерландия, Република Австрия, Република Полша, Португалската република, Румъния, Република Словения, Словашката република, Република Финландия, Кралство Швеция) и в полза на Република Исландия, бивша югославска република Македония, Кралство Норвегия, Република Сърбия, Конфедерация Швейцария, Република Турция, Обединеното кралство Великобритания и Северна Ирландия, Княжество Андора и Република Сан Марино </w:t>
      </w:r>
      <w:r>
        <w:rPr>
          <w:rStyle w:val="FootnoteReference"/>
          <w:noProof/>
        </w:rPr>
        <w:footnoteReference w:customMarkFollows="1" w:id="14"/>
        <w:t>3</w:t>
      </w:r>
      <w:r>
        <w:rPr>
          <w:noProof/>
        </w:rPr>
        <w:t>, за сумите, които титулярят на режима дължи или ще дължи на горепосочените държави под формата на мита и такси във връзка с вноса или износа на стоките, поставени под режим съюзен транзит или общ транзитен режим, и по отношение на които долуподписаният/долуподписаната е поел(а) задължението да издаде ваучери за еднократно обезпечение до максимален размер от 10 000 EUR на ваучер.</w:t>
      </w:r>
    </w:p>
    <w:p>
      <w:pPr>
        <w:rPr>
          <w:rFonts w:eastAsia="Times New Roman"/>
          <w:noProof/>
          <w:szCs w:val="24"/>
        </w:rPr>
      </w:pPr>
      <w:r>
        <w:rPr>
          <w:noProof/>
        </w:rPr>
        <w:t>2. Долуподписаният/долуподписаната се задължава да изплати при първо писмено искане от страна на компетентните органи на посочените в точка 1 държави поисканите суми, до 10 000 EUR на ваучер за еднократно обезпечение, без да има право на отсрочване на плащането за срок, по-дълъг от 30 дни от датата на искането, освен ако той/тя или друго заинтересовано лице в рамките на този срок докаже пред компетентните органи, че операцията е приключена.</w:t>
      </w:r>
    </w:p>
    <w:p>
      <w:pPr>
        <w:rPr>
          <w:rFonts w:eastAsia="Times New Roman"/>
          <w:noProof/>
          <w:szCs w:val="24"/>
        </w:rPr>
      </w:pPr>
      <w:r>
        <w:rPr>
          <w:noProof/>
        </w:rPr>
        <w:t>При поискване от страна на долуподписания/долуподписаната и при наличие на основателна причина компетентните органи могат да удължат 30-дневния срок от датата на искането за плащане, в който той/тя е задължен(а) да заплати исканите суми. Разходите, възникнали в резултат на отпускането на този допълнителен срок, по-специално лихвите, се изчисляват така, че размерът им да е равен на този, който би бил приложим при сходни обстоятелства на националния паричен или финансов пазар на въпросната държава.</w:t>
      </w:r>
    </w:p>
    <w:p>
      <w:pPr>
        <w:rPr>
          <w:rFonts w:eastAsia="Times New Roman"/>
          <w:noProof/>
          <w:szCs w:val="24"/>
        </w:rPr>
      </w:pPr>
      <w:r>
        <w:rPr>
          <w:noProof/>
        </w:rPr>
        <w:t>3. Това поръчителство поражда действие от датата на одобрението му от митническото учреждение по обезпечението. Долуподписаният/долуподписаната остава отговорен/отговорна за изплащане на всякакви задължения, възникнали при операцията по съюзен или общ транзит, покрита от това поръчителство и започнала преди датата, от която евентуална отмяна или евентуално прекратяване на поръчителството са породили действие, дори ако искането за плащане е направено след тази дата.</w:t>
      </w:r>
    </w:p>
    <w:p>
      <w:pPr>
        <w:rPr>
          <w:rFonts w:eastAsia="Times New Roman"/>
          <w:noProof/>
          <w:szCs w:val="24"/>
        </w:rPr>
      </w:pPr>
      <w:r>
        <w:rPr>
          <w:noProof/>
        </w:rPr>
        <w:t xml:space="preserve">4. За целите на това поръчителство долуподписаният/долуподписаната посочва свой адрес за кореспонденция </w:t>
      </w:r>
      <w:r>
        <w:rPr>
          <w:rStyle w:val="FootnoteReference"/>
          <w:noProof/>
        </w:rPr>
        <w:footnoteReference w:customMarkFollows="1" w:id="15"/>
        <w:t>4</w:t>
      </w:r>
      <w:r>
        <w:rPr>
          <w:noProof/>
        </w:rPr>
        <w:t xml:space="preserve"> във всяка една от изброените в точка 1 други държави, във: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28"/>
        <w:gridCol w:w="7184"/>
      </w:tblGrid>
      <w:tr>
        <w:tc>
          <w:tcPr>
            <w:tcW w:w="2028" w:type="dxa"/>
          </w:tcPr>
          <w:p>
            <w:pPr>
              <w:spacing w:after="0"/>
              <w:rPr>
                <w:rFonts w:eastAsia="Times New Roman"/>
                <w:noProof/>
                <w:szCs w:val="24"/>
              </w:rPr>
            </w:pPr>
            <w:r>
              <w:rPr>
                <w:noProof/>
              </w:rPr>
              <w:t>Държава</w:t>
            </w:r>
          </w:p>
        </w:tc>
        <w:tc>
          <w:tcPr>
            <w:tcW w:w="7184" w:type="dxa"/>
          </w:tcPr>
          <w:p>
            <w:pPr>
              <w:spacing w:after="0"/>
              <w:rPr>
                <w:rFonts w:eastAsia="Times New Roman"/>
                <w:noProof/>
                <w:szCs w:val="24"/>
              </w:rPr>
            </w:pPr>
            <w:r>
              <w:rPr>
                <w:noProof/>
              </w:rPr>
              <w:t>Фамилно и собствено име или фирма, пълен адрес</w:t>
            </w:r>
          </w:p>
        </w:tc>
      </w:tr>
      <w:tr>
        <w:tc>
          <w:tcPr>
            <w:tcW w:w="2028" w:type="dxa"/>
          </w:tcPr>
          <w:p>
            <w:pPr>
              <w:spacing w:after="0"/>
              <w:rPr>
                <w:rFonts w:eastAsia="Times New Roman"/>
                <w:noProof/>
                <w:szCs w:val="24"/>
              </w:rPr>
            </w:pPr>
          </w:p>
        </w:tc>
        <w:tc>
          <w:tcPr>
            <w:tcW w:w="7184" w:type="dxa"/>
          </w:tcPr>
          <w:p>
            <w:pPr>
              <w:spacing w:after="0"/>
              <w:rPr>
                <w:rFonts w:eastAsia="Times New Roman"/>
                <w:noProof/>
                <w:szCs w:val="24"/>
              </w:rPr>
            </w:pPr>
          </w:p>
        </w:tc>
      </w:tr>
      <w:tr>
        <w:tc>
          <w:tcPr>
            <w:tcW w:w="2028" w:type="dxa"/>
          </w:tcPr>
          <w:p>
            <w:pPr>
              <w:spacing w:after="0"/>
              <w:rPr>
                <w:rFonts w:eastAsia="Times New Roman"/>
                <w:noProof/>
                <w:szCs w:val="24"/>
              </w:rPr>
            </w:pPr>
          </w:p>
        </w:tc>
        <w:tc>
          <w:tcPr>
            <w:tcW w:w="7184" w:type="dxa"/>
          </w:tcPr>
          <w:p>
            <w:pPr>
              <w:spacing w:after="0"/>
              <w:rPr>
                <w:rFonts w:eastAsia="Times New Roman"/>
                <w:noProof/>
                <w:szCs w:val="24"/>
              </w:rPr>
            </w:pPr>
          </w:p>
        </w:tc>
      </w:tr>
      <w:tr>
        <w:tc>
          <w:tcPr>
            <w:tcW w:w="2028" w:type="dxa"/>
          </w:tcPr>
          <w:p>
            <w:pPr>
              <w:spacing w:after="0"/>
              <w:rPr>
                <w:rFonts w:eastAsia="Times New Roman"/>
                <w:noProof/>
                <w:szCs w:val="24"/>
              </w:rPr>
            </w:pPr>
          </w:p>
        </w:tc>
        <w:tc>
          <w:tcPr>
            <w:tcW w:w="7184" w:type="dxa"/>
          </w:tcPr>
          <w:p>
            <w:pPr>
              <w:spacing w:after="0"/>
              <w:rPr>
                <w:rFonts w:eastAsia="Times New Roman"/>
                <w:noProof/>
                <w:szCs w:val="24"/>
              </w:rPr>
            </w:pPr>
          </w:p>
        </w:tc>
      </w:tr>
      <w:tr>
        <w:tc>
          <w:tcPr>
            <w:tcW w:w="2028" w:type="dxa"/>
          </w:tcPr>
          <w:p>
            <w:pPr>
              <w:spacing w:after="0"/>
              <w:rPr>
                <w:rFonts w:eastAsia="Times New Roman"/>
                <w:noProof/>
                <w:szCs w:val="24"/>
              </w:rPr>
            </w:pPr>
          </w:p>
        </w:tc>
        <w:tc>
          <w:tcPr>
            <w:tcW w:w="7184" w:type="dxa"/>
          </w:tcPr>
          <w:p>
            <w:pPr>
              <w:spacing w:after="0"/>
              <w:rPr>
                <w:rFonts w:eastAsia="Times New Roman"/>
                <w:noProof/>
                <w:szCs w:val="24"/>
              </w:rPr>
            </w:pPr>
          </w:p>
        </w:tc>
      </w:tr>
      <w:tr>
        <w:tc>
          <w:tcPr>
            <w:tcW w:w="2028" w:type="dxa"/>
          </w:tcPr>
          <w:p>
            <w:pPr>
              <w:spacing w:after="0"/>
              <w:rPr>
                <w:rFonts w:eastAsia="Times New Roman"/>
                <w:noProof/>
                <w:szCs w:val="24"/>
              </w:rPr>
            </w:pPr>
          </w:p>
        </w:tc>
        <w:tc>
          <w:tcPr>
            <w:tcW w:w="7184" w:type="dxa"/>
          </w:tcPr>
          <w:p>
            <w:pPr>
              <w:spacing w:after="0"/>
              <w:rPr>
                <w:rFonts w:eastAsia="Times New Roman"/>
                <w:noProof/>
                <w:szCs w:val="24"/>
              </w:rPr>
            </w:pPr>
          </w:p>
        </w:tc>
      </w:tr>
      <w:tr>
        <w:tc>
          <w:tcPr>
            <w:tcW w:w="2028" w:type="dxa"/>
          </w:tcPr>
          <w:p>
            <w:pPr>
              <w:spacing w:after="0"/>
              <w:rPr>
                <w:rFonts w:eastAsia="Times New Roman"/>
                <w:noProof/>
                <w:szCs w:val="24"/>
              </w:rPr>
            </w:pPr>
          </w:p>
        </w:tc>
        <w:tc>
          <w:tcPr>
            <w:tcW w:w="7184" w:type="dxa"/>
          </w:tcPr>
          <w:p>
            <w:pPr>
              <w:spacing w:after="0"/>
              <w:rPr>
                <w:rFonts w:eastAsia="Times New Roman"/>
                <w:noProof/>
                <w:szCs w:val="24"/>
              </w:rPr>
            </w:pPr>
          </w:p>
        </w:tc>
      </w:tr>
      <w:tr>
        <w:tc>
          <w:tcPr>
            <w:tcW w:w="2028" w:type="dxa"/>
          </w:tcPr>
          <w:p>
            <w:pPr>
              <w:spacing w:after="0"/>
              <w:rPr>
                <w:rFonts w:eastAsia="Times New Roman"/>
                <w:noProof/>
                <w:szCs w:val="24"/>
              </w:rPr>
            </w:pPr>
          </w:p>
        </w:tc>
        <w:tc>
          <w:tcPr>
            <w:tcW w:w="7184" w:type="dxa"/>
          </w:tcPr>
          <w:p>
            <w:pPr>
              <w:spacing w:after="0"/>
              <w:rPr>
                <w:rFonts w:eastAsia="Times New Roman"/>
                <w:noProof/>
                <w:szCs w:val="24"/>
              </w:rPr>
            </w:pPr>
          </w:p>
        </w:tc>
      </w:tr>
    </w:tbl>
    <w:p>
      <w:pPr>
        <w:rPr>
          <w:rFonts w:eastAsia="Times New Roman"/>
          <w:noProof/>
          <w:szCs w:val="24"/>
        </w:rPr>
      </w:pPr>
      <w:r>
        <w:rPr>
          <w:noProof/>
        </w:rPr>
        <w:t>Долуподписаният/долуподписаната потвърждава, че цялата кореспонденция, всички съобщения и всички документи по формалности или процедури, свързани с това поръчителство, изпратени до или извършени в писмена форма по отношение на който и да е от адресите за кореспонденция, се приемат като надлежно връчени му/ѝ.</w:t>
      </w:r>
    </w:p>
    <w:p>
      <w:pPr>
        <w:rPr>
          <w:rFonts w:eastAsia="Times New Roman"/>
          <w:noProof/>
          <w:szCs w:val="24"/>
        </w:rPr>
      </w:pPr>
      <w:r>
        <w:rPr>
          <w:noProof/>
        </w:rPr>
        <w:t>Долуподписаният/долуподписаната признава компетентността на съдилищата в районите, в които се намират неговите/нейните адреси за кореспонденция.</w:t>
      </w:r>
    </w:p>
    <w:p>
      <w:pPr>
        <w:rPr>
          <w:rFonts w:eastAsia="Times New Roman"/>
          <w:noProof/>
          <w:szCs w:val="24"/>
        </w:rPr>
      </w:pPr>
      <w:r>
        <w:rPr>
          <w:noProof/>
        </w:rPr>
        <w:t>Долуподписаният/долуподписаната се задължава да не променя адресите за кореспонденция или ако се налага да промени един или повече от тези адреси, да информира предварително за това митническото учреждение по обезпечението.</w:t>
      </w:r>
    </w:p>
    <w:p>
      <w:pPr>
        <w:rPr>
          <w:rFonts w:eastAsia="Times New Roman"/>
          <w:noProof/>
          <w:szCs w:val="24"/>
        </w:rPr>
      </w:pPr>
    </w:p>
    <w:p>
      <w:pPr>
        <w:rPr>
          <w:rFonts w:eastAsia="Times New Roman"/>
          <w:noProof/>
          <w:szCs w:val="24"/>
          <w:lang w:val="ru-RU"/>
        </w:rPr>
      </w:pPr>
      <w:r>
        <w:rPr>
          <w:noProof/>
        </w:rPr>
        <w:t>Съставено в ……………………………………………………………………………………. ………………………………………………………………………………………………</w:t>
      </w:r>
    </w:p>
    <w:p>
      <w:pPr>
        <w:rPr>
          <w:rFonts w:eastAsia="Times New Roman"/>
          <w:noProof/>
          <w:szCs w:val="24"/>
        </w:rPr>
      </w:pPr>
    </w:p>
    <w:p>
      <w:pPr>
        <w:rPr>
          <w:rFonts w:eastAsia="Times New Roman"/>
          <w:noProof/>
          <w:szCs w:val="24"/>
        </w:rPr>
      </w:pPr>
      <w:r>
        <w:rPr>
          <w:noProof/>
        </w:rPr>
        <w:t>на ……………………………………………………………………………………………….</w:t>
      </w:r>
    </w:p>
    <w:p>
      <w:pPr>
        <w:rPr>
          <w:rFonts w:eastAsia="Times New Roman"/>
          <w:noProof/>
          <w:szCs w:val="24"/>
        </w:rPr>
      </w:pPr>
      <w:r>
        <w:rPr>
          <w:noProof/>
        </w:rPr>
        <w:t>………………………………………………………………………………………………….</w:t>
      </w:r>
    </w:p>
    <w:p>
      <w:pPr>
        <w:rPr>
          <w:rFonts w:eastAsia="Times New Roman"/>
          <w:noProof/>
          <w:szCs w:val="24"/>
        </w:rPr>
      </w:pPr>
      <w:r>
        <w:rPr>
          <w:noProof/>
        </w:rPr>
        <w:tab/>
      </w:r>
      <w:r>
        <w:rPr>
          <w:noProof/>
        </w:rPr>
        <w:tab/>
      </w:r>
      <w:r>
        <w:rPr>
          <w:noProof/>
        </w:rPr>
        <w:tab/>
      </w:r>
      <w:r>
        <w:rPr>
          <w:noProof/>
        </w:rPr>
        <w:tab/>
      </w:r>
      <w:r>
        <w:rPr>
          <w:noProof/>
        </w:rPr>
        <w:tab/>
      </w:r>
      <w:r>
        <w:rPr>
          <w:noProof/>
        </w:rPr>
        <w:tab/>
        <w:t xml:space="preserve">(Подпис) </w:t>
      </w:r>
      <w:r>
        <w:rPr>
          <w:rStyle w:val="FootnoteReference"/>
          <w:noProof/>
        </w:rPr>
        <w:footnoteReference w:customMarkFollows="1" w:id="16"/>
        <w:t>5</w:t>
      </w:r>
    </w:p>
    <w:p>
      <w:pPr>
        <w:rPr>
          <w:rFonts w:eastAsia="Times New Roman"/>
          <w:noProof/>
          <w:szCs w:val="24"/>
        </w:rPr>
      </w:pPr>
    </w:p>
    <w:p>
      <w:pPr>
        <w:rPr>
          <w:rFonts w:eastAsia="Times New Roman"/>
          <w:b/>
          <w:noProof/>
          <w:szCs w:val="24"/>
        </w:rPr>
      </w:pPr>
      <w:r>
        <w:rPr>
          <w:b/>
          <w:noProof/>
        </w:rPr>
        <w:t>II. Одобрение от страна на митническото учреждение по обезпечението</w:t>
      </w:r>
    </w:p>
    <w:p>
      <w:pPr>
        <w:rPr>
          <w:rFonts w:eastAsia="Times New Roman"/>
          <w:noProof/>
          <w:szCs w:val="24"/>
        </w:rPr>
      </w:pPr>
      <w:r>
        <w:rPr>
          <w:noProof/>
        </w:rPr>
        <w:t>Митническо учреждение по обезпечението</w:t>
      </w:r>
    </w:p>
    <w:p>
      <w:pPr>
        <w:rPr>
          <w:rFonts w:eastAsia="Times New Roman"/>
          <w:noProof/>
          <w:szCs w:val="24"/>
        </w:rPr>
      </w:pPr>
      <w:r>
        <w:rPr>
          <w:noProof/>
        </w:rPr>
        <w:t>…………………………………………………………………………………………………</w:t>
      </w:r>
    </w:p>
    <w:p>
      <w:pPr>
        <w:rPr>
          <w:rFonts w:eastAsia="Times New Roman"/>
          <w:noProof/>
          <w:szCs w:val="24"/>
        </w:rPr>
      </w:pPr>
      <w:r>
        <w:rPr>
          <w:noProof/>
        </w:rPr>
        <w:t>………………………………………………………………………………………………….</w:t>
      </w:r>
    </w:p>
    <w:p>
      <w:pPr>
        <w:rPr>
          <w:rFonts w:eastAsia="Times New Roman"/>
          <w:noProof/>
          <w:szCs w:val="24"/>
        </w:rPr>
      </w:pPr>
      <w:r>
        <w:rPr>
          <w:noProof/>
        </w:rPr>
        <w:t>Задължението на поръчителя е прието на ………………………………………………… ........................................................................................................................</w:t>
      </w:r>
    </w:p>
    <w:p>
      <w:pPr>
        <w:rPr>
          <w:rFonts w:eastAsia="Times New Roman"/>
          <w:noProof/>
          <w:szCs w:val="24"/>
        </w:rPr>
      </w:pPr>
      <w:r>
        <w:rPr>
          <w:noProof/>
        </w:rPr>
        <w:t>…………………………………………………………………………………………………..</w:t>
      </w:r>
      <w:r>
        <w:rPr>
          <w:noProof/>
        </w:rPr>
        <w:tab/>
      </w:r>
      <w:r>
        <w:rPr>
          <w:noProof/>
        </w:rPr>
        <w:tab/>
      </w:r>
      <w:r>
        <w:rPr>
          <w:noProof/>
        </w:rPr>
        <w:tab/>
      </w:r>
      <w:r>
        <w:rPr>
          <w:noProof/>
        </w:rPr>
        <w:tab/>
      </w:r>
      <w:r>
        <w:rPr>
          <w:noProof/>
        </w:rPr>
        <w:tab/>
      </w:r>
      <w:r>
        <w:rPr>
          <w:noProof/>
        </w:rPr>
        <w:tab/>
      </w:r>
    </w:p>
    <w:p>
      <w:pPr>
        <w:pBdr>
          <w:bottom w:val="single" w:sz="12" w:space="1" w:color="auto"/>
        </w:pBdr>
        <w:jc w:val="center"/>
        <w:rPr>
          <w:rFonts w:eastAsia="Times New Roman"/>
          <w:noProof/>
          <w:szCs w:val="24"/>
        </w:rPr>
      </w:pPr>
      <w:r>
        <w:rPr>
          <w:noProof/>
        </w:rPr>
        <w:t>(Печат и подпис)</w:t>
      </w:r>
    </w:p>
    <w:p>
      <w:pPr>
        <w:rPr>
          <w:noProof/>
        </w:rPr>
        <w:sectPr>
          <w:endnotePr>
            <w:numFmt w:val="decimal"/>
          </w:endnotePr>
          <w:pgSz w:w="11907" w:h="16839"/>
          <w:pgMar w:top="1134" w:right="1417" w:bottom="1134" w:left="1417" w:header="709" w:footer="709" w:gutter="0"/>
          <w:cols w:space="720"/>
          <w:docGrid w:linePitch="360"/>
        </w:sectPr>
      </w:pPr>
    </w:p>
    <w:p>
      <w:pPr>
        <w:spacing w:line="360" w:lineRule="auto"/>
        <w:jc w:val="left"/>
        <w:rPr>
          <w:rFonts w:eastAsia="Times New Roman"/>
          <w:bCs/>
          <w:noProof/>
          <w:szCs w:val="24"/>
        </w:rPr>
      </w:pPr>
      <w:r>
        <w:rPr>
          <w:noProof/>
        </w:rPr>
        <w:t>3) Приложение В4 се заменя със следното:</w:t>
      </w:r>
    </w:p>
    <w:p>
      <w:pPr>
        <w:spacing w:line="360" w:lineRule="auto"/>
        <w:jc w:val="center"/>
        <w:rPr>
          <w:rFonts w:eastAsia="Times New Roman"/>
          <w:bCs/>
          <w:i/>
          <w:noProof/>
          <w:szCs w:val="24"/>
        </w:rPr>
      </w:pPr>
      <w:r>
        <w:rPr>
          <w:i/>
          <w:noProof/>
        </w:rPr>
        <w:t>„ПРИЛОЖЕНИЕ В4</w:t>
      </w:r>
    </w:p>
    <w:p>
      <w:pPr>
        <w:spacing w:line="360" w:lineRule="auto"/>
        <w:jc w:val="center"/>
        <w:rPr>
          <w:rFonts w:eastAsia="Times New Roman"/>
          <w:b/>
          <w:bCs/>
          <w:noProof/>
          <w:szCs w:val="24"/>
        </w:rPr>
      </w:pPr>
      <w:r>
        <w:rPr>
          <w:b/>
          <w:noProof/>
        </w:rPr>
        <w:t>ПОРЪЧИТЕЛСТВО — ОБЩО ОБЕЗПЕЧЕНИЕ</w:t>
      </w:r>
    </w:p>
    <w:p>
      <w:pPr>
        <w:spacing w:line="360" w:lineRule="auto"/>
        <w:ind w:left="850" w:hanging="850"/>
        <w:jc w:val="left"/>
        <w:rPr>
          <w:rFonts w:eastAsia="Times New Roman"/>
          <w:b/>
          <w:noProof/>
          <w:szCs w:val="24"/>
        </w:rPr>
      </w:pPr>
      <w:r>
        <w:rPr>
          <w:b/>
          <w:noProof/>
        </w:rPr>
        <w:t>I.</w:t>
      </w:r>
      <w:r>
        <w:rPr>
          <w:noProof/>
        </w:rPr>
        <w:tab/>
      </w:r>
      <w:r>
        <w:rPr>
          <w:b/>
          <w:noProof/>
        </w:rPr>
        <w:t>Задължение на поръчителя</w:t>
      </w:r>
    </w:p>
    <w:p>
      <w:pPr>
        <w:ind w:left="850" w:hanging="850"/>
        <w:jc w:val="left"/>
        <w:rPr>
          <w:rFonts w:eastAsia="Times New Roman"/>
          <w:noProof/>
          <w:szCs w:val="24"/>
        </w:rPr>
      </w:pPr>
      <w:r>
        <w:rPr>
          <w:noProof/>
        </w:rPr>
        <w:t>1.</w:t>
      </w:r>
      <w:r>
        <w:rPr>
          <w:noProof/>
        </w:rPr>
        <w:tab/>
        <w:t xml:space="preserve">Долуподписаният/долуподписаната </w:t>
      </w:r>
      <w:r>
        <w:rPr>
          <w:rStyle w:val="FootnoteReference"/>
          <w:noProof/>
        </w:rPr>
        <w:footnoteReference w:customMarkFollows="1" w:id="17"/>
        <w:t>1</w:t>
      </w:r>
    </w:p>
    <w:p>
      <w:pPr>
        <w:ind w:left="850" w:hanging="130"/>
        <w:jc w:val="left"/>
        <w:rPr>
          <w:rFonts w:eastAsia="Times New Roman"/>
          <w:noProof/>
          <w:szCs w:val="24"/>
        </w:rPr>
      </w:pPr>
      <w:r>
        <w:rPr>
          <w:noProof/>
        </w:rPr>
        <w:t>…………………………………………………………………………………………...</w:t>
      </w:r>
    </w:p>
    <w:p>
      <w:pPr>
        <w:ind w:left="850" w:hanging="130"/>
        <w:jc w:val="left"/>
        <w:rPr>
          <w:rFonts w:eastAsia="Times New Roman"/>
          <w:noProof/>
          <w:szCs w:val="24"/>
        </w:rPr>
      </w:pPr>
      <w:r>
        <w:rPr>
          <w:noProof/>
        </w:rPr>
        <w:t>…………………………………………………………………………………………...</w:t>
      </w:r>
    </w:p>
    <w:p>
      <w:pPr>
        <w:ind w:left="850" w:hanging="130"/>
        <w:jc w:val="left"/>
        <w:rPr>
          <w:rFonts w:eastAsia="Times New Roman"/>
          <w:noProof/>
          <w:szCs w:val="24"/>
        </w:rPr>
      </w:pPr>
      <w:r>
        <w:rPr>
          <w:noProof/>
        </w:rPr>
        <w:t xml:space="preserve">живущ/живуща в </w:t>
      </w:r>
      <w:r>
        <w:rPr>
          <w:rStyle w:val="FootnoteReference"/>
          <w:noProof/>
        </w:rPr>
        <w:footnoteReference w:customMarkFollows="1" w:id="18"/>
        <w:t>2</w:t>
      </w:r>
      <w:r>
        <w:rPr>
          <w:noProof/>
        </w:rPr>
        <w:t xml:space="preserve"> </w:t>
      </w:r>
    </w:p>
    <w:p>
      <w:pPr>
        <w:ind w:left="850" w:hanging="130"/>
        <w:jc w:val="left"/>
        <w:rPr>
          <w:rFonts w:eastAsia="Times New Roman"/>
          <w:noProof/>
          <w:szCs w:val="24"/>
        </w:rPr>
      </w:pPr>
      <w:r>
        <w:rPr>
          <w:noProof/>
        </w:rPr>
        <w:t>…………………………………………………………………………………………...</w:t>
      </w:r>
    </w:p>
    <w:p>
      <w:pPr>
        <w:ind w:left="850" w:hanging="130"/>
        <w:jc w:val="left"/>
        <w:rPr>
          <w:rFonts w:eastAsia="Times New Roman"/>
          <w:noProof/>
          <w:szCs w:val="24"/>
        </w:rPr>
      </w:pPr>
      <w:r>
        <w:rPr>
          <w:noProof/>
        </w:rPr>
        <w:t>…………………………………………………………………………………………...</w:t>
      </w:r>
    </w:p>
    <w:p>
      <w:pPr>
        <w:ind w:left="720"/>
        <w:jc w:val="left"/>
        <w:rPr>
          <w:rFonts w:eastAsia="Times New Roman"/>
          <w:noProof/>
          <w:szCs w:val="24"/>
        </w:rPr>
      </w:pPr>
      <w:r>
        <w:rPr>
          <w:noProof/>
        </w:rPr>
        <w:t>с настоящото поема солидарно задължение пред митническото учреждение по обезпечението</w:t>
      </w:r>
    </w:p>
    <w:p>
      <w:pPr>
        <w:ind w:left="720"/>
        <w:jc w:val="left"/>
        <w:rPr>
          <w:rFonts w:eastAsia="Times New Roman"/>
          <w:noProof/>
          <w:szCs w:val="24"/>
        </w:rPr>
      </w:pPr>
      <w:r>
        <w:rPr>
          <w:noProof/>
        </w:rPr>
        <w:t>…………………………………………………………………………………………...</w:t>
      </w:r>
    </w:p>
    <w:p>
      <w:pPr>
        <w:ind w:left="720"/>
        <w:jc w:val="left"/>
        <w:rPr>
          <w:rFonts w:eastAsia="Times New Roman"/>
          <w:noProof/>
          <w:szCs w:val="24"/>
        </w:rPr>
      </w:pPr>
      <w:r>
        <w:rPr>
          <w:noProof/>
        </w:rPr>
        <w:t>за максимална сума от …………………………………………………………….</w:t>
      </w:r>
    </w:p>
    <w:p>
      <w:pPr>
        <w:ind w:left="720"/>
        <w:rPr>
          <w:rFonts w:eastAsia="Times New Roman"/>
          <w:noProof/>
          <w:szCs w:val="24"/>
        </w:rPr>
      </w:pPr>
      <w:r>
        <w:rPr>
          <w:noProof/>
        </w:rPr>
        <w:t xml:space="preserve">в полза на Европейския съюз (съставен от Кралство Белгия, Република България, Чешката република, Кралство Дания, Федерална република Германия, Република Естония, Ирландия, Република Гърция, Кралство Испания, Френската република, Република Хърватия, Италианската република, Република Кипър, Република Латвия, Република Литва, Великото херцогство Люксембург, Унгария, Република Малта, Кралство Нидерландия, Република Австрия, Република Полша, Португалската република, Румъния, Република Словения, Словашката република, Република Финландия, Кралство Швеция) и в полза на Република Исландия, бивша югославска република Македония, Кралство Норвегия, Република Сърбия, Конфедерация Швейцария, Република Турция, Обединеното кралство Великобритания и Северна Ирландия </w:t>
      </w:r>
      <w:r>
        <w:rPr>
          <w:rStyle w:val="FootnoteReference"/>
          <w:noProof/>
        </w:rPr>
        <w:footnoteReference w:customMarkFollows="1" w:id="19"/>
        <w:t>3</w:t>
      </w:r>
      <w:r>
        <w:rPr>
          <w:noProof/>
        </w:rPr>
        <w:t xml:space="preserve">, Княжество Андора и Република Сан Марино </w:t>
      </w:r>
      <w:r>
        <w:rPr>
          <w:rStyle w:val="FootnoteReference"/>
          <w:noProof/>
        </w:rPr>
        <w:footnoteReference w:customMarkFollows="1" w:id="20"/>
        <w:t>4</w:t>
      </w:r>
      <w:r>
        <w:rPr>
          <w:noProof/>
        </w:rPr>
        <w:t>,</w:t>
      </w:r>
    </w:p>
    <w:p>
      <w:pPr>
        <w:ind w:left="720"/>
        <w:rPr>
          <w:rFonts w:eastAsia="Times New Roman"/>
          <w:noProof/>
          <w:szCs w:val="24"/>
        </w:rPr>
      </w:pPr>
      <w:r>
        <w:rPr>
          <w:noProof/>
        </w:rPr>
        <w:br/>
        <w:t xml:space="preserve">за сумите, които предоставящото настоящото обезпечение лице </w:t>
      </w:r>
      <w:r>
        <w:rPr>
          <w:rStyle w:val="FootnoteReference"/>
          <w:noProof/>
        </w:rPr>
        <w:footnoteReference w:customMarkFollows="1" w:id="21"/>
        <w:t>5</w:t>
      </w:r>
      <w:r>
        <w:rPr>
          <w:noProof/>
        </w:rPr>
        <w:t xml:space="preserve">: ……………………………….. дължи или ще дължи на посочените по-горе държави под формата на задължение за мита и такси </w:t>
      </w:r>
      <w:r>
        <w:rPr>
          <w:rStyle w:val="FootnoteReference"/>
          <w:noProof/>
        </w:rPr>
        <w:footnoteReference w:customMarkFollows="1" w:id="22"/>
        <w:t>6</w:t>
      </w:r>
      <w:r>
        <w:rPr>
          <w:noProof/>
        </w:rPr>
        <w:t>, което може да възникне или е възникнало по отношение на стоките, обхванати от митническите операции по точка 1а и/или точка 1б.</w:t>
      </w:r>
    </w:p>
    <w:p>
      <w:pPr>
        <w:ind w:firstLine="720"/>
        <w:outlineLvl w:val="0"/>
        <w:rPr>
          <w:rFonts w:eastAsia="Times New Roman"/>
          <w:noProof/>
          <w:szCs w:val="24"/>
        </w:rPr>
      </w:pPr>
      <w:r>
        <w:rPr>
          <w:noProof/>
        </w:rPr>
        <w:t>Максималната сума, за която се отнася поръчителството, се състои от следните елементи:</w:t>
      </w:r>
    </w:p>
    <w:p>
      <w:pPr>
        <w:ind w:left="850"/>
        <w:outlineLvl w:val="0"/>
        <w:rPr>
          <w:rFonts w:eastAsia="Times New Roman"/>
          <w:noProof/>
          <w:szCs w:val="24"/>
        </w:rPr>
      </w:pPr>
      <w:r>
        <w:rPr>
          <w:noProof/>
        </w:rPr>
        <w:t>……………………………………………………………………………………….</w:t>
      </w:r>
    </w:p>
    <w:p>
      <w:pPr>
        <w:ind w:left="1417" w:hanging="567"/>
        <w:outlineLvl w:val="0"/>
        <w:rPr>
          <w:rFonts w:eastAsia="Times New Roman"/>
          <w:noProof/>
          <w:szCs w:val="24"/>
        </w:rPr>
      </w:pPr>
      <w:r>
        <w:rPr>
          <w:noProof/>
        </w:rPr>
        <w:t>а)</w:t>
      </w:r>
      <w:r>
        <w:rPr>
          <w:noProof/>
        </w:rPr>
        <w:tab/>
        <w:t xml:space="preserve">100/50/30 % </w:t>
      </w:r>
      <w:r>
        <w:rPr>
          <w:rStyle w:val="FootnoteReference"/>
          <w:noProof/>
        </w:rPr>
        <w:footnoteReference w:customMarkFollows="1" w:id="23"/>
        <w:t>7</w:t>
      </w:r>
      <w:r>
        <w:rPr>
          <w:noProof/>
        </w:rPr>
        <w:t xml:space="preserve"> от дела от референтния размер, съответстващ на размера на митническото задължение и таксите, които може да възникнат, равен на сбора на сумите по точка 1а;</w:t>
      </w:r>
    </w:p>
    <w:p>
      <w:pPr>
        <w:ind w:left="850"/>
        <w:outlineLvl w:val="0"/>
        <w:rPr>
          <w:rFonts w:eastAsia="Times New Roman"/>
          <w:noProof/>
          <w:szCs w:val="24"/>
        </w:rPr>
      </w:pPr>
      <w:r>
        <w:rPr>
          <w:noProof/>
        </w:rPr>
        <w:t>и</w:t>
      </w:r>
    </w:p>
    <w:p>
      <w:pPr>
        <w:ind w:left="850"/>
        <w:outlineLvl w:val="0"/>
        <w:rPr>
          <w:rFonts w:eastAsia="Times New Roman"/>
          <w:noProof/>
          <w:szCs w:val="24"/>
        </w:rPr>
      </w:pPr>
      <w:r>
        <w:rPr>
          <w:noProof/>
        </w:rPr>
        <w:t>……………………………………………………………………………………….</w:t>
      </w:r>
    </w:p>
    <w:p>
      <w:pPr>
        <w:ind w:left="1417" w:hanging="567"/>
        <w:outlineLvl w:val="0"/>
        <w:rPr>
          <w:rFonts w:eastAsia="Times New Roman"/>
          <w:noProof/>
          <w:szCs w:val="24"/>
        </w:rPr>
      </w:pPr>
      <w:r>
        <w:rPr>
          <w:noProof/>
        </w:rPr>
        <w:t>б)</w:t>
      </w:r>
      <w:r>
        <w:rPr>
          <w:noProof/>
        </w:rPr>
        <w:tab/>
        <w:t xml:space="preserve">100/30 % </w:t>
      </w:r>
      <w:r>
        <w:rPr>
          <w:noProof/>
          <w:vertAlign w:val="superscript"/>
        </w:rPr>
        <w:t>7</w:t>
      </w:r>
      <w:r>
        <w:rPr>
          <w:noProof/>
        </w:rPr>
        <w:t xml:space="preserve"> от дела от референтния размер, съответстващ на размера на митническото задължение и таксите, които са възникнали, равен на сбора на сумите по точка 1б;</w:t>
      </w:r>
    </w:p>
    <w:p>
      <w:pPr>
        <w:ind w:left="850"/>
        <w:rPr>
          <w:rFonts w:eastAsia="Times New Roman"/>
          <w:noProof/>
          <w:szCs w:val="24"/>
        </w:rPr>
      </w:pPr>
      <w:r>
        <w:rPr>
          <w:noProof/>
        </w:rPr>
        <w:t>1a.</w:t>
      </w:r>
      <w:r>
        <w:rPr>
          <w:noProof/>
        </w:rPr>
        <w:tab/>
        <w:t xml:space="preserve">Сумите, които съставят дела от референтния размер, съответстващ на размера на митническото задължение и — в съответните случаи — таксите, които може да възникнат, са следните за всяка от долупосочените цели </w:t>
      </w:r>
      <w:r>
        <w:rPr>
          <w:rStyle w:val="FootnoteReference"/>
          <w:noProof/>
        </w:rPr>
        <w:footnoteReference w:customMarkFollows="1" w:id="24"/>
        <w:t>8</w:t>
      </w:r>
      <w:r>
        <w:rPr>
          <w:noProof/>
        </w:rPr>
        <w:t>:</w:t>
      </w:r>
    </w:p>
    <w:p>
      <w:pPr>
        <w:ind w:left="1417" w:hanging="567"/>
        <w:jc w:val="left"/>
        <w:outlineLvl w:val="0"/>
        <w:rPr>
          <w:rFonts w:eastAsia="Times New Roman"/>
          <w:noProof/>
          <w:szCs w:val="24"/>
        </w:rPr>
      </w:pPr>
      <w:r>
        <w:rPr>
          <w:noProof/>
        </w:rPr>
        <w:t>а)</w:t>
      </w:r>
      <w:r>
        <w:rPr>
          <w:noProof/>
        </w:rPr>
        <w:tab/>
        <w:t>временно складиране — …;</w:t>
      </w:r>
    </w:p>
    <w:p>
      <w:pPr>
        <w:ind w:left="1417" w:hanging="567"/>
        <w:jc w:val="left"/>
        <w:outlineLvl w:val="0"/>
        <w:rPr>
          <w:rFonts w:eastAsia="Times New Roman"/>
          <w:noProof/>
          <w:szCs w:val="24"/>
        </w:rPr>
      </w:pPr>
      <w:r>
        <w:rPr>
          <w:noProof/>
        </w:rPr>
        <w:t>б)</w:t>
      </w:r>
      <w:r>
        <w:rPr>
          <w:noProof/>
        </w:rPr>
        <w:tab/>
        <w:t>режим съюзен транзит/общ транзитен режим — ...;</w:t>
      </w:r>
    </w:p>
    <w:p>
      <w:pPr>
        <w:ind w:left="1417" w:hanging="567"/>
        <w:jc w:val="left"/>
        <w:outlineLvl w:val="0"/>
        <w:rPr>
          <w:rFonts w:eastAsia="Times New Roman"/>
          <w:noProof/>
          <w:szCs w:val="24"/>
        </w:rPr>
      </w:pPr>
      <w:r>
        <w:rPr>
          <w:noProof/>
        </w:rPr>
        <w:t>в)</w:t>
      </w:r>
      <w:r>
        <w:rPr>
          <w:noProof/>
        </w:rPr>
        <w:tab/>
        <w:t>режим митническо складиране – ...;</w:t>
      </w:r>
    </w:p>
    <w:p>
      <w:pPr>
        <w:ind w:left="1417" w:hanging="567"/>
        <w:jc w:val="left"/>
        <w:outlineLvl w:val="0"/>
        <w:rPr>
          <w:rFonts w:eastAsia="Times New Roman"/>
          <w:noProof/>
          <w:szCs w:val="24"/>
        </w:rPr>
      </w:pPr>
      <w:r>
        <w:rPr>
          <w:noProof/>
        </w:rPr>
        <w:t>г)</w:t>
      </w:r>
      <w:r>
        <w:rPr>
          <w:noProof/>
        </w:rPr>
        <w:tab/>
        <w:t>режим временен внос с пълно освобождаване от вносни мита – ...;</w:t>
      </w:r>
    </w:p>
    <w:p>
      <w:pPr>
        <w:ind w:left="1417" w:hanging="567"/>
        <w:jc w:val="left"/>
        <w:outlineLvl w:val="0"/>
        <w:rPr>
          <w:rFonts w:eastAsia="Times New Roman"/>
          <w:noProof/>
          <w:szCs w:val="24"/>
        </w:rPr>
      </w:pPr>
      <w:r>
        <w:rPr>
          <w:noProof/>
        </w:rPr>
        <w:t>д)</w:t>
      </w:r>
      <w:r>
        <w:rPr>
          <w:noProof/>
        </w:rPr>
        <w:tab/>
        <w:t>режим активно усъвършенстване — …;</w:t>
      </w:r>
    </w:p>
    <w:p>
      <w:pPr>
        <w:ind w:left="1417" w:hanging="567"/>
        <w:jc w:val="left"/>
        <w:outlineLvl w:val="0"/>
        <w:rPr>
          <w:rFonts w:eastAsia="Times New Roman"/>
          <w:noProof/>
          <w:szCs w:val="24"/>
        </w:rPr>
      </w:pPr>
      <w:r>
        <w:rPr>
          <w:noProof/>
        </w:rPr>
        <w:t>е)</w:t>
      </w:r>
      <w:r>
        <w:rPr>
          <w:noProof/>
        </w:rPr>
        <w:tab/>
        <w:t>режим специфична употреба – ...;</w:t>
      </w:r>
    </w:p>
    <w:p>
      <w:pPr>
        <w:ind w:left="1417" w:hanging="567"/>
        <w:jc w:val="left"/>
        <w:outlineLvl w:val="0"/>
        <w:rPr>
          <w:rFonts w:eastAsia="Times New Roman"/>
          <w:noProof/>
          <w:szCs w:val="24"/>
        </w:rPr>
      </w:pPr>
      <w:r>
        <w:rPr>
          <w:noProof/>
        </w:rPr>
        <w:t>ж)</w:t>
      </w:r>
      <w:r>
        <w:rPr>
          <w:noProof/>
        </w:rPr>
        <w:tab/>
        <w:t>друга — да се посочи видът на операцията — ….</w:t>
      </w:r>
    </w:p>
    <w:p>
      <w:pPr>
        <w:ind w:left="850"/>
        <w:rPr>
          <w:rFonts w:eastAsia="Times New Roman"/>
          <w:noProof/>
          <w:szCs w:val="24"/>
        </w:rPr>
      </w:pPr>
      <w:r>
        <w:rPr>
          <w:noProof/>
        </w:rPr>
        <w:t>1б.</w:t>
      </w:r>
      <w:r>
        <w:rPr>
          <w:noProof/>
        </w:rPr>
        <w:tab/>
        <w:t xml:space="preserve">Сумите, които съставят дела от референтния размер, съответстващ на размера на митническото задължение и — в съответните случаи — таксите, които са възникнали, са следните за всяка от долупосочените цели </w:t>
      </w:r>
      <w:r>
        <w:rPr>
          <w:rStyle w:val="FootnoteReference"/>
          <w:noProof/>
        </w:rPr>
        <w:t>8</w:t>
      </w:r>
      <w:r>
        <w:rPr>
          <w:noProof/>
        </w:rPr>
        <w:t>:</w:t>
      </w:r>
    </w:p>
    <w:p>
      <w:pPr>
        <w:ind w:left="1417" w:hanging="567"/>
        <w:outlineLvl w:val="0"/>
        <w:rPr>
          <w:rFonts w:eastAsia="Times New Roman"/>
          <w:noProof/>
          <w:szCs w:val="24"/>
        </w:rPr>
      </w:pPr>
      <w:r>
        <w:rPr>
          <w:noProof/>
        </w:rPr>
        <w:t>а)</w:t>
      </w:r>
      <w:r>
        <w:rPr>
          <w:noProof/>
        </w:rPr>
        <w:tab/>
        <w:t>допускане за свободно обращение въз основа на стандартна митническа декларация без отсрочено плащане — …;</w:t>
      </w:r>
    </w:p>
    <w:p>
      <w:pPr>
        <w:ind w:left="1417" w:hanging="567"/>
        <w:outlineLvl w:val="0"/>
        <w:rPr>
          <w:rFonts w:eastAsia="Times New Roman"/>
          <w:noProof/>
          <w:szCs w:val="24"/>
        </w:rPr>
      </w:pPr>
      <w:r>
        <w:rPr>
          <w:noProof/>
        </w:rPr>
        <w:t>б)</w:t>
      </w:r>
      <w:r>
        <w:rPr>
          <w:noProof/>
        </w:rPr>
        <w:tab/>
        <w:t>допускане за свободно обращение въз основа на стандартна митническа декларация с отсрочено плащане — …;</w:t>
      </w:r>
    </w:p>
    <w:p>
      <w:pPr>
        <w:ind w:left="1417" w:hanging="567"/>
        <w:outlineLvl w:val="0"/>
        <w:rPr>
          <w:rFonts w:eastAsia="Times New Roman"/>
          <w:noProof/>
          <w:szCs w:val="24"/>
        </w:rPr>
      </w:pPr>
      <w:r>
        <w:rPr>
          <w:noProof/>
        </w:rPr>
        <w:br w:type="page"/>
        <w:t>в)</w:t>
      </w:r>
      <w:r>
        <w:rPr>
          <w:noProof/>
        </w:rPr>
        <w:tab/>
        <w:t>допускане за свободно обращение въз основа на митническа декларация, подадена по силата на член 166 от Регламент (ЕС) № 952/2013 на Европейския парламент и на Съвета от 9 октомври 2013 г. за създаване на Митнически кодекс на Съюза — ...;</w:t>
      </w:r>
    </w:p>
    <w:p>
      <w:pPr>
        <w:ind w:left="1417" w:hanging="567"/>
        <w:outlineLvl w:val="0"/>
        <w:rPr>
          <w:rFonts w:eastAsia="Times New Roman"/>
          <w:noProof/>
          <w:szCs w:val="24"/>
        </w:rPr>
      </w:pPr>
      <w:r>
        <w:rPr>
          <w:noProof/>
        </w:rPr>
        <w:t>г)</w:t>
      </w:r>
      <w:r>
        <w:rPr>
          <w:noProof/>
        </w:rPr>
        <w:tab/>
        <w:t>допускане за свободно обращение въз основа на митническа декларация, подадена по силата на член 182 от Регламент (ЕС) № 952/2013 на Европейския парламент и на Съвета от 9 октомври 2013 г. за създаване на Митнически кодекс на Съюза — ...;</w:t>
      </w:r>
    </w:p>
    <w:p>
      <w:pPr>
        <w:ind w:left="1417" w:hanging="567"/>
        <w:outlineLvl w:val="0"/>
        <w:rPr>
          <w:rFonts w:eastAsia="Times New Roman"/>
          <w:noProof/>
          <w:szCs w:val="24"/>
        </w:rPr>
      </w:pPr>
      <w:r>
        <w:rPr>
          <w:noProof/>
        </w:rPr>
        <w:t>д)</w:t>
      </w:r>
      <w:r>
        <w:rPr>
          <w:noProof/>
        </w:rPr>
        <w:tab/>
        <w:t>режим временен внос с частично освобождаване от вносни мита — …;</w:t>
      </w:r>
    </w:p>
    <w:p>
      <w:pPr>
        <w:ind w:left="1417" w:hanging="567"/>
        <w:outlineLvl w:val="0"/>
        <w:rPr>
          <w:rFonts w:eastAsia="Times New Roman"/>
          <w:noProof/>
          <w:szCs w:val="24"/>
        </w:rPr>
      </w:pPr>
      <w:r>
        <w:rPr>
          <w:noProof/>
        </w:rPr>
        <w:t>е)</w:t>
      </w:r>
      <w:r>
        <w:rPr>
          <w:noProof/>
        </w:rPr>
        <w:tab/>
        <w:t>режим специфична употреба — ...</w:t>
      </w:r>
      <w:r>
        <w:rPr>
          <w:rStyle w:val="FootnoteReference"/>
          <w:noProof/>
        </w:rPr>
        <w:footnoteReference w:customMarkFollows="1" w:id="25"/>
        <w:t>9.</w:t>
      </w:r>
      <w:r>
        <w:rPr>
          <w:noProof/>
        </w:rPr>
        <w:t>;</w:t>
      </w:r>
      <w:r>
        <w:rPr>
          <w:rStyle w:val="FootnoteReference"/>
          <w:noProof/>
        </w:rPr>
        <w:t xml:space="preserve"> </w:t>
      </w:r>
    </w:p>
    <w:p>
      <w:pPr>
        <w:ind w:left="1417" w:hanging="567"/>
        <w:outlineLvl w:val="0"/>
        <w:rPr>
          <w:rFonts w:eastAsia="Times New Roman"/>
          <w:noProof/>
          <w:szCs w:val="24"/>
        </w:rPr>
      </w:pPr>
      <w:r>
        <w:rPr>
          <w:noProof/>
        </w:rPr>
        <w:t>ж)</w:t>
      </w:r>
      <w:r>
        <w:rPr>
          <w:noProof/>
        </w:rPr>
        <w:tab/>
        <w:t>друга — да се посочи видът на операцията — ….</w:t>
      </w:r>
    </w:p>
    <w:p>
      <w:pPr>
        <w:ind w:left="850"/>
        <w:rPr>
          <w:rFonts w:eastAsia="Times New Roman"/>
          <w:noProof/>
          <w:szCs w:val="24"/>
        </w:rPr>
      </w:pPr>
      <w:r>
        <w:rPr>
          <w:noProof/>
        </w:rPr>
        <w:t>2.</w:t>
      </w:r>
      <w:r>
        <w:rPr>
          <w:noProof/>
        </w:rPr>
        <w:tab/>
        <w:t>Долуподписаният/долуподписаната поема задължението да изплати поисканите суми до размера на горепосочената максимална сума при първо искане в писмен вид от страна на компетентните органи на посочените в точка 1 държави и без да има право на отсрочване на плащането за срок, по-дълъг от 30 дни от датата на искането, освен когато той/тя или друго заинтересовано лице в рамките на този срок докаже пред въпросните компетентни органи, че специалният режим, различен от режим специфична употреба, е приключил, че митническият надзор върху стоките под режим специфична употреба или временно складиране е завършил правилно или — при операции, различни от специалните режими — че положението на стоките е било уредено.</w:t>
      </w:r>
    </w:p>
    <w:p>
      <w:pPr>
        <w:ind w:left="850"/>
        <w:outlineLvl w:val="0"/>
        <w:rPr>
          <w:rFonts w:eastAsia="Times New Roman"/>
          <w:noProof/>
          <w:szCs w:val="24"/>
        </w:rPr>
      </w:pPr>
      <w:r>
        <w:rPr>
          <w:noProof/>
        </w:rPr>
        <w:t>При поискване от страна на долуподписания/долуподписаната и при наличие на основателна причина компетентните органи могат да удължат 30-дневния срок от датата на искането за плащане, в който той/тя е задължен(а) да заплати исканите суми. Разходите, възникнали в резултат на отпускането на този допълнителен срок, по-специално лихвите, се изчисляват така, че размерът им да е равен на този, който би бил приложим при сходни обстоятелства на националния паричен или финансов пазар на въпросната държава.</w:t>
      </w:r>
    </w:p>
    <w:p>
      <w:pPr>
        <w:ind w:left="850"/>
        <w:outlineLvl w:val="0"/>
        <w:rPr>
          <w:rFonts w:eastAsia="Times New Roman"/>
          <w:noProof/>
          <w:szCs w:val="24"/>
        </w:rPr>
      </w:pPr>
      <w:r>
        <w:rPr>
          <w:noProof/>
        </w:rPr>
        <w:t>От тази сума не се приспадат никакви вече изплатени съгласно условията на това поръчителство суми, освен ако от долуподписания/долуподписаната бъде поискано да изплати задължение, възникнало при операция, която е започнала преди датата на получаване на предходното искане за плащане или до 30 дни след това.</w:t>
      </w:r>
    </w:p>
    <w:p>
      <w:pPr>
        <w:ind w:left="850"/>
        <w:rPr>
          <w:rFonts w:eastAsia="Times New Roman"/>
          <w:noProof/>
          <w:szCs w:val="24"/>
        </w:rPr>
      </w:pPr>
      <w:r>
        <w:rPr>
          <w:noProof/>
        </w:rPr>
        <w:t>3.</w:t>
      </w:r>
      <w:r>
        <w:rPr>
          <w:noProof/>
        </w:rPr>
        <w:tab/>
        <w:t>Това поръчителство поражда действие от датата на одобрението му от митническото учреждение по обезпечението. Долуподписаният/долуподписаната остава отговорен/отговорна за изплащане на всякакви задължения, възникнали по време на митническа операция, покрита от това поръчителство и започнала преди датата, от която евентуална отмяна или евентуално прекратяване на поръчителството са породили действие, дори ако искането за плащане е направено след тази дата.</w:t>
      </w:r>
    </w:p>
    <w:p>
      <w:pPr>
        <w:ind w:left="850"/>
        <w:rPr>
          <w:rFonts w:eastAsia="Times New Roman"/>
          <w:noProof/>
          <w:szCs w:val="24"/>
        </w:rPr>
      </w:pPr>
      <w:r>
        <w:rPr>
          <w:noProof/>
        </w:rPr>
        <w:t>4.</w:t>
      </w:r>
      <w:r>
        <w:rPr>
          <w:noProof/>
        </w:rPr>
        <w:tab/>
        <w:t xml:space="preserve">За целите на това поръчителство долуподписаният/долуподписаната посочва свой адрес за кореспонденция </w:t>
      </w:r>
      <w:r>
        <w:rPr>
          <w:rStyle w:val="FootnoteReference"/>
          <w:noProof/>
        </w:rPr>
        <w:footnoteReference w:customMarkFollows="1" w:id="26"/>
        <w:t>10</w:t>
      </w:r>
      <w:r>
        <w:rPr>
          <w:noProof/>
        </w:rPr>
        <w:t xml:space="preserve"> във всяка една от изброените в точка 1 други държави, във:</w:t>
      </w:r>
    </w:p>
    <w:tbl>
      <w:tblPr>
        <w:tblW w:w="878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9"/>
        <w:gridCol w:w="6518"/>
      </w:tblGrid>
      <w:tr>
        <w:tc>
          <w:tcPr>
            <w:tcW w:w="2269" w:type="dxa"/>
          </w:tcPr>
          <w:p>
            <w:pPr>
              <w:jc w:val="left"/>
              <w:rPr>
                <w:rFonts w:eastAsia="Times New Roman"/>
                <w:noProof/>
                <w:szCs w:val="24"/>
              </w:rPr>
            </w:pPr>
            <w:r>
              <w:rPr>
                <w:noProof/>
              </w:rPr>
              <w:t>Държава</w:t>
            </w:r>
          </w:p>
        </w:tc>
        <w:tc>
          <w:tcPr>
            <w:tcW w:w="6518" w:type="dxa"/>
          </w:tcPr>
          <w:p>
            <w:pPr>
              <w:jc w:val="left"/>
              <w:rPr>
                <w:rFonts w:eastAsia="Times New Roman"/>
                <w:noProof/>
                <w:szCs w:val="24"/>
              </w:rPr>
            </w:pPr>
            <w:r>
              <w:rPr>
                <w:noProof/>
              </w:rPr>
              <w:t>Фамилно и собствено име или фирма, пълен адрес</w:t>
            </w:r>
          </w:p>
        </w:tc>
      </w:tr>
      <w:tr>
        <w:tc>
          <w:tcPr>
            <w:tcW w:w="2269" w:type="dxa"/>
          </w:tcPr>
          <w:p>
            <w:pPr>
              <w:jc w:val="left"/>
              <w:rPr>
                <w:rFonts w:eastAsia="Times New Roman"/>
                <w:noProof/>
                <w:szCs w:val="24"/>
              </w:rPr>
            </w:pPr>
          </w:p>
        </w:tc>
        <w:tc>
          <w:tcPr>
            <w:tcW w:w="6518" w:type="dxa"/>
          </w:tcPr>
          <w:p>
            <w:pPr>
              <w:jc w:val="left"/>
              <w:rPr>
                <w:rFonts w:eastAsia="Times New Roman"/>
                <w:noProof/>
                <w:szCs w:val="24"/>
              </w:rPr>
            </w:pPr>
          </w:p>
        </w:tc>
      </w:tr>
      <w:tr>
        <w:tc>
          <w:tcPr>
            <w:tcW w:w="2269" w:type="dxa"/>
          </w:tcPr>
          <w:p>
            <w:pPr>
              <w:jc w:val="left"/>
              <w:rPr>
                <w:rFonts w:eastAsia="Times New Roman"/>
                <w:noProof/>
                <w:szCs w:val="24"/>
              </w:rPr>
            </w:pPr>
          </w:p>
        </w:tc>
        <w:tc>
          <w:tcPr>
            <w:tcW w:w="6518" w:type="dxa"/>
          </w:tcPr>
          <w:p>
            <w:pPr>
              <w:jc w:val="left"/>
              <w:rPr>
                <w:rFonts w:eastAsia="Times New Roman"/>
                <w:noProof/>
                <w:szCs w:val="24"/>
              </w:rPr>
            </w:pPr>
          </w:p>
        </w:tc>
      </w:tr>
      <w:tr>
        <w:tc>
          <w:tcPr>
            <w:tcW w:w="2269" w:type="dxa"/>
          </w:tcPr>
          <w:p>
            <w:pPr>
              <w:jc w:val="left"/>
              <w:rPr>
                <w:rFonts w:eastAsia="Times New Roman"/>
                <w:noProof/>
                <w:szCs w:val="24"/>
              </w:rPr>
            </w:pPr>
          </w:p>
        </w:tc>
        <w:tc>
          <w:tcPr>
            <w:tcW w:w="6518" w:type="dxa"/>
          </w:tcPr>
          <w:p>
            <w:pPr>
              <w:jc w:val="left"/>
              <w:rPr>
                <w:rFonts w:eastAsia="Times New Roman"/>
                <w:noProof/>
                <w:szCs w:val="24"/>
              </w:rPr>
            </w:pPr>
          </w:p>
        </w:tc>
      </w:tr>
      <w:tr>
        <w:tc>
          <w:tcPr>
            <w:tcW w:w="2269" w:type="dxa"/>
          </w:tcPr>
          <w:p>
            <w:pPr>
              <w:jc w:val="left"/>
              <w:rPr>
                <w:rFonts w:eastAsia="Times New Roman"/>
                <w:noProof/>
                <w:szCs w:val="24"/>
              </w:rPr>
            </w:pPr>
          </w:p>
        </w:tc>
        <w:tc>
          <w:tcPr>
            <w:tcW w:w="6518" w:type="dxa"/>
          </w:tcPr>
          <w:p>
            <w:pPr>
              <w:jc w:val="left"/>
              <w:rPr>
                <w:rFonts w:eastAsia="Times New Roman"/>
                <w:noProof/>
                <w:szCs w:val="24"/>
              </w:rPr>
            </w:pPr>
          </w:p>
        </w:tc>
      </w:tr>
      <w:tr>
        <w:tc>
          <w:tcPr>
            <w:tcW w:w="2269" w:type="dxa"/>
          </w:tcPr>
          <w:p>
            <w:pPr>
              <w:jc w:val="left"/>
              <w:rPr>
                <w:rFonts w:eastAsia="Times New Roman"/>
                <w:noProof/>
                <w:szCs w:val="24"/>
              </w:rPr>
            </w:pPr>
          </w:p>
        </w:tc>
        <w:tc>
          <w:tcPr>
            <w:tcW w:w="6518" w:type="dxa"/>
          </w:tcPr>
          <w:p>
            <w:pPr>
              <w:jc w:val="left"/>
              <w:rPr>
                <w:rFonts w:eastAsia="Times New Roman"/>
                <w:noProof/>
                <w:szCs w:val="24"/>
              </w:rPr>
            </w:pPr>
          </w:p>
        </w:tc>
      </w:tr>
      <w:tr>
        <w:tc>
          <w:tcPr>
            <w:tcW w:w="2269" w:type="dxa"/>
          </w:tcPr>
          <w:p>
            <w:pPr>
              <w:jc w:val="left"/>
              <w:rPr>
                <w:rFonts w:eastAsia="Times New Roman"/>
                <w:noProof/>
                <w:szCs w:val="24"/>
              </w:rPr>
            </w:pPr>
          </w:p>
        </w:tc>
        <w:tc>
          <w:tcPr>
            <w:tcW w:w="6518" w:type="dxa"/>
          </w:tcPr>
          <w:p>
            <w:pPr>
              <w:jc w:val="left"/>
              <w:rPr>
                <w:rFonts w:eastAsia="Times New Roman"/>
                <w:noProof/>
                <w:szCs w:val="24"/>
              </w:rPr>
            </w:pPr>
          </w:p>
        </w:tc>
      </w:tr>
      <w:tr>
        <w:tc>
          <w:tcPr>
            <w:tcW w:w="2269" w:type="dxa"/>
          </w:tcPr>
          <w:p>
            <w:pPr>
              <w:jc w:val="left"/>
              <w:rPr>
                <w:rFonts w:eastAsia="Times New Roman"/>
                <w:noProof/>
                <w:szCs w:val="24"/>
              </w:rPr>
            </w:pPr>
          </w:p>
        </w:tc>
        <w:tc>
          <w:tcPr>
            <w:tcW w:w="6518" w:type="dxa"/>
          </w:tcPr>
          <w:p>
            <w:pPr>
              <w:jc w:val="left"/>
              <w:rPr>
                <w:rFonts w:eastAsia="Times New Roman"/>
                <w:noProof/>
                <w:szCs w:val="24"/>
              </w:rPr>
            </w:pPr>
          </w:p>
        </w:tc>
      </w:tr>
    </w:tbl>
    <w:p>
      <w:pPr>
        <w:jc w:val="left"/>
        <w:rPr>
          <w:rFonts w:eastAsia="Times New Roman"/>
          <w:noProof/>
          <w:szCs w:val="24"/>
        </w:rPr>
      </w:pPr>
    </w:p>
    <w:p>
      <w:pPr>
        <w:rPr>
          <w:rFonts w:eastAsia="Times New Roman"/>
          <w:noProof/>
          <w:szCs w:val="24"/>
        </w:rPr>
      </w:pPr>
      <w:r>
        <w:rPr>
          <w:noProof/>
        </w:rPr>
        <w:t>Долуподписаният/долуподписаната потвърждава, че цялата кореспонденция, всички съобщения и всички документи по формалности или процедури, свързани с това поръчителство, изпратени до или извършени в писмена форма по отношение на който и да е от адресите за кореспонденция, се приемат като надлежно връчени му/ѝ.</w:t>
      </w:r>
    </w:p>
    <w:p>
      <w:pPr>
        <w:rPr>
          <w:rFonts w:eastAsia="Times New Roman"/>
          <w:noProof/>
          <w:szCs w:val="24"/>
        </w:rPr>
      </w:pPr>
      <w:r>
        <w:rPr>
          <w:noProof/>
        </w:rPr>
        <w:t>Долуподписаният/долуподписаната признава компетентността на съдилищата в районите, в които се намират неговите/нейните адреси за кореспонденция.</w:t>
      </w:r>
    </w:p>
    <w:p>
      <w:pPr>
        <w:rPr>
          <w:rFonts w:eastAsia="Times New Roman"/>
          <w:noProof/>
          <w:szCs w:val="24"/>
        </w:rPr>
      </w:pPr>
      <w:r>
        <w:rPr>
          <w:noProof/>
        </w:rPr>
        <w:t>Долуподписаният/долуподписаната се задължава да не променя адресите за кореспонденция или ако се налага да промени един или повече от тези адреси, да информира предварително за това митническото учреждение по обезпечението.</w:t>
      </w:r>
    </w:p>
    <w:p>
      <w:pPr>
        <w:jc w:val="left"/>
        <w:outlineLvl w:val="0"/>
        <w:rPr>
          <w:rFonts w:eastAsia="Times New Roman"/>
          <w:noProof/>
          <w:szCs w:val="24"/>
        </w:rPr>
      </w:pPr>
      <w:r>
        <w:rPr>
          <w:noProof/>
        </w:rPr>
        <w:t>Съставено в …………………………………………………………………………………………</w:t>
      </w:r>
    </w:p>
    <w:p>
      <w:pPr>
        <w:jc w:val="left"/>
        <w:outlineLvl w:val="0"/>
        <w:rPr>
          <w:rFonts w:eastAsia="Times New Roman"/>
          <w:noProof/>
          <w:szCs w:val="24"/>
        </w:rPr>
      </w:pPr>
      <w:r>
        <w:rPr>
          <w:noProof/>
        </w:rPr>
        <w:t>на ………………………………..…………………………….………………………………..</w:t>
      </w:r>
    </w:p>
    <w:p>
      <w:pPr>
        <w:jc w:val="left"/>
        <w:outlineLvl w:val="0"/>
        <w:rPr>
          <w:rFonts w:eastAsia="Times New Roman"/>
          <w:noProof/>
          <w:szCs w:val="24"/>
        </w:rPr>
      </w:pPr>
      <w:r>
        <w:rPr>
          <w:noProof/>
        </w:rPr>
        <w:t>…………………………………………………………………………………………………...</w:t>
      </w:r>
    </w:p>
    <w:p>
      <w:pPr>
        <w:jc w:val="center"/>
        <w:rPr>
          <w:rFonts w:eastAsia="Times New Roman"/>
          <w:noProof/>
          <w:szCs w:val="24"/>
        </w:rPr>
      </w:pPr>
      <w:r>
        <w:rPr>
          <w:noProof/>
        </w:rPr>
        <w:t xml:space="preserve">(Подпис) </w:t>
      </w:r>
      <w:r>
        <w:rPr>
          <w:rStyle w:val="FootnoteReference"/>
          <w:noProof/>
        </w:rPr>
        <w:footnoteReference w:customMarkFollows="1" w:id="27"/>
        <w:t>11</w:t>
      </w:r>
    </w:p>
    <w:p>
      <w:pPr>
        <w:jc w:val="left"/>
        <w:rPr>
          <w:rFonts w:eastAsia="Times New Roman"/>
          <w:b/>
          <w:iCs/>
          <w:noProof/>
          <w:szCs w:val="24"/>
        </w:rPr>
      </w:pPr>
      <w:r>
        <w:rPr>
          <w:noProof/>
        </w:rPr>
        <w:br w:type="page"/>
      </w:r>
      <w:r>
        <w:rPr>
          <w:b/>
          <w:noProof/>
        </w:rPr>
        <w:t>II.</w:t>
      </w:r>
      <w:r>
        <w:rPr>
          <w:noProof/>
        </w:rPr>
        <w:tab/>
      </w:r>
      <w:r>
        <w:rPr>
          <w:b/>
          <w:noProof/>
        </w:rPr>
        <w:t>Одобрение от страна на митническото учреждение по обезпечението</w:t>
      </w:r>
    </w:p>
    <w:p>
      <w:pPr>
        <w:jc w:val="left"/>
        <w:rPr>
          <w:rFonts w:eastAsia="Times New Roman"/>
          <w:noProof/>
          <w:szCs w:val="24"/>
        </w:rPr>
      </w:pPr>
      <w:r>
        <w:rPr>
          <w:noProof/>
        </w:rPr>
        <w:t>Митническо учреждение по обезпечението</w:t>
      </w:r>
    </w:p>
    <w:p>
      <w:pPr>
        <w:jc w:val="left"/>
        <w:rPr>
          <w:rFonts w:eastAsia="Times New Roman"/>
          <w:noProof/>
          <w:szCs w:val="24"/>
        </w:rPr>
      </w:pPr>
      <w:r>
        <w:rPr>
          <w:noProof/>
        </w:rPr>
        <w:t>………………………………………………………………………………………………</w:t>
      </w:r>
    </w:p>
    <w:p>
      <w:pPr>
        <w:jc w:val="left"/>
        <w:rPr>
          <w:rFonts w:eastAsia="Times New Roman"/>
          <w:noProof/>
          <w:szCs w:val="24"/>
        </w:rPr>
      </w:pPr>
      <w:r>
        <w:rPr>
          <w:noProof/>
        </w:rPr>
        <w:t>Задължението на поръчителя е прието на</w:t>
      </w:r>
    </w:p>
    <w:p>
      <w:pPr>
        <w:jc w:val="left"/>
        <w:rPr>
          <w:rFonts w:eastAsia="Times New Roman"/>
          <w:noProof/>
          <w:szCs w:val="24"/>
        </w:rPr>
      </w:pPr>
      <w:r>
        <w:rPr>
          <w:noProof/>
        </w:rPr>
        <w:t>………………………………………………………………………………………………..</w:t>
      </w:r>
    </w:p>
    <w:p>
      <w:pPr>
        <w:jc w:val="left"/>
        <w:rPr>
          <w:rFonts w:eastAsia="Times New Roman"/>
          <w:noProof/>
          <w:szCs w:val="24"/>
        </w:rPr>
      </w:pPr>
      <w:r>
        <w:rPr>
          <w:noProof/>
        </w:rPr>
        <w:t>…………………………………………………………………….</w:t>
      </w:r>
    </w:p>
    <w:p>
      <w:pPr>
        <w:ind w:left="1984"/>
        <w:jc w:val="left"/>
        <w:outlineLvl w:val="2"/>
        <w:rPr>
          <w:rFonts w:eastAsia="Times New Roman"/>
          <w:noProof/>
          <w:szCs w:val="24"/>
        </w:rPr>
      </w:pPr>
      <w:r>
        <w:rPr>
          <w:noProof/>
        </w:rPr>
        <w:tab/>
        <w:t>(Печат и подпис)</w:t>
      </w:r>
    </w:p>
    <w:p>
      <w:pPr>
        <w:rPr>
          <w:noProof/>
        </w:rPr>
        <w:sectPr>
          <w:endnotePr>
            <w:numFmt w:val="decimal"/>
          </w:endnotePr>
          <w:pgSz w:w="11907" w:h="16839"/>
          <w:pgMar w:top="1134" w:right="1417" w:bottom="1134" w:left="1417" w:header="709" w:footer="709" w:gutter="0"/>
          <w:cols w:space="720"/>
          <w:docGrid w:linePitch="360"/>
        </w:sectPr>
      </w:pPr>
    </w:p>
    <w:p>
      <w:pPr>
        <w:spacing w:line="360" w:lineRule="auto"/>
        <w:jc w:val="left"/>
        <w:rPr>
          <w:rFonts w:eastAsia="Times New Roman"/>
          <w:noProof/>
          <w:szCs w:val="24"/>
        </w:rPr>
      </w:pPr>
      <w:r>
        <w:rPr>
          <w:noProof/>
        </w:rPr>
        <w:t>4) В приложение В5, ред 7 думите „Обединеното кралство“ се вмъкват между думите „Турция“ и „Андора (*)“.</w:t>
      </w:r>
    </w:p>
    <w:p>
      <w:pPr>
        <w:rPr>
          <w:noProof/>
        </w:rPr>
      </w:pPr>
      <w:r>
        <w:rPr>
          <w:noProof/>
        </w:rPr>
        <w:t>5) В приложение В6, ред 6 думите „Обединеното кралство“ се вмъкват между думите „Турция“ и „Андора (*)“.</w:t>
      </w:r>
    </w:p>
    <w:p>
      <w:pPr>
        <w:rPr>
          <w:noProof/>
        </w:rPr>
      </w:pPr>
    </w:p>
    <w:sectPr>
      <w:endnotePr>
        <w:numFmt w:val="decimal"/>
      </w:end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226, 13.8.1987 г., стр. 2.</w:t>
      </w:r>
    </w:p>
  </w:footnote>
  <w:footnote w:id="2">
    <w:p>
      <w:pPr>
        <w:pStyle w:val="FootnoteText"/>
      </w:pPr>
      <w:r>
        <w:rPr>
          <w:rStyle w:val="FootnoteReference"/>
        </w:rPr>
        <w:t>1</w:t>
      </w:r>
      <w:r>
        <w:t xml:space="preserve"> </w:t>
      </w:r>
      <w:r>
        <w:tab/>
        <w:t>Собствено и фамилно име или фирма.</w:t>
      </w:r>
    </w:p>
  </w:footnote>
  <w:footnote w:id="3">
    <w:p>
      <w:pPr>
        <w:pStyle w:val="FootnoteText"/>
      </w:pPr>
      <w:r>
        <w:rPr>
          <w:rStyle w:val="FootnoteReference"/>
        </w:rPr>
        <w:t>2</w:t>
      </w:r>
      <w:r>
        <w:t xml:space="preserve"> </w:t>
      </w:r>
      <w:r>
        <w:tab/>
        <w:t>Пълен адрес.</w:t>
      </w:r>
    </w:p>
  </w:footnote>
  <w:footnote w:id="4">
    <w:p>
      <w:pPr>
        <w:pStyle w:val="FootnoteText"/>
      </w:pPr>
      <w:r>
        <w:rPr>
          <w:rStyle w:val="FootnoteReference"/>
        </w:rPr>
        <w:t>3</w:t>
      </w:r>
      <w:r>
        <w:t xml:space="preserve"> </w:t>
      </w:r>
      <w:r>
        <w:tab/>
        <w:t>Да се заличат имената на държавите, на чиято територия поръчителството не може да се използва.</w:t>
      </w:r>
    </w:p>
  </w:footnote>
  <w:footnote w:id="5">
    <w:p>
      <w:pPr>
        <w:pStyle w:val="FootnoteText"/>
      </w:pPr>
      <w:r>
        <w:rPr>
          <w:rStyle w:val="FootnoteReference"/>
        </w:rPr>
        <w:t>4</w:t>
      </w:r>
      <w:r>
        <w:t xml:space="preserve"> </w:t>
      </w:r>
      <w:r>
        <w:tab/>
        <w:t xml:space="preserve">Препратките към Княжество Андора и Република Сан Марино се отнасят само до операциите по съюзен транзит. </w:t>
      </w:r>
    </w:p>
  </w:footnote>
  <w:footnote w:id="6">
    <w:p>
      <w:pPr>
        <w:pStyle w:val="FootnoteText"/>
      </w:pPr>
      <w:r>
        <w:rPr>
          <w:rStyle w:val="FootnoteReference"/>
        </w:rPr>
        <w:t>5</w:t>
      </w:r>
      <w:r>
        <w:t xml:space="preserve"> </w:t>
      </w:r>
      <w:r>
        <w:tab/>
        <w:t>Собствено и фамилно име или фирма, както и пълен адрес на лицето, предоставящо обезпечението чрез поръчителство.</w:t>
      </w:r>
    </w:p>
  </w:footnote>
  <w:footnote w:id="7">
    <w:p>
      <w:pPr>
        <w:pStyle w:val="FootnoteText"/>
      </w:pPr>
      <w:r>
        <w:rPr>
          <w:rStyle w:val="FootnoteReference"/>
        </w:rPr>
        <w:t>6</w:t>
      </w:r>
      <w:r>
        <w:t xml:space="preserve"> </w:t>
      </w:r>
      <w:r>
        <w:tab/>
        <w:t>Прилага се по отношение на дължимите такси във връзка с внос или износ на стоки, когато обезпечението чрез поръчителство се използва за поставянето на стоки под режим съюзен транзит/общ транзитен режим или когато може да се използва в повече от една държава членка.</w:t>
      </w:r>
    </w:p>
  </w:footnote>
  <w:footnote w:id="8">
    <w:p>
      <w:pPr>
        <w:pStyle w:val="FootnoteText"/>
      </w:pPr>
      <w:r>
        <w:rPr>
          <w:rStyle w:val="FootnoteReference"/>
        </w:rPr>
        <w:t>7</w:t>
      </w:r>
      <w:r>
        <w:t xml:space="preserve"> </w:t>
      </w:r>
      <w:r>
        <w:tab/>
        <w:t>Посочва се една от следните митнически операции:</w:t>
      </w:r>
    </w:p>
    <w:p>
      <w:pPr>
        <w:pStyle w:val="FootnoteText"/>
      </w:pPr>
      <w:r>
        <w:tab/>
        <w:t>а) временно складиране;</w:t>
      </w:r>
    </w:p>
    <w:p>
      <w:pPr>
        <w:pStyle w:val="FootnoteText"/>
      </w:pPr>
      <w:r>
        <w:tab/>
        <w:t>б) режим съюзен транзит/общ транзитен режим;</w:t>
      </w:r>
    </w:p>
    <w:p>
      <w:pPr>
        <w:pStyle w:val="FootnoteText"/>
      </w:pPr>
      <w:r>
        <w:tab/>
        <w:t>в) режим митническо складиране;</w:t>
      </w:r>
    </w:p>
    <w:p>
      <w:pPr>
        <w:pStyle w:val="FootnoteText"/>
      </w:pPr>
      <w:r>
        <w:tab/>
        <w:t>г) режим временен внос с пълно освобождаване от вносни мита;</w:t>
      </w:r>
    </w:p>
    <w:p>
      <w:pPr>
        <w:pStyle w:val="FootnoteText"/>
      </w:pPr>
      <w:r>
        <w:tab/>
        <w:t>д) режим активно усъвършенстване;</w:t>
      </w:r>
    </w:p>
    <w:p>
      <w:pPr>
        <w:pStyle w:val="FootnoteText"/>
      </w:pPr>
      <w:r>
        <w:tab/>
        <w:t>е) режим специфична употреба;</w:t>
      </w:r>
    </w:p>
    <w:p>
      <w:pPr>
        <w:pStyle w:val="FootnoteText"/>
      </w:pPr>
      <w:r>
        <w:tab/>
        <w:t>ж) допускане за свободно обращение въз основа на стандартна митническа декларация без отсрочено плащане;</w:t>
      </w:r>
    </w:p>
    <w:p>
      <w:pPr>
        <w:pStyle w:val="FootnoteText"/>
      </w:pPr>
      <w:r>
        <w:tab/>
        <w:t>з) допускане за свободно обращение въз основа на стандартна митническа декларация с отсрочено плащане;</w:t>
      </w:r>
    </w:p>
    <w:p>
      <w:pPr>
        <w:pStyle w:val="FootnoteText"/>
      </w:pPr>
      <w:r>
        <w:tab/>
        <w:t>и) допускане за свободно обращение въз основа на митническа декларация, подадена по силата на член 166 от Регламент (ЕС) № 952/2013 на Европейския парламент и на Съвета от 9 октомври 2013 г. за създаване на Митнически кодекс на Съюза (ОВ L 269, 10.10.2013 г., стр. 1);</w:t>
      </w:r>
    </w:p>
    <w:p>
      <w:pPr>
        <w:pStyle w:val="FootnoteText"/>
      </w:pPr>
      <w:r>
        <w:tab/>
        <w:t>й) допускане за свободно обращение въз основа на митническа декларация, подадена по силата на член 182 от Регламент (ЕС) № 952/2013;</w:t>
      </w:r>
    </w:p>
    <w:p>
      <w:pPr>
        <w:pStyle w:val="FootnoteText"/>
      </w:pPr>
      <w:r>
        <w:tab/>
        <w:t>к) режим временен внос с частично освобождаване от вносни мита;</w:t>
      </w:r>
    </w:p>
    <w:p>
      <w:pPr>
        <w:pStyle w:val="FootnoteText"/>
      </w:pPr>
      <w:r>
        <w:tab/>
        <w:t>л) друга — да се посочи видът на операцията.</w:t>
      </w:r>
    </w:p>
    <w:p>
      <w:pPr>
        <w:pStyle w:val="FootnoteText"/>
      </w:pPr>
    </w:p>
  </w:footnote>
  <w:footnote w:id="9">
    <w:p>
      <w:pPr>
        <w:pStyle w:val="FootnoteText"/>
      </w:pPr>
      <w:r>
        <w:rPr>
          <w:rStyle w:val="FootnoteReference"/>
        </w:rPr>
        <w:t>8</w:t>
      </w:r>
      <w:r>
        <w:t xml:space="preserve"> </w:t>
      </w:r>
      <w:r>
        <w:tab/>
        <w:t>Когато в нормативната уредба на някоя от тези държави не се предвижда посочването на адрес за кореспонденция, поръчителят трябва да определи в тази държава свой представител, който да получава съобщенията, предназначени за него; потвърждението по втората алинея и задължението по четвъртата алинея от точка 4 трябва да бъдат определени в съответствие с това. Споровете, възникнали във връзка с настоящото обезпечение чрез поръчителство, са от компетентността на съответните съдилища, в чиято юрисдикция е адресът за кореспонденция на поръчителя или неговите представители.</w:t>
      </w:r>
    </w:p>
  </w:footnote>
  <w:footnote w:id="10">
    <w:p>
      <w:pPr>
        <w:pStyle w:val="FootnoteText"/>
      </w:pPr>
      <w:r>
        <w:rPr>
          <w:rStyle w:val="FootnoteReference"/>
        </w:rPr>
        <w:t>9</w:t>
      </w:r>
      <w:r>
        <w:t xml:space="preserve"> </w:t>
      </w:r>
      <w:r>
        <w:tab/>
        <w:t>Лицето, което подписва документа, вписва пред подписа си следния текст на ръка: „Поръчителство за сумата от …“ (сумата се посочва словом).</w:t>
      </w:r>
    </w:p>
  </w:footnote>
  <w:footnote w:id="11">
    <w:p>
      <w:pPr>
        <w:pStyle w:val="FootnoteText"/>
      </w:pPr>
      <w:r>
        <w:rPr>
          <w:rStyle w:val="FootnoteReference"/>
        </w:rPr>
        <w:t>10</w:t>
      </w:r>
      <w:r>
        <w:t xml:space="preserve"> </w:t>
      </w:r>
      <w:r>
        <w:tab/>
        <w:t>Попълва се от митническото учреждение, където стоките са били поставени под съответния режим или са били временно складирани.</w:t>
      </w:r>
    </w:p>
  </w:footnote>
  <w:footnote w:id="12">
    <w:p>
      <w:pPr>
        <w:pStyle w:val="FootnoteText"/>
      </w:pPr>
      <w:r>
        <w:rPr>
          <w:rStyle w:val="FootnoteReference"/>
        </w:rPr>
        <w:t>1</w:t>
      </w:r>
      <w:r>
        <w:t xml:space="preserve"> </w:t>
      </w:r>
      <w:r>
        <w:tab/>
        <w:t>Собствено и фамилно име или фирма.</w:t>
      </w:r>
    </w:p>
  </w:footnote>
  <w:footnote w:id="13">
    <w:p>
      <w:pPr>
        <w:pStyle w:val="FootnoteText"/>
      </w:pPr>
      <w:r>
        <w:rPr>
          <w:rStyle w:val="FootnoteReference"/>
        </w:rPr>
        <w:t>2</w:t>
      </w:r>
      <w:r>
        <w:t xml:space="preserve"> </w:t>
      </w:r>
      <w:r>
        <w:tab/>
        <w:t>Пълен адрес.</w:t>
      </w:r>
    </w:p>
  </w:footnote>
  <w:footnote w:id="14">
    <w:p>
      <w:pPr>
        <w:pStyle w:val="FootnoteText"/>
      </w:pPr>
      <w:r>
        <w:rPr>
          <w:rStyle w:val="FootnoteReference"/>
        </w:rPr>
        <w:t>3</w:t>
      </w:r>
      <w:r>
        <w:t xml:space="preserve"> </w:t>
      </w:r>
      <w:r>
        <w:tab/>
        <w:t xml:space="preserve">Препратките към Княжество Андора и Република Сан Марино се отнасят само до операциите по съюзен транзит. </w:t>
      </w:r>
    </w:p>
  </w:footnote>
  <w:footnote w:id="15">
    <w:p>
      <w:pPr>
        <w:pStyle w:val="FootnoteText"/>
      </w:pPr>
      <w:r>
        <w:rPr>
          <w:rStyle w:val="FootnoteReference"/>
        </w:rPr>
        <w:t>4</w:t>
      </w:r>
      <w:r>
        <w:t xml:space="preserve"> </w:t>
      </w:r>
      <w:r>
        <w:tab/>
        <w:t>Когато в нормативната уредба на някоя от тези държави не се предвижда посочването на адрес за кореспонденция, поръчителят трябва да определи в тази държава свой представител, който да получава съобщенията, предназначени за него; потвърждението по втората алинея и задължението по четвъртата алинея от точка 4 трябва да бъдат определени в съответствие с това. Споровете, възникнали във връзка с настоящото обезпечение чрез поръчителство, са от компетентността на съответните съдилища, в чиято юрисдикция е адресът за кореспонденция на поръчителя или неговите представители.</w:t>
      </w:r>
    </w:p>
  </w:footnote>
  <w:footnote w:id="16">
    <w:p>
      <w:pPr>
        <w:pStyle w:val="FootnoteText"/>
      </w:pPr>
      <w:r>
        <w:rPr>
          <w:rStyle w:val="FootnoteReference"/>
        </w:rPr>
        <w:t>5</w:t>
      </w:r>
      <w:r>
        <w:t xml:space="preserve"> </w:t>
      </w:r>
      <w:r>
        <w:tab/>
        <w:t>Лицето, което се подписва, вписва пред подписа си следния текст на ръка: „Валидно като ваучер за обезпечение“.</w:t>
      </w:r>
    </w:p>
  </w:footnote>
  <w:footnote w:id="17">
    <w:p>
      <w:pPr>
        <w:pStyle w:val="FootnoteText"/>
      </w:pPr>
      <w:r>
        <w:rPr>
          <w:rStyle w:val="FootnoteReference"/>
        </w:rPr>
        <w:t>1</w:t>
      </w:r>
      <w:r>
        <w:t xml:space="preserve"> </w:t>
      </w:r>
      <w:r>
        <w:tab/>
        <w:t>Собствено и фамилно име или фирма.</w:t>
      </w:r>
    </w:p>
  </w:footnote>
  <w:footnote w:id="18">
    <w:p>
      <w:pPr>
        <w:pStyle w:val="FootnoteText"/>
      </w:pPr>
      <w:r>
        <w:rPr>
          <w:rStyle w:val="FootnoteReference"/>
        </w:rPr>
        <w:t>2</w:t>
      </w:r>
      <w:r>
        <w:t xml:space="preserve"> </w:t>
      </w:r>
      <w:r>
        <w:tab/>
        <w:t>Пълен адрес.</w:t>
      </w:r>
    </w:p>
  </w:footnote>
  <w:footnote w:id="19">
    <w:p>
      <w:pPr>
        <w:pStyle w:val="FootnoteText"/>
      </w:pPr>
      <w:r>
        <w:rPr>
          <w:rStyle w:val="FootnoteReference"/>
        </w:rPr>
        <w:t>3</w:t>
      </w:r>
      <w:r>
        <w:t xml:space="preserve"> </w:t>
      </w:r>
      <w:r>
        <w:tab/>
        <w:t>Да се заличат имената на държавите, на чиято територия обезпечението чрез поръчителство не може да се използва.</w:t>
      </w:r>
    </w:p>
  </w:footnote>
  <w:footnote w:id="20">
    <w:p>
      <w:pPr>
        <w:pStyle w:val="FootnoteText"/>
      </w:pPr>
      <w:r>
        <w:rPr>
          <w:rStyle w:val="FootnoteReference"/>
        </w:rPr>
        <w:t>4</w:t>
      </w:r>
      <w:r>
        <w:t xml:space="preserve"> </w:t>
      </w:r>
      <w:r>
        <w:tab/>
        <w:t>Препратката към Княжество Андора и Република Сан Марино се отнася само до операциите по съюзен транзит.</w:t>
      </w:r>
    </w:p>
  </w:footnote>
  <w:footnote w:id="21">
    <w:p>
      <w:pPr>
        <w:pStyle w:val="FootnoteText"/>
      </w:pPr>
      <w:r>
        <w:rPr>
          <w:rStyle w:val="FootnoteReference"/>
        </w:rPr>
        <w:t>5</w:t>
      </w:r>
      <w:r>
        <w:t xml:space="preserve"> </w:t>
      </w:r>
      <w:r>
        <w:tab/>
        <w:t>Собствено и фамилно име или фирма, както и пълен адрес на лицето, предоставящо обезпечението чрез поръчителство.</w:t>
      </w:r>
    </w:p>
  </w:footnote>
  <w:footnote w:id="22">
    <w:p>
      <w:pPr>
        <w:pStyle w:val="FootnoteText"/>
      </w:pPr>
      <w:r>
        <w:rPr>
          <w:rStyle w:val="FootnoteReference"/>
        </w:rPr>
        <w:t>6</w:t>
      </w:r>
      <w:r>
        <w:t xml:space="preserve"> </w:t>
      </w:r>
      <w:r>
        <w:tab/>
        <w:t>Прилага се по отношение на другите дължими такси във връзка с вноса или износа на стоки, когато обезпечението чрез поръчителство се използва за поставянето на стоки под режим съюзен транзит/общ транзитен режим или когато може да се използва в повече от една държава членка или една договаряща страна.</w:t>
      </w:r>
    </w:p>
  </w:footnote>
  <w:footnote w:id="23">
    <w:p>
      <w:pPr>
        <w:pStyle w:val="FootnoteText"/>
      </w:pPr>
      <w:r>
        <w:rPr>
          <w:rStyle w:val="FootnoteReference"/>
        </w:rPr>
        <w:t>7</w:t>
      </w:r>
      <w:r>
        <w:t xml:space="preserve"> </w:t>
      </w:r>
      <w:r>
        <w:tab/>
        <w:t>Ненужното се заличава.</w:t>
      </w:r>
    </w:p>
  </w:footnote>
  <w:footnote w:id="24">
    <w:p>
      <w:pPr>
        <w:pStyle w:val="FootnoteText"/>
      </w:pPr>
      <w:r>
        <w:rPr>
          <w:rStyle w:val="FootnoteReference"/>
        </w:rPr>
        <w:t>8</w:t>
      </w:r>
      <w:r>
        <w:t xml:space="preserve"> </w:t>
      </w:r>
      <w:r>
        <w:tab/>
        <w:t>Режимите, различни от общия транзитен режим, се прилагат само в Съюза.</w:t>
      </w:r>
    </w:p>
  </w:footnote>
  <w:footnote w:id="25">
    <w:p>
      <w:pPr>
        <w:pStyle w:val="FootnoteText"/>
      </w:pPr>
      <w:r>
        <w:rPr>
          <w:rStyle w:val="FootnoteReference"/>
        </w:rPr>
        <w:t>9.</w:t>
      </w:r>
      <w:r>
        <w:tab/>
        <w:t>За суми, обявени в митническа декларация за режим специфична употреба.</w:t>
      </w:r>
    </w:p>
  </w:footnote>
  <w:footnote w:id="26">
    <w:p>
      <w:pPr>
        <w:pStyle w:val="FootnoteText"/>
      </w:pPr>
      <w:r>
        <w:rPr>
          <w:rStyle w:val="FootnoteReference"/>
        </w:rPr>
        <w:t>10</w:t>
      </w:r>
      <w:r>
        <w:t xml:space="preserve"> </w:t>
      </w:r>
      <w:r>
        <w:tab/>
        <w:t>Когато в нормативната уредба на някоя от тези държави не се предвижда посочването на адрес за кореспонденция, поръчителят трябва да определи в тази държава свой представител, който да получава съобщенията, предназначени за него; потвърждението по втората алинея и задължението по четвъртата алинея от точка 4 трябва да бъдат определени в съответствие с това. Споровете, възникнали във връзка с настоящото обезпечение чрез поръчителство, са от компетентността на съответните съдилища, в чиято юрисдикция е адресът за кореспонденция на поръчителя или неговите представители.</w:t>
      </w:r>
    </w:p>
  </w:footnote>
  <w:footnote w:id="27">
    <w:p>
      <w:pPr>
        <w:pStyle w:val="FootnoteText"/>
      </w:pPr>
      <w:r>
        <w:rPr>
          <w:rStyle w:val="FootnoteReference"/>
        </w:rPr>
        <w:t>11</w:t>
      </w:r>
      <w:r>
        <w:t xml:space="preserve"> </w:t>
      </w:r>
      <w:r>
        <w:tab/>
        <w:t>Лицето, което подписва документа, вписва пред подписа си следния текст на ръка: „Поръчителство за сумата от …“ (сумата се посочва словом).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296B2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928EC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B8B5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00226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364E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82005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E8E4170"/>
    <w:lvl w:ilvl="0">
      <w:start w:val="1"/>
      <w:numFmt w:val="decimal"/>
      <w:pStyle w:val="ListNumber"/>
      <w:lvlText w:val="%1."/>
      <w:lvlJc w:val="left"/>
      <w:pPr>
        <w:tabs>
          <w:tab w:val="num" w:pos="360"/>
        </w:tabs>
        <w:ind w:left="360" w:hanging="360"/>
      </w:pPr>
    </w:lvl>
  </w:abstractNum>
  <w:abstractNum w:abstractNumId="7">
    <w:nsid w:val="FFFFFF89"/>
    <w:multiLevelType w:val="singleLevel"/>
    <w:tmpl w:val="72EE94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
    <w15:presenceInfo w15:providerId="None" w15:userId="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14 09:55:31"/>
    <w:docVar w:name="DQCResult_Distribution" w:val="0;0"/>
    <w:docVar w:name="DQCResult_DocumentContent" w:val="0;0"/>
    <w:docVar w:name="DQCResult_DocumentSize" w:val="0;0"/>
    <w:docVar w:name="DQCResult_DocumentVersions" w:val="0;0"/>
    <w:docVar w:name="DQCResult_InvalidFootnotes" w:val="0;26"/>
    <w:docVar w:name="DQCResult_LinkedStyles" w:val="0;0"/>
    <w:docVar w:name="DQCResult_ModifiedMargins" w:val="0;43"/>
    <w:docVar w:name="DQCResult_ModifiedMarkers" w:val="0;0"/>
    <w:docVar w:name="DQCResult_ModifiedNumbering" w:val="0;0"/>
    <w:docVar w:name="DQCResult_Objects" w:val="0;0"/>
    <w:docVar w:name="DQCResult_Sections" w:val="0;0"/>
    <w:docVar w:name="DQCResult_StructureCheck" w:val="0;0"/>
    <w:docVar w:name="DQCResult_SuperfluousWhitespace" w:val="0;38"/>
    <w:docVar w:name="DQCResult_UnknownFonts" w:val="0;0"/>
    <w:docVar w:name="DQCResult_UnknownStyles" w:val="0;0"/>
    <w:docVar w:name="DQCStatus" w:val="Green"/>
    <w:docVar w:name="DQCVersion" w:val="3"/>
    <w:docVar w:name="DQCWithWarnings" w:val="0"/>
    <w:docVar w:name="LW_ACCOMPAGNANT" w:val="\u1082?\u1098?\u1084? \u1055?\u1088?\u1077?\u1076?\u1083?\u1086?\u1078?\u1077?\u1085?\u1080?\u1077?"/>
    <w:docVar w:name="LW_ACCOMPAGNANT.CP" w:val="\u1082?\u1098?\u1084? \u1055?\u1088?\u1077?\u1076?\u1083?\u1086?\u1078?\u1077?\u1085?\u1080?\u1077?"/>
    <w:docVar w:name="LW_ANNEX_NBR_FIRST" w:val="1"/>
    <w:docVar w:name="LW_ANNEX_NBR_LAST" w:val="1"/>
    <w:docVar w:name="LW_ANNEX_UNIQUE" w:val="1"/>
    <w:docVar w:name="LW_CORRIGENDUM" w:val="&lt;UNUSED&gt;"/>
    <w:docVar w:name="LW_COVERPAGE_EXISTS" w:val="True"/>
    <w:docVar w:name="LW_COVERPAGE_GUID" w:val="DD3DBBCA-C61F-410A-95B0-25A8A2A75CF6"/>
    <w:docVar w:name="LW_COVERPAGE_TYPE" w:val="1"/>
    <w:docVar w:name="LW_CROSSREFERENCE" w:val="&lt;UNUSED&gt;"/>
    <w:docVar w:name="LW_DocType" w:val="ANNEX"/>
    <w:docVar w:name="LW_EMISSION" w:val="22.8.2018"/>
    <w:docVar w:name="LW_EMISSION_ISODATE" w:val="2018-08-22"/>
    <w:docVar w:name="LW_EMISSION_LOCATION" w:val="BRX"/>
    <w:docVar w:name="LW_EMISSION_PREFIX" w:val="\u1041?\u1088?\u1102?\u1082?\u1089?\u1077?\u1083?,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45?\u1057?\u8212?\u1044?\u1054?\u1058?\u1056?, \u1089?\u1098?\u1079?\u1076?\u1072?\u1076?\u1077?\u1085? \u1087?\u1086? \u1089?\u1080?\u1083?\u1072?\u1090?\u1072? \u1085?\u1072? \u1050?\u1086?\u1085?\u1074?\u1077?\u1085?\u1094?\u1080?\u1103?\u1090?\u1072? \u1086?\u1090? 20 \u1084?\u1072?\u1081? 1987 \u1075?. \u1079?\u1072? \u1086?\u1073?\u1097? \u1090?\u1088?\u1072?\u1085?\u1079?\u1080?\u1090?\u1077?\u1085? \u1088?\u1077?\u1078?\u1080?\u1084?, \u1087?\u1086? \u1086?\u1090?\u1085?\u1086?\u1096?\u1077?\u1085?\u1080?\u1077? \u1085?\u1072? \u1080?\u1079?\u1084?\u1077?\u1085?\u1077?\u1085?\u1080?\u1103?\u1090?\u1072? \u1085?\u1072? \u1087?\u1086?\u1089?\u1086?\u1095?\u1077?\u1085?\u1072?\u1090?\u1072? \u1082?\u1086?\u1085?\u1074?\u1077?\u1085?\u1094?\u1080?\u1103?"/>
    <w:docVar w:name="LW_OBJETACTEPRINCIPAL.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45?\u1057?\u8212?\u1044?\u1054?\u1058?\u1056?, \u1089?\u1098?\u1079?\u1076?\u1072?\u1076?\u1077?\u1085? \u1087?\u1086? \u1089?\u1080?\u1083?\u1072?\u1090?\u1072? \u1085?\u1072? \u1050?\u1086?\u1085?\u1074?\u1077?\u1085?\u1094?\u1080?\u1103?\u1090?\u1072? \u1086?\u1090? 20 \u1084?\u1072?\u1081? 1987 \u1075?. \u1079?\u1072? \u1086?\u1073?\u1097? \u1090?\u1088?\u1072?\u1085?\u1079?\u1080?\u1090?\u1077?\u1085? \u1088?\u1077?\u1078?\u1080?\u1084?, \u1087?\u1086? \u1086?\u1090?\u1085?\u1086?\u1096?\u1077?\u1085?\u1080?\u1077? \u1085?\u1072? \u1080?\u1079?\u1084?\u1077?\u1085?\u1077?\u1085?\u1080?\u1103?\u1090?\u1072? \u1085?\u1072? \u1087?\u1086?\u1089?\u1086?\u1095?\u1077?\u1085?\u1072?\u1090?\u1072? \u1082?\u1086?\u1085?\u1074?\u1077?\u1085?\u1094?\u1080?\u1103?"/>
    <w:docVar w:name="LW_PART_NBR" w:val="1"/>
    <w:docVar w:name="LW_PART_NBR_TOTAL" w:val="1"/>
    <w:docVar w:name="LW_REF.INST.NEW" w:val="COM"/>
    <w:docVar w:name="LW_REF.INST.NEW_ADOPTED" w:val="final"/>
    <w:docVar w:name="LW_REF.INST.NEW_TEXT" w:val="(2018) 6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79?\u1072? \u1056?\u1077?\u1096?\u1077?\u1085?\u1080?\u1077? \u1085?\u1072? \u1057?\u1098?\u1074?\u1077?\u1090?\u1072?"/>
    <w:docVar w:name="LW_TYPEACTEPRINCIPAL.CP" w:val="\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2F337-7385-4F79-A8A9-4B42450A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16</Pages>
  <Words>2536</Words>
  <Characters>17274</Characters>
  <Application>Microsoft Office Word</Application>
  <DocSecurity>0</DocSecurity>
  <Lines>411</Lines>
  <Paragraphs>181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DUBIELAK Anna(TAXUD)</dc:creator>
  <cp:lastModifiedBy>DIGIT/A3</cp:lastModifiedBy>
  <cp:revision>7</cp:revision>
  <cp:lastPrinted>2018-08-02T07:13:00Z</cp:lastPrinted>
  <dcterms:created xsi:type="dcterms:W3CDTF">2018-08-09T09:24:00Z</dcterms:created>
  <dcterms:modified xsi:type="dcterms:W3CDTF">2018-08-14T07:55:00Z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