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3CC54D7-502E-4EEE-93B0-5FB035493054" style="width:450.8pt;height:379.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Настоящото предложение засяга решението за установяване на позицията, която да се заеме от името на Европейския съюз в рамките на Съвместния комитет ЕС—ДОТР</w:t>
      </w:r>
      <w:r>
        <w:rPr>
          <w:rStyle w:val="FootnoteReference"/>
          <w:noProof/>
        </w:rPr>
        <w:footnoteReference w:id="1"/>
      </w:r>
      <w:r>
        <w:rPr>
          <w:noProof/>
        </w:rPr>
        <w:t xml:space="preserve"> (наричан по-нататък „Съвместният комитет“), във връзка с предвиденото приемане от Съвместния комитет на решение за изменение на редица приложения в допълнение III към Конвенцията от 20 май 1987 г. за общ транзитен режим</w:t>
      </w:r>
      <w:r>
        <w:rPr>
          <w:rStyle w:val="FootnoteReference"/>
          <w:noProof/>
        </w:rPr>
        <w:footnoteReference w:id="2"/>
      </w:r>
      <w:r>
        <w:rPr>
          <w:noProof/>
        </w:rPr>
        <w:t xml:space="preserve"> (наричана по-нататък „Конвенцията“).</w:t>
      </w:r>
    </w:p>
    <w:p>
      <w:pPr>
        <w:pStyle w:val="ManualHeading1"/>
        <w:rPr>
          <w:noProof/>
          <w:color w:val="000000"/>
          <w:u w:color="000000"/>
          <w:bdr w:val="nil"/>
        </w:rPr>
      </w:pPr>
      <w:r>
        <w:rPr>
          <w:noProof/>
          <w:color w:val="000000"/>
          <w:u w:color="000000"/>
          <w:bdr w:val="nil"/>
        </w:rPr>
        <w:t>2.</w:t>
      </w:r>
      <w:r>
        <w:rPr>
          <w:noProof/>
        </w:rPr>
        <w:tab/>
      </w:r>
      <w:r>
        <w:rPr>
          <w:noProof/>
          <w:color w:val="000000"/>
          <w:u w:color="000000"/>
          <w:bdr w:val="nil"/>
        </w:rPr>
        <w:t>КОНТЕКСТ НА ПРЕДЛОЖЕНИЕТО</w:t>
      </w:r>
    </w:p>
    <w:p>
      <w:pPr>
        <w:pStyle w:val="ManualHeading2"/>
        <w:rPr>
          <w:noProof/>
        </w:rPr>
      </w:pPr>
      <w:r>
        <w:rPr>
          <w:noProof/>
        </w:rPr>
        <w:t>2.1.</w:t>
      </w:r>
      <w:r>
        <w:rPr>
          <w:noProof/>
        </w:rPr>
        <w:tab/>
        <w:t>Конвенцията за общ транзитен режим</w:t>
      </w:r>
    </w:p>
    <w:p>
      <w:pPr>
        <w:rPr>
          <w:noProof/>
        </w:rPr>
      </w:pPr>
      <w:r>
        <w:rPr>
          <w:noProof/>
        </w:rPr>
        <w:t xml:space="preserve">Целта на Конвенцията е да се улесни движението на стоки между Европейския съюз и други държави, които са договарящи страни по Конвенцията. Тя влезе в сила на 1 януари 1988 г. </w:t>
      </w:r>
    </w:p>
    <w:p>
      <w:pPr>
        <w:rPr>
          <w:noProof/>
        </w:rPr>
      </w:pPr>
      <w:r>
        <w:rPr>
          <w:noProof/>
        </w:rPr>
        <w:t>Европейският съюз е договаряща страна по Конвенцията.</w:t>
      </w:r>
    </w:p>
    <w:p>
      <w:pPr>
        <w:rPr>
          <w:noProof/>
        </w:rPr>
      </w:pPr>
      <w:r>
        <w:rPr>
          <w:noProof/>
        </w:rPr>
        <w:t xml:space="preserve">Държавите, които са договарящи страни по Конвенцията, но не са членове на Съюза, са посочени в Конвенцията като държави с общ транзитен режим. </w:t>
      </w:r>
    </w:p>
    <w:p>
      <w:pPr>
        <w:pStyle w:val="ManualHeading2"/>
        <w:rPr>
          <w:rFonts w:eastAsia="Arial Unicode MS"/>
          <w:noProof/>
        </w:rPr>
      </w:pPr>
      <w:r>
        <w:rPr>
          <w:noProof/>
          <w:color w:val="000000"/>
          <w:u w:color="000000"/>
          <w:bdr w:val="nil"/>
        </w:rPr>
        <w:t>2.2.</w:t>
      </w:r>
      <w:r>
        <w:rPr>
          <w:noProof/>
        </w:rPr>
        <w:tab/>
      </w:r>
      <w:r>
        <w:rPr>
          <w:noProof/>
          <w:color w:val="000000"/>
          <w:u w:color="000000"/>
          <w:bdr w:val="nil"/>
        </w:rPr>
        <w:t>Съвместният комитет</w:t>
      </w:r>
    </w:p>
    <w:p>
      <w:pPr>
        <w:pBdr>
          <w:top w:val="nil"/>
          <w:left w:val="nil"/>
          <w:bottom w:val="nil"/>
          <w:right w:val="nil"/>
          <w:between w:val="nil"/>
          <w:bar w:val="nil"/>
        </w:pBdr>
        <w:spacing w:before="0" w:after="240"/>
        <w:rPr>
          <w:rFonts w:eastAsia="Arial Unicode MS"/>
          <w:noProof/>
        </w:rPr>
      </w:pPr>
      <w:r>
        <w:rPr>
          <w:noProof/>
        </w:rPr>
        <w:t xml:space="preserve">Съвместният комитет отговаря за администрирането и правилното изпълнение на Конвенцията.  Посредством решения Съвместният комитет приема изменения на допълненията към Конвенцията. </w:t>
      </w:r>
    </w:p>
    <w:p>
      <w:pPr>
        <w:pBdr>
          <w:top w:val="nil"/>
          <w:left w:val="nil"/>
          <w:bottom w:val="nil"/>
          <w:right w:val="nil"/>
          <w:between w:val="nil"/>
          <w:bar w:val="nil"/>
        </w:pBdr>
        <w:spacing w:before="0" w:after="240"/>
        <w:rPr>
          <w:rFonts w:eastAsia="Arial Unicode MS"/>
          <w:noProof/>
        </w:rPr>
      </w:pPr>
      <w:r>
        <w:rPr>
          <w:noProof/>
        </w:rPr>
        <w:t>Решенията на Съвместния комитет се приемат по взаимно съгласие на договарящите страни.</w:t>
      </w:r>
    </w:p>
    <w:p>
      <w:pPr>
        <w:pStyle w:val="ManualHeading2"/>
        <w:rPr>
          <w:noProof/>
        </w:rPr>
      </w:pPr>
      <w:r>
        <w:rPr>
          <w:noProof/>
        </w:rPr>
        <w:t>2.3.</w:t>
      </w:r>
      <w:r>
        <w:rPr>
          <w:noProof/>
        </w:rPr>
        <w:tab/>
        <w:t>Предвиденият акт на Съвместния комитет</w:t>
      </w:r>
    </w:p>
    <w:p>
      <w:pPr>
        <w:rPr>
          <w:noProof/>
        </w:rPr>
      </w:pPr>
      <w:r>
        <w:rPr>
          <w:noProof/>
        </w:rPr>
        <w:t xml:space="preserve">Като държава — членка на Европейския съюз, Обединеното кралство Великобритания и Северна Ирландия е прилагало Конвенцията от влизането ѝ в сила през 1988 г.  След оттеглянето на Обединеното кралство от Европейския съюз Конвенцията автоматично ще престане да се прилага за Обединеното кралство. Поради това, ако Обединеното кралство желае да използва общ транзитен режим за движението на стоки между договарящите страни и Обединеното кралство и след оттеглянето си от Европейския съюз, то трябва да се присъедини към Конвенцията като отделна договаряща страна. </w:t>
      </w:r>
    </w:p>
    <w:p>
      <w:pPr>
        <w:rPr>
          <w:noProof/>
        </w:rPr>
      </w:pPr>
      <w:r>
        <w:rPr>
          <w:noProof/>
        </w:rPr>
        <w:t xml:space="preserve">В случай че влязат в сила преходните разпоредби, договорени между представителите на ЕС и Обединеното кралство в рамките на провежданите в момента преговори за постигане на споразумение за оттегляне от ЕС в съответствие с член 50 от Договора за функционирането на Европейския съюз, международните споразумения, по които Съюзът е страна, включително Конвенцията, ще се прилагат за и в Обединеното кралство, считано от датата на оттегляне от ЕС до 31 декември 2020 г. В такъв случай присъединяването на Обединеното кралство към Конвенцията ще поражда действие едва от датата, от която правото на Съюза (включително въпросната Конвенция) вече няма да се прилага за и в Обединеното кралство. </w:t>
      </w:r>
    </w:p>
    <w:p>
      <w:pPr>
        <w:rPr>
          <w:noProof/>
        </w:rPr>
      </w:pPr>
      <w:r>
        <w:rPr>
          <w:noProof/>
        </w:rPr>
        <w:t xml:space="preserve">Присъединяването на Обединеното кралство към Конвенцията ще наложи промени в документите за обезпечение, в които се посочват договарящите страни по Конвенцията.  Наименованието „Обединеното кралство“ ще бъде заличено от частта, предназначена за държавите — членки на Съюза, и ще бъде включено в частта, предназначена за държавите с общ транзит.  </w:t>
      </w:r>
    </w:p>
    <w:p>
      <w:pPr>
        <w:rPr>
          <w:noProof/>
        </w:rPr>
      </w:pPr>
      <w:r>
        <w:rPr>
          <w:noProof/>
        </w:rPr>
        <w:t xml:space="preserve">Комисията се приканва да приеме настоящия проект на решение и да го предаде на Съвета. </w:t>
      </w:r>
    </w:p>
    <w:p>
      <w:pPr>
        <w:rPr>
          <w:noProof/>
        </w:rPr>
      </w:pPr>
      <w:r>
        <w:rPr>
          <w:noProof/>
        </w:rPr>
        <w:t xml:space="preserve">Решението на Съвместния комитет за изменение на Конвенцията ще стане обвързващо за договарящите страни в съответствие с член 3 от това решение, в който се предвижда същото да влезе в сила на датата, на която присъединяването на Обединеното кралство към Конвенцията като отделна договаряща страна започне да поражда действие и при условие на това присъединяване. </w:t>
      </w:r>
    </w:p>
    <w:p>
      <w:pPr>
        <w:rPr>
          <w:noProof/>
        </w:rPr>
      </w:pPr>
      <w:r>
        <w:rPr>
          <w:noProof/>
        </w:rPr>
        <w:t>В съответствие с член 15, параграф 3 от Конвенцията решенията за изменение на Конвенцията се привеждат в действие от договарящите страни в съответствие с тяхното законодателство.</w:t>
      </w:r>
    </w:p>
    <w:p>
      <w:pPr>
        <w:pStyle w:val="ManualHeading1"/>
        <w:rPr>
          <w:noProof/>
          <w:u w:color="000000"/>
          <w:bdr w:val="nil"/>
        </w:rPr>
      </w:pPr>
      <w:r>
        <w:rPr>
          <w:noProof/>
        </w:rPr>
        <w:t>3.</w:t>
      </w:r>
      <w:r>
        <w:rPr>
          <w:noProof/>
        </w:rPr>
        <w:tab/>
        <w:t>ПОЗИЦИЯТА, КОЯТО ДА СЕ ЗАЕМЕ ОТ ИМЕТО НА СЪЮЗА</w:t>
      </w:r>
    </w:p>
    <w:p>
      <w:pPr>
        <w:pBdr>
          <w:top w:val="nil"/>
          <w:left w:val="nil"/>
          <w:bottom w:val="nil"/>
          <w:right w:val="nil"/>
          <w:between w:val="nil"/>
          <w:bar w:val="nil"/>
        </w:pBdr>
        <w:spacing w:before="0" w:after="240"/>
        <w:rPr>
          <w:rFonts w:eastAsia="Arial Unicode MS"/>
          <w:noProof/>
        </w:rPr>
      </w:pPr>
      <w:r>
        <w:rPr>
          <w:noProof/>
        </w:rPr>
        <w:t xml:space="preserve">Предложената позиция е да се изменят приложенията в допълнение III към Конвенцията, в които Обединеното кралство се посочва като държава — членка на Съюза, за да се отрази факта, че считано от ефективното му присъединяване към Конвенцията Обединеното кралство ще бъде отделна договаряща страна. Следователно измененията са от технически характер.  </w:t>
      </w:r>
    </w:p>
    <w:p>
      <w:pPr>
        <w:pBdr>
          <w:top w:val="nil"/>
          <w:left w:val="nil"/>
          <w:bottom w:val="nil"/>
          <w:right w:val="nil"/>
          <w:between w:val="nil"/>
          <w:bar w:val="nil"/>
        </w:pBdr>
        <w:spacing w:before="0" w:after="240"/>
        <w:rPr>
          <w:rFonts w:eastAsia="Arial Unicode MS"/>
          <w:noProof/>
        </w:rPr>
      </w:pPr>
      <w:r>
        <w:rPr>
          <w:noProof/>
        </w:rPr>
        <w:t>Предложената позиция е съвместима с общата търговска политика.</w:t>
      </w:r>
    </w:p>
    <w:p>
      <w:pPr>
        <w:pStyle w:val="ManualHeading1"/>
        <w:rPr>
          <w:noProof/>
          <w:u w:color="000000"/>
          <w:bdr w:val="nil"/>
        </w:rPr>
      </w:pPr>
      <w:r>
        <w:rPr>
          <w:noProof/>
        </w:rPr>
        <w:t>4.</w:t>
      </w:r>
      <w:r>
        <w:rPr>
          <w:noProof/>
        </w:rPr>
        <w:tab/>
        <w:t xml:space="preserve">ПРАВНО ОСНОВАНИЕ   </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i/>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В член 15, параграф 3, буква а) от Конвенцията се предвижда, че Съвместният комитет приема чрез решения изменения на допълненията към Конвенцията.</w:t>
      </w:r>
    </w:p>
    <w:p>
      <w:pPr>
        <w:pStyle w:val="ManualHeading3"/>
        <w:rPr>
          <w:noProof/>
        </w:rPr>
      </w:pPr>
      <w:r>
        <w:rPr>
          <w:noProof/>
        </w:rPr>
        <w:t>4.1.2.</w:t>
      </w:r>
      <w:r>
        <w:rPr>
          <w:noProof/>
        </w:rPr>
        <w:tab/>
        <w:t>Приложение в конкретния случай</w:t>
      </w:r>
    </w:p>
    <w:p>
      <w:pPr>
        <w:rPr>
          <w:noProof/>
        </w:rPr>
      </w:pPr>
      <w:r>
        <w:rPr>
          <w:noProof/>
        </w:rPr>
        <w:t>Съвместният комитет е орган, създаден по силата на споразумение, а именно — Конвенцията за общ транзитен режим.</w:t>
      </w:r>
    </w:p>
    <w:p>
      <w:pPr>
        <w:rPr>
          <w:noProof/>
        </w:rPr>
      </w:pPr>
      <w:r>
        <w:rPr>
          <w:noProof/>
        </w:rPr>
        <w:t>Решението, което Съвместният комитет има за задача да приеме, представлява акт с правно действие. То ще бъде обвързващо съгласно международното право в съответствие с член 20 от Конвенцията.</w:t>
      </w:r>
    </w:p>
    <w:p>
      <w:pPr>
        <w:rPr>
          <w:noProof/>
        </w:rPr>
      </w:pPr>
      <w:r>
        <w:rPr>
          <w:noProof/>
        </w:rPr>
        <w:t>Обединеното кралство няма да бъде трета държава, когато Съвместния комитет приеме решение за посочените изменения на допълненията, но при все това е необходимо да се подготвят техническите адаптации, така че те да могат да се прилагат веднага щом Обединеното кралство стане отделна договаряща страна.</w:t>
      </w:r>
    </w:p>
    <w:p>
      <w:pPr>
        <w:rPr>
          <w:noProof/>
        </w:rPr>
      </w:pPr>
      <w:r>
        <w:rPr>
          <w:noProof/>
        </w:rPr>
        <w:t>Предвиденият акт не допълва, нито изменя институционалната рамка на Конвенцията.</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rFonts w:eastAsia="Arial Unicode MS"/>
          <w:noProof/>
          <w:u w:color="000000"/>
          <w:bdr w:val="nil"/>
        </w:rPr>
      </w:pPr>
      <w:r>
        <w:rPr>
          <w:noProof/>
        </w:rPr>
        <w:t>4.2.</w:t>
      </w:r>
      <w:r>
        <w:rPr>
          <w:noProof/>
        </w:rPr>
        <w:tab/>
        <w:t>Материалноправно основание</w:t>
      </w:r>
    </w:p>
    <w:p>
      <w:pPr>
        <w:pBdr>
          <w:top w:val="nil"/>
          <w:left w:val="nil"/>
          <w:bottom w:val="nil"/>
          <w:right w:val="nil"/>
          <w:between w:val="nil"/>
          <w:bar w:val="nil"/>
        </w:pBdr>
        <w:spacing w:before="0" w:after="240"/>
        <w:rPr>
          <w:rFonts w:eastAsia="Arial Unicode MS"/>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Bdr>
          <w:top w:val="nil"/>
          <w:left w:val="nil"/>
          <w:bottom w:val="nil"/>
          <w:right w:val="nil"/>
          <w:between w:val="nil"/>
          <w:bar w:val="nil"/>
        </w:pBdr>
        <w:spacing w:before="0" w:after="240"/>
        <w:rPr>
          <w:rFonts w:eastAsia="Arial Unicode MS"/>
          <w:noProof/>
        </w:rPr>
      </w:pPr>
      <w:r>
        <w:rPr>
          <w:noProof/>
        </w:rPr>
        <w:t>Измененията на допълненията към Конвенцията с оглед на присъединяването на Обединеното кралство към Конвенцията имат за цел да гарантират ефикасността на гранично-пропускателните процедури.  Основната цел и съдържание на предвидения акт следователно са свързани с общата търговска политика.</w:t>
      </w:r>
    </w:p>
    <w:p>
      <w:pPr>
        <w:pBdr>
          <w:top w:val="nil"/>
          <w:left w:val="nil"/>
          <w:bottom w:val="nil"/>
          <w:right w:val="nil"/>
          <w:between w:val="nil"/>
          <w:bar w:val="nil"/>
        </w:pBdr>
        <w:spacing w:before="0" w:after="240"/>
        <w:rPr>
          <w:rFonts w:eastAsia="Arial Unicode MS"/>
          <w:noProof/>
        </w:rPr>
      </w:pPr>
      <w:r>
        <w:rPr>
          <w:noProof/>
        </w:rPr>
        <w:t>Поради това материалноправното основание за предложеното решение е член 207 от ДФЕС.</w:t>
      </w:r>
    </w:p>
    <w:p>
      <w:pPr>
        <w:pStyle w:val="ManualHeading2"/>
        <w:rPr>
          <w:rFonts w:eastAsia="Arial Unicode MS"/>
          <w:noProof/>
          <w:u w:color="000000"/>
          <w:bdr w:val="nil"/>
        </w:rPr>
      </w:pPr>
      <w:r>
        <w:rPr>
          <w:noProof/>
        </w:rPr>
        <w:t>4.3.</w:t>
      </w:r>
      <w:r>
        <w:rPr>
          <w:noProof/>
        </w:rPr>
        <w:tab/>
        <w:t>Заключения</w:t>
      </w:r>
    </w:p>
    <w:p>
      <w:pPr>
        <w:pBdr>
          <w:top w:val="nil"/>
          <w:left w:val="nil"/>
          <w:bottom w:val="nil"/>
          <w:right w:val="nil"/>
          <w:between w:val="nil"/>
          <w:bar w:val="nil"/>
        </w:pBdr>
        <w:spacing w:before="0" w:after="240"/>
        <w:rPr>
          <w:noProof/>
        </w:rPr>
      </w:pPr>
      <w:r>
        <w:rPr>
          <w:noProof/>
        </w:rPr>
        <w:t>Правното основание за предложеното решение следва да бъде член 207 от ДФЕС във връзка с член 218, параграф 9 от ДФЕС.</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2018/0309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се заеме от името на Европейския съюз в рамките на Съвместния комитет ЕС—ДОТР, създаден по силата на Конвенцията от 20 май 1987 г. за общ транзитен режим, по отношение на измененията на посочената конвенция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Конвенцията за общ транзитен режим</w:t>
      </w:r>
      <w:r>
        <w:rPr>
          <w:rStyle w:val="FootnoteReference"/>
          <w:noProof/>
        </w:rPr>
        <w:footnoteReference w:id="3"/>
      </w:r>
      <w:r>
        <w:rPr>
          <w:noProof/>
        </w:rPr>
        <w:t xml:space="preserve"> (наричана по-нататък „Конвенцията“) беше сключена между Европейската икономическа общност, Република Австрия, Република Финландия, Република Исландия, Кралство Норвегия, Кралство Швеция и Конфедерация Швейцария на 20 май 1987 г. и влезе в сила на 1 януари 1988 г. </w:t>
      </w:r>
    </w:p>
    <w:p>
      <w:pPr>
        <w:pStyle w:val="ManualConsidrant"/>
        <w:rPr>
          <w:noProof/>
        </w:rPr>
      </w:pPr>
      <w:r>
        <w:t>(2)</w:t>
      </w:r>
      <w:r>
        <w:tab/>
      </w:r>
      <w:r>
        <w:rPr>
          <w:noProof/>
        </w:rPr>
        <w:t>Обединеното кралство Великобритания и Северна Ирландия (наричано по-нататък „Обединеното кралство“) изрази желание да се присъедини към Конвенцията като отделна договаряща страна от датата, на която Конвенцията престане да се прилага за и в Обединеното кралство.</w:t>
      </w:r>
    </w:p>
    <w:p>
      <w:pPr>
        <w:pStyle w:val="ManualConsidrant"/>
        <w:rPr>
          <w:noProof/>
        </w:rPr>
      </w:pPr>
      <w:r>
        <w:t>(3)</w:t>
      </w:r>
      <w:r>
        <w:tab/>
      </w:r>
      <w:r>
        <w:rPr>
          <w:noProof/>
        </w:rPr>
        <w:t>Присъединяването на Обединеното кралство към Конвенцията като отделна договаряща страна ще изисква съответни адаптации на документите за обезпечение, съдържащи се като образци в някои приложения на допълнение III към Конвенцията, така че да се заличи препратката към Обединеното кралство  като държава — членка на Европейския съюз, и да се добави препратка към Обединеното кралство като държава с общ транзит.</w:t>
      </w:r>
    </w:p>
    <w:p>
      <w:pPr>
        <w:pStyle w:val="ManualConsidrant"/>
        <w:rPr>
          <w:noProof/>
        </w:rPr>
      </w:pPr>
      <w:r>
        <w:t>(4)</w:t>
      </w:r>
      <w:r>
        <w:tab/>
      </w:r>
      <w:r>
        <w:rPr>
          <w:noProof/>
        </w:rPr>
        <w:t>Съгласно член 15, параграф 3, буква а) от Конвенцията създаденият по силата на същата конвенция Съвместен комитет приема чрез решения изменения на допълненията към Конвенцията. Целесъобразно е да се установи позицията, която да се заеме от името на Съюза в рамките на Съвместния комитет, тъй като решението за изменение на Конвенцията ще бъде обвързващо за Съюза.</w:t>
      </w:r>
    </w:p>
    <w:p>
      <w:pPr>
        <w:pStyle w:val="ManualConsidrant"/>
        <w:rPr>
          <w:noProof/>
        </w:rPr>
      </w:pPr>
      <w:r>
        <w:t>(5)</w:t>
      </w:r>
      <w:r>
        <w:tab/>
      </w:r>
      <w:r>
        <w:rPr>
          <w:noProof/>
        </w:rPr>
        <w:t xml:space="preserve">Конвенцията гарантира ефикасността на гранично-пропускателните процедури при търговията между договарящите страни. </w:t>
      </w:r>
    </w:p>
    <w:p>
      <w:pPr>
        <w:pStyle w:val="ManualConsidrant"/>
        <w:rPr>
          <w:noProof/>
        </w:rPr>
      </w:pPr>
      <w:r>
        <w:t>(6)</w:t>
      </w:r>
      <w:r>
        <w:tab/>
      </w:r>
      <w:r>
        <w:rPr>
          <w:noProof/>
        </w:rPr>
        <w:t xml:space="preserve">Тъй като решението на Съвместния съвет ще измени Конвенцията, е целесъобразно след приемането му то да бъде публикувано в </w:t>
      </w:r>
      <w:r>
        <w:rPr>
          <w:i/>
          <w:noProof/>
        </w:rPr>
        <w:t>Официален вестник на Европейския съюз</w:t>
      </w:r>
      <w:r>
        <w:rPr>
          <w:noProof/>
        </w:rPr>
        <w:t>,</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да се заеме от името на Съюза в рамките на Съвместния комитет ЕС—ДОТР, създаден по силата на Конвенцията от 20 май 1987 г. за общ транзитен режим, по отношение на измененията на допълненията към тази конвенция, се основава на проекта на решение на посочения съвместен комитет, съдържащ се в приложението към настоящото решение.</w:t>
      </w:r>
    </w:p>
    <w:p>
      <w:pPr>
        <w:pStyle w:val="Titrearticle"/>
        <w:keepNext w:val="0"/>
        <w:rPr>
          <w:noProof/>
        </w:rPr>
      </w:pPr>
      <w:r>
        <w:rPr>
          <w:noProof/>
        </w:rPr>
        <w:t>Член 2</w:t>
      </w:r>
    </w:p>
    <w:p>
      <w:pPr>
        <w:keepLines/>
        <w:rPr>
          <w:noProof/>
        </w:rPr>
      </w:pPr>
      <w:r>
        <w:rPr>
          <w:noProof/>
        </w:rPr>
        <w:t xml:space="preserve">След като бъде прието, решението на Съвместния комитет ЕС—ДОТР се публикува в </w:t>
      </w:r>
      <w:r>
        <w:rPr>
          <w:i/>
          <w:noProof/>
        </w:rPr>
        <w:t>Официален вестник на Европейския съюз</w:t>
      </w:r>
      <w:r>
        <w:rPr>
          <w:noProof/>
        </w:rPr>
        <w:t>.</w:t>
      </w:r>
    </w:p>
    <w:p>
      <w:pPr>
        <w:pStyle w:val="Titrearticle"/>
        <w:rPr>
          <w:noProof/>
        </w:rPr>
      </w:pPr>
      <w:r>
        <w:rPr>
          <w:noProof/>
        </w:rPr>
        <w:t>Член 3</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keepNext/>
        <w:rPr>
          <w:noProof/>
        </w:rPr>
      </w:pPr>
      <w:r>
        <w:rPr>
          <w:noProof/>
        </w:rPr>
        <w:tab/>
        <w:t>Председател</w:t>
      </w:r>
    </w:p>
    <w:p>
      <w:pPr>
        <w:pStyle w:val="Institutionquisigne"/>
        <w:rPr>
          <w:noProof/>
        </w:rPr>
      </w:pP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Държави с общ транзитен режим</w:t>
      </w:r>
    </w:p>
  </w:footnote>
  <w:footnote w:id="2">
    <w:p>
      <w:pPr>
        <w:pStyle w:val="FootnoteText"/>
      </w:pPr>
      <w:r>
        <w:rPr>
          <w:rStyle w:val="FootnoteReference"/>
        </w:rPr>
        <w:footnoteRef/>
      </w:r>
      <w:r>
        <w:tab/>
        <w:t>ОВ L 226, 13.8.1987 г., стр. 2.</w:t>
      </w:r>
    </w:p>
  </w:footnote>
  <w:footnote w:id="3">
    <w:p>
      <w:pPr>
        <w:pStyle w:val="FootnoteText"/>
      </w:pPr>
      <w:r>
        <w:rPr>
          <w:rStyle w:val="FootnoteReference"/>
        </w:rPr>
        <w:footnoteRef/>
      </w:r>
      <w:r>
        <w:tab/>
        <w:t>ОВ L 226, 13.8.1987 г., стр.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FE0E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74DC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CC1F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2FA0B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169C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4251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CC2E16"/>
    <w:lvl w:ilvl="0">
      <w:start w:val="1"/>
      <w:numFmt w:val="decimal"/>
      <w:pStyle w:val="ListNumber"/>
      <w:lvlText w:val="%1."/>
      <w:lvlJc w:val="left"/>
      <w:pPr>
        <w:tabs>
          <w:tab w:val="num" w:pos="360"/>
        </w:tabs>
        <w:ind w:left="360" w:hanging="360"/>
      </w:pPr>
    </w:lvl>
  </w:abstractNum>
  <w:abstractNum w:abstractNumId="7">
    <w:nsid w:val="FFFFFF89"/>
    <w:multiLevelType w:val="singleLevel"/>
    <w:tmpl w:val="BCE8AF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14 09:55:1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3CC54D7-502E-4EEE-93B0-5FB035493054"/>
    <w:docVar w:name="LW_COVERPAGE_TYPE" w:val="1"/>
    <w:docVar w:name="LW_CROSSREFERENCE" w:val="&lt;UNUSED&gt;"/>
    <w:docVar w:name="LW_DocType" w:val="COM"/>
    <w:docVar w:name="LW_EMISSION" w:val="22.8.2018"/>
    <w:docVar w:name="LW_EMISSION_ISODATE" w:val="2018-08-22"/>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09"/>
    <w:docVar w:name="LW_REF.II.NEW.CP_YEAR" w:val="2018"/>
    <w:docVar w:name="LW_REF.INST.NEW" w:val="COM"/>
    <w:docVar w:name="LW_REF.INST.NEW_ADOPTED" w:val="final"/>
    <w:docVar w:name="LW_REF.INST.NEW_TEXT" w:val="(2018) 6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45?\u1057?\u8212?\u1044?\u1054?\u1058?\u1056?, \u1089?\u1098?\u1079?\u1076?\u1072?\u1076?\u1077?\u1085? \u1087?\u1086? \u1089?\u1080?\u1083?\u1072?\u1090?\u1072? \u1085?\u1072? \u1050?\u1086?\u1085?\u1074?\u1077?\u1085?\u1094?\u1080?\u1103?\u1090?\u1072? \u1086?\u1090? 20 \u1084?\u1072?\u1081? 1987 \u1075?. \u1079?\u1072? \u1086?\u1073?\u1097? \u1090?\u1088?\u1072?\u1085?\u1079?\u1080?\u1090?\u1077?\u1085? \u1088?\u1077?\u1078?\u1080?\u1084?, \u1087?\u1086? \u1086?\u1090?\u1085?\u1086?\u1096?\u1077?\u1085?\u1080?\u1077? \u1085?\u1072? \u1080?\u1079?\u1084?\u1077?\u1085?\u1077?\u1085?\u1080?\u1103?\u1090?\u1072? \u1085?\u1072? \u1087?\u1086?\u1089?\u1086?\u1095?\u1077?\u1085?\u1072?\u1090?\u1072? \u1082?\u1086?\u1085?\u1074?\u1077?\u1085?\u109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5BFE-FA85-4DBC-A7CB-581F0F6B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1369</Words>
  <Characters>7932</Characters>
  <Application>Microsoft Office Word</Application>
  <DocSecurity>0</DocSecurity>
  <Lines>161</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2018-08-09T09:20:00Z</dcterms:created>
  <dcterms:modified xsi:type="dcterms:W3CDTF">2018-08-14T07:55:00Z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