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D1258D0E-E232-43BF-988C-1C95BD6BF0C3"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rPr>
          <w:noProof/>
        </w:rPr>
      </w:pPr>
      <w:r>
        <w:rPr>
          <w:noProof/>
        </w:rPr>
        <w:t>Настоящата инициатива има за цел да измени текущите договорености със САЩ по отношение на вноса на говеждо месо без хормони. Тя няма за цел да засегне по никакъв начин забраната на ЕС върху третираното с хормони говеждо месо като такова.</w:t>
      </w:r>
    </w:p>
    <w:p>
      <w:pPr>
        <w:pStyle w:val="Text1"/>
        <w:rPr>
          <w:noProof/>
        </w:rPr>
      </w:pPr>
      <w:r>
        <w:rPr>
          <w:noProof/>
        </w:rPr>
        <w:t>През декември 2016 г. Съединените щати предприеха стъпки за повторно въвеждане на увеличени мита за някои продукти от ЕС след изразените опасения от сектора за производство на говеждо месо в САЩ, че Европейският съюз може би нарушава сключения на 21 октомври 2013 г. преработен Меморандум за разбирателство със Съединените американски щати относно вноса на месо от говеда, при чието отглеждане не са били използвани определени хормони за стимулиране на растежа, и относно увеличените мита, прилагани от Съединените щати спрямо определени продукти от Европейския съюз</w:t>
      </w:r>
      <w:r>
        <w:rPr>
          <w:rStyle w:val="FootnoteReference"/>
          <w:noProof/>
        </w:rPr>
        <w:footnoteReference w:id="2"/>
      </w:r>
      <w:r>
        <w:rPr>
          <w:noProof/>
        </w:rPr>
        <w:t xml:space="preserve"> („преработеният МР“). Преработеният МР беше сключен между Европейския съюз и Съединените американски щати след производство за уреждане в рамките на СТО на спора DS26 ЕО — Мерки относно месото и месните продукти (Хормони) — и беше съобщен на Органа за уреждане на спорове на СТО на 14 април 2014 г. като взаимно съгласувано решение за изпълнение на доклада от производството за уреждане на спора. </w:t>
      </w:r>
    </w:p>
    <w:p>
      <w:pPr>
        <w:pStyle w:val="Text1"/>
        <w:rPr>
          <w:noProof/>
        </w:rPr>
      </w:pPr>
      <w:r>
        <w:rPr>
          <w:noProof/>
        </w:rPr>
        <w:t>Съгласно първоначалния МР и преработения му текст ЕС откри годишна тарифна квота за висококачествено говеждо месо</w:t>
      </w:r>
      <w:r>
        <w:rPr>
          <w:rStyle w:val="FootnoteReference"/>
          <w:noProof/>
        </w:rPr>
        <w:footnoteReference w:id="3"/>
      </w:r>
      <w:r>
        <w:rPr>
          <w:noProof/>
        </w:rPr>
        <w:t>.</w:t>
      </w:r>
    </w:p>
    <w:p>
      <w:pPr>
        <w:pStyle w:val="Text1"/>
        <w:rPr>
          <w:noProof/>
        </w:rPr>
      </w:pPr>
      <w:r>
        <w:rPr>
          <w:noProof/>
        </w:rPr>
        <w:t xml:space="preserve">След откриването от Съединените щати на процедурата за повторно въвеждане на увеличени мита за някои продукти от ЕС през декември 2016 г., страните проведоха консултации относно действието на преработения МР съгласно посоченото в член IV от нето. </w:t>
      </w:r>
    </w:p>
    <w:p>
      <w:pPr>
        <w:pStyle w:val="Text1"/>
        <w:rPr>
          <w:noProof/>
        </w:rPr>
      </w:pPr>
      <w:r>
        <w:rPr>
          <w:noProof/>
        </w:rPr>
        <w:t xml:space="preserve">С препоръката се търси разрешение за договаряне на споразумение със Съединените американски щати, след споменатите консултации, по отношение на действието на тарифната квота за висококачествено говеждо месо и евентуално разпределението ѝ по държави. </w:t>
      </w:r>
    </w:p>
    <w:p>
      <w:pPr>
        <w:pStyle w:val="Text1"/>
        <w:rPr>
          <w:noProof/>
        </w:rPr>
      </w:pPr>
      <w:r>
        <w:rPr>
          <w:noProof/>
        </w:rPr>
        <w:t xml:space="preserve">Може да са необходими преговори с други страни доставчици, за да се гарантира, че при всяко договорено разпределение по държави на посочената тарифна квота със Съединените щати се спазват техните съществуващи права в рамките на споразуменията СТО/ГАТТ.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Style w:val="Text1"/>
        <w:rPr>
          <w:noProof/>
        </w:rPr>
      </w:pPr>
      <w:r>
        <w:rPr>
          <w:noProof/>
        </w:rPr>
        <w:t xml:space="preserve">Неприложимо. </w:t>
      </w:r>
    </w:p>
    <w:p>
      <w:pPr>
        <w:pStyle w:val="ManualHeading2"/>
        <w:rPr>
          <w:rFonts w:eastAsia="Arial Unicode MS"/>
          <w:noProof/>
        </w:rPr>
      </w:pPr>
      <w:r>
        <w:rPr>
          <w:noProof/>
        </w:rPr>
        <w:t>•</w:t>
      </w:r>
      <w:r>
        <w:rPr>
          <w:noProof/>
        </w:rPr>
        <w:tab/>
        <w:t>Съгласуваност с другите политики на Съюза</w:t>
      </w:r>
    </w:p>
    <w:p>
      <w:pPr>
        <w:pStyle w:val="Text1"/>
        <w:rPr>
          <w:rFonts w:eastAsia="Arial Unicode MS"/>
          <w:noProof/>
        </w:rPr>
      </w:pPr>
      <w:r>
        <w:rPr>
          <w:noProof/>
        </w:rPr>
        <w:t xml:space="preserve">Неприложимо. </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noProof/>
        </w:rPr>
      </w:pPr>
      <w:r>
        <w:rPr>
          <w:noProof/>
        </w:rPr>
        <w:t xml:space="preserve">Член 207 от ДФЕС (обща търговска политика) във връзка с член 218, параграфи 3 и 4.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rPr>
          <w:noProof/>
        </w:rPr>
      </w:pPr>
      <w:r>
        <w:rPr>
          <w:noProof/>
        </w:rPr>
        <w:t xml:space="preserve">Неприложимо, тъй като Съюзът има изключителна компетентност в областта на общата търговска политика (член 3, параграф 1, буква д) от ДФЕС). </w:t>
      </w:r>
    </w:p>
    <w:p>
      <w:pPr>
        <w:pStyle w:val="ManualHeading2"/>
        <w:rPr>
          <w:rFonts w:eastAsia="Arial Unicode MS"/>
          <w:noProof/>
          <w:u w:color="000000"/>
          <w:bdr w:val="nil"/>
        </w:rPr>
      </w:pPr>
      <w:r>
        <w:rPr>
          <w:noProof/>
        </w:rPr>
        <w:t>•</w:t>
      </w:r>
      <w:r>
        <w:rPr>
          <w:noProof/>
        </w:rPr>
        <w:tab/>
        <w:t>Пропорционалност</w:t>
      </w:r>
    </w:p>
    <w:p>
      <w:pPr>
        <w:pStyle w:val="Text1"/>
        <w:rPr>
          <w:noProof/>
        </w:rPr>
      </w:pPr>
      <w:r>
        <w:rPr>
          <w:noProof/>
        </w:rPr>
        <w:t>Неприложимо.</w:t>
      </w:r>
    </w:p>
    <w:p>
      <w:pPr>
        <w:pStyle w:val="ManualHeading2"/>
        <w:rPr>
          <w:rFonts w:eastAsia="Arial Unicode MS"/>
          <w:noProof/>
          <w:u w:color="000000"/>
          <w:bdr w:val="nil"/>
        </w:rPr>
      </w:pPr>
      <w:r>
        <w:rPr>
          <w:noProof/>
        </w:rPr>
        <w:t>•</w:t>
      </w:r>
      <w:r>
        <w:rPr>
          <w:noProof/>
        </w:rPr>
        <w:tab/>
        <w:t>Избор на инструмент</w:t>
      </w:r>
    </w:p>
    <w:p>
      <w:pPr>
        <w:pStyle w:val="Text1"/>
        <w:rPr>
          <w:noProof/>
        </w:rPr>
      </w:pPr>
      <w:r>
        <w:rPr>
          <w:noProof/>
        </w:rPr>
        <w:t xml:space="preserve">Сключването на международно споразумение е единственият метод, който гарантира, че подписалите го страни няма да поставят под съмнение на по-късен етап това, което е било договорено.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Text1"/>
        <w:rPr>
          <w:rFonts w:eastAsia="Arial Unicode MS"/>
          <w:noProof/>
        </w:rPr>
      </w:pPr>
      <w:r>
        <w:rPr>
          <w:noProof/>
        </w:rPr>
        <w:t>Неприложимо.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rPr>
          <w:noProof/>
        </w:rPr>
      </w:pPr>
      <w:r>
        <w:rPr>
          <w:noProof/>
        </w:rPr>
        <w:t>Пътната карта за инициативата за разрешаване на започването на преговори за сключване на споразумение със Съединените американски щати относно вноса на висококачествено месо от говеда, при чието отглеждане не са били използвани определени хормони за стимулиране на растежа, беше открита за обществена консултация от 27 март до 24 април 2018 г. Бяха представени общо 37 отговора — 24 от граждани на ЕС или от предприятия или професионални организации, 13 от дружества и правителства извън ЕС.</w:t>
      </w:r>
    </w:p>
    <w:p>
      <w:pPr>
        <w:pStyle w:val="Text1"/>
        <w:rPr>
          <w:noProof/>
        </w:rPr>
      </w:pPr>
      <w:r>
        <w:rPr>
          <w:noProof/>
        </w:rPr>
        <w:t>Дванадесет мнения бяха от граждани на ЕС (Белгия, Германия, Гърция, Италия, Испания и Швеция), като в тях се изразяваше подкрепа за зачитащо околната среда селско стопанство, за хуманно отношение към животните и здравословни продукти, и се изтъкваше колко е важно да се произвежда месо без хормони и антибиотици. В някои мнения се твърдеше, че консумацията на месо следва да се намали.</w:t>
      </w:r>
    </w:p>
    <w:p>
      <w:pPr>
        <w:pStyle w:val="Text1"/>
        <w:rPr>
          <w:noProof/>
        </w:rPr>
      </w:pPr>
      <w:r>
        <w:rPr>
          <w:noProof/>
        </w:rPr>
        <w:t>Четири мнения бяха от малки и средни предприятия в ЕС (Гърция, Италия и Обединеното кралство) — с тях или се изразяваше подкрепа за инициативата на ЕС, или се отправяха искания да се преразгледа и системата за управление, а в друго мнение се призоваваше за подход на изчакване. В едно от мненията се предлага да се проведат консултации с дружествата, занимаващи се с търговия на говеждо месо, и да им се даде време да се адаптират към крайния резултат. В друго мнение се изразява задоволство от настоящите доставки на говеждо месо по квотата.</w:t>
      </w:r>
    </w:p>
    <w:p>
      <w:pPr>
        <w:pStyle w:val="Text1"/>
        <w:rPr>
          <w:noProof/>
        </w:rPr>
      </w:pPr>
      <w:r>
        <w:rPr>
          <w:noProof/>
        </w:rPr>
        <w:t xml:space="preserve">Последните осем отговора от ЕС бяха от професионални организации: на равнището на ЕС, Франция, Германия, Италия и Обединеното кралство. В тях се напомня, че хормоните в ЕС са забранени като стимулатори на растежа в </w:t>
      </w:r>
      <w:r>
        <w:rPr>
          <w:noProof/>
        </w:rPr>
        <w:lastRenderedPageBreak/>
        <w:t>животновъдството и че трябва да се поддържат приложимите в ЕС стандарти в областта на безопасността на храните и здравеопазването. В две мнения се подчертава, че при преговорите не следва да се увеличава обемът, разрешен за внос в рамките на квотата. В едно от мненията се отбелязва също, че антибиотиците се използват като заместители на стимулаторите на растеж. В друго мнение се подчертава, че всички споразумения трябва да са в съответствие с правото на СТО. В две мнения се настоява органите на ЕС да подкрепят сектора на говеждото месо в ЕС, а в други две се подчертава значението на намирането на решение със САЩ, за да се избегне търговска война с тежки последици.</w:t>
      </w:r>
    </w:p>
    <w:p>
      <w:pPr>
        <w:pStyle w:val="Text1"/>
        <w:rPr>
          <w:noProof/>
        </w:rPr>
      </w:pPr>
      <w:r>
        <w:rPr>
          <w:noProof/>
        </w:rPr>
        <w:t>Тринадесет отговора от държави извън ЕС бяха в по-голямата си част от аржентински дружества и професионални организации, застъпващи се за признаването на Аржентина като страна в преговорите. Новозеландска организация в сектора на месото, подкрепяна от правителството си, подчерта, че макар да е малък доставчик в рамките на квотата, този износ е важен за новозеландската икономика и поиска да се проведе консултация с Нова Зеландия. Последните две мнения са от правителствата на Австралия и Уругвай, които настояват да участват в преговорите съгласно правото на СТО.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rPr>
          <w:rFonts w:eastAsia="Arial Unicode MS"/>
          <w:noProof/>
        </w:rPr>
      </w:pPr>
      <w:r>
        <w:rPr>
          <w:noProof/>
        </w:rPr>
        <w:t>Неприложимо.</w:t>
      </w:r>
    </w:p>
    <w:p>
      <w:pPr>
        <w:pStyle w:val="ManualHeading2"/>
        <w:rPr>
          <w:rFonts w:eastAsia="Arial Unicode MS"/>
          <w:noProof/>
          <w:u w:color="000000"/>
          <w:bdr w:val="nil"/>
        </w:rPr>
      </w:pPr>
      <w:r>
        <w:rPr>
          <w:noProof/>
        </w:rPr>
        <w:t>•</w:t>
      </w:r>
      <w:r>
        <w:rPr>
          <w:noProof/>
        </w:rPr>
        <w:tab/>
        <w:t>Оценка на въздействието</w:t>
      </w:r>
    </w:p>
    <w:p>
      <w:pPr>
        <w:pStyle w:val="Text1"/>
        <w:rPr>
          <w:rFonts w:eastAsia="Arial Unicode MS"/>
          <w:noProof/>
        </w:rPr>
      </w:pPr>
      <w:r>
        <w:rPr>
          <w:noProof/>
        </w:rPr>
        <w:t>Неприложимо.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Text1"/>
        <w:rPr>
          <w:rFonts w:eastAsia="Arial Unicode MS"/>
          <w:noProof/>
        </w:rPr>
      </w:pPr>
      <w:r>
        <w:rPr>
          <w:noProof/>
        </w:rPr>
        <w:t>Неприложимо</w:t>
      </w:r>
    </w:p>
    <w:p>
      <w:pPr>
        <w:pStyle w:val="ManualHeading2"/>
        <w:rPr>
          <w:rFonts w:eastAsia="Arial Unicode MS"/>
          <w:noProof/>
          <w:u w:color="000000"/>
          <w:bdr w:val="nil"/>
        </w:rPr>
      </w:pPr>
      <w:r>
        <w:rPr>
          <w:noProof/>
        </w:rPr>
        <w:t>•</w:t>
      </w:r>
      <w:r>
        <w:rPr>
          <w:noProof/>
        </w:rPr>
        <w:tab/>
        <w:t>Основни права</w:t>
      </w:r>
    </w:p>
    <w:p>
      <w:pPr>
        <w:pStyle w:val="Text1"/>
        <w:rPr>
          <w:rFonts w:eastAsia="Arial Unicode MS"/>
          <w:noProof/>
        </w:rPr>
      </w:pPr>
      <w:r>
        <w:rPr>
          <w:noProof/>
        </w:rPr>
        <w:t>Неприложимо.</w:t>
      </w:r>
    </w:p>
    <w:p>
      <w:pPr>
        <w:pStyle w:val="ManualHeading1"/>
        <w:rPr>
          <w:noProof/>
        </w:rPr>
      </w:pPr>
      <w:r>
        <w:rPr>
          <w:noProof/>
        </w:rPr>
        <w:t>4.</w:t>
      </w:r>
      <w:r>
        <w:rPr>
          <w:noProof/>
        </w:rPr>
        <w:tab/>
        <w:t>ОТРАЖЕНИЕ ВЪРХУ БЮДЖЕТА</w:t>
      </w:r>
    </w:p>
    <w:p>
      <w:pPr>
        <w:pStyle w:val="Text1"/>
        <w:rPr>
          <w:rFonts w:eastAsia="Arial Unicode MS"/>
          <w:noProof/>
        </w:rPr>
      </w:pPr>
      <w:r>
        <w:rPr>
          <w:noProof/>
        </w:rPr>
        <w:t xml:space="preserve">Няма.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за сключване на споразумение със Съединените американски щати относно вноса на висококачествено месо от говеда, при чието отглеждане не са били използвани определени хормони за стимулиране на растежа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и член 218, параграфи 3 и 4 от него,</w:t>
      </w:r>
    </w:p>
    <w:p>
      <w:pPr>
        <w:rPr>
          <w:noProof/>
        </w:rPr>
      </w:pPr>
      <w:r>
        <w:rPr>
          <w:noProof/>
        </w:rPr>
        <w:t>като взе предвид препоръката на Европейската комисия,</w:t>
      </w:r>
    </w:p>
    <w:p>
      <w:pPr>
        <w:rPr>
          <w:noProof/>
        </w:rPr>
      </w:pPr>
      <w:r>
        <w:rPr>
          <w:noProof/>
        </w:rPr>
        <w:t>като има предвид, че:</w:t>
      </w:r>
    </w:p>
    <w:p>
      <w:pPr>
        <w:pStyle w:val="ManualConsidrant"/>
        <w:rPr>
          <w:noProof/>
        </w:rPr>
      </w:pPr>
      <w:r>
        <w:t>(1)</w:t>
      </w:r>
      <w:r>
        <w:tab/>
      </w:r>
      <w:r>
        <w:rPr>
          <w:noProof/>
        </w:rPr>
        <w:t>На 21 октомври 2013 г. Европейският съюз сключи преработен Меморандум за разбирателство със Съединените американски щати относно вноса на месо от говеда, при чието отглеждане не са били използвани определени хормони за стимулиране на растежа, и относно увеличените мита, прилагани от Съединените щати спрямо определени продукти от Европейския съюз</w:t>
      </w:r>
      <w:r>
        <w:rPr>
          <w:rStyle w:val="FootnoteReference"/>
          <w:noProof/>
        </w:rPr>
        <w:footnoteReference w:id="4"/>
      </w:r>
      <w:r>
        <w:rPr>
          <w:noProof/>
        </w:rPr>
        <w:t xml:space="preserve"> („преработеният МР“).</w:t>
      </w:r>
    </w:p>
    <w:p>
      <w:pPr>
        <w:pStyle w:val="ManualConsidrant"/>
        <w:rPr>
          <w:noProof/>
        </w:rPr>
      </w:pPr>
      <w:r>
        <w:t>(2)</w:t>
      </w:r>
      <w:r>
        <w:tab/>
      </w:r>
      <w:r>
        <w:rPr>
          <w:noProof/>
        </w:rPr>
        <w:t>Преработеният МР беше сключен след производство за уреждане в рамките на СТО на спора DS26 ЕО — Мерки относно месото и месните продукти (Хормони) — и беше съобщен на Органа за уреждане на спорове на СТО на 14 април 2014 г.</w:t>
      </w:r>
    </w:p>
    <w:p>
      <w:pPr>
        <w:pStyle w:val="ManualConsidrant"/>
        <w:rPr>
          <w:noProof/>
        </w:rPr>
      </w:pPr>
      <w:r>
        <w:t>(3)</w:t>
      </w:r>
      <w:r>
        <w:tab/>
      </w:r>
      <w:r>
        <w:rPr>
          <w:noProof/>
        </w:rPr>
        <w:t>Съгласно първоначалния МР и преработения му текст ЕС откри годишна тарифна квота за висококачествено говеждо месо</w:t>
      </w:r>
      <w:r>
        <w:rPr>
          <w:rStyle w:val="FootnoteReference"/>
          <w:noProof/>
        </w:rPr>
        <w:footnoteReference w:id="5"/>
      </w:r>
      <w:r>
        <w:rPr>
          <w:noProof/>
        </w:rPr>
        <w:t>.</w:t>
      </w:r>
    </w:p>
    <w:p>
      <w:pPr>
        <w:pStyle w:val="ManualConsidrant"/>
        <w:rPr>
          <w:noProof/>
        </w:rPr>
      </w:pPr>
      <w:r>
        <w:t>(4)</w:t>
      </w:r>
      <w:r>
        <w:tab/>
      </w:r>
      <w:r>
        <w:rPr>
          <w:noProof/>
        </w:rPr>
        <w:t xml:space="preserve">Европейският съюз и Съединените американски щати проведоха консултации относно действието на преработения МР съгласно предвиденото в член IV от него.  </w:t>
      </w:r>
    </w:p>
    <w:p>
      <w:pPr>
        <w:pStyle w:val="ManualConsidrant"/>
        <w:rPr>
          <w:noProof/>
        </w:rPr>
      </w:pPr>
      <w:r>
        <w:t>(5)</w:t>
      </w:r>
      <w:r>
        <w:tab/>
      </w:r>
      <w:r>
        <w:rPr>
          <w:noProof/>
        </w:rPr>
        <w:t xml:space="preserve">Поради това Комисията следва да бъде упълномощена да започне преговори със Съединените американски щати относно действието, включително разпределението по държави, на тарифната квота, открита съгласно преработения МР. Комисията следва също да се стреми да получи съгласието на други значими страни доставчици по отношение на разпределението по държави на посочената тарифна квота, в съответствие с приложимите правила на СТО, доколкото е необходимо, </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keepLines/>
        <w:rPr>
          <w:noProof/>
        </w:rPr>
      </w:pPr>
      <w:r>
        <w:rPr>
          <w:noProof/>
        </w:rPr>
        <w:t>Комисията се упълномощава да започне преговори от името на Европейския съюз със Съединените американски щати относно действието на тарифната квота, открита съгласно сключения на 21 октомври 2013 г. преработен Меморандум за разбирателство със Съединените американски щати относно вноса на месо от говеда, при чието отглеждане не са били използвани определени хормони за стимулиране на растежа, и относно увеличените мита, прилагани от Съединените щати спрямо определени продукти от Европейския съюз, включително разпределението по държави на посочената тарифна квота. Комисията се упълномощава също да започне преговори от името на Европейския съюз с други значими страни доставчици, за да се опита да получи тяхното съгласие по отношение на разпределението по държави на посочената тарифна квота, в съответствие с приложимите правила на СТО, доколкото е необходимо.</w:t>
      </w:r>
    </w:p>
    <w:p>
      <w:pPr>
        <w:pStyle w:val="Titrearticle"/>
        <w:rPr>
          <w:noProof/>
        </w:rPr>
      </w:pPr>
      <w:r>
        <w:rPr>
          <w:noProof/>
        </w:rPr>
        <w:t>Член 2</w:t>
      </w:r>
    </w:p>
    <w:p>
      <w:pPr>
        <w:keepLines/>
        <w:rPr>
          <w:noProof/>
        </w:rPr>
      </w:pPr>
      <w:r>
        <w:rPr>
          <w:noProof/>
        </w:rPr>
        <w:t>Преговорите се водят въз основа на указанията за водене на преговори на Съвета, които се съдържат в приложението.</w:t>
      </w:r>
    </w:p>
    <w:p>
      <w:pPr>
        <w:pStyle w:val="Titrearticle"/>
        <w:rPr>
          <w:noProof/>
        </w:rPr>
      </w:pPr>
      <w:r>
        <w:rPr>
          <w:noProof/>
        </w:rPr>
        <w:t>Член 3</w:t>
      </w:r>
    </w:p>
    <w:p>
      <w:pPr>
        <w:keepLines/>
        <w:rPr>
          <w:noProof/>
        </w:rPr>
      </w:pPr>
      <w:r>
        <w:rPr>
          <w:noProof/>
        </w:rPr>
        <w:t>Комисията води преговорите в съответствие с правилата на СТО и в консултация с [наименование на специалния комитет — добавя се от Съвета].</w:t>
      </w:r>
    </w:p>
    <w:p>
      <w:pPr>
        <w:pStyle w:val="Titrearticle"/>
        <w:rPr>
          <w:noProof/>
        </w:rPr>
      </w:pPr>
      <w:r>
        <w:rPr>
          <w:noProof/>
        </w:rPr>
        <w:t>Член 4</w:t>
      </w:r>
    </w:p>
    <w:p>
      <w:pPr>
        <w:keepNext/>
        <w:keepLines/>
        <w:rPr>
          <w:noProof/>
          <w:color w:val="000000"/>
        </w:rPr>
      </w:pPr>
      <w:r>
        <w:rPr>
          <w:noProof/>
          <w:color w:val="000000"/>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tab/>
        <w:t xml:space="preserve">ОВ L 27, 30.1.2014 г., стр. 2. </w:t>
      </w:r>
    </w:p>
  </w:footnote>
  <w:footnote w:id="3">
    <w:p>
      <w:pPr>
        <w:pStyle w:val="FootnoteText"/>
        <w:rPr>
          <w:lang w:val="pl-PL"/>
        </w:rPr>
      </w:pPr>
      <w:r>
        <w:rPr>
          <w:rStyle w:val="FootnoteReference"/>
        </w:rPr>
        <w:footnoteRef/>
      </w:r>
      <w:r>
        <w:tab/>
        <w:t>ОВ L 148, 8.6.2012 г., стр. 9.</w:t>
      </w:r>
    </w:p>
  </w:footnote>
  <w:footnote w:id="4">
    <w:p>
      <w:pPr>
        <w:pStyle w:val="FootnoteText"/>
        <w:rPr>
          <w:lang w:val="pl-PL"/>
        </w:rPr>
      </w:pPr>
      <w:r>
        <w:rPr>
          <w:rStyle w:val="FootnoteReference"/>
        </w:rPr>
        <w:footnoteRef/>
      </w:r>
      <w:r>
        <w:tab/>
        <w:t>ОВ L 27, 30.1.2014 г., стр. 2.</w:t>
      </w:r>
    </w:p>
  </w:footnote>
  <w:footnote w:id="5">
    <w:p>
      <w:pPr>
        <w:pStyle w:val="FootnoteText"/>
        <w:rPr>
          <w:lang w:val="pl-PL"/>
        </w:rPr>
      </w:pPr>
      <w:r>
        <w:rPr>
          <w:rStyle w:val="FootnoteReference"/>
        </w:rPr>
        <w:footnoteRef/>
      </w:r>
      <w:r>
        <w:tab/>
        <w:t>ОВ L 148, 8.6.2012 г., стр.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CC6B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5C26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6EDF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4C66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A28E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F4C0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C007638"/>
    <w:lvl w:ilvl="0">
      <w:start w:val="1"/>
      <w:numFmt w:val="decimal"/>
      <w:pStyle w:val="ListNumber"/>
      <w:lvlText w:val="%1."/>
      <w:lvlJc w:val="left"/>
      <w:pPr>
        <w:tabs>
          <w:tab w:val="num" w:pos="360"/>
        </w:tabs>
        <w:ind w:left="360" w:hanging="360"/>
      </w:pPr>
    </w:lvl>
  </w:abstractNum>
  <w:abstractNum w:abstractNumId="7">
    <w:nsid w:val="FFFFFF89"/>
    <w:multiLevelType w:val="singleLevel"/>
    <w:tmpl w:val="972ACF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12:35: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1258D0E-E232-43BF-988C-1C95BD6BF0C3"/>
    <w:docVar w:name="LW_COVERPAGE_TYPE" w:val="1"/>
    <w:docVar w:name="LW_CROSSREFERENCE" w:val="&lt;UNUSED&gt;"/>
    <w:docVar w:name="LW_DocType" w:val="COM"/>
    <w:docVar w:name="LW_EMISSION" w:val="6.6.2018"/>
    <w:docVar w:name="LW_EMISSION_ISODATE" w:val="2018-06-06"/>
    <w:docVar w:name="LW_EMISSION_LOCATION" w:val="BRX"/>
    <w:docVar w:name="LW_EMISSION_PREFIX" w:val="Брюксел,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79?\u1072? \u1088?\u1072?\u1079?\u1088?\u1077?\u1096?\u1072?\u1074?\u1072?\u1085?\u1077? \u1085?\u1072? \u1079?\u1072?\u1087?\u1086?\u1095?\u1074?\u1072?\u1085?\u1077?\u1090?\u1086? \u1085?\u1072? \u1087?\u1088?\u1077?\u1075?\u1086?\u1074?\u1086?\u1088?\u1080? \u1079?\u1072? \u1089?\u1082?\u1083?\u1102?\u1095?\u1074?\u1072?\u1085?\u1077? \u1085?\u1072? \u1089?\u1087?\u1086?\u1088?\u1072?\u1079?\u1091?\u1084?\u1077?\u1085?\u1080?\u1077? \u1089?\u1098?\u1089? \u1057?\u1098?\u1077?\u1076?\u1080?\u1085?\u1077?\u1085?\u1080?\u1090?\u1077? \u1072?\u1084?\u1077?\u1088?\u1080?\u1082?\u1072?\u1085?\u1089?\u1082?\u1080? \u1097?\u1072?\u1090?\u1080? \u1086?\u1090?\u1085?\u1086?\u1089?\u1085?\u1086? \u1074?\u1085?\u1086?\u1089?\u1072? \u1085?\u1072? \u1074?\u1080?\u1089?\u1086?\u1082?\u1086?\u1082?\u1072?\u1095?\u1077?\u1089?\u1090?\u1074?\u1077?\u1085?\u1086? \u1084?\u1077?\u1089?\u1086? \u1086?\u1090? \u1075?\u1086?\u1074?\u1077?\u1076?\u1072?, \u1087?\u1088?\u1080? \u1095?\u1080?\u1077?\u1090?\u1086? \u1086?\u1090?\u1075?\u1083?\u1077?\u1078?\u1076?\u1072?\u1085?\u1077? \u1085?\u1077? \u1089?\u1072? \u1073?\u1080?\u1083?\u1080? \u1080?\u1079?\u1087?\u1086?\u1083?\u1079?\u1074?\u1072?\u1085?\u1080? \u1086?\u1087?\u1088?\u1077?\u1076?\u1077?\u1083?\u1077?\u1085?\u1080? \u1093?\u1086?\u1088?\u1084?\u1086?\u1085?\u1080? \u1079?\u1072? \u1089?\u1090?\u1080?\u1084?\u1091?\u1083?\u1080?\u1088?\u1072?\u1085?\u1077? \u1085?\u1072? \u1088?\u1072?\u1089?\u1090?\u1077?\u1078?\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5238">
      <w:bodyDiv w:val="1"/>
      <w:marLeft w:val="0"/>
      <w:marRight w:val="0"/>
      <w:marTop w:val="0"/>
      <w:marBottom w:val="0"/>
      <w:divBdr>
        <w:top w:val="none" w:sz="0" w:space="0" w:color="auto"/>
        <w:left w:val="none" w:sz="0" w:space="0" w:color="auto"/>
        <w:bottom w:val="none" w:sz="0" w:space="0" w:color="auto"/>
        <w:right w:val="none" w:sz="0" w:space="0" w:color="auto"/>
      </w:divBdr>
    </w:div>
    <w:div w:id="189419334">
      <w:bodyDiv w:val="1"/>
      <w:marLeft w:val="0"/>
      <w:marRight w:val="0"/>
      <w:marTop w:val="0"/>
      <w:marBottom w:val="0"/>
      <w:divBdr>
        <w:top w:val="none" w:sz="0" w:space="0" w:color="auto"/>
        <w:left w:val="none" w:sz="0" w:space="0" w:color="auto"/>
        <w:bottom w:val="none" w:sz="0" w:space="0" w:color="auto"/>
        <w:right w:val="none" w:sz="0" w:space="0" w:color="auto"/>
      </w:divBdr>
    </w:div>
    <w:div w:id="3877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40B3F-8988-4319-8FD9-830945D7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1386</Words>
  <Characters>7961</Characters>
  <Application>Microsoft Office Word</Application>
  <DocSecurity>0</DocSecurity>
  <Lines>173</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2018-04-27T11:38:00Z</cp:lastPrinted>
  <dcterms:created xsi:type="dcterms:W3CDTF">2018-05-18T08:56:00Z</dcterms:created>
  <dcterms:modified xsi:type="dcterms:W3CDTF">2018-06-06T10:35:00Z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