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5523F20-EC1C-44DE-93F0-BC5535E37A90" style="width:451.05pt;height:352.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С Регламент (ЕС) 2018/120 на Съвета се определят възможностите за риболов за 2018 г. на определени рибни запаси и групи от рибни запаси, приложими във водите на Съюза и за корабите на Съюза в някои води извън Съюза. Обичайна практика е тези възможности за риболов да се изменят неколкократно по време на периода, за който са в сила.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Предложените мерки са разработени в съответствие с целите и правилата на общата политика в областта на рибарството (ОПОР) и са съгласувани с политиката на Съюза за устойчиво развитие.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политиките на Съюза в други области</w:t>
      </w:r>
    </w:p>
    <w:p>
      <w:pPr>
        <w:rPr>
          <w:noProof/>
        </w:rPr>
      </w:pPr>
      <w:r>
        <w:rPr>
          <w:noProof/>
        </w:rPr>
        <w:t>Предложените мерки са съгласувани с политиките на Съюза в други области — по-специално в областта на околната среда.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ПРОПРОЦИОНАЛНОСТ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Правното основание на настоящото предложение е член 43, параграф 3 от Договора за функционирането на Европейския съюз.</w:t>
      </w:r>
    </w:p>
    <w:p>
      <w:pPr>
        <w:rPr>
          <w:noProof/>
        </w:rPr>
      </w:pPr>
      <w:r>
        <w:rPr>
          <w:noProof/>
        </w:rPr>
        <w:t>Ангажиментите на Съюза към устойчивата експлоатация на живите водни ресурси произтичат от задълженията съгласно член 2 от новия основен регламент за ОПОР.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>
      <w:pPr>
        <w:spacing w:after="0"/>
        <w:rPr>
          <w:noProof/>
        </w:rPr>
      </w:pPr>
      <w:r>
        <w:rPr>
          <w:noProof/>
        </w:rPr>
        <w:t>Предложението попада в обхвата на изключителната компетентност на Съюза в съответствие с член 3, параграф 1, буква г) от Договора.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в съответствие с принципа на пропорционалност, тъй като ОПОР е обща политика. Съгласно член 43, параграф 3 от Договора мерките за определянето и разпределянето на възможностите за риболов се приемат от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spacing w:after="0"/>
        <w:rPr>
          <w:noProof/>
        </w:rPr>
      </w:pPr>
      <w:r>
        <w:rPr>
          <w:noProof/>
        </w:rPr>
        <w:t xml:space="preserve">Предлаган инструмент: регламент.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предложението са взети предвид становищата на заинтересованите страни, както и на съответните консултативни съвети, национални администрации, рибарски и неправителствени организации.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експертен опит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се основава на научните становища на Международния съвет за изследване на морето (ICES)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rPr>
          <w:noProof/>
        </w:rPr>
      </w:pPr>
      <w:r>
        <w:rPr>
          <w:noProof/>
        </w:rPr>
        <w:t>Обхватът на Регламента относно възможностите за риболов е определен в член 43, параграф 3 от Договора.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Предложените мерки няма да имат отражение върху бюджета.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Подробни разяснения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Целта на предложението е Регламент (ЕС) 2018/120 да бъде изменен, както е описано по-долу.</w:t>
      </w:r>
    </w:p>
    <w:p>
      <w:pPr>
        <w:rPr>
          <w:noProof/>
          <w:u w:val="single"/>
        </w:rPr>
      </w:pPr>
      <w:r>
        <w:rPr>
          <w:noProof/>
          <w:u w:val="single"/>
        </w:rPr>
        <w:t>Лаврак</w:t>
      </w:r>
    </w:p>
    <w:p>
      <w:pPr>
        <w:rPr>
          <w:noProof/>
        </w:rPr>
      </w:pPr>
      <w:r>
        <w:rPr>
          <w:noProof/>
        </w:rPr>
        <w:t>На 2 юли 2018 г. ICES публикува актуализирано становище относно лаврак в участъци 4b—c, 7а и 7d—h на ICES (централната и южната част на Северно море, Ирландско море, Ламанша, Бристълски залив и Келтско море) за 2018 г.  В това становище ICES посочи по-ниска смъртност от риболов при любителския риболов и по-висок процент на оцеляване от практиката „улавяне и освобождаване“, отколкото бе прогнозирано. Поради това е целесъобразно да се въведе таван на улова от една риба на рибар на ден при любителския риболов, приложим за периода октомври — декември 2018 г.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2018/0321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2018/120 по отношение на някои възможности за риболов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Регламент (ЕС) 2018/120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определят възможностите за риболов за 2018 г. на определени рибни запаси и групи от рибни запаси, приложими във водите на Съюза и за корабите на Съюза в някои води извън Съюза.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Международният съвет за изследване на морето (ICES) публикува актуализирано становище относно лаврак (</w:t>
      </w:r>
      <w:r>
        <w:rPr>
          <w:i/>
          <w:noProof/>
        </w:rPr>
        <w:t>Dicentrarchus labrax</w:t>
      </w:r>
      <w:r>
        <w:rPr>
          <w:noProof/>
        </w:rPr>
        <w:t>) в участъци 4b—c, 7а и 7d—h на ICES (централната и южната част на Северно море, Ирландско море, Ламанша, Бристълски залив и Келтско море) за 2018 г.  Съгласно посоченото становище, за да съответства на максималния устойчив улов (МУУ), общият улов от търговски и любителски риболов през 2018 г. следва да не надвишава 880 тона. Вследствие на набора от мерки, гарантиращи възстановяването на запасите, очаква се биомасата да се увеличи през 2018 г. В това становище ICES също така посочи по-ниска смъртност от риболов при любителския риболов и по-висок процент на оцеляване от практиката „улавяне и освобождаване“ (смъртност от риболов 5 %), отколкото бе прогнозирано (15 %). Поради това е целесъобразно при любителския риболов, който се извършва между октомври и декември 2018 г., да е разрешено задържането на една риба на рибар на ден.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Регламент (ЕС) 2018/120 следва да бъде съответно изменен,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 9 от Регламент (ЕС) 2018/120 параграф 4 се заменя със следното:</w:t>
      </w:r>
    </w:p>
    <w:p>
      <w:pPr>
        <w:rPr>
          <w:noProof/>
        </w:rPr>
      </w:pPr>
      <w:r>
        <w:rPr>
          <w:noProof/>
        </w:rPr>
        <w:t>„4. При любителски риболов, включително от брега, в участъци 4b, 4c, 7a—7k на ICES:</w:t>
      </w:r>
    </w:p>
    <w:p>
      <w:pPr>
        <w:rPr>
          <w:noProof/>
        </w:rPr>
      </w:pPr>
      <w:r>
        <w:rPr>
          <w:noProof/>
        </w:rPr>
        <w:t>а) от 1 януари 2018 г. до 30 септември 2018 г. се разрешава риболов на лаврак само на принципа „улавяне и освобождаване“. През посочения период се забранява да се задържа на борда, да се премества, трансбордира или разтоварва лаврак, уловен в посочената зона;</w:t>
      </w:r>
    </w:p>
    <w:p>
      <w:pPr>
        <w:rPr>
          <w:noProof/>
        </w:rPr>
      </w:pPr>
      <w:r>
        <w:rPr>
          <w:noProof/>
        </w:rPr>
        <w:t>б) от 1 октомври до 31 декември 2018 г. може да се задържа не повече от един екземпляр лаврак на рибар на ден.“.</w:t>
      </w:r>
    </w:p>
    <w:p>
      <w:pPr>
        <w:pStyle w:val="Titrearticle"/>
        <w:rPr>
          <w:noProof/>
        </w:rPr>
      </w:pPr>
      <w:r>
        <w:rPr>
          <w:noProof/>
        </w:rPr>
        <w:t xml:space="preserve">Член 2 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третия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http://www.ices.dk/community/advisory-process/Pages/Latest-advice.aspx</w:t>
        </w:r>
      </w:hyperlink>
      <w: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2018/120 на Съвета от 23 януари 2018 г. за определяне за 2018 г. на възможностите за риболов на определени рибни запаси и групи от рибни запаси, приложими във водите на Съюза и за риболовните кораби на Съюза в някои води извън Съюза (ОВ L 27, 31.1.2018 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808D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E4A26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09EE6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A945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FD48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02A3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5F03B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FAA5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CO Enrico (SJ)">
    <w15:presenceInfo w15:providerId="None" w15:userId="VESCO Enrico (SJ)"/>
  </w15:person>
  <w15:person w15:author="STOBIECKA-KUIK Agnieszka (SJ)">
    <w15:presenceInfo w15:providerId="None" w15:userId="STOBIECKA-KUIK Agnieszka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8-30 16:48:0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5523F20-EC1C-44DE-93F0-BC5535E37A90"/>
    <w:docVar w:name="LW_COVERPAGE_TYPE" w:val="1"/>
    <w:docVar w:name="LW_CROSSREFERENCE" w:val="&lt;UNUSED&gt;"/>
    <w:docVar w:name="LW_DocType" w:val="COM"/>
    <w:docVar w:name="LW_EMISSION" w:val="4.9.2018"/>
    <w:docVar w:name="LW_EMISSION_ISODATE" w:val="2018-09-04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EXP.MOTIFS.NEW" w:val="EM_PL_"/>
    <w:docVar w:name="LW_ID_STATUT" w:val="SJ-01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21"/>
    <w:docVar w:name="LW_REF.II.NEW.CP_YEAR" w:val="2018"/>
    <w:docVar w:name="LW_REF.INST.NEW" w:val="COM"/>
    <w:docVar w:name="LW_REF.INST.NEW_ADOPTED" w:val="final"/>
    <w:docVar w:name="LW_REF.INST.NEW_TEXT" w:val="(2018) 61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8/120 \u1087?\u1086? \u1086?\u1090?\u1085?\u1086?\u1096?\u1077?\u1085?\u1080?\u1077? \u1085?\u1072? \u1085?\u1103?\u1082?\u1086?\u1080? \u1074?\u1098?\u1079?\u1084?\u1086?\u1078?\u1085?\u1086?\u1089?\u1090?\u1080? \u1079?\u1072? \u1088?\u1080?\u1073?\u1086?\u1083?\u1086?\u1074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es.dk/community/advisory-process/Pages/Latest-advic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B09F-4DAB-4D17-970D-B7928C52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875</Words>
  <Characters>4929</Characters>
  <Application>Microsoft Office Word</Application>
  <DocSecurity>0</DocSecurity>
  <Lines>114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2018-08-29T09:50:00Z</dcterms:created>
  <dcterms:modified xsi:type="dcterms:W3CDTF">2018-08-30T14:48:00Z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