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654FF583-3945-42A4-BBA0-EA5605084DD1"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CoverPage"/>
        <w:rPr>
          <w:noProof/>
        </w:rPr>
      </w:pPr>
      <w:bookmarkStart w:id="1" w:name="_GoBack"/>
      <w:bookmarkEnd w:id="1"/>
    </w:p>
    <w:p>
      <w:pPr>
        <w:pStyle w:val="CoverPage"/>
        <w:rPr>
          <w:noProof/>
        </w:rPr>
      </w:pPr>
    </w:p>
    <w:p>
      <w:pPr>
        <w:pStyle w:val="CoverPage"/>
        <w:rPr>
          <w:noProof/>
        </w:rPr>
      </w:pPr>
    </w:p>
    <w:p>
      <w:pPr>
        <w:pStyle w:val="CoverPage"/>
        <w:rPr>
          <w:noProof/>
        </w:rPr>
      </w:pPr>
    </w:p>
    <w:p>
      <w:pPr>
        <w:pStyle w:val="CoverPage"/>
        <w:rPr>
          <w:noProof/>
        </w:rPr>
      </w:pPr>
    </w:p>
    <w:p>
      <w:pPr>
        <w:pStyle w:val="CoverPag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r>
        <w:rPr>
          <w:noProof/>
        </w:rPr>
        <w:t xml:space="preserve"> </w:t>
      </w:r>
    </w:p>
    <w:p>
      <w:pPr>
        <w:pStyle w:val="HEADERTABLE"/>
        <w:rPr>
          <w:noProof/>
        </w:rPr>
      </w:pPr>
      <w:bookmarkStart w:id="2" w:name="_DMBM_11326"/>
      <w:r>
        <w:rPr>
          <w:noProof/>
        </w:rPr>
        <w:t>СЪДЪРЖАНИЕ</w:t>
      </w:r>
    </w:p>
    <w:p>
      <w:pPr>
        <w:pStyle w:val="HEADERTABLE"/>
        <w:rPr>
          <w:noProof/>
        </w:rPr>
      </w:pPr>
    </w:p>
    <w:p>
      <w:pPr>
        <w:pStyle w:val="HEADERTABLE"/>
        <w:rPr>
          <w:noProof/>
          <w:lang w:val="en-GB"/>
        </w:rPr>
      </w:pPr>
    </w:p>
    <w:p>
      <w:pPr>
        <w:pStyle w:val="TOC1"/>
        <w:rPr>
          <w:rFonts w:asciiTheme="minorHAnsi" w:eastAsiaTheme="minorEastAsia" w:hAnsiTheme="minorHAnsi" w:cstheme="minorBidi"/>
          <w:noProof/>
          <w:color w:val="auto"/>
          <w:szCs w:val="22"/>
          <w:lang w:val="en-GB" w:eastAsia="en-GB" w:bidi="ar-SA"/>
        </w:rPr>
      </w:pPr>
      <w:r>
        <w:rPr>
          <w:noProof/>
          <w:color w:val="auto"/>
          <w:sz w:val="18"/>
          <w:szCs w:val="18"/>
          <w:lang w:eastAsia="en-US"/>
        </w:rPr>
        <w:fldChar w:fldCharType="begin"/>
      </w:r>
      <w:r>
        <w:rPr>
          <w:noProof/>
        </w:rPr>
        <w:instrText xml:space="preserve"> TOC \h \z \t "FIRST_CHAPTER_PAGE;1;HEADER_TITLE_1;2" </w:instrText>
      </w:r>
      <w:r>
        <w:rPr>
          <w:noProof/>
          <w:color w:val="auto"/>
          <w:sz w:val="18"/>
          <w:szCs w:val="18"/>
          <w:lang w:eastAsia="en-US"/>
        </w:rPr>
        <w:fldChar w:fldCharType="separate"/>
      </w:r>
      <w:hyperlink w:anchor="_Toc522889996" w:history="1">
        <w:r>
          <w:rPr>
            <w:rStyle w:val="Hyperlink"/>
            <w:noProof/>
          </w:rPr>
          <w:t>ПРЕДГОВОР</w:t>
        </w:r>
        <w:r>
          <w:rPr>
            <w:noProof/>
            <w:webHidden/>
          </w:rPr>
          <w:tab/>
        </w:r>
        <w:r>
          <w:rPr>
            <w:noProof/>
            <w:webHidden/>
          </w:rPr>
          <w:fldChar w:fldCharType="begin"/>
        </w:r>
        <w:r>
          <w:rPr>
            <w:noProof/>
            <w:webHidden/>
          </w:rPr>
          <w:instrText xml:space="preserve"> PAGEREF _Toc522889996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89997" w:history="1">
        <w:r>
          <w:rPr>
            <w:rStyle w:val="Hyperlink"/>
            <w:noProof/>
          </w:rPr>
          <w:t>ПОЛИТИЧЕСКА РАМКА, УПРАВЛЕНИЕ И ОТЧЕТНОСТ НА ЕВРОПЕЙСКИЯ СЪЮЗ</w:t>
        </w:r>
        <w:r>
          <w:rPr>
            <w:noProof/>
            <w:webHidden/>
          </w:rPr>
          <w:tab/>
        </w:r>
        <w:r>
          <w:rPr>
            <w:noProof/>
            <w:webHidden/>
          </w:rPr>
          <w:fldChar w:fldCharType="begin"/>
        </w:r>
        <w:r>
          <w:rPr>
            <w:noProof/>
            <w:webHidden/>
          </w:rPr>
          <w:instrText xml:space="preserve"> PAGEREF _Toc522889997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89998" w:history="1">
        <w:r>
          <w:rPr>
            <w:rStyle w:val="Hyperlink"/>
            <w:noProof/>
          </w:rPr>
          <w:t>БЕЛЕЖКА, СЪПЪТСТВАЩА КОНСОЛИДИРАНИТЕ ОТЧЕТИ</w:t>
        </w:r>
        <w:r>
          <w:rPr>
            <w:noProof/>
            <w:webHidden/>
          </w:rPr>
          <w:tab/>
        </w:r>
        <w:r>
          <w:rPr>
            <w:noProof/>
            <w:webHidden/>
          </w:rPr>
          <w:fldChar w:fldCharType="begin"/>
        </w:r>
        <w:r>
          <w:rPr>
            <w:noProof/>
            <w:webHidden/>
          </w:rPr>
          <w:instrText xml:space="preserve"> PAGEREF _Toc522889998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89999" w:history="1">
        <w:r>
          <w:rPr>
            <w:rStyle w:val="Hyperlink"/>
            <w:noProof/>
          </w:rPr>
          <w:t>ОСНОВНИ АСПЕКТИ НА 2017 ФИНАНСОВА ГОДИНА</w:t>
        </w:r>
        <w:r>
          <w:rPr>
            <w:noProof/>
            <w:webHidden/>
          </w:rPr>
          <w:tab/>
        </w:r>
        <w:r>
          <w:rPr>
            <w:noProof/>
            <w:webHidden/>
          </w:rPr>
          <w:fldChar w:fldCharType="begin"/>
        </w:r>
        <w:r>
          <w:rPr>
            <w:noProof/>
            <w:webHidden/>
          </w:rPr>
          <w:instrText xml:space="preserve"> PAGEREF _Toc522889999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000" w:history="1">
        <w:r>
          <w:rPr>
            <w:rStyle w:val="Hyperlink"/>
            <w:noProof/>
          </w:rPr>
          <w:t>КОНСОЛИДИРАНИ ФИНАНСОВИ ОТЧЕТИ И ОБЯСНИТЕЛНИ БЕЛЕЖКИ</w:t>
        </w:r>
        <w:r>
          <w:rPr>
            <w:noProof/>
            <w:webHidden/>
          </w:rPr>
          <w:tab/>
        </w:r>
        <w:r>
          <w:rPr>
            <w:noProof/>
            <w:webHidden/>
          </w:rPr>
          <w:fldChar w:fldCharType="begin"/>
        </w:r>
        <w:r>
          <w:rPr>
            <w:noProof/>
            <w:webHidden/>
          </w:rPr>
          <w:instrText xml:space="preserve"> PAGEREF _Toc522890000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001" w:history="1">
        <w:r>
          <w:rPr>
            <w:rStyle w:val="Hyperlink"/>
            <w:noProof/>
          </w:rPr>
          <w:t>СЧЕТОВОДЕН БАЛАНС</w:t>
        </w:r>
        <w:r>
          <w:rPr>
            <w:noProof/>
            <w:webHidden/>
          </w:rPr>
          <w:tab/>
        </w:r>
        <w:r>
          <w:rPr>
            <w:noProof/>
            <w:webHidden/>
          </w:rPr>
          <w:fldChar w:fldCharType="begin"/>
        </w:r>
        <w:r>
          <w:rPr>
            <w:noProof/>
            <w:webHidden/>
          </w:rPr>
          <w:instrText xml:space="preserve"> PAGEREF _Toc522890001 \h </w:instrText>
        </w:r>
        <w:r>
          <w:rPr>
            <w:noProof/>
            <w:webHidden/>
          </w:rPr>
        </w:r>
        <w:r>
          <w:rPr>
            <w:noProof/>
            <w:webHidden/>
          </w:rPr>
          <w:fldChar w:fldCharType="separate"/>
        </w:r>
        <w:r>
          <w:rPr>
            <w:noProof/>
            <w:webHidden/>
          </w:rPr>
          <w:t>24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002" w:history="1">
        <w:r>
          <w:rPr>
            <w:rStyle w:val="Hyperlink"/>
            <w:noProof/>
          </w:rPr>
          <w:t>ОТЧЕТ ЗА ФИНАНСОВИЯ РЕЗУЛТАТ</w:t>
        </w:r>
        <w:r>
          <w:rPr>
            <w:noProof/>
            <w:webHidden/>
          </w:rPr>
          <w:tab/>
        </w:r>
        <w:r>
          <w:rPr>
            <w:noProof/>
            <w:webHidden/>
          </w:rPr>
          <w:fldChar w:fldCharType="begin"/>
        </w:r>
        <w:r>
          <w:rPr>
            <w:noProof/>
            <w:webHidden/>
          </w:rPr>
          <w:instrText xml:space="preserve"> PAGEREF _Toc522890002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003" w:history="1">
        <w:r>
          <w:rPr>
            <w:rStyle w:val="Hyperlink"/>
            <w:noProof/>
          </w:rPr>
          <w:t>ОТЧЕТ ЗА ПАРИЧНИТЕ ПОТОЦИ</w:t>
        </w:r>
        <w:r>
          <w:rPr>
            <w:noProof/>
            <w:webHidden/>
          </w:rPr>
          <w:tab/>
        </w:r>
        <w:r>
          <w:rPr>
            <w:noProof/>
            <w:webHidden/>
          </w:rPr>
          <w:fldChar w:fldCharType="begin"/>
        </w:r>
        <w:r>
          <w:rPr>
            <w:noProof/>
            <w:webHidden/>
          </w:rPr>
          <w:instrText xml:space="preserve"> PAGEREF _Toc522890003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004" w:history="1">
        <w:r>
          <w:rPr>
            <w:rStyle w:val="Hyperlink"/>
            <w:noProof/>
          </w:rPr>
          <w:t>ОТЧЕТ ЗА ПРОМЕНИТЕ В НЕТНИТЕ АКТИВИ</w:t>
        </w:r>
        <w:r>
          <w:rPr>
            <w:noProof/>
            <w:webHidden/>
          </w:rPr>
          <w:tab/>
        </w:r>
        <w:r>
          <w:rPr>
            <w:noProof/>
            <w:webHidden/>
          </w:rPr>
          <w:fldChar w:fldCharType="begin"/>
        </w:r>
        <w:r>
          <w:rPr>
            <w:noProof/>
            <w:webHidden/>
          </w:rPr>
          <w:instrText xml:space="preserve"> PAGEREF _Toc522890004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005" w:history="1">
        <w:r>
          <w:rPr>
            <w:rStyle w:val="Hyperlink"/>
            <w:noProof/>
          </w:rPr>
          <w:t>БЕЛЕЖКИ КЪМ ФИНАНСОВИТЕ ОТЧЕТИ</w:t>
        </w:r>
        <w:r>
          <w:rPr>
            <w:noProof/>
            <w:webHidden/>
          </w:rPr>
          <w:tab/>
        </w:r>
        <w:r>
          <w:rPr>
            <w:noProof/>
            <w:webHidden/>
          </w:rPr>
          <w:fldChar w:fldCharType="begin"/>
        </w:r>
        <w:r>
          <w:rPr>
            <w:noProof/>
            <w:webHidden/>
          </w:rPr>
          <w:instrText xml:space="preserve"> PAGEREF _Toc522890005 \h </w:instrText>
        </w:r>
        <w:r>
          <w:rPr>
            <w:noProof/>
            <w:webHidden/>
          </w:rPr>
        </w:r>
        <w:r>
          <w:rPr>
            <w:noProof/>
            <w:webHidden/>
          </w:rPr>
          <w:fldChar w:fldCharType="separate"/>
        </w:r>
        <w:r>
          <w:rPr>
            <w:noProof/>
            <w:webHidden/>
          </w:rPr>
          <w:t>28</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006" w:history="1">
        <w:r>
          <w:rPr>
            <w:rStyle w:val="Hyperlink"/>
            <w:noProof/>
          </w:rPr>
          <w:t>ОБСЪЖДАНЕ И АНАЛИЗ НА ФИНАНСОВИТЕ ОТЧЕТИ</w:t>
        </w:r>
        <w:r>
          <w:rPr>
            <w:noProof/>
            <w:webHidden/>
          </w:rPr>
          <w:tab/>
        </w:r>
        <w:r>
          <w:rPr>
            <w:noProof/>
            <w:webHidden/>
          </w:rPr>
          <w:fldChar w:fldCharType="begin"/>
        </w:r>
        <w:r>
          <w:rPr>
            <w:noProof/>
            <w:webHidden/>
          </w:rPr>
          <w:instrText xml:space="preserve"> PAGEREF _Toc522890006 \h </w:instrText>
        </w:r>
        <w:r>
          <w:rPr>
            <w:noProof/>
            <w:webHidden/>
          </w:rPr>
        </w:r>
        <w:r>
          <w:rPr>
            <w:noProof/>
            <w:webHidden/>
          </w:rPr>
          <w:fldChar w:fldCharType="separate"/>
        </w:r>
        <w:r>
          <w:rPr>
            <w:noProof/>
            <w:webHidden/>
          </w:rPr>
          <w:t>106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007" w:history="1">
        <w:r>
          <w:rPr>
            <w:rStyle w:val="Hyperlink"/>
            <w:noProof/>
          </w:rPr>
          <w:t>ДОКЛАДИ ЗА ИЗПЪЛНЕНИЕТО НА БЮДЖЕТА И ОБЯСНИТЕЛНИ БЕЛЕЖКИ</w:t>
        </w:r>
        <w:r>
          <w:rPr>
            <w:noProof/>
            <w:webHidden/>
          </w:rPr>
          <w:tab/>
        </w:r>
        <w:r>
          <w:rPr>
            <w:noProof/>
            <w:webHidden/>
          </w:rPr>
          <w:fldChar w:fldCharType="begin"/>
        </w:r>
        <w:r>
          <w:rPr>
            <w:noProof/>
            <w:webHidden/>
          </w:rPr>
          <w:instrText xml:space="preserve"> PAGEREF _Toc522890007 \h </w:instrText>
        </w:r>
        <w:r>
          <w:rPr>
            <w:noProof/>
            <w:webHidden/>
          </w:rPr>
        </w:r>
        <w:r>
          <w:rPr>
            <w:noProof/>
            <w:webHidden/>
          </w:rPr>
          <w:fldChar w:fldCharType="separate"/>
        </w:r>
        <w:r>
          <w:rPr>
            <w:noProof/>
            <w:webHidden/>
          </w:rPr>
          <w:t>126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008" w:history="1">
        <w:r>
          <w:rPr>
            <w:rStyle w:val="Hyperlink"/>
            <w:noProof/>
          </w:rPr>
          <w:t>РЕЧНИК НА ТЕРМИНИТЕ</w:t>
        </w:r>
        <w:r>
          <w:rPr>
            <w:noProof/>
            <w:webHidden/>
          </w:rPr>
          <w:tab/>
        </w:r>
        <w:r>
          <w:rPr>
            <w:noProof/>
            <w:webHidden/>
          </w:rPr>
          <w:fldChar w:fldCharType="begin"/>
        </w:r>
        <w:r>
          <w:rPr>
            <w:noProof/>
            <w:webHidden/>
          </w:rPr>
          <w:instrText xml:space="preserve"> PAGEREF _Toc522890008 \h </w:instrText>
        </w:r>
        <w:r>
          <w:rPr>
            <w:noProof/>
            <w:webHidden/>
          </w:rPr>
        </w:r>
        <w:r>
          <w:rPr>
            <w:noProof/>
            <w:webHidden/>
          </w:rPr>
          <w:fldChar w:fldCharType="separate"/>
        </w:r>
        <w:r>
          <w:rPr>
            <w:noProof/>
            <w:webHidden/>
          </w:rPr>
          <w:t>178</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009" w:history="1">
        <w:r>
          <w:rPr>
            <w:rStyle w:val="Hyperlink"/>
            <w:noProof/>
          </w:rPr>
          <w:t>СПИСЪК НА СЪКРАЩЕНИЯТА</w:t>
        </w:r>
        <w:r>
          <w:rPr>
            <w:noProof/>
            <w:webHidden/>
          </w:rPr>
          <w:tab/>
        </w:r>
        <w:r>
          <w:rPr>
            <w:noProof/>
            <w:webHidden/>
          </w:rPr>
          <w:fldChar w:fldCharType="begin"/>
        </w:r>
        <w:r>
          <w:rPr>
            <w:noProof/>
            <w:webHidden/>
          </w:rPr>
          <w:instrText xml:space="preserve"> PAGEREF _Toc522890009 \h </w:instrText>
        </w:r>
        <w:r>
          <w:rPr>
            <w:noProof/>
            <w:webHidden/>
          </w:rPr>
        </w:r>
        <w:r>
          <w:rPr>
            <w:noProof/>
            <w:webHidden/>
          </w:rPr>
          <w:fldChar w:fldCharType="separate"/>
        </w:r>
        <w:r>
          <w:rPr>
            <w:noProof/>
            <w:webHidden/>
          </w:rPr>
          <w:t>182</w:t>
        </w:r>
        <w:r>
          <w:rPr>
            <w:noProof/>
            <w:webHidden/>
          </w:rPr>
          <w:fldChar w:fldCharType="end"/>
        </w:r>
      </w:hyperlink>
    </w:p>
    <w:p>
      <w:pPr>
        <w:pStyle w:val="TOC1"/>
        <w:rPr>
          <w:noProof/>
          <w:lang w:val="en-GB"/>
        </w:rPr>
      </w:pPr>
      <w:r>
        <w:rPr>
          <w:caps/>
          <w:noProof/>
          <w:color w:val="016894"/>
          <w:sz w:val="20"/>
          <w:lang w:eastAsia="en-GB"/>
        </w:rPr>
        <w:fldChar w:fldCharType="end"/>
      </w:r>
    </w:p>
    <w:p>
      <w:pPr>
        <w:pStyle w:val="Textstand-alone"/>
        <w:rPr>
          <w:rFonts w:asciiTheme="minorHAnsi" w:eastAsiaTheme="minorEastAsia" w:hAnsiTheme="minorHAnsi" w:cstheme="minorBidi"/>
          <w:szCs w:val="22"/>
        </w:rPr>
        <w:sectPr>
          <w:headerReference w:type="even" r:id="rId22"/>
          <w:headerReference w:type="default" r:id="rId23"/>
          <w:footerReference w:type="even" r:id="rId24"/>
          <w:footerReference w:type="default" r:id="rId25"/>
          <w:headerReference w:type="first" r:id="rId26"/>
          <w:footerReference w:type="first" r:id="rId27"/>
          <w:pgSz w:w="11907" w:h="16840"/>
          <w:pgMar w:top="1134" w:right="1134" w:bottom="1134" w:left="1134" w:header="709" w:footer="709" w:gutter="0"/>
          <w:cols w:space="708"/>
          <w:docGrid w:linePitch="360"/>
        </w:sectPr>
      </w:pPr>
      <w:r>
        <w:rPr>
          <w:caps/>
          <w:color w:val="016894"/>
          <w:sz w:val="20"/>
        </w:rPr>
        <w:t xml:space="preserve"> </w:t>
      </w:r>
      <w:bookmarkEnd w:id="2"/>
    </w:p>
    <w:p>
      <w:pPr>
        <w:rPr>
          <w:rFonts w:ascii="Verdana" w:hAnsi="Verdana"/>
          <w:b/>
          <w:noProof/>
          <w:color w:val="016794"/>
          <w:sz w:val="40"/>
          <w:szCs w:val="40"/>
        </w:rPr>
      </w:pPr>
      <w:bookmarkStart w:id="3" w:name="_DMBM_11436"/>
      <w:r>
        <w:rPr>
          <w:noProof/>
        </w:rPr>
        <w:br w:type="page"/>
      </w:r>
    </w:p>
    <w:p>
      <w:pPr>
        <w:pStyle w:val="FIRSTCHAPTERPAGE"/>
        <w:rPr>
          <w:noProof/>
        </w:rPr>
      </w:pPr>
      <w:bookmarkStart w:id="4" w:name="_Toc522889996"/>
      <w:r>
        <w:rPr>
          <w:noProof/>
        </w:rPr>
        <w:t>ПРЕДГОВОР</w:t>
      </w:r>
      <w:bookmarkEnd w:id="4"/>
    </w:p>
    <w:tbl>
      <w:tblPr>
        <w:tblW w:w="0" w:type="auto"/>
        <w:tblInd w:w="108" w:type="dxa"/>
        <w:tblLayout w:type="fixed"/>
        <w:tblLook w:val="04A0" w:firstRow="1" w:lastRow="0" w:firstColumn="1" w:lastColumn="0" w:noHBand="0" w:noVBand="1"/>
      </w:tblPr>
      <w:tblGrid>
        <w:gridCol w:w="2694"/>
        <w:gridCol w:w="7052"/>
      </w:tblGrid>
      <w:tr>
        <w:tc>
          <w:tcPr>
            <w:tcW w:w="2694" w:type="dxa"/>
          </w:tcPr>
          <w:p>
            <w:pPr>
              <w:jc w:val="both"/>
              <w:rPr>
                <w:rFonts w:ascii="Verdana" w:hAnsi="Verdana"/>
                <w:noProof/>
                <w:sz w:val="16"/>
                <w:szCs w:val="16"/>
              </w:rPr>
            </w:pPr>
            <w:r>
              <w:rPr>
                <w:rFonts w:ascii="Verdana" w:hAnsi="Verdana"/>
                <w:noProof/>
                <w:sz w:val="16"/>
                <w:szCs w:val="16"/>
                <w:lang w:val="en-US" w:eastAsia="en-US" w:bidi="ar-SA"/>
              </w:rPr>
              <w:drawing>
                <wp:inline distT="0" distB="0" distL="0" distR="0">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2848" name="Günther H. Oettinger_approved_cropp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pPr>
              <w:pStyle w:val="DGTextstand-alone"/>
            </w:pPr>
            <w:r>
              <w:t xml:space="preserve">Имам удоволствието да представя годишните отчети на Европейския съюз за 2017 г. Те съдържат пълен преглед на финансите на ЕС и на изпълнението на бюджета на ЕС за предходната година, включително информация за условните пасиви, финансовите задължения и други задължения на Съюза. Те отразяват многогодишния характер на дейностите на Съюза и дават обяснения за основните финансови данни и за тяхното изменение. </w:t>
            </w:r>
            <w:r>
              <w:rPr>
                <w:b/>
              </w:rPr>
              <w:t>Консолидираните годишни отчети на Европейския съюз</w:t>
            </w:r>
            <w:r>
              <w:t xml:space="preserve"> </w:t>
            </w:r>
            <w:r>
              <w:rPr>
                <w:rStyle w:val="Emphasis"/>
                <w:color w:val="000000" w:themeColor="text1"/>
              </w:rPr>
              <w:t>са</w:t>
            </w:r>
            <w:r>
              <w:t xml:space="preserve"> част от </w:t>
            </w:r>
            <w:r>
              <w:rPr>
                <w:b/>
              </w:rPr>
              <w:t>интегрирания пакет за финансово отчитане</w:t>
            </w:r>
            <w:r>
              <w:t xml:space="preserve"> на Комисията и представляват съществена част от силно развитата ни система за финансова отчетност.</w:t>
            </w:r>
          </w:p>
          <w:p>
            <w:pPr>
              <w:pStyle w:val="DGTextstand-alone"/>
              <w:rPr>
                <w:sz w:val="16"/>
                <w:szCs w:val="16"/>
              </w:rPr>
            </w:pPr>
            <w:r>
              <w:t>Докато 2016 г. беше година на съмнение по отношение на европейския проект, не на последно място поради решението на Обединеното кралство да напусне Съюза, 2017 г. беше година на нова надежда и перспективи.</w:t>
            </w:r>
          </w:p>
        </w:tc>
      </w:tr>
    </w:tbl>
    <w:p>
      <w:pPr>
        <w:pStyle w:val="DGTextstand-alone"/>
      </w:pPr>
      <w:r>
        <w:t>60-тата годишнина от подписването на Договора от Рим осигури контекст за период на дълбок размисъл относно бъдещето на Европа. Възползвахме се от възможността да потвърдим ангажимента си към ценностите на Съюза и да определим приоритетите за Съюза, съставен от 27 държави.</w:t>
      </w:r>
    </w:p>
    <w:p>
      <w:pPr>
        <w:pStyle w:val="DGTextstand-alone"/>
      </w:pPr>
      <w:r>
        <w:t>През 2017 г. Европейският съюз се съсредоточи върху осигуряването на устойчиво икономическо възстановяване. Темповете на растеж за ЕС и за еврозоната надминаха очакванията, достигайки рекордните за последните 10 години 2,4 %. Въпреки това ЕС трябваше да се бори с редица предизвикателства, свързани с конкурентоспособността, миграцията или сигурността, и да предприеме мерки във връзка с няколко големи природни бедствия.</w:t>
      </w:r>
    </w:p>
    <w:p>
      <w:pPr>
        <w:pStyle w:val="DGTextstand-alone"/>
      </w:pPr>
      <w:r>
        <w:t>Бюджетът на ЕС е средство, носещо уникална полза за Съюза, тъй като чрез него амбициите се превръщат в осезаеми резултати на място. Той допълва националните бюджети, като осигурява европейска добавена стойност в области, в които координираните ответни действия са най-ефикасният и най-ефективен начин за постигане на приоритетите ни.</w:t>
      </w:r>
    </w:p>
    <w:p>
      <w:pPr>
        <w:pStyle w:val="DGTextstand-alone"/>
        <w:rPr>
          <w:iCs/>
        </w:rPr>
      </w:pPr>
      <w:r>
        <w:t xml:space="preserve">2017 година бе четвъртата година от изпълнението на настоящата многогодишна финансова рамка. Всички финансови програми вече работят с пълен капацитет. Същевременно многобройните неочаквани предизвикателства потвърдиха отново колко важно е да съществува гъвкав подход към изпълнението на бюджета. Междинното преразглеждане на МФР осигури допълнителни средства за реагиране на непредвидени обстоятелства. </w:t>
      </w:r>
    </w:p>
    <w:p>
      <w:pPr>
        <w:pStyle w:val="DGTextstand-alone"/>
        <w:rPr>
          <w:iCs/>
        </w:rPr>
      </w:pPr>
      <w:r>
        <w:t xml:space="preserve">Приетият бюджет за 2017 г. бе съсредоточен върху два основни приоритета на политиката за Европа: да се подпомогне процесът на възстановяване на европейската икономика и да се преодолее кризата с миграцията и бежанците. Той обезпечи, от една страна, изпълнението на текущите програми, а, от друга страна, осигури финансова подкрепа за борба с новите предизвикателства. </w:t>
      </w:r>
    </w:p>
    <w:p>
      <w:pPr>
        <w:pStyle w:val="DGTextstand-alone"/>
        <w:rPr>
          <w:iCs/>
        </w:rPr>
      </w:pPr>
      <w:r>
        <w:t xml:space="preserve">Почти половината от средствата — 83,2 милиарда евро поети задължения — бяха използвани за стимулиране на растежа, заетостта и конкурентоспособността. Това включваше финансиране за научните изследвания и иновациите по линия на „Хоризонт 2020“, за образованието по линия на „Еразъм+“, за малките и средните предприятия по линия на COSME и за инфраструктурата по линия на Механизма за свързване на Европа (МСЕ). Освен това Европейският фонд за стратегически инвестиции (ЕФСИ) подпомогна изпълнението на Плана за инвестиции за Европа, а сближаването между държавите членки и между регионите бе насърчено чрез европейските структурни и инвестиционни фондове (ЕСИФ). </w:t>
      </w:r>
    </w:p>
    <w:p>
      <w:pPr>
        <w:pStyle w:val="DGTextstand-alone"/>
      </w:pPr>
      <w:r>
        <w:rPr>
          <w:b/>
        </w:rPr>
        <w:t>Европейският фонд за стратегически инвестиции</w:t>
      </w:r>
      <w:r>
        <w:t xml:space="preserve"> вече генерира над 287 милиарда евро нови инвестиции и помогна за създаването на над 300 000 работни места. През декември 2017 г. Европейският парламент и Съветът решиха да увеличат средствата на Фонда и да продължат срока на функционирането му, за да се стимулират инвестиции на стойност до 500 милиарда евро до 2020 г. Гаранционният фонд на ЕФСИ, който Комисията създаде, за да осигури ликвиден буфер за покриване на гаранциите, задействани от групата на ЕИБ за направените от нея инвестиции, достигна 3,5 милиарда евро към края на 2017 г.</w:t>
      </w:r>
    </w:p>
    <w:p>
      <w:pPr>
        <w:pStyle w:val="DGTextstand-alone"/>
        <w:rPr>
          <w:iCs/>
        </w:rPr>
      </w:pPr>
      <w:r>
        <w:t xml:space="preserve">54 милиарда евро бяха заделени за програми, насочени към </w:t>
      </w:r>
      <w:r>
        <w:rPr>
          <w:b/>
        </w:rPr>
        <w:t>засилване на икономическото, социалното и териториалното сближаване</w:t>
      </w:r>
      <w:r>
        <w:t xml:space="preserve">, включително Европейския фонд за регионално развитие, Кохезионния фонд и Европейския социален фонд. </w:t>
      </w:r>
      <w:r>
        <w:rPr>
          <w:rStyle w:val="Emphasis"/>
          <w:rFonts w:eastAsiaTheme="minorHAnsi"/>
          <w:color w:val="000000" w:themeColor="text1"/>
        </w:rPr>
        <w:t>Инициативата за младежка заетост, чието изпълнение бе ускорено през 2017 г.,</w:t>
      </w:r>
      <w:r>
        <w:t xml:space="preserve"> е насочена към намаляване на младежката безработица в целия Съюз. До края на 2017 г. общият размер на допустимите разходи за операциите, избрани за подпомагане, достигна почти 7 милиарда евро. Държавите членки декларират, че 1,7 милиона млади хора вече са се възползвали от помощта, предоставяна от инициативата.</w:t>
      </w:r>
    </w:p>
    <w:p>
      <w:pPr>
        <w:pStyle w:val="DGTextstand-alone"/>
      </w:pPr>
      <w:r>
        <w:t xml:space="preserve">Освен това бюджетът на ЕС послужи като инструмент за </w:t>
      </w:r>
      <w:r>
        <w:rPr>
          <w:b/>
        </w:rPr>
        <w:t>солидарност</w:t>
      </w:r>
      <w:r>
        <w:t xml:space="preserve">, като например бяха мобилизирани 1,2 милиарда евро по линия на фонд „Солидарност“ на ЕС — най-високата сума, предоставена някога под формата на един транш, след земетресенията от 2016 г. и 2017 г. в италианските региони Абруцо, Лацио, Марке и Умбрия. </w:t>
      </w:r>
    </w:p>
    <w:p>
      <w:pPr>
        <w:pStyle w:val="DGTextstand-alone"/>
        <w:rPr>
          <w:iCs/>
        </w:rPr>
      </w:pPr>
      <w:r>
        <w:t xml:space="preserve">58,6 милиарда евро бяха използвани за </w:t>
      </w:r>
      <w:r>
        <w:rPr>
          <w:b/>
        </w:rPr>
        <w:t>насърчаване на устойчивия растеж</w:t>
      </w:r>
      <w:r>
        <w:t xml:space="preserve"> и за опазване на природните ресурси на Европа. Програмите включваха стълбовете мерки за подкрепа на пазара и развитие на селските райони в рамките на общата селскостопанска политика (ОСП), рибарството и дейностите в областта на климата и околната среда по линия на Програмата за околната среда и действията по климата (LIFE).</w:t>
      </w:r>
    </w:p>
    <w:p>
      <w:pPr>
        <w:pStyle w:val="DGTextstand-alone"/>
      </w:pPr>
      <w:r>
        <w:t xml:space="preserve">Бюджетът на ЕС продължи също да подпомага всеобхватните </w:t>
      </w:r>
      <w:r>
        <w:rPr>
          <w:b/>
        </w:rPr>
        <w:t>ответни мерки от страна на Европа по отношение на миграционната криза</w:t>
      </w:r>
      <w:r>
        <w:t xml:space="preserve"> и управлението на външните граници на Европа. Фонд „Убежище, миграция и интеграция“ (ФУМИ) подпомогна ефективното управление на миграционните потоци и създаването на общ подход на Съюза към убежището и миграцията. Общият размер на извършените през 2017 г. плащания бе 576,2 милиона евро — почти двойно в сравнение с 2016 г. Европейската агенция за гранична и брегова охрана се финансира от бюджета на ЕС. Благодарение на удължения си мандат тя засили значително присъствието си по външните граници на ЕС с цел оказване на подкрепа на държавите членки в дейностите им по управление на границите и по съвместно интегрирано управление на границите на равнището на ЕС. </w:t>
      </w:r>
    </w:p>
    <w:p>
      <w:pPr>
        <w:pStyle w:val="DGTextstand-alone"/>
      </w:pPr>
      <w:r>
        <w:t xml:space="preserve">Също така благодарение на бюджета на ЕС Съюзът игра важна роля извън европейските граници през период на сътресения в </w:t>
      </w:r>
      <w:r>
        <w:rPr>
          <w:b/>
        </w:rPr>
        <w:t>съседните на Европа региони</w:t>
      </w:r>
      <w:r>
        <w:t>. Не на последно място, той допринесе за предприемането на ответни мерки спрямо глобални предизвикателства, като изменението на климата, чрез интегриране на действията за смекчаване на изменението на климата и за адаптиране към него във всички големи разходни програми на ЕС, като общият бюджетен принос за интегрирането на свързаните с климата въпроси възлиза на 20,3 % за 2017 г.</w:t>
      </w:r>
    </w:p>
    <w:p>
      <w:pPr>
        <w:pStyle w:val="DGTextstand-alone"/>
      </w:pPr>
      <w:r>
        <w:rPr>
          <w:b/>
        </w:rPr>
        <w:t>Оптималното изпълнение на бюджета на Съюза</w:t>
      </w:r>
      <w:r>
        <w:t xml:space="preserve"> е приоритет за Комисията „Юнкер“ от самото начало. Твърдо подкрепяме все по-големия акцент, който Европейският парламент, държавите членки и Европейската сметна палата поставят не само върху начина на управление на програмите, но и върху това дали те постигат резултати в областите, които наистина са от значение за европейските граждани.</w:t>
      </w:r>
    </w:p>
    <w:p>
      <w:pPr>
        <w:pStyle w:val="DGTextstand-alone"/>
        <w:rPr>
          <w:sz w:val="12"/>
        </w:rPr>
      </w:pPr>
    </w:p>
    <w:p>
      <w:pPr>
        <w:pStyle w:val="DGTextstand-alone"/>
        <w:rPr>
          <w:sz w:val="6"/>
        </w:rPr>
      </w:pPr>
      <w:r>
        <w:t>Комисията ще продължи да играе ролята си, заедно с бюджетния орган, за оползотворяване на потенциала на бюджета на ЕС за инвестиране в растеж, за създаване на работни места и за преодоляване на общите ни предизвикателства.</w:t>
      </w:r>
    </w:p>
    <w:p>
      <w:pPr>
        <w:pStyle w:val="DGTextstand-alone"/>
        <w:jc w:val="right"/>
      </w:pPr>
    </w:p>
    <w:p>
      <w:pPr>
        <w:pStyle w:val="DGTextstand-alone"/>
        <w:jc w:val="right"/>
        <w:rPr>
          <w:b/>
          <w:bCs/>
        </w:rPr>
      </w:pPr>
      <w:r>
        <w:rPr>
          <w:b/>
        </w:rPr>
        <w:t>Günther H. Oettinger</w:t>
      </w:r>
    </w:p>
    <w:p>
      <w:pPr>
        <w:pStyle w:val="DGTextstand-alone"/>
        <w:jc w:val="right"/>
        <w:rPr>
          <w:b/>
          <w:bCs/>
        </w:rPr>
      </w:pPr>
      <w:r>
        <w:rPr>
          <w:b/>
        </w:rPr>
        <w:t>Член на Европейската комисия, отговарящ за бюджета и човешките ресурси</w:t>
      </w:r>
      <w:r>
        <w:rPr>
          <w:b/>
          <w:bCs/>
        </w:rPr>
        <w:br/>
      </w:r>
    </w:p>
    <w:p>
      <w:pPr>
        <w:pStyle w:val="Body"/>
        <w:jc w:val="right"/>
        <w:rPr>
          <w:rFonts w:ascii="Verdana" w:hAnsi="Verdana"/>
          <w:b/>
          <w:bCs/>
          <w:noProof/>
          <w:sz w:val="18"/>
          <w:szCs w:val="18"/>
        </w:rPr>
      </w:pPr>
    </w:p>
    <w:p>
      <w:pPr>
        <w:pStyle w:val="SignatureRightItalic0"/>
        <w:ind w:left="0" w:right="-1"/>
        <w:jc w:val="both"/>
        <w:rPr>
          <w:i w:val="0"/>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i w:val="0"/>
          <w:noProof/>
        </w:rPr>
        <w:t xml:space="preserve"> </w:t>
      </w:r>
      <w:bookmarkEnd w:id="3"/>
    </w:p>
    <w:p>
      <w:pPr>
        <w:pStyle w:val="FIRSTCHAPTERPAGE"/>
        <w:rPr>
          <w:noProof/>
        </w:rPr>
      </w:pPr>
      <w:bookmarkStart w:id="5" w:name="_Toc522889997"/>
      <w:bookmarkStart w:id="6" w:name="_DMBM_11287"/>
      <w:r>
        <w:rPr>
          <w:noProof/>
        </w:rPr>
        <w:t>ПОЛИТИЧЕСКА РАМКА, УПРАВЛЕНИЕ И ОТЧЕТНОСТ НА ЕВРОПЕЙСКИЯ СЪЮЗ</w:t>
      </w:r>
      <w:bookmarkEnd w:id="5"/>
    </w:p>
    <w:p>
      <w:pPr>
        <w:pStyle w:val="DGTextstand-alone"/>
      </w:pPr>
      <w:r>
        <w:t>Европейският съюз (ЕС) е съюз, в рамките на който 28</w:t>
      </w:r>
      <w:r>
        <w:rPr>
          <w:vertAlign w:val="superscript"/>
        </w:rPr>
        <w:footnoteReference w:id="1"/>
      </w:r>
      <w:r>
        <w:t xml:space="preserve"> европейски държави (държавите членки) предоставят правомощия, чрез които да бъдат постигнати общите им цели. Съюзът се основава на следните ценности: зачитане на човешкото достойнство, свобода, демокрация, равенство, правова държава и зачитане на правата на човека, включително правата на лицата, които принадлежат към малцинства. Тези ценности са общи за държавите членки в общество, което се характеризира с плурализъм, недопускане на недискриминация, търпимост, справедливост, солидарност и равенство между жените и мъжете.</w:t>
      </w:r>
    </w:p>
    <w:p>
      <w:pPr>
        <w:pStyle w:val="HEADER1Part1"/>
        <w:rPr>
          <w:noProof/>
        </w:rPr>
      </w:pPr>
      <w:r>
        <w:rPr>
          <w:noProof/>
        </w:rPr>
        <w:t>ПОЛИТИЧЕСКА РАМКА</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Договори на ЕС</w:t>
            </w:r>
          </w:p>
        </w:tc>
        <w:tc>
          <w:tcPr>
            <w:tcW w:w="7336" w:type="dxa"/>
          </w:tcPr>
          <w:p>
            <w:pPr>
              <w:jc w:val="both"/>
              <w:rPr>
                <w:rFonts w:ascii="Verdana" w:hAnsi="Verdana"/>
                <w:noProof/>
                <w:spacing w:val="-2"/>
                <w:sz w:val="18"/>
                <w:szCs w:val="18"/>
              </w:rPr>
            </w:pPr>
            <w:r>
              <w:rPr>
                <w:rFonts w:ascii="Verdana" w:hAnsi="Verdana"/>
                <w:noProof/>
                <w:spacing w:val="-2"/>
                <w:sz w:val="18"/>
              </w:rPr>
              <w:t xml:space="preserve">Основните цели и принципи, от които се ръководят Съюзът и европейските институции, са определени в </w:t>
            </w:r>
            <w:r>
              <w:rPr>
                <w:rFonts w:ascii="Verdana" w:hAnsi="Verdana"/>
                <w:noProof/>
                <w:color w:val="016794"/>
                <w:spacing w:val="-2"/>
                <w:sz w:val="18"/>
              </w:rPr>
              <w:t>Договорите</w:t>
            </w:r>
            <w:r>
              <w:rPr>
                <w:rFonts w:ascii="Verdana" w:hAnsi="Verdana"/>
                <w:noProof/>
                <w:spacing w:val="-2"/>
                <w:sz w:val="18"/>
              </w:rPr>
              <w:t>. Съюзът и институциите му могат да действат само в рамките на правомощията, предоставени им от Договорите с цел да изпълнят заложените в тях цели. Те трябва да правят това, като съблюдават принципите</w:t>
            </w:r>
            <w:r>
              <w:rPr>
                <w:rFonts w:ascii="Verdana" w:hAnsi="Verdana"/>
                <w:noProof/>
                <w:spacing w:val="-2"/>
                <w:sz w:val="18"/>
                <w:vertAlign w:val="superscript"/>
              </w:rPr>
              <w:footnoteReference w:id="2"/>
            </w:r>
            <w:r>
              <w:rPr>
                <w:rFonts w:ascii="Verdana" w:hAnsi="Verdana"/>
                <w:noProof/>
                <w:spacing w:val="-2"/>
                <w:sz w:val="18"/>
              </w:rPr>
              <w:t xml:space="preserve"> на субсидиарност и пропорционалност. </w:t>
            </w:r>
          </w:p>
        </w:tc>
      </w:tr>
      <w:tr>
        <w:tc>
          <w:tcPr>
            <w:tcW w:w="9854" w:type="dxa"/>
            <w:gridSpan w:val="2"/>
          </w:tcPr>
          <w:p>
            <w:pPr>
              <w:jc w:val="both"/>
              <w:rPr>
                <w:rFonts w:ascii="Verdana" w:hAnsi="Verdana"/>
                <w:noProof/>
                <w:sz w:val="18"/>
                <w:szCs w:val="18"/>
              </w:rPr>
            </w:pPr>
            <w:r>
              <w:rPr>
                <w:rFonts w:ascii="Verdana" w:hAnsi="Verdana"/>
                <w:noProof/>
                <w:sz w:val="18"/>
              </w:rPr>
              <w:t>За да постигне целите си и изпълни политиките си, Съюзът си осигурява необходимите финансови средства. Комисията отговаря за изпълнението на целите в сътрудничество с държавите членки и в съответствие с принципа на добро финансово управление.</w:t>
            </w:r>
          </w:p>
        </w:tc>
      </w:tr>
    </w:tbl>
    <w:p>
      <w:pPr>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rPr>
        <w:t xml:space="preserve">ЕС работи по изпълнението на определените в Договора цели с помощта на набор от инструменти, един от които е бюджетът на ЕС. Други инструменти са например предлагането на законодателство или прилагането на стратегии на политиката. </w:t>
      </w: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Стратегията</w:t>
            </w:r>
            <w:r>
              <w:rPr>
                <w:rFonts w:ascii="Verdana" w:hAnsi="Verdana"/>
                <w:b/>
                <w:noProof/>
                <w:color w:val="FFFFFF" w:themeColor="background1"/>
                <w:sz w:val="18"/>
                <w:lang w:val="en-GB"/>
              </w:rPr>
              <w:br/>
            </w:r>
            <w:r>
              <w:rPr>
                <w:rFonts w:ascii="Verdana" w:hAnsi="Verdana"/>
                <w:b/>
                <w:noProof/>
                <w:color w:val="FFFFFF" w:themeColor="background1"/>
                <w:sz w:val="18"/>
              </w:rPr>
              <w:t>„Европа 2020“</w:t>
            </w:r>
          </w:p>
        </w:tc>
        <w:tc>
          <w:tcPr>
            <w:tcW w:w="7336" w:type="dxa"/>
          </w:tcPr>
          <w:p>
            <w:pPr>
              <w:jc w:val="both"/>
              <w:rPr>
                <w:rFonts w:ascii="Verdana" w:hAnsi="Verdana"/>
                <w:noProof/>
                <w:sz w:val="18"/>
                <w:szCs w:val="18"/>
              </w:rPr>
            </w:pPr>
            <w:r>
              <w:rPr>
                <w:rFonts w:ascii="Verdana" w:hAnsi="Verdana"/>
                <w:noProof/>
                <w:sz w:val="18"/>
              </w:rPr>
              <w:t xml:space="preserve">В </w:t>
            </w:r>
            <w:r>
              <w:rPr>
                <w:rFonts w:ascii="Verdana" w:hAnsi="Verdana"/>
                <w:noProof/>
                <w:color w:val="016794"/>
                <w:sz w:val="18"/>
              </w:rPr>
              <w:t>стратегията „Европа 2020“</w:t>
            </w:r>
            <w:r>
              <w:rPr>
                <w:rFonts w:ascii="Verdana" w:hAnsi="Verdana"/>
                <w:noProof/>
                <w:sz w:val="18"/>
              </w:rPr>
              <w:t>, която бе договорена през 2010 г. от държавните и правителствените ръководители на държавите — членки на ЕС, се определя 10-годишна стратегия за създаване на работни места и растеж на равнището ЕС за ЕС</w:t>
            </w:r>
            <w:r>
              <w:rPr>
                <w:rFonts w:ascii="Verdana" w:hAnsi="Verdana"/>
                <w:noProof/>
                <w:sz w:val="18"/>
                <w:vertAlign w:val="superscript"/>
              </w:rPr>
              <w:footnoteReference w:id="3"/>
            </w:r>
            <w:r>
              <w:rPr>
                <w:rFonts w:ascii="Verdana" w:hAnsi="Verdana"/>
                <w:noProof/>
                <w:sz w:val="18"/>
              </w:rPr>
              <w:t xml:space="preserve">. В стратегията се представят три взаимно подсилващи се приоритета — интелигентен, устойчив и приобщаващ растеж, с пет водещи цели на ЕС. Нейният успех зависи от колективните действия на всички участници от Съюза. </w:t>
            </w:r>
          </w:p>
        </w:tc>
      </w:tr>
      <w:tr>
        <w:tc>
          <w:tcPr>
            <w:tcW w:w="9854" w:type="dxa"/>
            <w:gridSpan w:val="2"/>
          </w:tcPr>
          <w:p>
            <w:pPr>
              <w:jc w:val="both"/>
              <w:rPr>
                <w:rFonts w:ascii="Verdana" w:hAnsi="Verdana"/>
                <w:noProof/>
                <w:sz w:val="18"/>
                <w:szCs w:val="18"/>
              </w:rPr>
            </w:pPr>
            <w:r>
              <w:rPr>
                <w:rFonts w:ascii="Verdana" w:hAnsi="Verdana"/>
                <w:noProof/>
                <w:sz w:val="18"/>
              </w:rPr>
              <w:t>Бюджетът на ЕС е само един от инструментите, които допринасят за постигането на целите на стратегията „Европа 2020“. За постигането на конкретни резултати във връзка със стратегията „Европа 2020“ се мобилизират широк набор от действия на национално, европейско и международно равнище.</w:t>
            </w:r>
          </w:p>
        </w:tc>
      </w:tr>
    </w:tbl>
    <w:p>
      <w:pPr>
        <w:ind w:left="360"/>
        <w:jc w:val="both"/>
        <w:rPr>
          <w:rFonts w:ascii="Verdana" w:hAnsi="Verdana"/>
          <w:noProof/>
          <w:sz w:val="18"/>
          <w:szCs w:val="18"/>
        </w:rPr>
      </w:pPr>
    </w:p>
    <w:p>
      <w:pPr>
        <w:ind w:left="36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Политически приоритети на Комисията</w:t>
            </w:r>
          </w:p>
        </w:tc>
        <w:tc>
          <w:tcPr>
            <w:tcW w:w="7336" w:type="dxa"/>
          </w:tcPr>
          <w:p>
            <w:pPr>
              <w:jc w:val="both"/>
              <w:rPr>
                <w:rFonts w:ascii="Verdana" w:hAnsi="Verdana"/>
                <w:noProof/>
                <w:sz w:val="18"/>
                <w:szCs w:val="18"/>
              </w:rPr>
            </w:pPr>
            <w:r>
              <w:rPr>
                <w:rFonts w:ascii="Verdana" w:hAnsi="Verdana"/>
                <w:noProof/>
                <w:color w:val="016794"/>
                <w:sz w:val="18"/>
              </w:rPr>
              <w:t>Политическите приоритети на Комисията</w:t>
            </w:r>
            <w:r>
              <w:rPr>
                <w:rFonts w:ascii="Verdana" w:hAnsi="Verdana"/>
                <w:noProof/>
                <w:sz w:val="18"/>
              </w:rPr>
              <w:t xml:space="preserve"> са определени в политическите насоки, изготвени от председателя на Комисията и осигуряващи пътна карта за действията на Комисията, която е изцяло съгласувана и съвместима със стратегията „Европа 2020“ като дългосрочната стратегия за растеж на ЕС. </w:t>
            </w:r>
          </w:p>
        </w:tc>
      </w:tr>
      <w:tr>
        <w:tc>
          <w:tcPr>
            <w:tcW w:w="9854" w:type="dxa"/>
            <w:gridSpan w:val="2"/>
          </w:tcPr>
          <w:p>
            <w:pPr>
              <w:jc w:val="both"/>
              <w:rPr>
                <w:rFonts w:ascii="Verdana" w:hAnsi="Verdana"/>
                <w:noProof/>
                <w:sz w:val="18"/>
                <w:szCs w:val="18"/>
              </w:rPr>
            </w:pPr>
          </w:p>
        </w:tc>
      </w:tr>
    </w:tbl>
    <w:p>
      <w:pPr>
        <w:ind w:left="360"/>
        <w:jc w:val="both"/>
        <w:rPr>
          <w:rFonts w:ascii="Verdana" w:hAnsi="Verdana"/>
          <w:noProof/>
          <w:sz w:val="18"/>
          <w:szCs w:val="18"/>
        </w:rPr>
      </w:pPr>
    </w:p>
    <w:p>
      <w:pPr>
        <w:ind w:left="360"/>
        <w:jc w:val="both"/>
        <w:rPr>
          <w:rFonts w:ascii="Verdana" w:hAnsi="Verdana"/>
          <w:noProof/>
          <w:sz w:val="18"/>
          <w:szCs w:val="18"/>
        </w:rPr>
      </w:pPr>
    </w:p>
    <w:p>
      <w:pPr>
        <w:rPr>
          <w:noProof/>
        </w:rPr>
      </w:pPr>
      <w:r>
        <w:rPr>
          <w:noProof/>
        </w:rPr>
        <w:br w:type="page"/>
      </w:r>
    </w:p>
    <w:tbl>
      <w:tblPr>
        <w:tblW w:w="0" w:type="auto"/>
        <w:tblInd w:w="108" w:type="dxa"/>
        <w:tblLayout w:type="fixed"/>
        <w:tblLook w:val="04A0" w:firstRow="1" w:lastRow="0" w:firstColumn="1" w:lastColumn="0" w:noHBand="0" w:noVBand="1"/>
      </w:tblPr>
      <w:tblGrid>
        <w:gridCol w:w="1276"/>
        <w:gridCol w:w="3686"/>
        <w:gridCol w:w="1134"/>
        <w:gridCol w:w="3543"/>
      </w:tblGrid>
      <w:tr>
        <w:tc>
          <w:tcPr>
            <w:tcW w:w="4962" w:type="dxa"/>
            <w:gridSpan w:val="2"/>
          </w:tcPr>
          <w:p>
            <w:pPr>
              <w:pStyle w:val="HEADER5"/>
              <w:rPr>
                <w:noProof/>
              </w:rPr>
            </w:pPr>
            <w:r>
              <w:rPr>
                <w:noProof/>
              </w:rPr>
              <w:t>10 ПРИОРИТЕТА</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73100"/>
                  <wp:effectExtent l="0" t="0" r="0" b="0"/>
                  <wp:docPr id="1099493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6490" name=""/>
                          <pic:cNvPicPr/>
                        </pic:nvPicPr>
                        <pic:blipFill>
                          <a:blip r:embed="rId35"/>
                          <a:stretch>
                            <a:fillRect/>
                          </a:stretch>
                        </pic:blipFill>
                        <pic:spPr>
                          <a:xfrm>
                            <a:off x="0" y="0"/>
                            <a:ext cx="659791" cy="679009"/>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Нов стимул за работните места, растежа и инвестициите.</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246" name=""/>
                          <pic:cNvPicPr/>
                        </pic:nvPicPr>
                        <pic:blipFill>
                          <a:blip r:embed="rId36"/>
                          <a:stretch>
                            <a:fillRect/>
                          </a:stretch>
                        </pic:blipFill>
                        <pic:spPr>
                          <a:xfrm>
                            <a:off x="0" y="0"/>
                            <a:ext cx="64770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Разумно и балансирано споразумение за свободна търговия със САЩ.</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888" name=""/>
                          <pic:cNvPicPr/>
                        </pic:nvPicPr>
                        <pic:blipFill>
                          <a:blip r:embed="rId37"/>
                          <a:stretch>
                            <a:fillRect/>
                          </a:stretch>
                        </pic:blipFill>
                        <pic:spPr>
                          <a:xfrm>
                            <a:off x="0" y="0"/>
                            <a:ext cx="657225" cy="65722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Свързан цифров единен пазар.</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885" name=""/>
                          <pic:cNvPicPr/>
                        </pic:nvPicPr>
                        <pic:blipFill>
                          <a:blip r:embed="rId38"/>
                          <a:stretch>
                            <a:fillRect/>
                          </a:stretch>
                        </pic:blipFill>
                        <pic:spPr>
                          <a:xfrm>
                            <a:off x="0" y="0"/>
                            <a:ext cx="638175"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Пространство на правосъдие и основни права, изградено върху взаимно доверие.</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32462" name=""/>
                          <pic:cNvPicPr/>
                        </pic:nvPicPr>
                        <pic:blipFill>
                          <a:blip r:embed="rId39"/>
                          <a:stretch>
                            <a:fillRect/>
                          </a:stretch>
                        </pic:blipFill>
                        <pic:spPr>
                          <a:xfrm>
                            <a:off x="0" y="0"/>
                            <a:ext cx="654050" cy="64770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Устойчив енергиен съюз с ориентирана към бъдещето политика по въпросите на изменението на климата.</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3918" name=""/>
                          <pic:cNvPicPr/>
                        </pic:nvPicPr>
                        <pic:blipFill>
                          <a:blip r:embed="rId40"/>
                          <a:stretch>
                            <a:fillRect/>
                          </a:stretch>
                        </pic:blipFill>
                        <pic:spPr>
                          <a:xfrm>
                            <a:off x="0" y="0"/>
                            <a:ext cx="638175" cy="666750"/>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Към нова политика в областта на миграцията.</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3506" name=""/>
                          <pic:cNvPicPr/>
                        </pic:nvPicPr>
                        <pic:blipFill>
                          <a:blip r:embed="rId41"/>
                          <a:stretch>
                            <a:fillRect/>
                          </a:stretch>
                        </pic:blipFill>
                        <pic:spPr>
                          <a:xfrm>
                            <a:off x="0" y="0"/>
                            <a:ext cx="654050" cy="62865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По-задълбочен и по-справедлив вътрешен пазар със засилена промишлена база.</w:t>
            </w:r>
          </w:p>
        </w:tc>
        <w:tc>
          <w:tcPr>
            <w:tcW w:w="1134" w:type="dxa"/>
          </w:tcPr>
          <w:p>
            <w:pPr>
              <w:jc w:val="both"/>
              <w:rPr>
                <w:rFonts w:ascii="Verdana" w:hAnsi="Verdana"/>
                <w:noProof/>
                <w:sz w:val="18"/>
                <w:szCs w:val="18"/>
              </w:rPr>
            </w:pPr>
            <w:r>
              <w:rPr>
                <w:noProof/>
                <w:lang w:val="en-US" w:eastAsia="en-US" w:bidi="ar-SA"/>
              </w:rPr>
              <w:drawing>
                <wp:inline distT="0" distB="0" distL="0" distR="0">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8766" name=""/>
                          <pic:cNvPicPr/>
                        </pic:nvPicPr>
                        <pic:blipFill>
                          <a:blip r:embed="rId42"/>
                          <a:stretch>
                            <a:fillRect/>
                          </a:stretch>
                        </pic:blipFill>
                        <pic:spPr>
                          <a:xfrm>
                            <a:off x="0" y="0"/>
                            <a:ext cx="62865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Европа като по-силен участник на световната сцена.</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5219" name=""/>
                          <pic:cNvPicPr/>
                        </pic:nvPicPr>
                        <pic:blipFill>
                          <a:blip r:embed="rId43"/>
                          <a:stretch>
                            <a:fillRect/>
                          </a:stretch>
                        </pic:blipFill>
                        <pic:spPr>
                          <a:xfrm>
                            <a:off x="0" y="0"/>
                            <a:ext cx="657320" cy="63817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По-задълбочен и по-справедлив икономически и паричен съюз (ИПС).</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8456" name=""/>
                          <pic:cNvPicPr/>
                        </pic:nvPicPr>
                        <pic:blipFill>
                          <a:blip r:embed="rId44"/>
                          <a:stretch>
                            <a:fillRect/>
                          </a:stretch>
                        </pic:blipFill>
                        <pic:spPr>
                          <a:xfrm>
                            <a:off x="0" y="0"/>
                            <a:ext cx="647700"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Съюз на демократична промяна.</w:t>
            </w:r>
          </w:p>
        </w:tc>
      </w:tr>
    </w:tbl>
    <w:p>
      <w:pPr>
        <w:spacing w:after="0"/>
        <w:ind w:left="360"/>
        <w:jc w:val="both"/>
        <w:rPr>
          <w:rFonts w:ascii="Verdana" w:hAnsi="Verdana"/>
          <w:noProof/>
          <w:sz w:val="18"/>
          <w:szCs w:val="18"/>
        </w:rPr>
      </w:pPr>
    </w:p>
    <w:p>
      <w:pPr>
        <w:spacing w:after="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Програма до 2030 г. за устойчиво развитие</w:t>
            </w:r>
            <w:r>
              <w:rPr>
                <w:rStyle w:val="FootnoteReference"/>
                <w:rFonts w:ascii="Verdana" w:hAnsi="Verdana"/>
                <w:b/>
                <w:noProof/>
                <w:color w:val="FFFFFF" w:themeColor="background1"/>
                <w:sz w:val="18"/>
              </w:rPr>
              <w:footnoteReference w:id="4"/>
            </w:r>
          </w:p>
        </w:tc>
        <w:tc>
          <w:tcPr>
            <w:tcW w:w="7336" w:type="dxa"/>
          </w:tcPr>
          <w:p>
            <w:pPr>
              <w:jc w:val="both"/>
              <w:rPr>
                <w:rFonts w:ascii="Verdana" w:hAnsi="Verdana"/>
                <w:noProof/>
                <w:spacing w:val="-6"/>
                <w:sz w:val="18"/>
                <w:szCs w:val="18"/>
              </w:rPr>
            </w:pPr>
            <w:r>
              <w:rPr>
                <w:rFonts w:ascii="Verdana" w:hAnsi="Verdana"/>
                <w:noProof/>
                <w:spacing w:val="-6"/>
                <w:sz w:val="18"/>
              </w:rPr>
              <w:t xml:space="preserve">Устойчивото развитие отдавна е в основата на европейския проект. В Договорите на ЕС се признават икономическите, социалните и екологичните измерения на Съюза, които следва да бъдат разглеждани заедно. ЕС е решен да осигури развитие, което отговаря на нуждите на настоящето, без да излага на риск способността на бъдещите поколения да посрещат своите нужди. </w:t>
            </w:r>
          </w:p>
        </w:tc>
      </w:tr>
      <w:tr>
        <w:tc>
          <w:tcPr>
            <w:tcW w:w="9854" w:type="dxa"/>
            <w:gridSpan w:val="2"/>
          </w:tcPr>
          <w:p>
            <w:pPr>
              <w:jc w:val="both"/>
              <w:rPr>
                <w:rFonts w:ascii="Verdana" w:hAnsi="Verdana"/>
                <w:noProof/>
                <w:sz w:val="18"/>
                <w:szCs w:val="18"/>
              </w:rPr>
            </w:pPr>
            <w:r>
              <w:rPr>
                <w:rFonts w:ascii="Verdana" w:hAnsi="Verdana"/>
                <w:noProof/>
                <w:sz w:val="18"/>
              </w:rPr>
              <w:t>Бюджетът на ЕС играе съществена роля за много предизвикателства, свързани с устойчивостта — от младежката безработица до застаряването на населението, изменението на климата, замърсяването, устойчивата енергия и миграцията. При настоящата Комисия устойчивото развитие е включено в съществените междусекторни проекти, както и в секторните политики и инициативи.</w:t>
            </w:r>
          </w:p>
        </w:tc>
      </w:tr>
    </w:tbl>
    <w:p>
      <w:pPr>
        <w:spacing w:after="0"/>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rPr>
        <w:t xml:space="preserve">Политиките, които се подпомагат от бюджета на ЕС, се изпълняват в съответствие с </w:t>
      </w:r>
      <w:r>
        <w:rPr>
          <w:rFonts w:ascii="Verdana" w:hAnsi="Verdana"/>
          <w:noProof/>
          <w:color w:val="016794"/>
          <w:sz w:val="18"/>
        </w:rPr>
        <w:t>многогодишната финансова рамка (МФР)</w:t>
      </w:r>
      <w:r>
        <w:rPr>
          <w:rFonts w:ascii="Verdana" w:hAnsi="Verdana"/>
          <w:noProof/>
          <w:sz w:val="18"/>
        </w:rPr>
        <w:t xml:space="preserve"> и съответното секторно законодателство, в което се определят разходните програми.</w:t>
      </w:r>
    </w:p>
    <w:tbl>
      <w:tblPr>
        <w:tblW w:w="0" w:type="auto"/>
        <w:tblLook w:val="04A0" w:firstRow="1" w:lastRow="0" w:firstColumn="1" w:lastColumn="0" w:noHBand="0" w:noVBand="1"/>
      </w:tblPr>
      <w:tblGrid>
        <w:gridCol w:w="2749"/>
        <w:gridCol w:w="7105"/>
      </w:tblGrid>
      <w:tr>
        <w:tc>
          <w:tcPr>
            <w:tcW w:w="2518" w:type="dxa"/>
            <w:shd w:val="clear" w:color="auto" w:fill="548DD4" w:themeFill="text2" w:themeFillTint="99"/>
            <w:vAlign w:val="center"/>
          </w:tcPr>
          <w:p>
            <w:pPr>
              <w:jc w:val="center"/>
              <w:rPr>
                <w:rFonts w:ascii="Verdana" w:hAnsi="Verdana"/>
                <w:b/>
                <w:noProof/>
                <w:color w:val="FFFFFF" w:themeColor="background1"/>
                <w:sz w:val="18"/>
                <w:szCs w:val="18"/>
              </w:rPr>
            </w:pPr>
            <w:r>
              <w:rPr>
                <w:rFonts w:ascii="Verdana" w:hAnsi="Verdana"/>
                <w:b/>
                <w:noProof/>
                <w:color w:val="FFFFFF" w:themeColor="background1"/>
                <w:sz w:val="18"/>
              </w:rPr>
              <w:t xml:space="preserve">Многогодишна финансова рамка и </w:t>
            </w:r>
          </w:p>
          <w:p>
            <w:pPr>
              <w:jc w:val="center"/>
              <w:rPr>
                <w:rFonts w:ascii="Verdana" w:hAnsi="Verdana"/>
                <w:b/>
                <w:noProof/>
                <w:sz w:val="18"/>
                <w:szCs w:val="18"/>
              </w:rPr>
            </w:pPr>
            <w:r>
              <w:rPr>
                <w:rFonts w:ascii="Verdana" w:hAnsi="Verdana"/>
                <w:b/>
                <w:noProof/>
                <w:color w:val="FFFFFF" w:themeColor="background1"/>
                <w:sz w:val="18"/>
              </w:rPr>
              <w:t>разходни програми</w:t>
            </w:r>
          </w:p>
        </w:tc>
        <w:tc>
          <w:tcPr>
            <w:tcW w:w="7336" w:type="dxa"/>
          </w:tcPr>
          <w:p>
            <w:pPr>
              <w:jc w:val="both"/>
              <w:rPr>
                <w:rFonts w:ascii="Verdana" w:hAnsi="Verdana"/>
                <w:noProof/>
                <w:spacing w:val="-2"/>
                <w:sz w:val="18"/>
                <w:szCs w:val="18"/>
              </w:rPr>
            </w:pPr>
            <w:r>
              <w:rPr>
                <w:rFonts w:ascii="Verdana" w:hAnsi="Verdana"/>
                <w:noProof/>
                <w:spacing w:val="-2"/>
                <w:sz w:val="18"/>
              </w:rPr>
              <w:t xml:space="preserve">Многогодишната финансова рамка представя политическите приоритети на ЕС във финансово изражение за период, който е достатъчно дълъг, за да бъде ефективен и за да осигури съгласувана дългосрочна визия за бенефициерите на средства от ЕС и за съфинансиращите национални органи. В нея се определя максималният годишен размер (тавани) на разходите на ЕС като цяло и на основните категории разходи (функции). Сумата от таваните на всички функции дава общия таван на </w:t>
            </w:r>
            <w:r>
              <w:rPr>
                <w:rFonts w:ascii="Verdana" w:hAnsi="Verdana"/>
                <w:noProof/>
                <w:sz w:val="18"/>
              </w:rPr>
              <w:t xml:space="preserve">бюджетните </w:t>
            </w:r>
          </w:p>
        </w:tc>
      </w:tr>
      <w:tr>
        <w:tc>
          <w:tcPr>
            <w:tcW w:w="9854" w:type="dxa"/>
            <w:gridSpan w:val="2"/>
          </w:tcPr>
          <w:p>
            <w:pPr>
              <w:spacing w:after="0"/>
              <w:jc w:val="both"/>
              <w:rPr>
                <w:rFonts w:ascii="Verdana" w:hAnsi="Verdana"/>
                <w:noProof/>
                <w:spacing w:val="-4"/>
                <w:sz w:val="18"/>
                <w:szCs w:val="18"/>
              </w:rPr>
            </w:pPr>
            <w:r>
              <w:rPr>
                <w:rFonts w:ascii="Verdana" w:hAnsi="Verdana"/>
                <w:noProof/>
                <w:spacing w:val="-4"/>
                <w:sz w:val="18"/>
              </w:rPr>
              <w:t>кредити за поети задължения. Многогодишната финансова рамка се приема с единодушие, което показва, че всички държави членки са съгласни с предвидените цели и с равнището на разходите (максимално ниво на бюджетните поети задължения и на бюджетните плащания), с одобрението на Европейския парламент. Комисията отговаря за управлението и изпълнението на бюджета на ЕС и на програмите, приети от Парламента и от Съвета. По-голямата част от реалното изпълнение и разходване (около 75 %) се извършва от националните и местните органи, но Комисията отговаря за надзора върху това изпълнение и разходване. Комисията управлява бюджета под зоркото око на Европейската сметна палата. И двете институции се стремят към постигане на добро финансово управление.</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Междуинституционално споразумение</w:t>
            </w:r>
          </w:p>
        </w:tc>
        <w:tc>
          <w:tcPr>
            <w:tcW w:w="7336" w:type="dxa"/>
          </w:tcPr>
          <w:p>
            <w:pPr>
              <w:jc w:val="both"/>
              <w:rPr>
                <w:rFonts w:ascii="Verdana" w:hAnsi="Verdana"/>
                <w:noProof/>
                <w:spacing w:val="-2"/>
                <w:sz w:val="18"/>
                <w:szCs w:val="18"/>
              </w:rPr>
            </w:pPr>
            <w:r>
              <w:rPr>
                <w:rFonts w:ascii="Verdana" w:hAnsi="Verdana"/>
                <w:noProof/>
                <w:spacing w:val="-2"/>
                <w:sz w:val="18"/>
              </w:rPr>
              <w:t xml:space="preserve">Многогодишната финансова рамка се допълва от </w:t>
            </w:r>
            <w:r>
              <w:rPr>
                <w:rFonts w:ascii="Verdana" w:hAnsi="Verdana"/>
                <w:noProof/>
                <w:color w:val="016794"/>
                <w:spacing w:val="-2"/>
                <w:sz w:val="18"/>
              </w:rPr>
              <w:t>междуинституционалното споразумение</w:t>
            </w:r>
            <w:r>
              <w:rPr>
                <w:rFonts w:ascii="Verdana" w:hAnsi="Verdana"/>
                <w:noProof/>
                <w:spacing w:val="-2"/>
                <w:sz w:val="18"/>
                <w:vertAlign w:val="superscript"/>
              </w:rPr>
              <w:footnoteReference w:id="5"/>
            </w:r>
            <w:r>
              <w:rPr>
                <w:rFonts w:ascii="Verdana" w:hAnsi="Verdana"/>
                <w:noProof/>
                <w:spacing w:val="-2"/>
                <w:sz w:val="18"/>
              </w:rPr>
              <w:t>, което е политическо споразумение между Европейския парламент, Съвета и Комисията. Целта на това споразумение, което бе прието през 2013 г. в съответствие с член 295 от ДФЕС, е да се осигури бюджетна дисциплина,</w:t>
            </w:r>
          </w:p>
        </w:tc>
      </w:tr>
      <w:tr>
        <w:tc>
          <w:tcPr>
            <w:tcW w:w="9854" w:type="dxa"/>
            <w:gridSpan w:val="2"/>
          </w:tcPr>
          <w:p>
            <w:pPr>
              <w:spacing w:after="0"/>
              <w:jc w:val="both"/>
              <w:rPr>
                <w:rFonts w:ascii="Verdana" w:hAnsi="Verdana"/>
                <w:noProof/>
                <w:sz w:val="18"/>
                <w:szCs w:val="18"/>
              </w:rPr>
            </w:pPr>
            <w:r>
              <w:rPr>
                <w:rFonts w:ascii="Verdana" w:hAnsi="Verdana"/>
                <w:noProof/>
                <w:sz w:val="18"/>
              </w:rPr>
              <w:t>да се подобрят функционирането на годишната бюджетна процедура и сътрудничеството между институциите по бюджетните въпроси, както и да се гарантира добро финансово управление.</w:t>
            </w:r>
          </w:p>
          <w:p>
            <w:pPr>
              <w:jc w:val="both"/>
              <w:rPr>
                <w:rFonts w:ascii="Verdana" w:hAnsi="Verdana"/>
                <w:noProof/>
                <w:sz w:val="18"/>
                <w:szCs w:val="18"/>
              </w:rPr>
            </w:pPr>
          </w:p>
        </w:tc>
      </w:tr>
      <w:tr>
        <w:tc>
          <w:tcPr>
            <w:tcW w:w="2518" w:type="dxa"/>
            <w:shd w:val="clear" w:color="auto" w:fill="548DD4" w:themeFill="text2" w:themeFillTint="99"/>
            <w:vAlign w:val="center"/>
          </w:tcPr>
          <w:p>
            <w:pPr>
              <w:jc w:val="center"/>
              <w:rPr>
                <w:rFonts w:ascii="Verdana" w:hAnsi="Verdana"/>
                <w:b/>
                <w:noProof/>
                <w:sz w:val="18"/>
                <w:szCs w:val="18"/>
              </w:rPr>
            </w:pPr>
            <w:r>
              <w:rPr>
                <w:rFonts w:ascii="Verdana" w:hAnsi="Verdana"/>
                <w:b/>
                <w:noProof/>
                <w:color w:val="FFFFFF" w:themeColor="background1"/>
                <w:sz w:val="18"/>
              </w:rPr>
              <w:t>Годишен бюджет</w:t>
            </w:r>
          </w:p>
        </w:tc>
        <w:tc>
          <w:tcPr>
            <w:tcW w:w="7336" w:type="dxa"/>
          </w:tcPr>
          <w:p>
            <w:pPr>
              <w:jc w:val="both"/>
              <w:rPr>
                <w:rFonts w:ascii="Verdana" w:hAnsi="Verdana"/>
                <w:noProof/>
                <w:sz w:val="18"/>
                <w:szCs w:val="18"/>
              </w:rPr>
            </w:pPr>
            <w:r>
              <w:rPr>
                <w:rFonts w:ascii="Verdana" w:hAnsi="Verdana"/>
                <w:noProof/>
                <w:color w:val="016794"/>
                <w:sz w:val="18"/>
              </w:rPr>
              <w:t>Годишният бюджет</w:t>
            </w:r>
            <w:r>
              <w:rPr>
                <w:rFonts w:ascii="Verdana" w:hAnsi="Verdana"/>
                <w:noProof/>
                <w:sz w:val="18"/>
              </w:rPr>
              <w:t xml:space="preserve"> се изготвя от Комисията и обикновено се одобрява до средата на декември от Европейския парламент и Съвета въз основа на процедурата по член 314 от ДФЕС. Според принципа на балансираност на бюджета общият размер на приходите трябва да е равен на общия размер на разходите (бюджетните кредити за плащания) за дадена финансова година. </w:t>
            </w:r>
          </w:p>
        </w:tc>
      </w:tr>
    </w:tbl>
    <w:p>
      <w:pPr>
        <w:pStyle w:val="DGTextstand-alone"/>
      </w:pPr>
      <w:r>
        <w:t xml:space="preserve">Основните </w:t>
      </w:r>
      <w:r>
        <w:rPr>
          <w:color w:val="016794"/>
        </w:rPr>
        <w:t>източници на финансиране</w:t>
      </w:r>
      <w:r>
        <w:t xml:space="preserve"> на ЕС са приходите от собствени ресурси, които се допълват от други приходи. Съществуват три вида собствени ресурси: традиционните собствени ресурси (митата и налозите върху захарта), собственият ресурс на база данъка върху добавената стойност (ДДС) и собственият ресурс на база брутния национален доход (БНД). Другите приходи, идващи от дейностите на ЕС (напр. глобите в областта на конкуренцията), обикновено представляват по-малко от 10 % от общите приходи. Общият размер на собствените ресурси, необходими за финансиране на бюджета, се определя, като от общия размер на разходите се извади общият размер на другите приходи. Общият размер на собствените ресурси не може да надвишава 1,20 % от сбора от брутните национални доходи (БНД) на държавите членки.</w:t>
      </w:r>
    </w:p>
    <w:p>
      <w:pPr>
        <w:pStyle w:val="DGTextstand-alone"/>
      </w:pPr>
      <w:r>
        <w:t>Оперативните разходи на ЕС обхващат различните функции от многогодишната финансова рамка и съществуват под различна форма в зависимост от това как парите се разходват и управляват. Бюджетът на ЕС се изпълнява посредством три метода на управление:</w:t>
      </w:r>
    </w:p>
    <w:p>
      <w:pPr>
        <w:pStyle w:val="DGTextstand-alone"/>
        <w:ind w:left="720"/>
        <w:rPr>
          <w:color w:val="016794"/>
        </w:rPr>
      </w:pPr>
      <w:r>
        <w:rPr>
          <w:color w:val="016794"/>
        </w:rPr>
        <w:t>Споделено управление:</w:t>
      </w:r>
      <w:r>
        <w:t xml:space="preserve"> при този метод на изпълнение на бюджета задачите се делегират на държавите членки. Около 75 % от разходите попадат в този режим на управление, който обхваща области като селскостопанските разходи и дейностите по структурните фондове.</w:t>
      </w:r>
    </w:p>
    <w:p>
      <w:pPr>
        <w:pStyle w:val="DGTextstand-alone"/>
        <w:ind w:left="720"/>
      </w:pPr>
      <w:r>
        <w:rPr>
          <w:color w:val="016794"/>
        </w:rPr>
        <w:t>Пряко управление:</w:t>
      </w:r>
      <w:r>
        <w:t xml:space="preserve"> при него бюджетът се изпълнява пряко от службите на Комисията.</w:t>
      </w:r>
    </w:p>
    <w:p>
      <w:pPr>
        <w:pStyle w:val="DGTextstand-alone"/>
        <w:ind w:left="720"/>
      </w:pPr>
      <w:r>
        <w:rPr>
          <w:color w:val="016794"/>
        </w:rPr>
        <w:t>Непряко управление:</w:t>
      </w:r>
      <w:r>
        <w:t xml:space="preserve"> то се отнася до случаите, в които Комисията възлага задачи по изпълнението на бюджета на трети страни, като например регулаторните агенции на ЕС или международни организации.</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Финансов регламент</w:t>
            </w:r>
          </w:p>
        </w:tc>
        <w:tc>
          <w:tcPr>
            <w:tcW w:w="7336" w:type="dxa"/>
          </w:tcPr>
          <w:p>
            <w:pPr>
              <w:jc w:val="both"/>
              <w:rPr>
                <w:rFonts w:ascii="Verdana" w:hAnsi="Verdana"/>
                <w:noProof/>
                <w:sz w:val="18"/>
                <w:szCs w:val="18"/>
              </w:rPr>
            </w:pPr>
            <w:r>
              <w:rPr>
                <w:rFonts w:ascii="Verdana" w:hAnsi="Verdana"/>
                <w:noProof/>
                <w:color w:val="016794"/>
                <w:sz w:val="18"/>
              </w:rPr>
              <w:t>Финансовият регламент</w:t>
            </w:r>
            <w:r>
              <w:rPr>
                <w:rFonts w:ascii="Verdana" w:hAnsi="Verdana"/>
                <w:noProof/>
                <w:sz w:val="18"/>
              </w:rPr>
              <w:t xml:space="preserve"> (ФР), приложим за общия бюджет, е основен акт в регулаторната структура на финансите на ЕС, определяща финансовите правила на ЕС, приложими за бюджета на ЕС.</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pStyle w:val="HEADER1Part1"/>
        <w:rPr>
          <w:noProof/>
        </w:rPr>
      </w:pPr>
      <w:r>
        <w:rPr>
          <w:noProof/>
        </w:rPr>
        <w:t>УПРАВЛЕНИЕ И ОТЧЕТНОСТ В ЕС</w:t>
      </w:r>
    </w:p>
    <w:p>
      <w:pPr>
        <w:pStyle w:val="HEADER2Part1"/>
        <w:rPr>
          <w:noProof/>
        </w:rPr>
      </w:pPr>
      <w:r>
        <w:rPr>
          <w:noProof/>
        </w:rPr>
        <w:t>ИНСТИТУЦИОНАЛНА СТРУКТУРА</w:t>
      </w:r>
    </w:p>
    <w:p>
      <w:pPr>
        <w:pStyle w:val="DGTextstand-alone"/>
      </w:pPr>
      <w:r>
        <w:t>Организационното управление на ЕС се състои от институции, агенции и други органи на ЕС, които са посочени в бележка </w:t>
      </w:r>
      <w:r>
        <w:rPr>
          <w:b/>
        </w:rPr>
        <w:t>9</w:t>
      </w:r>
      <w:r>
        <w:t xml:space="preserve"> от бележките към консолидираните финансови отчети. Европейската инвестиционна банка (ЕИБ) и Европейският инвестиционен фонд (ЕИФ) не са включени в приложното поле на Финансовия регламент. Основните институции от гледна точка на отговорността за изготвянето на политиките и вземането на решения са Европейският парламент, Европейският съвет, Съветът и Комисията.</w:t>
      </w:r>
    </w:p>
    <w:p>
      <w:pPr>
        <w:pStyle w:val="DGTextstand-alone"/>
      </w:pPr>
      <w:r>
        <w:t>Европейската комисия е изпълнителният орган на ЕС и работи за постигане на неговите общи интереси. Тя прави това, като предлага законодателство; изпълнява политиките на ЕС, следи за правилното прилагане на Договорите и на европейското законодателство; управлява бюджета на ЕС и представлява Съюза извън Европа.</w:t>
      </w:r>
    </w:p>
    <w:p>
      <w:pPr>
        <w:pStyle w:val="DGTextstand-alone"/>
      </w:pPr>
      <w:r>
        <w:t>Вътрешното функциониране на Комисията се основава на редица ключови принципи, на които се опира доброто управление: ясни функции и отговорности, силен ангажимент за управление на изпълнението и спазване на нормативната уредба, ясни механизми за отчетност, висококачествена и приобщаваща нормативна уредба, откритост и прозрачност и високи стандарти за етично поведение.</w:t>
      </w:r>
    </w:p>
    <w:p>
      <w:pPr>
        <w:rPr>
          <w:rFonts w:ascii="Verdana" w:hAnsi="Verdana"/>
          <w:b/>
          <w:noProof/>
          <w:color w:val="016794"/>
          <w:sz w:val="28"/>
        </w:rPr>
      </w:pPr>
      <w:r>
        <w:rPr>
          <w:noProof/>
        </w:rPr>
        <w:br w:type="page"/>
      </w:r>
    </w:p>
    <w:p>
      <w:pPr>
        <w:pStyle w:val="HEADER2Part1"/>
        <w:rPr>
          <w:noProof/>
        </w:rPr>
      </w:pPr>
      <w:r>
        <w:rPr>
          <w:noProof/>
        </w:rPr>
        <w:t>УПРАВЛЕНСКА СТРУКТУРА НА КОМИСИЯТА</w:t>
      </w:r>
    </w:p>
    <w:p>
      <w:pPr>
        <w:pStyle w:val="DGTextstand-alone"/>
      </w:pPr>
      <w:r>
        <w:t>Европейската комисия има единствена по рода си система на управление, при която се прави ясно разграничение между структурите за политически и административен надзор и са ясно определени отговорността и финансовата отчетност</w:t>
      </w:r>
      <w:r>
        <w:rPr>
          <w:rStyle w:val="FootnoteReference"/>
        </w:rPr>
        <w:footnoteReference w:id="6"/>
      </w:r>
      <w:r>
        <w:t>. Системата се основава на Договорите и структурата се е променяла, за да се адаптира към променящата се среда и да продължи да съблюдава най-добрите практики, посочени в съответните международни стандарти</w:t>
      </w:r>
      <w:r>
        <w:rPr>
          <w:bdr w:val="none" w:sz="0" w:space="0" w:color="auto"/>
          <w:vertAlign w:val="superscript"/>
        </w:rPr>
        <w:footnoteReference w:id="7"/>
      </w:r>
      <w:r>
        <w:t xml:space="preserve">. </w:t>
      </w:r>
    </w:p>
    <w:p>
      <w:pPr>
        <w:pStyle w:val="DGTextstand-alone"/>
        <w:numPr>
          <w:ilvl w:val="0"/>
          <w:numId w:val="17"/>
        </w:numPr>
      </w:pPr>
      <w:r>
        <w:rPr>
          <w:color w:val="016794"/>
        </w:rPr>
        <w:t>Колегиумът от членовете на Комисията</w:t>
      </w:r>
      <w:r>
        <w:rPr>
          <w:sz w:val="16"/>
        </w:rPr>
        <w:t xml:space="preserve"> </w:t>
      </w:r>
      <w:r>
        <w:t>носи политическа отговорност на ниво колегиум за работата на Комисията. Оперативното изпълнение на бюджета е делегирано на генералните директори и ръководителите на служби, които ръководят административната структура на Комисията</w:t>
      </w:r>
      <w:r>
        <w:rPr>
          <w:vertAlign w:val="superscript"/>
        </w:rPr>
        <w:footnoteReference w:id="8"/>
      </w:r>
      <w:r>
        <w:t xml:space="preserve">. </w:t>
      </w:r>
    </w:p>
    <w:p>
      <w:pPr>
        <w:pStyle w:val="DGTextstand-alone"/>
        <w:numPr>
          <w:ilvl w:val="0"/>
          <w:numId w:val="17"/>
        </w:numPr>
      </w:pPr>
      <w:r>
        <w:t xml:space="preserve">Колегиумът делегира задачи, свързани с финансовото управление, на генералните директори или на ръководителите на служби, които по този начин стават оправомощени </w:t>
      </w:r>
      <w:r>
        <w:rPr>
          <w:color w:val="016794"/>
        </w:rPr>
        <w:t>разпоредители с бюджетни кредити</w:t>
      </w:r>
      <w:r>
        <w:t xml:space="preserve"> (ОРБК). Тези задачи могат след това да бъдат делегирани на директори, началници на отдели и други лица, които по този начин стават вторично оправомощени разпоредители с бюджетни кредити. Отговорността на разпоредителите с бюджетни кредити обхваща целия управленски процес — от определянето на това какво трябва да се направи, за да бъдат постигнати определените от институцията цели на политиката, до управлението на дейностите както от оперативна, така и от бюджетна гледна точка.</w:t>
      </w:r>
    </w:p>
    <w:p>
      <w:pPr>
        <w:pStyle w:val="DGTextstand-alone"/>
      </w:pPr>
      <w:r>
        <w:t>Така в Комисията функциите и отговорностите в областта на финансовото управление са ясно определени и се прилагат по недвусмислен начин. Този подход е децентрализиран. Той се характеризира с ясни отговорности, като целта е да се създаде административна култура, която насърчава служителите да поемат отговорност за дейностите, върху които имат контрол, и да им се предостави контрол върху дейностите, за които носят отговорност.</w:t>
      </w:r>
    </w:p>
    <w:p>
      <w:pPr>
        <w:pStyle w:val="DGTextstand-alone"/>
      </w:pPr>
      <w:r>
        <w:t xml:space="preserve">В контекста на цикъла на стратегическо планиране и програмиране на Комисията всеки разпоредител с бюджетни кредити трябва да изготвя годишен отчет за дейността (ГОД) за дейностите и за постиженията и резултатите на политиката за годината, в който той декларира, че средствата са били използвани съгласно принципите на добро финансово управление и че е въвел процедури за контрол, които дават необходимата гаранция по отношение на законосъобразността и редовността на съответните операции. На равнището на Комисията тези резултати се приемат и публикуват в обща форма в годишния доклад за управлението и изпълнението на бюджета на ЕС и се изпращат на Европейския парламент и на Съвета. Това е основният инструмент, чрез който </w:t>
      </w:r>
      <w:r>
        <w:rPr>
          <w:b/>
        </w:rPr>
        <w:t>колегиумът от членовете на Комисията поема политическа отговорност за управлението на бюджета</w:t>
      </w:r>
      <w:r>
        <w:t>.</w:t>
      </w:r>
    </w:p>
    <w:p>
      <w:pPr>
        <w:pStyle w:val="DGTextstand-alone"/>
        <w:rPr>
          <w:rFonts w:cs="Arial"/>
          <w:color w:val="000000" w:themeColor="text1"/>
          <w:szCs w:val="28"/>
        </w:rPr>
      </w:pPr>
      <w:r>
        <w:rPr>
          <w:color w:val="016794"/>
        </w:rPr>
        <w:t>Счетоводителят</w:t>
      </w:r>
      <w:r>
        <w:t xml:space="preserve"> на Комисията отговаря централно за управлението на касата, за процедурите по събиране на средства, за определянето на счетоводни правила въз основа на международните счетоводни методи и стандарти за публичния сектор, за утвърждаването на счетоводните системи и за изготвянето на годишните отчети на Комисията и на консолидираните годишни отчети на ЕС. Освен това счетоводителят трябва да подписва годишните отчети, като декларира, че те представят честно, във всички съществени аспекти, финансовото състояние, резултатите от дейността и паричните потоци. Годишните отчети се приемат от Колегиума от членовете на Комисията. Счетоводителят е независима функция. Той носи голяма отговорност за финансовото отчитане в Комисията. </w:t>
      </w:r>
      <w:r>
        <w:rPr>
          <w:color w:val="016794"/>
        </w:rPr>
        <w:t>Вътрешният одитор</w:t>
      </w:r>
      <w:r>
        <w:t xml:space="preserve"> на Комисията също е централизирана и независима функция. Той предоставя независими консултации, становища и препоръки във връзка с качеството и функционирането на системите за вътрешен контрол в Комисията, агенциите на ЕС и други автономни органи.</w:t>
      </w:r>
      <w:r>
        <w:rPr>
          <w:color w:val="000000" w:themeColor="text1"/>
        </w:rPr>
        <w:t xml:space="preserve"> </w:t>
      </w:r>
    </w:p>
    <w:p>
      <w:pPr>
        <w:pStyle w:val="DGTextstand-alone"/>
      </w:pPr>
      <w:r>
        <w:rPr>
          <w:color w:val="016794"/>
        </w:rPr>
        <w:t>Комитетът за контрол на одитите</w:t>
      </w:r>
      <w:r>
        <w:t xml:space="preserve"> проследява изпълнението на одитите, по-специално одитите, извършвани от службата за вътрешен одит, но и въз основа на одитите на Европейската сметна палата, и оценява качеството на вътрешните одити, за да получи по-обща представа за системите за контрол на Комисията.</w:t>
      </w:r>
    </w:p>
    <w:p>
      <w:pPr>
        <w:pStyle w:val="DGTextstand-alone"/>
        <w:rPr>
          <w:b/>
          <w:color w:val="016794"/>
          <w:sz w:val="28"/>
        </w:rPr>
      </w:pPr>
      <w:r>
        <w:rPr>
          <w:color w:val="016794"/>
        </w:rPr>
        <w:t>Общият управителен съвет</w:t>
      </w:r>
      <w:r>
        <w:t xml:space="preserve"> участва в институционалното управление на Комисията, като упражнява надзор и предоставя стратегически насоки по важни въпроси, свързани с управлението на институцията, включително във връзка с управлението на финансовите и човешките ресурси. Той се председателства от генералния секретар и редовно събира генералните директори и кабинетите, отговарящи за бюджета, за човешките ресурси и за информационните технологии, за да гарантира, че Комисията разполага с необходимите организационни и технически структури за ефективно и ефикасно изпълнение на набелязаните от председателя политически приоритети.</w:t>
      </w:r>
      <w:r>
        <w:br w:type="page"/>
      </w:r>
    </w:p>
    <w:p>
      <w:pPr>
        <w:pStyle w:val="HEADER2Part1"/>
        <w:spacing w:after="120"/>
        <w:rPr>
          <w:noProof/>
        </w:rPr>
      </w:pPr>
      <w:r>
        <w:rPr>
          <w:noProof/>
        </w:rPr>
        <w:t>РАМКА ЗА ИЗПЪЛНЕНИЕ</w:t>
      </w:r>
    </w:p>
    <w:p>
      <w:pPr>
        <w:pStyle w:val="DGTextstand-alone"/>
        <w:spacing w:after="120"/>
      </w:pPr>
      <w:r>
        <w:t xml:space="preserve">Въвеждането на надеждни рамки за изпълнение е от съществено значение за поставянето на силен акцент върху резултатите, европейската добавена стойност и доброто управление на програмите на ЕС. Рамката за изпълнение на бюджета на ЕС е силно специализирана. Тя се нарежда на по-високо място от която и да е държава от Организацията за икономическо сътрудничество и развитие (ОИСР) в стандартния индекс на рамките за бюджетиране, основано на изпълнението. Рамката за изпълнение на бюджета на ЕС съдържа няколко вида стратегически цели и няколко нива на тези цели, включително стратегията „Европа 2020“ и други политически приоритети. Тя трябва също така да взема под внимание взаимното допълване и интегрирането на политики и програми, както и ключовата роля на държавите членки при изпълнението на бюджета на ЕС. </w:t>
      </w:r>
    </w:p>
    <w:p>
      <w:pPr>
        <w:pStyle w:val="DGTextstand-alone"/>
        <w:numPr>
          <w:ilvl w:val="0"/>
          <w:numId w:val="18"/>
        </w:numPr>
        <w:spacing w:before="120" w:after="120"/>
      </w:pPr>
      <w:r>
        <w:t xml:space="preserve">Целите и показателите заемат видно място в правното основание на програмите и всяка година Комисията докладва за тях чрез </w:t>
      </w:r>
      <w:r>
        <w:rPr>
          <w:b/>
        </w:rPr>
        <w:t>програмните отчети</w:t>
      </w:r>
      <w:r>
        <w:t>, придружаващи проектобюджета. Те съдържат цялата основна информация, необходима за внимателен контрол на програмата и за измерване на постигнатите резултати: това включва 7-годишни финансови задължения; базови стойности за изпълнението на програмата (отправни точки за действия в областта на политиката); крайни цели (трябва да бъдат постигнати в края на многогодишния период на програмиране); и междинни цели.</w:t>
      </w:r>
    </w:p>
    <w:p>
      <w:pPr>
        <w:pStyle w:val="DGTextstand-alone"/>
        <w:numPr>
          <w:ilvl w:val="0"/>
          <w:numId w:val="18"/>
        </w:numPr>
        <w:spacing w:before="120" w:after="120"/>
      </w:pPr>
      <w:r>
        <w:t xml:space="preserve">За да гарантира, че средствата се насочват към приоритетите и че всяко действие води до добри резултати и има добавена стойност, Комисията изпълнява своята </w:t>
      </w:r>
      <w:r>
        <w:rPr>
          <w:b/>
        </w:rPr>
        <w:t>инициатива „Бюджет на ЕС, ориентиран към резултатите“</w:t>
      </w:r>
      <w:r>
        <w:t xml:space="preserve">. Като се опира на рамката за изпълнение за периода 2014—2020 г., тя насърчава постигането на по-добър баланс между спазването на правилата и изпълнението. </w:t>
      </w:r>
    </w:p>
    <w:p>
      <w:pPr>
        <w:pStyle w:val="DGTextstand-alone"/>
        <w:numPr>
          <w:ilvl w:val="0"/>
          <w:numId w:val="18"/>
        </w:numPr>
        <w:spacing w:before="120" w:after="120"/>
      </w:pPr>
      <w:r>
        <w:t xml:space="preserve">В </w:t>
      </w:r>
      <w:r>
        <w:rPr>
          <w:b/>
        </w:rPr>
        <w:t>годишния доклад за управлението и изпълнението на бюджета на ЕС</w:t>
      </w:r>
      <w:r>
        <w:t xml:space="preserve"> се прави цялостен преглед на изпълнението, управлението и защитата на бюджета на ЕС. В него се обяснява как бюджетът на ЕС подпомага изпълнението на политическите приоритети на Европейския съюз, описват се резултатите, постигнати с помощта на бюджета на ЕС, и се обяснява ролята на Комисията в осигуряването и насърчаването на най-високите стандарти на бюджетно и финансово управление.</w:t>
      </w:r>
    </w:p>
    <w:p>
      <w:pPr>
        <w:pStyle w:val="DGTextstand-alone"/>
        <w:numPr>
          <w:ilvl w:val="0"/>
          <w:numId w:val="18"/>
        </w:numPr>
        <w:spacing w:before="120" w:after="120"/>
      </w:pPr>
      <w:r>
        <w:t xml:space="preserve">Европейската сметна палата е възприела систематичен и цялостен подход за оценка на качествените аспекти на бюджетирането, включително измерението, свързано с изпълнението, като нормална част от годишното си докладване и чрез специални доклади. </w:t>
      </w:r>
    </w:p>
    <w:p>
      <w:pPr>
        <w:pStyle w:val="DGTextstand-alone"/>
      </w:pPr>
      <w:r>
        <w:t>Благодарение на всички тези елементи бюджетният орган е в добра позиция да вземе изпълнението предвид като важен фактор при вземането на решение относно следващия годишен бюджет.</w:t>
      </w:r>
    </w:p>
    <w:p>
      <w:pPr>
        <w:pStyle w:val="HEADER2Part1"/>
        <w:spacing w:before="240" w:after="120"/>
        <w:rPr>
          <w:noProof/>
        </w:rPr>
      </w:pPr>
      <w:r>
        <w:rPr>
          <w:noProof/>
        </w:rPr>
        <w:t>ФИНАНСОВО ОТЧИТАНЕ</w:t>
      </w:r>
    </w:p>
    <w:p>
      <w:pPr>
        <w:pStyle w:val="DGTextstand-alone"/>
      </w:pPr>
      <w:r>
        <w:t xml:space="preserve">Основният елемент на финансовото отчитане на ЕС е </w:t>
      </w:r>
      <w:r>
        <w:rPr>
          <w:b/>
        </w:rPr>
        <w:t>интегрираният пакет за финансово отчитане</w:t>
      </w:r>
      <w:r>
        <w:t xml:space="preserve"> на ЕС, който се състои от консолидираните годишни отчети на ЕС, годишния доклад за управлението и изпълнението на бюджета и доклада за действията, предприети вследствие на освобождаването от отговорност във връзка с изпълнението на бюджета. Интегрираният пакет за финансово отчитане дава на обществеността цялостна представа за финансовото и оперативното състояние на ЕС всяка година.</w:t>
      </w:r>
    </w:p>
    <w:p>
      <w:pPr>
        <w:pStyle w:val="DGTextstand-alone"/>
      </w:pPr>
      <w:r>
        <w:t>Консолидираните годишни отчети на ЕС съдържат финансова информация за дейностите на институциите, агенциите и другите органи на ЕС както от гледна точка на счетоводната отчетност на базата на текущо начисляване, така и от бюджетна гледна точка. Тези отчети не съдържат годишните отчети на държавите членки.</w:t>
      </w:r>
    </w:p>
    <w:p>
      <w:pPr>
        <w:pStyle w:val="DGTextstand-alone"/>
        <w:spacing w:before="120" w:after="120"/>
      </w:pPr>
      <w:r>
        <w:t>Консолидираните годишни отчети на ЕС се състоят от две отделни, но свързани части:</w:t>
      </w:r>
    </w:p>
    <w:p>
      <w:pPr>
        <w:pStyle w:val="DGTextstand-alone"/>
        <w:tabs>
          <w:tab w:val="left" w:pos="1418"/>
        </w:tabs>
        <w:spacing w:before="120" w:after="120"/>
        <w:ind w:left="720"/>
      </w:pPr>
      <w:r>
        <w:t>а)</w:t>
      </w:r>
      <w:r>
        <w:tab/>
        <w:t>консолидирани финансови отчети; и</w:t>
      </w:r>
    </w:p>
    <w:p>
      <w:pPr>
        <w:pStyle w:val="DGTextstand-alone"/>
        <w:spacing w:before="120" w:after="120"/>
        <w:ind w:left="1440" w:hanging="720"/>
      </w:pPr>
      <w:r>
        <w:t>б)</w:t>
      </w:r>
      <w:r>
        <w:tab/>
        <w:t>отчети за изпълнението на бюджета, които съдържат обща информация за изпълнението на бюджета.</w:t>
      </w:r>
    </w:p>
    <w:p>
      <w:pPr>
        <w:pStyle w:val="DGTextstand-alone"/>
      </w:pPr>
      <w:r>
        <w:t>Освен това консолидираните годишни отчети на ЕС се придружават от документ за обсъждане и анализ на финансовите отчети, в който се обобщават съществените промени и тенденции във финансовите отчети и се обясняват съществените рискове и несигурност, пред които е бил изправен ЕС и на които той трябва да обърне внимание в бъдеще.</w:t>
      </w:r>
    </w:p>
    <w:p>
      <w:pPr>
        <w:rPr>
          <w:rFonts w:ascii="Verdana" w:eastAsia="Calibri" w:hAnsi="Verdana"/>
          <w:noProof/>
          <w:sz w:val="18"/>
          <w:szCs w:val="18"/>
          <w:bdr w:val="nil"/>
        </w:rPr>
      </w:pPr>
      <w:r>
        <w:rPr>
          <w:noProof/>
        </w:rPr>
        <w:br w:type="page"/>
      </w:r>
    </w:p>
    <w:p>
      <w:pPr>
        <w:pStyle w:val="DGTextstand-alone"/>
      </w:pPr>
      <w:r>
        <w:t>Докладване и отчетност в Комисията:</w:t>
      </w:r>
    </w:p>
    <w:tbl>
      <w:tblPr>
        <w:tblStyle w:val="TableGrid"/>
        <w:tblW w:w="0" w:type="auto"/>
        <w:tblLook w:val="04A0" w:firstRow="1" w:lastRow="0" w:firstColumn="1" w:lastColumn="0" w:noHBand="0" w:noVBand="1"/>
      </w:tblPr>
      <w:tblGrid>
        <w:gridCol w:w="2660"/>
        <w:gridCol w:w="7194"/>
      </w:tblGrid>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themeColor="background1"/>
              </w:rPr>
            </w:pPr>
            <w:r>
              <w:rPr>
                <w:b/>
                <w:color w:val="FFFFFF" w:themeColor="background1"/>
              </w:rPr>
              <w:t>Интегриран пакет за финансово отчитане</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color w:val="FFFFFF" w:themeColor="background1"/>
              </w:rPr>
            </w:pPr>
          </w:p>
          <w:p>
            <w:pPr>
              <w:pStyle w:val="DGTextstand-alone"/>
              <w:numPr>
                <w:ilvl w:val="0"/>
                <w:numId w:val="19"/>
              </w:numPr>
              <w:spacing w:before="0"/>
              <w:rPr>
                <w:b/>
                <w:color w:val="FFFFFF" w:themeColor="background1"/>
              </w:rPr>
            </w:pPr>
            <w:r>
              <w:rPr>
                <w:b/>
                <w:color w:val="FFFFFF" w:themeColor="background1"/>
              </w:rPr>
              <w:t>Консолидирани годишни отчети на ЕС</w:t>
            </w:r>
          </w:p>
          <w:p>
            <w:pPr>
              <w:pStyle w:val="DGTextstand-alone"/>
              <w:numPr>
                <w:ilvl w:val="0"/>
                <w:numId w:val="19"/>
              </w:numPr>
              <w:spacing w:after="0"/>
              <w:rPr>
                <w:b/>
                <w:color w:val="FFFFFF" w:themeColor="background1"/>
              </w:rPr>
            </w:pPr>
            <w:r>
              <w:rPr>
                <w:b/>
                <w:color w:val="FFFFFF" w:themeColor="background1"/>
              </w:rPr>
              <w:t>Годишен доклад за управлението и изпълнението на бюджета</w:t>
            </w:r>
          </w:p>
          <w:p>
            <w:pPr>
              <w:pStyle w:val="DGTextstand-alon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Доклад за последващите мерки по отношение на освобождаването от отговорност във връзка с изпълнението на бюджета</w:t>
            </w:r>
          </w:p>
        </w:tc>
      </w:tr>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Други доклади</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bCs/>
                <w:color w:val="FFFFFF" w:themeColor="background1"/>
              </w:rPr>
            </w:pPr>
          </w:p>
          <w:p>
            <w:pPr>
              <w:pStyle w:val="DGTextstand-alone"/>
              <w:numPr>
                <w:ilvl w:val="0"/>
                <w:numId w:val="19"/>
              </w:numPr>
              <w:spacing w:before="0"/>
              <w:rPr>
                <w:b/>
                <w:bCs/>
                <w:color w:val="FFFFFF" w:themeColor="background1"/>
              </w:rPr>
            </w:pPr>
            <w:r>
              <w:rPr>
                <w:b/>
                <w:color w:val="FFFFFF" w:themeColor="background1"/>
              </w:rPr>
              <w:t>Общ доклад за дейностите на ЕС</w:t>
            </w:r>
          </w:p>
          <w:p>
            <w:pPr>
              <w:pStyle w:val="DGTextstand-alone"/>
              <w:numPr>
                <w:ilvl w:val="0"/>
                <w:numId w:val="19"/>
              </w:numPr>
              <w:rPr>
                <w:b/>
                <w:color w:val="FFFFFF" w:themeColor="background1"/>
              </w:rPr>
            </w:pPr>
            <w:r>
              <w:rPr>
                <w:b/>
                <w:color w:val="FFFFFF" w:themeColor="background1"/>
              </w:rPr>
              <w:t>Годишни отчети за дейността на генералните дирекции</w:t>
            </w:r>
          </w:p>
          <w:p>
            <w:pPr>
              <w:pStyle w:val="DGTextstand-alone"/>
              <w:numPr>
                <w:ilvl w:val="0"/>
                <w:numId w:val="19"/>
              </w:numPr>
              <w:spacing w:after="0"/>
              <w:rPr>
                <w:b/>
                <w:color w:val="FFFFFF" w:themeColor="background1"/>
              </w:rPr>
            </w:pPr>
            <w:r>
              <w:rPr>
                <w:b/>
                <w:color w:val="FFFFFF" w:themeColor="background1"/>
              </w:rPr>
              <w:t>Доклад относно бюджетното и финансовото управление</w:t>
            </w:r>
          </w:p>
          <w:p>
            <w:pPr>
              <w:pStyle w:val="DGTextstand-alone"/>
              <w:spacing w:before="0" w:after="0"/>
              <w:ind w:left="720"/>
              <w:rPr>
                <w:b/>
                <w:color w:val="FFFFFF" w:themeColor="background1"/>
              </w:rPr>
            </w:pPr>
          </w:p>
        </w:tc>
      </w:tr>
    </w:tbl>
    <w:p>
      <w:pPr>
        <w:pStyle w:val="HEADER2Part1"/>
        <w:rPr>
          <w:noProof/>
        </w:rPr>
      </w:pPr>
      <w:r>
        <w:rPr>
          <w:noProof/>
        </w:rPr>
        <w:t>ВЪНШЕН ОДИТ И ПРОЦЕДУРА ПО ОСВОБОЖДАВАНЕ ОТ ОТГОВОРНОСТ ВЪВ ВРЪЗКА С ИЗПЪЛНЕНИЕТО НА БЮДЖЕТА</w:t>
      </w:r>
    </w:p>
    <w:p>
      <w:pPr>
        <w:pStyle w:val="HEADER5"/>
        <w:rPr>
          <w:b/>
          <w:noProof/>
        </w:rPr>
      </w:pPr>
      <w:r>
        <w:rPr>
          <w:noProof/>
        </w:rPr>
        <w:t>Външен одит</w:t>
      </w:r>
    </w:p>
    <w:p>
      <w:pPr>
        <w:pStyle w:val="DGTextstand-alone"/>
        <w:spacing w:before="120"/>
      </w:pPr>
      <w:r>
        <w:t>Европейската сметна палата (наричана по-нататък „Палатата“) е външният одитор на институциите на ЕС (и на неговите органи). Мисията на Палатата е да допринася за подобряването на финансовото управление на ЕС, да насърчава отчетността и прозрачността и да действа като независим пазител на финансовите интереси на гражданите на ЕС. Функцията на Палатата като независим външен одитор на ЕС е да проверява дали средствата на ЕС са отчетени правилно, дали са събрани и изразходени в съответствие с приложимите правила и разпоредби, както и дали са били използвани оптимално.</w:t>
      </w:r>
    </w:p>
    <w:p>
      <w:pPr>
        <w:pStyle w:val="DGTextstand-alone"/>
        <w:spacing w:before="120"/>
      </w:pPr>
      <w:r>
        <w:t>Годишните отчети на ЕС и доброто му финансово управление се одитират от Сметната палата, която в рамките на своята дейност изготвя за Европейския парламент и за Съвета:</w:t>
      </w:r>
    </w:p>
    <w:p>
      <w:pPr>
        <w:pStyle w:val="DGTextstand-alone"/>
        <w:spacing w:after="120"/>
        <w:ind w:left="720" w:hanging="720"/>
      </w:pPr>
      <w:r>
        <w:t>(1)</w:t>
      </w:r>
      <w:r>
        <w:tab/>
        <w:t>годишен доклад за дейностите, финансирани от общия бюджет, с подробно описание на констатациите на Палатата по отношение на годишните отчети и свързаните с тях операции;</w:t>
      </w:r>
    </w:p>
    <w:p>
      <w:pPr>
        <w:pStyle w:val="DGTextstand-alone"/>
        <w:spacing w:before="0" w:after="120"/>
        <w:ind w:left="720" w:hanging="720"/>
      </w:pPr>
      <w:r>
        <w:t>(2)</w:t>
      </w:r>
      <w:r>
        <w:tab/>
        <w:t>становище, основано на извършените от нея одити и представено в годишния доклад под формата на декларация за достоверност относно i) надеждността на отчетите и ii) законосъобразността и редовността на свързаните с отчетите операции, свързани както със събраните приходи, така и с плащанията за крайните бенефициери; и</w:t>
      </w:r>
    </w:p>
    <w:p>
      <w:pPr>
        <w:pStyle w:val="DGTextstand-alone"/>
        <w:tabs>
          <w:tab w:val="left" w:pos="709"/>
        </w:tabs>
        <w:spacing w:before="120"/>
      </w:pPr>
      <w:r>
        <w:t>(3)</w:t>
      </w:r>
      <w:r>
        <w:tab/>
        <w:t>специални доклади, обхващащи конкретни области.</w:t>
      </w:r>
    </w:p>
    <w:p>
      <w:pPr>
        <w:pStyle w:val="HEADER5"/>
        <w:rPr>
          <w:b/>
          <w:noProof/>
        </w:rPr>
      </w:pPr>
      <w:r>
        <w:rPr>
          <w:noProof/>
        </w:rPr>
        <w:t>Освобождаване от отговорност във връзка с изпълнението на бюджета</w:t>
      </w:r>
    </w:p>
    <w:p>
      <w:pPr>
        <w:pStyle w:val="DGTextstand-alone"/>
      </w:pPr>
      <w:r>
        <w:t>Последният етап от бюджетния цикъл е процедурата по освобождаване от отговорност във връзка с изпълнението на бюджета за дадена финансова година. Тя представлява политическото измерение на външния контрол на изпълнението на бюджета и е решението, с което „органът по освобождаване от отговорност във връзка с изпълнението на бюджета“ (т.е. Европейският парламент, действащ по препоръка на Съвета), „освобождава“ Комисията (и други органи на ЕС) от отговорността ѝ във връзка с управлението на даден бюджет. Това решение се основава на преглед на консолидираните годишни отчети на ЕС и набор от доклади на Комисията (годишния доклад за управлението и изпълнението, доклада относно последващите действия във връзка с освобождаването от отговорност от предходната година и годишния доклад до органа за освобождаване от отговорност относно извършените вътрешни одити), както и на годишния доклад, одитното становище (декларацията за достоверност) и специалните доклади на Европейската сметна палата. То е също така съобразено с писмените отговори на Комисията на въпроси и искания за допълнителна информация, както и с изслушването на комисаря, отговарящ за бюджета, и на комисарите, отговарящи за основните разходни области, пред комисията по бюджетен контрол на Европейския парламент (CONT).</w:t>
      </w:r>
    </w:p>
    <w:p>
      <w:pPr>
        <w:pStyle w:val="DGTextstand-alone"/>
        <w:spacing w:after="0"/>
      </w:pPr>
      <w:r>
        <w:t xml:space="preserve">Процедурата по освобождаване от отговорност може да приключи по три начина: освобождаване от отговорност, отлагане на това освобождаване от отговорност и отказ да бъде предоставено освобождаването от отговорност. Окончателните доклади за освобождаването от отговорност включват също така специфичните искания, отправени към Комисията както от Европейския парламент, така и от Съвета. За тези искания се изготвя последващ доклад, в който Комисията описва конкретните мерки, които вече е предприела или възнамерява да предприеме. </w:t>
      </w:r>
    </w:p>
    <w:p>
      <w:pPr>
        <w:pStyle w:val="Textstand-alone"/>
        <w:sectPr>
          <w:headerReference w:type="even" r:id="rId45"/>
          <w:headerReference w:type="default" r:id="rId46"/>
          <w:footerReference w:type="even" r:id="rId47"/>
          <w:footerReference w:type="default" r:id="rId48"/>
          <w:headerReference w:type="first" r:id="rId49"/>
          <w:footerReference w:type="first" r:id="rId50"/>
          <w:pgSz w:w="11906" w:h="16838"/>
          <w:pgMar w:top="1134" w:right="1134" w:bottom="1134" w:left="1134" w:header="709" w:footer="709" w:gutter="0"/>
          <w:cols w:space="708"/>
          <w:docGrid w:linePitch="360"/>
        </w:sectPr>
      </w:pPr>
      <w:r>
        <w:t xml:space="preserve"> </w:t>
      </w:r>
      <w:bookmarkEnd w:id="6"/>
    </w:p>
    <w:p>
      <w:pPr>
        <w:pStyle w:val="FIRSTCHAPTERPAGE"/>
        <w:rPr>
          <w:noProof/>
        </w:rPr>
      </w:pPr>
      <w:bookmarkStart w:id="7" w:name="_Toc522889998"/>
      <w:bookmarkStart w:id="8" w:name="_DMBM_11319"/>
      <w:r>
        <w:rPr>
          <w:noProof/>
        </w:rPr>
        <w:t>БЕЛЕЖКА, СЪПЪТСТВАЩА КОНСОЛИДИРАНИТЕ ОТЧЕТИ</w:t>
      </w:r>
      <w:bookmarkEnd w:id="7"/>
    </w:p>
    <w:p>
      <w:pPr>
        <w:pStyle w:val="DGTextstand-alone"/>
      </w:pPr>
    </w:p>
    <w:p>
      <w:pPr>
        <w:pStyle w:val="DGTextstand-alone"/>
      </w:pPr>
      <w:r>
        <w:t>Консолидираните годишни отчети на Европейския съюз за 2017 г. са изготвени въз основа на информацията, представена от институциите и органите съгласно член 148, параграф 2 от Финансовия регламент, приложим за общия бюджет на Европейския съюз. С настоящото заявявам, че те бяха съставени в съответствие с дял IX от този Финансов регламент и със счетоводните принципи, правила и методи, посочени в бележките към финансовите отчети.</w:t>
      </w:r>
    </w:p>
    <w:p>
      <w:pPr>
        <w:pStyle w:val="DGTextstand-alone"/>
      </w:pPr>
      <w:r>
        <w:t>От счетоводителите на тези институции и органи, които удостовериха нейната надеждност, получих цялата информация, необходима за изготвянето на отчетите, които показват активите и пасивите на Европейския съюз и изпълнението на бюджета.</w:t>
      </w:r>
    </w:p>
    <w:p>
      <w:pPr>
        <w:pStyle w:val="DGTextstand-alone"/>
      </w:pPr>
      <w:r>
        <w:t>С настоящото удостоверявам, че въз основа на тази информация и на проверките, които прецених за необходими, за да подпиша отчетите на Европейската комисия, имам разумна увереност, че отчетите представят честно, във всички съществени аспекти, финансовото състояние, резултатите от дейността и паричните потоци на Европейския съюз.</w:t>
      </w:r>
    </w:p>
    <w:p>
      <w:pPr>
        <w:pStyle w:val="DGTextstand-alone"/>
      </w:pPr>
    </w:p>
    <w:p>
      <w:pPr>
        <w:pStyle w:val="Textstand-alone"/>
      </w:pPr>
    </w:p>
    <w:p>
      <w:pPr>
        <w:pStyle w:val="SignatureRightItalic"/>
        <w:rPr>
          <w:noProof/>
        </w:rPr>
      </w:pPr>
      <w:r>
        <w:rPr>
          <w:noProof/>
        </w:rPr>
        <w:t>[подпис]</w:t>
      </w:r>
    </w:p>
    <w:p>
      <w:pPr>
        <w:pStyle w:val="SignatureRight"/>
        <w:rPr>
          <w:noProof/>
        </w:rPr>
      </w:pPr>
      <w:r>
        <w:rPr>
          <w:noProof/>
        </w:rPr>
        <w:t>Rosa ALDEA BUSQUETS</w:t>
      </w:r>
    </w:p>
    <w:p>
      <w:pPr>
        <w:pStyle w:val="SignatureRightBold"/>
        <w:rPr>
          <w:noProof/>
        </w:rPr>
      </w:pPr>
      <w:r>
        <w:rPr>
          <w:noProof/>
        </w:rPr>
        <w:t>Счетоводител на Комисията</w:t>
      </w:r>
    </w:p>
    <w:p>
      <w:pPr>
        <w:pStyle w:val="SignatureRightItalic0"/>
        <w:rPr>
          <w:noProof/>
        </w:rPr>
      </w:pPr>
      <w:r>
        <w:rPr>
          <w:noProof/>
        </w:rPr>
        <w:t>22 юни 2018 г.</w:t>
      </w:r>
    </w:p>
    <w:p>
      <w:pPr>
        <w:pStyle w:val="SignatureRightItalic0"/>
        <w:rPr>
          <w:noProof/>
        </w:rPr>
        <w:sectPr>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1134" w:left="1134" w:header="709" w:footer="709" w:gutter="0"/>
          <w:cols w:space="708"/>
          <w:docGrid w:linePitch="360"/>
        </w:sectPr>
      </w:pPr>
      <w:r>
        <w:rPr>
          <w:noProof/>
        </w:rPr>
        <w:t xml:space="preserve"> </w:t>
      </w:r>
      <w:bookmarkEnd w:id="8"/>
    </w:p>
    <w:p>
      <w:pPr>
        <w:rPr>
          <w:rFonts w:ascii="Verdana" w:hAnsi="Verdana"/>
          <w:b/>
          <w:noProof/>
          <w:color w:val="016794"/>
          <w:sz w:val="40"/>
          <w:szCs w:val="40"/>
        </w:rPr>
      </w:pPr>
      <w:bookmarkStart w:id="9" w:name="_DMBM_12926"/>
      <w:r>
        <w:rPr>
          <w:noProof/>
        </w:rPr>
        <w:br w:type="page"/>
      </w:r>
    </w:p>
    <w:p>
      <w:pPr>
        <w:pStyle w:val="FIRSTCHAPTERPAGE"/>
        <w:spacing w:after="0"/>
        <w:rPr>
          <w:noProof/>
        </w:rPr>
      </w:pPr>
      <w:bookmarkStart w:id="10" w:name="_Toc522889999"/>
      <w:r>
        <w:rPr>
          <w:noProof/>
        </w:rPr>
        <w:t>ОСНОВНИ АСПЕКТИ НА 2017 ФИНАНСОВА ГОДИНА</w:t>
      </w:r>
      <w:bookmarkEnd w:id="10"/>
    </w:p>
    <w:p>
      <w:pPr>
        <w:pStyle w:val="HEADER5"/>
        <w:spacing w:before="240"/>
        <w:rPr>
          <w:noProof/>
          <w:sz w:val="32"/>
        </w:rPr>
      </w:pPr>
      <w:r>
        <w:rPr>
          <w:noProof/>
          <w:sz w:val="32"/>
        </w:rPr>
        <w:t>Изпълнение на бюджета на Съюза за 2017 г.</w:t>
      </w:r>
    </w:p>
    <w:p>
      <w:pPr>
        <w:pStyle w:val="DGTextstand-alone"/>
      </w:pPr>
      <w:r>
        <w:t>Приетият бюджет за 2017 г. бе съсредоточен върху два основни приоритета на политиката за Европа: да се подпомогне процесът на възстановяване на европейската икономика и да се преодолеят предизвикателствата, свързани със сигурността, и хуманитарните предизвикателства в съседните на ЕС региони. Увеличените средства бяха използвани за инвестиции в растежа, работните места и конкурентоспособността на Европейския съюз, както и за осигуряване на необходимите ресурси за защита на външните граници на ЕС, за повишаване на сигурността в Съюза и извън него, за оказване на помощ за приемането и интегрирането на бежанци и за предприемане на мерки срещу първопричините за миграцията в държавите на произход и на транзитно преминаване.</w:t>
      </w:r>
    </w:p>
    <w:p>
      <w:pPr>
        <w:pStyle w:val="DGTextstand-alone"/>
      </w:pPr>
      <w:r>
        <w:t>В стойностно изражение изпълнението на бюджета на ЕС през 2017 г. възлезе на общо 171,1 милиарда евро бюджетни кредити за поети задължения и 137,4 милиарда евро бюджетни кредити за плащания. </w:t>
      </w:r>
    </w:p>
    <w:p>
      <w:pPr>
        <w:pStyle w:val="DGTextstand-alone"/>
      </w:pPr>
      <w:r>
        <w:t xml:space="preserve">Почти половината от средствата — 83,3 милиарда евро поети задължения — бяха използвани за стимулиране на </w:t>
      </w:r>
      <w:r>
        <w:rPr>
          <w:b/>
        </w:rPr>
        <w:t>растежа, заетостта и конкурентоспособността</w:t>
      </w:r>
      <w:r>
        <w:t xml:space="preserve">. Това включваше финансиране за научните изследвания и иновациите по линия на „Хоризонт 2020“, за образованието по линия на „Еразъм+“, за малките и средните предприятия по линия на COSME, за Механизма за свързване на Европа (МСЕ), за гаранционния фонд за Европейския фонд за стратегически инвестиции (ЕФСИ), който представлява механизмът в основата на Плана за инвестиции за Европа, и за стимулиране на сближаването между държавите членки и между регионите посредством европейските структурни и инвестиционни фондове (ЕСИФ). Освен това подкрепата от бюджета на ЕС за </w:t>
      </w:r>
      <w:r>
        <w:rPr>
          <w:b/>
        </w:rPr>
        <w:t>европейските земеделски стопани</w:t>
      </w:r>
      <w:r>
        <w:t xml:space="preserve"> възлезе на 44,7 милиарда евро плащания.</w:t>
      </w:r>
    </w:p>
    <w:p>
      <w:pPr>
        <w:pStyle w:val="DGTextstand-alone"/>
      </w:pPr>
      <w:r>
        <w:t xml:space="preserve">Бюджетът бе използван също за укрепване на </w:t>
      </w:r>
      <w:r>
        <w:rPr>
          <w:b/>
        </w:rPr>
        <w:t>външните граници</w:t>
      </w:r>
      <w:r>
        <w:t xml:space="preserve"> на Съюза и за борба с </w:t>
      </w:r>
      <w:r>
        <w:rPr>
          <w:b/>
        </w:rPr>
        <w:t>бежанската криза</w:t>
      </w:r>
      <w:r>
        <w:t xml:space="preserve"> и незаконната миграция чрез финансиране на по-мощни инструменти за предотвратяване на контрабандата на мигранти и за премахване на дългосрочните фактори на миграцията в сътрудничество с държавите на произход и на транзитно преминаване; чрез финансиране на по-мощни политики за законна миграция, включително презаселване на лица, които се нуждаят от закрила; и чрез финансиране на инструменти за подпомагане на държавите членки по отношение на интегрирането на бежанците в рамките на ЕС.</w:t>
      </w:r>
    </w:p>
    <w:p>
      <w:pPr>
        <w:pStyle w:val="HEADER5"/>
        <w:spacing w:before="240"/>
        <w:rPr>
          <w:noProof/>
          <w:sz w:val="32"/>
        </w:rPr>
      </w:pPr>
      <w:r>
        <w:rPr>
          <w:noProof/>
          <w:sz w:val="32"/>
        </w:rPr>
        <w:t>Оттегляне на Обединеното кралство от Европейския съюз</w:t>
      </w:r>
    </w:p>
    <w:p>
      <w:pPr>
        <w:pStyle w:val="DGTextstand-alone"/>
        <w:rPr>
          <w:i/>
        </w:rPr>
      </w:pPr>
      <w:r>
        <w:rPr>
          <w:i/>
        </w:rPr>
        <w:t>Контекст</w:t>
      </w:r>
    </w:p>
    <w:p>
      <w:pPr>
        <w:pStyle w:val="DGTextstand-alone"/>
      </w:pPr>
      <w:r>
        <w:t xml:space="preserve">На 23 юни 2016 г. мнозинството от гражданите на Обединеното кралство, които гласуваха на референдума относно членството в Европейския съюз, избраха да напуснат ЕС. На 29 март 2017 г. Обединеното кралство официално уведоми Европейския съвет за намерението си да напусне ЕС и Европейската общност за атомна енергия (Евратом). По този начин то задейства член 50 от Договора за Европейския съюз, в който се посочва процедурата, по която държава членка се оттегля от Съюза. </w:t>
      </w:r>
    </w:p>
    <w:p>
      <w:pPr>
        <w:pStyle w:val="DGTextstand-alone"/>
        <w:rPr>
          <w:i/>
        </w:rPr>
      </w:pPr>
      <w:r>
        <w:rPr>
          <w:i/>
        </w:rPr>
        <w:t xml:space="preserve">Процесът на преговори </w:t>
      </w:r>
    </w:p>
    <w:p>
      <w:pPr>
        <w:pStyle w:val="DGTextstand-alone"/>
      </w:pPr>
      <w:r>
        <w:t xml:space="preserve">На специално заседание на Европейския съвет, проведено на 29 април 2017 г., лидерите на останалите 27 държави членки приеха политически насоки за организираното оттегляне на Обединеното кралство от ЕС. В тези насоки се определя рамката за преговорите и се излагат общите позиции и принципи на ЕС. Четири дни по-късно Комисията изпрати на Съвета препоръка да започне преговори с Обединеното кралство по член 50, включително проект на указания за водене на преговорите. </w:t>
      </w:r>
    </w:p>
    <w:p>
      <w:pPr>
        <w:pStyle w:val="DGTextstand-alone"/>
      </w:pPr>
      <w:r>
        <w:t xml:space="preserve">На 22 май Съветът прие решение, с което даде разрешение да започнат преговорите с Обединеното кралство и определи официално Комисията за преговарящ от името на ЕС. Съветът прие и първия набор от указания за водене на преговорите. В тях се предвиждат ясна структура и единен подход на ЕС към преговорите. </w:t>
      </w:r>
    </w:p>
    <w:p>
      <w:pPr>
        <w:pStyle w:val="DGTextstand-alone"/>
      </w:pPr>
      <w:r>
        <w:t xml:space="preserve">ЕС се представлява от Мишел Барние, който бе назначен за главен преговарящ от страна на Европейската комисия. В Европейската комисия работна група под ръководството на Мишел Барние координира работата по всички стратегически, оперативни, правни и финансови въпроси, свързани с преговорите. Комисията докладва на Съвета в хода на преговорите и също така информира подробно и редовно Европейския парламент. </w:t>
      </w:r>
    </w:p>
    <w:p>
      <w:pPr>
        <w:pStyle w:val="DGTextstand-alone"/>
        <w:rPr>
          <w:i/>
        </w:rPr>
      </w:pPr>
      <w:r>
        <w:rPr>
          <w:i/>
        </w:rPr>
        <w:t xml:space="preserve">Първият етап на преговорите </w:t>
      </w:r>
    </w:p>
    <w:p>
      <w:pPr>
        <w:pStyle w:val="DGTextstand-alone"/>
      </w:pPr>
      <w:r>
        <w:t xml:space="preserve">Първият етап на преговорите започна на 19 юни 2017 г. Целта му е да предостави възможно най-голяма яснота и правна сигурност и да уреди отделянето на Обединеното кралство от ЕС. </w:t>
      </w:r>
    </w:p>
    <w:p>
      <w:pPr>
        <w:pStyle w:val="DGTextstand-alone"/>
      </w:pPr>
      <w:r>
        <w:t xml:space="preserve">През 2017 г. бяха проведени шест кръга преговори. Преговорите бяха съсредоточени върху три приоритетни области: защитата на правата на гражданите; рамката за справяне с необичайните обстоятелства в Ирландия и Северна Ирландия; и финансовото споразумение, с което да се гарантира, че ЕС и Обединеното кралство ще изпълнят финансовите задължения, които са поели преди оттеглянето. Преговорите обхващаха и други въпроси, свързани с отделянето на страната от ЕС. </w:t>
      </w:r>
    </w:p>
    <w:p>
      <w:pPr>
        <w:pStyle w:val="DGTextstand-alone"/>
      </w:pPr>
      <w:r>
        <w:t xml:space="preserve">На 8 декември 2017 г. Европейската комисия препоръча на Европейския съвет да заключи, че е бил отбелязан достатъчен напредък през първия етап на преговорите с Обединеното кралство по член 50. Преценката на Комисията се основаваше на съвместен доклад, договорен от преговарящите на Комисията и на правителството на Обединеното кралство. В този съвместен доклад Обединеното кралство се съгласи да плати всичките си задължения по текущата многогодишна финансова рамка (МФР) и предходните финансови перспективи, все едно че все още е държава членка, включително дела си от пасивите и условните пасиви на Съюза. </w:t>
      </w:r>
    </w:p>
    <w:p>
      <w:pPr>
        <w:pStyle w:val="DGTextstand-alone"/>
      </w:pPr>
      <w:r>
        <w:t xml:space="preserve">На 15 декември Европейският съвет потвърди, че е отбелязан достатъчен напредък, и лидерите приеха насоки за преминаване към втория етап на преговорите, свързан с възможните преходни разпоредби и бъдещите отношения между ЕС и Обединеното кралство. </w:t>
      </w:r>
    </w:p>
    <w:p>
      <w:pPr>
        <w:pStyle w:val="DGTextstand-alone"/>
        <w:rPr>
          <w:i/>
        </w:rPr>
      </w:pPr>
      <w:r>
        <w:rPr>
          <w:i/>
        </w:rPr>
        <w:t xml:space="preserve">Следващият етап на преговорите </w:t>
      </w:r>
    </w:p>
    <w:p>
      <w:pPr>
        <w:pStyle w:val="DGTextstand-alone"/>
      </w:pPr>
      <w:r>
        <w:t xml:space="preserve">На 20 декември 2017 г. Европейската комисия изпрати препоръка на Съвета да започне обсъждането на следващия етап на преговорите, включително проекта на указания за водене на преговорите. Тези указания допълват указанията за водене на преговорите от май 2017 г. и определят допълнителни подробности относно евентуалните преходни разпоредби. </w:t>
      </w:r>
    </w:p>
    <w:p>
      <w:pPr>
        <w:pStyle w:val="DGTextstand-alone"/>
      </w:pPr>
      <w:r>
        <w:t xml:space="preserve">В препоръката също така се напомня необходимостта резултатите от първия етап на преговорите, посочени в съобщението на Комисията и в съвместния доклад, да бъдат приведени в правна форма. В съответствие с насоките на Европейския съвет от 15 декември допълнителните указания за водене на преговорите относно преходните разпоредби бяха приети на 29 януари 2018 г. </w:t>
      </w:r>
    </w:p>
    <w:p>
      <w:pPr>
        <w:pStyle w:val="DGTextstand-alone"/>
      </w:pPr>
      <w:r>
        <w:t>На 19 март 2018 г. Комисията публикува проект на споразумението за оттегляне, в което очерта постигнатия напредък в преговорите с Обединеното кралство, проведени на 16—19 март 2018 г. В частта от споразумението за оттегляне, предназначена за финансовото споразумение, ЕС и Обединеното кралство оформиха в правен текст напредъка, постигнат през първия етап на преговорите (представен в съвместния доклад).</w:t>
      </w:r>
    </w:p>
    <w:p>
      <w:pPr>
        <w:pStyle w:val="DGTextstand-alone"/>
      </w:pPr>
      <w:r>
        <w:t xml:space="preserve">След публикуването на проекта на споразумението за оттегляне Европейският съвет издаде на 23 март 2018 г. допълнителни насоки с оглед на започването на преговори относно цялостното разбиране на рамката за бъдещите отношения между ЕС и Обединеното кралство. Преговорите трябва да приключат до есента на 2018 г., за да има достатъчно време преди 29 март 2019 г. Съветът да сключи споразумението за оттегляне, след като получи одобрението на Европейския парламент, както и Обединеното кралство да одобри това споразумение в съответствие със собствените си процедури. </w:t>
      </w:r>
    </w:p>
    <w:p>
      <w:pPr>
        <w:pStyle w:val="DGTextstand-alone"/>
        <w:spacing w:before="0" w:after="0"/>
        <w:rPr>
          <w:i/>
        </w:rPr>
      </w:pPr>
    </w:p>
    <w:p>
      <w:pPr>
        <w:pStyle w:val="DGTextstand-alone"/>
        <w:spacing w:before="0" w:after="0"/>
        <w:rPr>
          <w:i/>
        </w:rPr>
      </w:pPr>
      <w:r>
        <w:rPr>
          <w:i/>
        </w:rPr>
        <w:t>Финансовото споразумение и годишните отчети на ЕС за 2017 г.</w:t>
      </w:r>
    </w:p>
    <w:p>
      <w:pPr>
        <w:pStyle w:val="DGTextstand-alone"/>
        <w:spacing w:before="0" w:after="0"/>
      </w:pPr>
    </w:p>
    <w:p>
      <w:pPr>
        <w:pStyle w:val="DGTextstand-alone"/>
        <w:spacing w:before="0" w:after="0"/>
      </w:pPr>
      <w:r>
        <w:t>Що се отнася до финансовото споразумение, в съвместния доклад, потвърден с публикуването на 19 март на проекта на споразумението за оттегляне, бе посочено, че Обединеното кралство ще плати всичките си задължения по настоящата МФР и предходните финансови перспективи, все едно че все още е държава членка. По-конкретно в проекта на споразумението за оттегляне се посочва, че Обединеното кралство по-специално носи отговорност пред Съюза за дела си от:</w:t>
      </w:r>
    </w:p>
    <w:p>
      <w:pPr>
        <w:pStyle w:val="DGTextstand-alone"/>
        <w:numPr>
          <w:ilvl w:val="0"/>
          <w:numId w:val="20"/>
        </w:numPr>
      </w:pPr>
      <w:r>
        <w:t>бюджетните задължения в бюджета на Съюза и в бюджетите на децентрализираните агенции на Съюза, които не са изпълнени към 31 декември 2020 г. — вж. член 133 от споразумението за оттегляне;</w:t>
      </w:r>
    </w:p>
    <w:p>
      <w:pPr>
        <w:pStyle w:val="DGTextstand-alone"/>
        <w:numPr>
          <w:ilvl w:val="0"/>
          <w:numId w:val="20"/>
        </w:numPr>
      </w:pPr>
      <w:r>
        <w:t>финансирането на пасивите на Съюза, възникнали до 31 декември 2020 г., с някои изключения — вж. член 135;</w:t>
      </w:r>
    </w:p>
    <w:p>
      <w:pPr>
        <w:pStyle w:val="DGTextstand-alone"/>
        <w:numPr>
          <w:ilvl w:val="0"/>
          <w:numId w:val="20"/>
        </w:numPr>
      </w:pPr>
      <w:r>
        <w:t>условните финансови пасиви на Съюза, произтичащи от финансовите операции, за които е взето решение/които са одобрени преди датата на оттегляне — вж. член 136; и</w:t>
      </w:r>
    </w:p>
    <w:p>
      <w:pPr>
        <w:pStyle w:val="DGTextstand-alone"/>
        <w:numPr>
          <w:ilvl w:val="0"/>
          <w:numId w:val="20"/>
        </w:numPr>
      </w:pPr>
      <w:r>
        <w:t>плащанията, необходими за изпълнение на условните пасиви на Съюза, които стават дължими във връзка със съдебни дела, свързани с финансовите интереси на Съюза (при условие че фактите, които са предмет на тези дела, са настъпили не по-късно от 31 декември 2020 г.) — вж. член 140.</w:t>
      </w:r>
    </w:p>
    <w:p>
      <w:pPr>
        <w:pStyle w:val="DGTextstand-alone"/>
        <w:spacing w:before="0" w:after="0"/>
      </w:pPr>
      <w:r>
        <w:t>Това е последната налична информация към момента на изготвянето на настоящите отчети. Въз основа на тази настояща ситуация процесът на оттегляне на Обединеното кралство не оказва въздействие върху консолидираните годишни отчети на ЕС към 31 декември 2017 г.</w:t>
      </w:r>
    </w:p>
    <w:p>
      <w:pPr>
        <w:pStyle w:val="DGTextstand-alone"/>
        <w:spacing w:before="0" w:after="0"/>
      </w:pPr>
    </w:p>
    <w:p>
      <w:pPr>
        <w:pStyle w:val="DGTextstand-alone"/>
        <w:spacing w:before="0" w:after="0"/>
      </w:pPr>
      <w:r>
        <w:t>Следва да се отбележи също, че на 2 май 2018 г. Комисията внесе предложението си за следващата МФР, стартираща през 2021 г., което е изготвено съгласно презумпцията, че Обединеното кралство вече няма да е държава членка.</w:t>
      </w:r>
    </w:p>
    <w:p>
      <w:pPr>
        <w:pStyle w:val="DGTextstand-alone"/>
        <w:spacing w:before="0" w:after="0"/>
        <w:sectPr>
          <w:headerReference w:type="even" r:id="rId57"/>
          <w:headerReference w:type="default" r:id="rId58"/>
          <w:footerReference w:type="even" r:id="rId59"/>
          <w:footerReference w:type="default" r:id="rId60"/>
          <w:headerReference w:type="first" r:id="rId61"/>
          <w:footerReference w:type="first" r:id="rId62"/>
          <w:pgSz w:w="11906" w:h="16838"/>
          <w:pgMar w:top="1134" w:right="1134" w:bottom="1134" w:left="1134" w:header="709" w:footer="709" w:gutter="0"/>
          <w:cols w:space="708"/>
          <w:docGrid w:linePitch="360"/>
        </w:sectPr>
      </w:pPr>
      <w:r>
        <w:t xml:space="preserve"> </w:t>
      </w:r>
      <w:bookmarkEnd w:id="9"/>
    </w:p>
    <w:p>
      <w:pPr>
        <w:rPr>
          <w:rFonts w:ascii="Verdana" w:hAnsi="Verdana"/>
          <w:noProof/>
          <w:color w:val="016794"/>
        </w:rPr>
      </w:pPr>
      <w:bookmarkStart w:id="11" w:name="_DMBM_11266"/>
      <w:r>
        <w:rPr>
          <w:noProof/>
        </w:rPr>
        <w:br w:type="page"/>
      </w:r>
    </w:p>
    <w:p>
      <w:pPr>
        <w:pStyle w:val="FinancialYear"/>
        <w:rPr>
          <w:noProof/>
        </w:rPr>
      </w:pPr>
      <w:r>
        <w:rPr>
          <w:noProof/>
        </w:rPr>
        <w:t>ЕВРОПЕЙСКИ СЪЮЗ</w:t>
      </w:r>
    </w:p>
    <w:p>
      <w:pPr>
        <w:pStyle w:val="FinancialYear"/>
        <w:rPr>
          <w:noProof/>
        </w:rPr>
      </w:pPr>
      <w:r>
        <w:rPr>
          <w:noProof/>
        </w:rPr>
        <w:t>2017 ФИНАНСОВА ГОДИНА</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2" w:name="_Toc522890000"/>
      <w:r>
        <w:rPr>
          <w:noProof/>
        </w:rPr>
        <w:t>КОНСОЛИДИРАНИ ФИНАНСОВИ ОТЧЕТИ И ОБЯСНИТЕЛНИ БЕЛЕЖКИ</w:t>
      </w:r>
      <w:bookmarkEnd w:id="12"/>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3"/>
          <w:headerReference w:type="default" r:id="rId64"/>
          <w:footerReference w:type="even" r:id="rId65"/>
          <w:footerReference w:type="default" r:id="rId66"/>
          <w:headerReference w:type="first" r:id="rId67"/>
          <w:footerReference w:type="first" r:id="rId68"/>
          <w:pgSz w:w="11906" w:h="16838"/>
          <w:pgMar w:top="1134" w:right="1134" w:bottom="1134" w:left="1134" w:header="709" w:footer="709" w:gutter="0"/>
          <w:cols w:space="708"/>
          <w:docGrid w:linePitch="360"/>
        </w:sectPr>
      </w:pPr>
      <w:r>
        <w:rPr>
          <w:noProof/>
        </w:rPr>
        <w:t>Следва да се отбележи, че поради закръглянето на цифрите в милиони евро някои финансови данни в таблиците по-долу може да изглеждат грешни.</w:t>
      </w:r>
      <w:bookmarkEnd w:id="11"/>
    </w:p>
    <w:p>
      <w:pPr>
        <w:rPr>
          <w:rFonts w:ascii="Verdana" w:hAnsi="Verdana"/>
          <w:b/>
          <w:noProof/>
          <w:color w:val="016794"/>
          <w:sz w:val="28"/>
          <w:szCs w:val="28"/>
        </w:rPr>
      </w:pPr>
      <w:bookmarkStart w:id="13" w:name="_DMBM_11264"/>
      <w:r>
        <w:rPr>
          <w:noProof/>
        </w:rPr>
        <w:br w:type="page"/>
      </w:r>
    </w:p>
    <w:p>
      <w:pPr>
        <w:pStyle w:val="HEADERTABLE"/>
        <w:rPr>
          <w:noProof/>
        </w:rPr>
      </w:pPr>
      <w:r>
        <w:rPr>
          <w:noProof/>
        </w:rPr>
        <w:t>СЪДЪРЖАНИЕ</w:t>
      </w:r>
    </w:p>
    <w:p>
      <w:pPr>
        <w:pStyle w:val="Textstand-alone"/>
        <w:rPr>
          <w:lang w:val="en-GB"/>
        </w:rPr>
      </w:pPr>
    </w:p>
    <w:p>
      <w:pPr>
        <w:pStyle w:val="TOC1"/>
        <w:rPr>
          <w:rFonts w:asciiTheme="minorHAnsi" w:eastAsiaTheme="minorEastAsia" w:hAnsiTheme="minorHAnsi" w:cstheme="minorBidi"/>
          <w:noProof/>
          <w:color w:val="auto"/>
          <w:szCs w:val="22"/>
          <w:lang w:val="en-GB" w:eastAsia="en-GB" w:bidi="ar-SA"/>
        </w:rPr>
      </w:pPr>
      <w:r>
        <w:rPr>
          <w:noProof/>
          <w:sz w:val="20"/>
        </w:rPr>
        <w:fldChar w:fldCharType="begin"/>
      </w:r>
      <w:r>
        <w:rPr>
          <w:noProof/>
          <w:sz w:val="20"/>
        </w:rPr>
        <w:instrText xml:space="preserve"> TOC \o "1-3" \h \z \t "HEADER 1_NOTES;2;HEADER_TITLE_1;1" </w:instrText>
      </w:r>
      <w:r>
        <w:rPr>
          <w:noProof/>
          <w:sz w:val="20"/>
        </w:rPr>
        <w:fldChar w:fldCharType="separate"/>
      </w:r>
      <w:hyperlink w:anchor="_Toc522890232" w:history="1">
        <w:r>
          <w:rPr>
            <w:rStyle w:val="Hyperlink"/>
            <w:noProof/>
          </w:rPr>
          <w:t>СЧЕТОВОДЕН БАЛАНС</w:t>
        </w:r>
        <w:r>
          <w:rPr>
            <w:noProof/>
            <w:webHidden/>
          </w:rPr>
          <w:tab/>
        </w:r>
        <w:r>
          <w:rPr>
            <w:noProof/>
            <w:webHidden/>
          </w:rPr>
          <w:fldChar w:fldCharType="begin"/>
        </w:r>
        <w:r>
          <w:rPr>
            <w:noProof/>
            <w:webHidden/>
          </w:rPr>
          <w:instrText xml:space="preserve"> PAGEREF _Toc522890232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233" w:history="1">
        <w:r>
          <w:rPr>
            <w:rStyle w:val="Hyperlink"/>
            <w:noProof/>
          </w:rPr>
          <w:t>ОТЧЕТ ЗА ФИНАНСОВИЯ РЕЗУЛТАТ</w:t>
        </w:r>
        <w:r>
          <w:rPr>
            <w:noProof/>
            <w:webHidden/>
          </w:rPr>
          <w:tab/>
        </w:r>
        <w:r>
          <w:rPr>
            <w:noProof/>
            <w:webHidden/>
          </w:rPr>
          <w:fldChar w:fldCharType="begin"/>
        </w:r>
        <w:r>
          <w:rPr>
            <w:noProof/>
            <w:webHidden/>
          </w:rPr>
          <w:instrText xml:space="preserve"> PAGEREF _Toc522890233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234" w:history="1">
        <w:r>
          <w:rPr>
            <w:rStyle w:val="Hyperlink"/>
            <w:noProof/>
          </w:rPr>
          <w:t>ОТЧЕТ ЗА ПАРИЧНИТЕ ПОТОЦИ</w:t>
        </w:r>
        <w:r>
          <w:rPr>
            <w:noProof/>
            <w:webHidden/>
          </w:rPr>
          <w:tab/>
        </w:r>
        <w:r>
          <w:rPr>
            <w:noProof/>
            <w:webHidden/>
          </w:rPr>
          <w:fldChar w:fldCharType="begin"/>
        </w:r>
        <w:r>
          <w:rPr>
            <w:noProof/>
            <w:webHidden/>
          </w:rPr>
          <w:instrText xml:space="preserve"> PAGEREF _Toc522890234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235" w:history="1">
        <w:r>
          <w:rPr>
            <w:rStyle w:val="Hyperlink"/>
            <w:noProof/>
          </w:rPr>
          <w:t>ОТЧЕТ ЗА ПРОМЕНИТЕ В НЕТНИТЕ АКТИВИ</w:t>
        </w:r>
        <w:r>
          <w:rPr>
            <w:noProof/>
            <w:webHidden/>
          </w:rPr>
          <w:tab/>
        </w:r>
        <w:r>
          <w:rPr>
            <w:noProof/>
            <w:webHidden/>
          </w:rPr>
          <w:fldChar w:fldCharType="begin"/>
        </w:r>
        <w:r>
          <w:rPr>
            <w:noProof/>
            <w:webHidden/>
          </w:rPr>
          <w:instrText xml:space="preserve"> PAGEREF _Toc522890235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236" w:history="1">
        <w:r>
          <w:rPr>
            <w:rStyle w:val="Hyperlink"/>
            <w:noProof/>
          </w:rPr>
          <w:t>БЕЛЕЖКИ КЪМ ФИНАНСОВИТЕ ОТЧЕТИ</w:t>
        </w:r>
        <w:r>
          <w:rPr>
            <w:noProof/>
            <w:webHidden/>
          </w:rPr>
          <w:tab/>
        </w:r>
        <w:r>
          <w:rPr>
            <w:noProof/>
            <w:webHidden/>
          </w:rPr>
          <w:fldChar w:fldCharType="begin"/>
        </w:r>
        <w:r>
          <w:rPr>
            <w:noProof/>
            <w:webHidden/>
          </w:rPr>
          <w:instrText xml:space="preserve"> PAGEREF _Toc522890236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237" w:history="1">
        <w:r>
          <w:rPr>
            <w:rStyle w:val="Hyperlink"/>
            <w:noProof/>
          </w:rPr>
          <w:t>1.</w:t>
        </w:r>
        <w:r>
          <w:rPr>
            <w:rFonts w:asciiTheme="minorHAnsi" w:eastAsiaTheme="minorEastAsia" w:hAnsiTheme="minorHAnsi" w:cstheme="minorBidi"/>
            <w:noProof/>
            <w:color w:val="auto"/>
            <w:szCs w:val="22"/>
            <w:lang w:val="en-GB" w:eastAsia="en-GB" w:bidi="ar-SA"/>
          </w:rPr>
          <w:tab/>
        </w:r>
        <w:r>
          <w:rPr>
            <w:rStyle w:val="Hyperlink"/>
            <w:noProof/>
          </w:rPr>
          <w:t>ВАЖНИ СЧЕТОВОДНИ ПОЛИТИКИ</w:t>
        </w:r>
        <w:r>
          <w:rPr>
            <w:noProof/>
            <w:webHidden/>
          </w:rPr>
          <w:tab/>
        </w:r>
        <w:r>
          <w:rPr>
            <w:noProof/>
            <w:webHidden/>
          </w:rPr>
          <w:fldChar w:fldCharType="begin"/>
        </w:r>
        <w:r>
          <w:rPr>
            <w:noProof/>
            <w:webHidden/>
          </w:rPr>
          <w:instrText xml:space="preserve"> PAGEREF _Toc522890237 \h </w:instrText>
        </w:r>
        <w:r>
          <w:rPr>
            <w:noProof/>
            <w:webHidden/>
          </w:rPr>
        </w:r>
        <w:r>
          <w:rPr>
            <w:noProof/>
            <w:webHidden/>
          </w:rPr>
          <w:fldChar w:fldCharType="separate"/>
        </w:r>
        <w:r>
          <w:rPr>
            <w:noProof/>
            <w:webHidden/>
          </w:rPr>
          <w:t>29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238" w:history="1">
        <w:r>
          <w:rPr>
            <w:rStyle w:val="Hyperlink"/>
            <w:noProof/>
          </w:rPr>
          <w:t>2.</w:t>
        </w:r>
        <w:r>
          <w:rPr>
            <w:rFonts w:asciiTheme="minorHAnsi" w:eastAsiaTheme="minorEastAsia" w:hAnsiTheme="minorHAnsi" w:cstheme="minorBidi"/>
            <w:noProof/>
            <w:color w:val="auto"/>
            <w:szCs w:val="22"/>
            <w:lang w:val="en-GB" w:eastAsia="en-GB" w:bidi="ar-SA"/>
          </w:rPr>
          <w:tab/>
        </w:r>
        <w:r>
          <w:rPr>
            <w:rStyle w:val="Hyperlink"/>
            <w:noProof/>
          </w:rPr>
          <w:t>БЕЛЕЖКИ КЪМ СЧЕТОВОДНИЯ БАЛАНС</w:t>
        </w:r>
        <w:r>
          <w:rPr>
            <w:noProof/>
            <w:webHidden/>
          </w:rPr>
          <w:tab/>
        </w:r>
        <w:r>
          <w:rPr>
            <w:noProof/>
            <w:webHidden/>
          </w:rPr>
          <w:fldChar w:fldCharType="begin"/>
        </w:r>
        <w:r>
          <w:rPr>
            <w:noProof/>
            <w:webHidden/>
          </w:rPr>
          <w:instrText xml:space="preserve"> PAGEREF _Toc522890238 \h </w:instrText>
        </w:r>
        <w:r>
          <w:rPr>
            <w:noProof/>
            <w:webHidden/>
          </w:rPr>
        </w:r>
        <w:r>
          <w:rPr>
            <w:noProof/>
            <w:webHidden/>
          </w:rPr>
          <w:fldChar w:fldCharType="separate"/>
        </w:r>
        <w:r>
          <w:rPr>
            <w:noProof/>
            <w:webHidden/>
          </w:rPr>
          <w:t>44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239" w:history="1">
        <w:r>
          <w:rPr>
            <w:rStyle w:val="Hyperlink"/>
            <w:noProof/>
          </w:rPr>
          <w:t>3.</w:t>
        </w:r>
        <w:r>
          <w:rPr>
            <w:rFonts w:asciiTheme="minorHAnsi" w:eastAsiaTheme="minorEastAsia" w:hAnsiTheme="minorHAnsi" w:cstheme="minorBidi"/>
            <w:noProof/>
            <w:color w:val="auto"/>
            <w:szCs w:val="22"/>
            <w:lang w:val="en-GB" w:eastAsia="en-GB" w:bidi="ar-SA"/>
          </w:rPr>
          <w:tab/>
        </w:r>
        <w:r>
          <w:rPr>
            <w:rStyle w:val="Hyperlink"/>
            <w:noProof/>
          </w:rPr>
          <w:t>БЕЛЕЖКИ КЪМ ОТЧЕТА ЗА ФИНАНСОВИЯ РЕЗУЛТАТ</w:t>
        </w:r>
        <w:r>
          <w:rPr>
            <w:noProof/>
            <w:webHidden/>
          </w:rPr>
          <w:tab/>
        </w:r>
        <w:r>
          <w:rPr>
            <w:noProof/>
            <w:webHidden/>
          </w:rPr>
          <w:fldChar w:fldCharType="begin"/>
        </w:r>
        <w:r>
          <w:rPr>
            <w:noProof/>
            <w:webHidden/>
          </w:rPr>
          <w:instrText xml:space="preserve"> PAGEREF _Toc522890239 \h </w:instrText>
        </w:r>
        <w:r>
          <w:rPr>
            <w:noProof/>
            <w:webHidden/>
          </w:rPr>
        </w:r>
        <w:r>
          <w:rPr>
            <w:noProof/>
            <w:webHidden/>
          </w:rPr>
          <w:fldChar w:fldCharType="separate"/>
        </w:r>
        <w:r>
          <w:rPr>
            <w:noProof/>
            <w:webHidden/>
          </w:rPr>
          <w:t>70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240" w:history="1">
        <w:r>
          <w:rPr>
            <w:rStyle w:val="Hyperlink"/>
            <w:noProof/>
          </w:rPr>
          <w:t>4.</w:t>
        </w:r>
        <w:r>
          <w:rPr>
            <w:rFonts w:asciiTheme="minorHAnsi" w:eastAsiaTheme="minorEastAsia" w:hAnsiTheme="minorHAnsi" w:cstheme="minorBidi"/>
            <w:noProof/>
            <w:color w:val="auto"/>
            <w:szCs w:val="22"/>
            <w:lang w:val="en-GB" w:eastAsia="en-GB" w:bidi="ar-SA"/>
          </w:rPr>
          <w:tab/>
        </w:r>
        <w:r>
          <w:rPr>
            <w:rStyle w:val="Hyperlink"/>
            <w:noProof/>
          </w:rPr>
          <w:t>УСЛОВНИ ПАСИВИ И АКТИВИ</w:t>
        </w:r>
        <w:r>
          <w:rPr>
            <w:noProof/>
            <w:webHidden/>
          </w:rPr>
          <w:tab/>
        </w:r>
        <w:r>
          <w:rPr>
            <w:noProof/>
            <w:webHidden/>
          </w:rPr>
          <w:fldChar w:fldCharType="begin"/>
        </w:r>
        <w:r>
          <w:rPr>
            <w:noProof/>
            <w:webHidden/>
          </w:rPr>
          <w:instrText xml:space="preserve"> PAGEREF _Toc522890240 \h </w:instrText>
        </w:r>
        <w:r>
          <w:rPr>
            <w:noProof/>
            <w:webHidden/>
          </w:rPr>
        </w:r>
        <w:r>
          <w:rPr>
            <w:noProof/>
            <w:webHidden/>
          </w:rPr>
          <w:fldChar w:fldCharType="separate"/>
        </w:r>
        <w:r>
          <w:rPr>
            <w:noProof/>
            <w:webHidden/>
          </w:rPr>
          <w:t>77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241" w:history="1">
        <w:r>
          <w:rPr>
            <w:rStyle w:val="Hyperlink"/>
            <w:noProof/>
          </w:rPr>
          <w:t>5.</w:t>
        </w:r>
        <w:r>
          <w:rPr>
            <w:rFonts w:asciiTheme="minorHAnsi" w:eastAsiaTheme="minorEastAsia" w:hAnsiTheme="minorHAnsi" w:cstheme="minorBidi"/>
            <w:noProof/>
            <w:color w:val="auto"/>
            <w:szCs w:val="22"/>
            <w:lang w:val="en-GB" w:eastAsia="en-GB" w:bidi="ar-SA"/>
          </w:rPr>
          <w:tab/>
        </w:r>
        <w:r>
          <w:rPr>
            <w:rStyle w:val="Hyperlink"/>
            <w:noProof/>
          </w:rPr>
          <w:t>БЮДЖЕТНИ И ПРАВНИ ЗАДЪЛЖЕНИЯ</w:t>
        </w:r>
        <w:r>
          <w:rPr>
            <w:noProof/>
            <w:webHidden/>
          </w:rPr>
          <w:tab/>
        </w:r>
        <w:r>
          <w:rPr>
            <w:noProof/>
            <w:webHidden/>
          </w:rPr>
          <w:fldChar w:fldCharType="begin"/>
        </w:r>
        <w:r>
          <w:rPr>
            <w:noProof/>
            <w:webHidden/>
          </w:rPr>
          <w:instrText xml:space="preserve"> PAGEREF _Toc522890241 \h </w:instrText>
        </w:r>
        <w:r>
          <w:rPr>
            <w:noProof/>
            <w:webHidden/>
          </w:rPr>
        </w:r>
        <w:r>
          <w:rPr>
            <w:noProof/>
            <w:webHidden/>
          </w:rPr>
          <w:fldChar w:fldCharType="separate"/>
        </w:r>
        <w:r>
          <w:rPr>
            <w:noProof/>
            <w:webHidden/>
          </w:rPr>
          <w:t>82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242" w:history="1">
        <w:r>
          <w:rPr>
            <w:rStyle w:val="Hyperlink"/>
            <w:noProof/>
          </w:rPr>
          <w:t>6.</w:t>
        </w:r>
        <w:r>
          <w:rPr>
            <w:rFonts w:asciiTheme="minorHAnsi" w:eastAsiaTheme="minorEastAsia" w:hAnsiTheme="minorHAnsi" w:cstheme="minorBidi"/>
            <w:noProof/>
            <w:color w:val="auto"/>
            <w:szCs w:val="22"/>
            <w:lang w:val="en-GB" w:eastAsia="en-GB" w:bidi="ar-SA"/>
          </w:rPr>
          <w:tab/>
        </w:r>
        <w:r>
          <w:rPr>
            <w:rStyle w:val="Hyperlink"/>
            <w:noProof/>
          </w:rPr>
          <w:t>УПРАВЛЕНИЕ НА ФИНАНСОВИЯ РИСК</w:t>
        </w:r>
        <w:r>
          <w:rPr>
            <w:noProof/>
            <w:webHidden/>
          </w:rPr>
          <w:tab/>
        </w:r>
        <w:r>
          <w:rPr>
            <w:noProof/>
            <w:webHidden/>
          </w:rPr>
          <w:fldChar w:fldCharType="begin"/>
        </w:r>
        <w:r>
          <w:rPr>
            <w:noProof/>
            <w:webHidden/>
          </w:rPr>
          <w:instrText xml:space="preserve"> PAGEREF _Toc522890242 \h </w:instrText>
        </w:r>
        <w:r>
          <w:rPr>
            <w:noProof/>
            <w:webHidden/>
          </w:rPr>
        </w:r>
        <w:r>
          <w:rPr>
            <w:noProof/>
            <w:webHidden/>
          </w:rPr>
          <w:fldChar w:fldCharType="separate"/>
        </w:r>
        <w:r>
          <w:rPr>
            <w:noProof/>
            <w:webHidden/>
          </w:rPr>
          <w:t>86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243" w:history="1">
        <w:r>
          <w:rPr>
            <w:rStyle w:val="Hyperlink"/>
            <w:noProof/>
          </w:rPr>
          <w:t>7.</w:t>
        </w:r>
        <w:r>
          <w:rPr>
            <w:rFonts w:asciiTheme="minorHAnsi" w:eastAsiaTheme="minorEastAsia" w:hAnsiTheme="minorHAnsi" w:cstheme="minorBidi"/>
            <w:noProof/>
            <w:color w:val="auto"/>
            <w:szCs w:val="22"/>
            <w:lang w:val="en-GB" w:eastAsia="en-GB" w:bidi="ar-SA"/>
          </w:rPr>
          <w:tab/>
        </w:r>
        <w:r>
          <w:rPr>
            <w:rStyle w:val="Hyperlink"/>
            <w:noProof/>
          </w:rPr>
          <w:t>ОПОВЕСТЯВАНЕ НА СВЪРЗАНИ ЛИЦА</w:t>
        </w:r>
        <w:r>
          <w:rPr>
            <w:noProof/>
            <w:webHidden/>
          </w:rPr>
          <w:tab/>
        </w:r>
        <w:r>
          <w:rPr>
            <w:noProof/>
            <w:webHidden/>
          </w:rPr>
          <w:fldChar w:fldCharType="begin"/>
        </w:r>
        <w:r>
          <w:rPr>
            <w:noProof/>
            <w:webHidden/>
          </w:rPr>
          <w:instrText xml:space="preserve"> PAGEREF _Toc522890243 \h </w:instrText>
        </w:r>
        <w:r>
          <w:rPr>
            <w:noProof/>
            <w:webHidden/>
          </w:rPr>
        </w:r>
        <w:r>
          <w:rPr>
            <w:noProof/>
            <w:webHidden/>
          </w:rPr>
          <w:fldChar w:fldCharType="separate"/>
        </w:r>
        <w:r>
          <w:rPr>
            <w:noProof/>
            <w:webHidden/>
          </w:rPr>
          <w:t>99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244" w:history="1">
        <w:r>
          <w:rPr>
            <w:rStyle w:val="Hyperlink"/>
            <w:rFonts w:eastAsia="Calibri"/>
            <w:noProof/>
          </w:rPr>
          <w:t>8.</w:t>
        </w:r>
        <w:r>
          <w:rPr>
            <w:rFonts w:asciiTheme="minorHAnsi" w:eastAsiaTheme="minorEastAsia" w:hAnsiTheme="minorHAnsi" w:cstheme="minorBidi"/>
            <w:noProof/>
            <w:color w:val="auto"/>
            <w:szCs w:val="22"/>
            <w:lang w:val="en-GB" w:eastAsia="en-GB" w:bidi="ar-SA"/>
          </w:rPr>
          <w:tab/>
        </w:r>
        <w:r>
          <w:rPr>
            <w:rStyle w:val="Hyperlink"/>
            <w:noProof/>
          </w:rPr>
          <w:t>СЪБИТИЯ СЛЕД ДАТАТА НА СЧЕТОВОДНИЯ БАЛАНС</w:t>
        </w:r>
        <w:r>
          <w:rPr>
            <w:noProof/>
            <w:webHidden/>
          </w:rPr>
          <w:tab/>
        </w:r>
        <w:r>
          <w:rPr>
            <w:noProof/>
            <w:webHidden/>
          </w:rPr>
          <w:fldChar w:fldCharType="begin"/>
        </w:r>
        <w:r>
          <w:rPr>
            <w:noProof/>
            <w:webHidden/>
          </w:rPr>
          <w:instrText xml:space="preserve"> PAGEREF _Toc522890244 \h </w:instrText>
        </w:r>
        <w:r>
          <w:rPr>
            <w:noProof/>
            <w:webHidden/>
          </w:rPr>
        </w:r>
        <w:r>
          <w:rPr>
            <w:noProof/>
            <w:webHidden/>
          </w:rPr>
          <w:fldChar w:fldCharType="separate"/>
        </w:r>
        <w:r>
          <w:rPr>
            <w:noProof/>
            <w:webHidden/>
          </w:rPr>
          <w:t>102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245" w:history="1">
        <w:r>
          <w:rPr>
            <w:rStyle w:val="Hyperlink"/>
            <w:noProof/>
          </w:rPr>
          <w:t>9.</w:t>
        </w:r>
        <w:r>
          <w:rPr>
            <w:rFonts w:asciiTheme="minorHAnsi" w:eastAsiaTheme="minorEastAsia" w:hAnsiTheme="minorHAnsi" w:cstheme="minorBidi"/>
            <w:noProof/>
            <w:color w:val="auto"/>
            <w:szCs w:val="22"/>
            <w:lang w:val="en-GB" w:eastAsia="en-GB" w:bidi="ar-SA"/>
          </w:rPr>
          <w:tab/>
        </w:r>
        <w:r>
          <w:rPr>
            <w:rStyle w:val="Hyperlink"/>
            <w:noProof/>
          </w:rPr>
          <w:t>ОБХВАТ НА КОНСОЛИДАЦИЯТА</w:t>
        </w:r>
        <w:r>
          <w:rPr>
            <w:noProof/>
            <w:webHidden/>
          </w:rPr>
          <w:tab/>
        </w:r>
        <w:r>
          <w:rPr>
            <w:noProof/>
            <w:webHidden/>
          </w:rPr>
          <w:fldChar w:fldCharType="begin"/>
        </w:r>
        <w:r>
          <w:rPr>
            <w:noProof/>
            <w:webHidden/>
          </w:rPr>
          <w:instrText xml:space="preserve"> PAGEREF _Toc522890245 \h </w:instrText>
        </w:r>
        <w:r>
          <w:rPr>
            <w:noProof/>
            <w:webHidden/>
          </w:rPr>
        </w:r>
        <w:r>
          <w:rPr>
            <w:noProof/>
            <w:webHidden/>
          </w:rPr>
          <w:fldChar w:fldCharType="separate"/>
        </w:r>
        <w:r>
          <w:rPr>
            <w:noProof/>
            <w:webHidden/>
          </w:rPr>
          <w:t>103</w:t>
        </w:r>
        <w:r>
          <w:rPr>
            <w:noProof/>
            <w:webHidden/>
          </w:rPr>
          <w:fldChar w:fldCharType="end"/>
        </w:r>
      </w:hyperlink>
    </w:p>
    <w:p>
      <w:pPr>
        <w:pStyle w:val="Textstand-alone"/>
        <w:rPr>
          <w:lang w:val="en-GB"/>
        </w:rPr>
      </w:pPr>
      <w:r>
        <w:rPr>
          <w:color w:val="016894"/>
          <w:sz w:val="20"/>
          <w:szCs w:val="24"/>
        </w:rPr>
        <w:fldChar w:fldCharType="end"/>
      </w:r>
    </w:p>
    <w:p>
      <w:pPr>
        <w:pStyle w:val="Textstand-alone"/>
        <w:rPr>
          <w:lang w:val="en-GB"/>
        </w:rPr>
      </w:pPr>
    </w:p>
    <w:p>
      <w:pPr>
        <w:pStyle w:val="Textstand-alone"/>
        <w:rPr>
          <w:rFonts w:asciiTheme="minorHAnsi" w:eastAsiaTheme="minorEastAsia" w:hAnsiTheme="minorHAnsi" w:cstheme="minorBidi"/>
          <w:szCs w:val="22"/>
        </w:rPr>
        <w:sectPr>
          <w:headerReference w:type="even" r:id="rId69"/>
          <w:headerReference w:type="default" r:id="rId70"/>
          <w:footerReference w:type="even" r:id="rId71"/>
          <w:footerReference w:type="default" r:id="rId72"/>
          <w:headerReference w:type="first" r:id="rId73"/>
          <w:footerReference w:type="first" r:id="rId74"/>
          <w:pgSz w:w="11906" w:h="16838"/>
          <w:pgMar w:top="1134" w:right="1134" w:bottom="1134" w:left="1134" w:header="709" w:footer="709" w:gutter="0"/>
          <w:cols w:space="708"/>
          <w:docGrid w:linePitch="360"/>
        </w:sectPr>
      </w:pPr>
      <w:r>
        <w:rPr>
          <w:caps/>
          <w:color w:val="016894"/>
          <w:sz w:val="20"/>
        </w:rPr>
        <w:t xml:space="preserve"> </w:t>
      </w:r>
      <w:bookmarkEnd w:id="13"/>
    </w:p>
    <w:p>
      <w:pPr>
        <w:pStyle w:val="HEADERTITLE1"/>
        <w:spacing w:after="0"/>
      </w:pPr>
      <w:bookmarkStart w:id="14" w:name="_Toc517433949"/>
      <w:bookmarkStart w:id="15" w:name="_Toc522890001"/>
      <w:bookmarkStart w:id="16" w:name="_Toc522890232"/>
      <w:bookmarkStart w:id="17" w:name="_DMBM_11321"/>
      <w:r>
        <w:t>СЧЕТОВОДЕН БАЛАНС</w:t>
      </w:r>
      <w:bookmarkEnd w:id="14"/>
      <w:bookmarkEnd w:id="15"/>
      <w:bookmarkEnd w:id="16"/>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1256"/>
        <w:gridCol w:w="1811"/>
        <w:gridCol w:w="1812"/>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 w:name="DOC_TBL00001_1_1"/>
            <w:bookmarkEnd w:id="18"/>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 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НЕТЕКУЩИ АКТИВИ</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Нематериални активи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Имоти, машини и съоръжения</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10 745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10 068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Инвестиции, отчетени посредством метода на собствения капитал</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Финансови активи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59 980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62 247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25 022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21 901</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717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97 344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95 842</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ТЕКУЩИ АКТИВИ</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Финансови активи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8 655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3 673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24 005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23 569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11 755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10 905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Материални запаси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2.7</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295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 xml:space="preserve">Пари и парични еквиваленти </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2.8</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24 111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28 585</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68 821</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66 897</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ОБЩО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166 165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162 739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НЕТЕКУЩИ ПАСИВИ</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Пенсии и други доходи на наети лица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2.9</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(73 122)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(67 231)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Провизии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(2 880)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(1 936)</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Финансови пасиви</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(50 063)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(55 067)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(126 065)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(124 234)</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ТЕКУЩИ ПАСИВИ</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Провизии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Финансови пасиви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(6 850)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(2 284)</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Задължения</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(39 048)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(40 005)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Начислени разходи и приходи за бъдещи периоди</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2.13</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(63 902)</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(67 580)</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(110 459)</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(110 544)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ОБЩО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(236 524)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(234 778)</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Резерви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4 876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4 841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Суми, които трябва да бъдат поискани от държавите членки*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(75 234)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(76 881)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bl>
    <w:p>
      <w:pPr>
        <w:pStyle w:val="Textstand-alone"/>
        <w:tabs>
          <w:tab w:val="left" w:pos="284"/>
        </w:tabs>
        <w:spacing w:before="60"/>
        <w:ind w:left="284" w:hanging="284"/>
        <w:rPr>
          <w:i/>
          <w:sz w:val="14"/>
        </w:rPr>
      </w:pPr>
      <w:r>
        <w:rPr>
          <w:i/>
          <w:sz w:val="14"/>
        </w:rPr>
        <w:t>*</w:t>
      </w:r>
      <w:r>
        <w:tab/>
      </w:r>
      <w:r>
        <w:rPr>
          <w:i/>
          <w:sz w:val="14"/>
        </w:rPr>
        <w:t>На 18 ноември 2017 г. Европейският парламент прие бюджет, който предвижда плащането на краткосрочните задължения на Съюза от собствените ресурси, които държавите членки ще съберат или които ще бъдат поискани от тях през 2018 г. Освен това съгласно член 83 от Правилника за персонала (Регламент № 259/68 на Съвета от 29 февруари 1968 г. съгласно неговото изменение) държавите членки съвместно гарантират пенсионните задължения.</w:t>
      </w:r>
    </w:p>
    <w:p>
      <w:pPr>
        <w:pStyle w:val="Textstand-alone"/>
        <w:rPr>
          <w:i/>
        </w:rPr>
        <w:sectPr>
          <w:headerReference w:type="even" r:id="rId75"/>
          <w:headerReference w:type="default" r:id="rId76"/>
          <w:footerReference w:type="even" r:id="rId77"/>
          <w:footerReference w:type="default" r:id="rId78"/>
          <w:headerReference w:type="first" r:id="rId79"/>
          <w:footerReference w:type="first" r:id="rId80"/>
          <w:pgSz w:w="11906" w:h="16838"/>
          <w:pgMar w:top="1134" w:right="1134" w:bottom="1134" w:left="1134" w:header="709" w:footer="709" w:gutter="0"/>
          <w:cols w:space="708"/>
          <w:docGrid w:linePitch="360"/>
        </w:sectPr>
      </w:pPr>
      <w:r>
        <w:rPr>
          <w:i/>
        </w:rPr>
        <w:t xml:space="preserve"> </w:t>
      </w:r>
      <w:bookmarkEnd w:id="17"/>
    </w:p>
    <w:p>
      <w:pPr>
        <w:pStyle w:val="HEADERTITLE1"/>
        <w:spacing w:after="0"/>
      </w:pPr>
      <w:bookmarkStart w:id="19" w:name="_Toc517433950"/>
      <w:bookmarkStart w:id="20" w:name="_Toc522890002"/>
      <w:bookmarkStart w:id="21" w:name="_Toc522890233"/>
      <w:bookmarkStart w:id="22" w:name="_DMBM_11275"/>
      <w:r>
        <w:t>ОТЧЕТ ЗА ФИНАНСОВИЯ РЕЗУЛТАТ</w:t>
      </w:r>
      <w:bookmarkEnd w:id="19"/>
      <w:bookmarkEnd w:id="20"/>
      <w:bookmarkEnd w:id="21"/>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1256"/>
        <w:gridCol w:w="1766"/>
        <w:gridCol w:w="1784"/>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3" w:name="DOC_TBL00002_1_1"/>
            <w:bookmarkEnd w:id="2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 xml:space="preserve">2016     </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Ресурси от БНД</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78 620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95 578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Традиционни собствени ресурси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20 520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20 439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Ресурси от ДДС</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16 947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15 859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Глоби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4 664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Събиране на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1 947</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10 376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5 740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133 006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143 422</w:t>
            </w:r>
          </w:p>
        </w:tc>
      </w:tr>
      <w:tr>
        <w:trPr>
          <w:cantSplit/>
          <w:trHeight w:val="124"/>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3.8</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1 332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3 177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2 767</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136 183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146 189</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РАЗХОДИ</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Изпълнени от държавите членки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Европейски фонд за гарантиране на земеделието</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Европейски земеделски фонд за развитие на селските райони и други инструменти за развитие на селските райони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Европейски фонд за регионално развитие и Кохезионен фонд</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Европейски социален фонд</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Други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Изпълнени от Комисията, изпълнителните агенции и доверителните фондове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(15 610)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Изпълнени от други агенции и органи на ЕС</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Изпълнени от трети държави и международни организации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Изпълнени от други субекти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персонал и за пенсии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(10 002)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(9 776)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Промени в актюерските предположения за доходите на наети лица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(1 904)</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разходи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3.15</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(6 756)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(5 486)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Общо разходи</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(128 101)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(144 456)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ФИНАНСОВ РЕЗУЛТАТ ЗА ГОДИНАТА</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8 082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1 733</w:t>
            </w:r>
          </w:p>
        </w:tc>
      </w:tr>
    </w:tbl>
    <w:p>
      <w:pPr>
        <w:pStyle w:val="Textstand-alone"/>
      </w:pPr>
    </w:p>
    <w:p>
      <w:pPr>
        <w:pStyle w:val="Text9pItalicLeft3p"/>
        <w:sectPr>
          <w:headerReference w:type="even" r:id="rId81"/>
          <w:headerReference w:type="default" r:id="rId82"/>
          <w:footerReference w:type="even" r:id="rId83"/>
          <w:footerReference w:type="default" r:id="rId84"/>
          <w:headerReference w:type="first" r:id="rId85"/>
          <w:footerReference w:type="first" r:id="rId86"/>
          <w:pgSz w:w="11906" w:h="16838"/>
          <w:pgMar w:top="1134" w:right="1134" w:bottom="1134" w:left="1134" w:header="709" w:footer="709" w:gutter="0"/>
          <w:cols w:space="708"/>
          <w:docGrid w:linePitch="360"/>
        </w:sectPr>
      </w:pPr>
      <w:r>
        <w:t xml:space="preserve"> </w:t>
      </w:r>
      <w:bookmarkEnd w:id="22"/>
    </w:p>
    <w:p>
      <w:pPr>
        <w:pStyle w:val="HEADERTITLE1"/>
      </w:pPr>
      <w:bookmarkStart w:id="24" w:name="_Toc517433951"/>
      <w:bookmarkStart w:id="25" w:name="_Toc522890003"/>
      <w:bookmarkStart w:id="26" w:name="_Toc522890234"/>
      <w:bookmarkStart w:id="27" w:name="_DMBM_11289"/>
      <w:r>
        <w:t>ОТЧЕТ ЗА ПАРИЧНИТЕ ПОТОЦИ</w:t>
      </w:r>
      <w:bookmarkEnd w:id="24"/>
      <w:bookmarkEnd w:id="25"/>
      <w:bookmarkEnd w:id="26"/>
    </w:p>
    <w:p>
      <w:pPr>
        <w:pStyle w:val="DG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8" w:name="DOC_TBL00003_1_1"/>
            <w:bookmarkEnd w:id="2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Финансов резултат за годината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Оперативни дейности</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Амортизация на дълготрайни финансови активи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Амортизация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заемите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1 774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предварителното финансиране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вземанията по операции с размяна и на средствата, подлежащи на събиране, по операции без размяна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(745)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(1 297)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материалните запаси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задължението, свързано с пенсиите и другите доходи на наети лица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5 891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провизиите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финансовите пасиви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(2 351)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задълженията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7 813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начислените разходи и приходите за бъдещи периоди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(3 678)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Бюджетен излишък от предходната година, взет като непаричен приход</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Други непарични движения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Инвестиционни дейности</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(Увеличение)/намаление на нематериалните активи и на имотите, машините и съоръженията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(2 073)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инвестициите, отчетени посредством метода на собствения капитал</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финансовите активи, обявени за продажба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(3 190)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(Увеличение)/намаление на финансовите активи по справедлива стойност чрез излишъка или дефицита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НЕТНИ ПАРИЧНИ ПОТОЦИ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(4 474)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Нетно увеличение/(намаление) на парите и паричните еквиваленти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Пари и парични еквиваленти в началото на годината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21 671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Пари и парични еквиваленти в края на годината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24 111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r>
      <w:bookmarkEnd w:id="27"/>
    </w:tbl>
    <w:p>
      <w:pPr>
        <w:pStyle w:val="HEADERTITLE1"/>
        <w:sectPr>
          <w:headerReference w:type="even" r:id="rId87"/>
          <w:headerReference w:type="default" r:id="rId88"/>
          <w:footerReference w:type="even" r:id="rId89"/>
          <w:footerReference w:type="default" r:id="rId90"/>
          <w:headerReference w:type="first" r:id="rId91"/>
          <w:footerReference w:type="first" r:id="rId92"/>
          <w:pgSz w:w="11906" w:h="16838"/>
          <w:pgMar w:top="1134" w:right="1134" w:bottom="1134" w:left="1134" w:header="709" w:footer="709" w:gutter="0"/>
          <w:cols w:space="708"/>
          <w:docGrid w:linePitch="360"/>
        </w:sectPr>
      </w:pPr>
    </w:p>
    <w:p>
      <w:pPr>
        <w:pStyle w:val="HEADERTITLE1"/>
        <w:spacing w:after="0"/>
      </w:pPr>
      <w:bookmarkStart w:id="29" w:name="_Toc517433952"/>
      <w:bookmarkStart w:id="30" w:name="_Toc522890004"/>
      <w:bookmarkStart w:id="31" w:name="_Toc522890235"/>
      <w:bookmarkStart w:id="32" w:name="_DMBM_11281"/>
      <w:r>
        <w:t>ОТЧЕТ ЗА ПРОМЕНИТЕ В НЕТНИТЕ АКТИВИ</w:t>
      </w:r>
      <w:bookmarkEnd w:id="29"/>
      <w:bookmarkEnd w:id="30"/>
      <w:bookmarkEnd w:id="31"/>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33" w:name="DOC_TBL00004_1_1"/>
            <w:bookmarkEnd w:id="33"/>
          </w:p>
        </w:tc>
        <w:tc>
          <w:tcPr>
            <w:tcW w:w="4110"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cs="Verdana"/>
              </w:rPr>
            </w:pPr>
            <w:r>
              <w:t>милиони евро</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Суми, които трябва да бъдат поискани от държавите членки  Натрупан излишък/(дефицит)</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Други резерви</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Резерв на справедливата стойност</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 xml:space="preserve">Нетни активи </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САЛДО КЪМ 31.12.2015 г.</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(77 124)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4 390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292</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(72 442)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Движение на резерва на Гаранционния фонд</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Движения на справедливата стойност</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Други</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Бюджетен резултат за 2015 г., предоставен на държавите членки</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Финансов резултат за годината</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САЛДО КЪМ 31.12.2016 г.</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Движение на резерва на Гаранционния фонд</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Движения на справедливата стойност</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Други</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Бюджетен резултат за 2016 г., предоставен на държавите членки</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Финансов резултат за годината</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САЛДО КЪМ 31.12.2017 г.</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r>
    </w:tbl>
    <w:p>
      <w:pPr>
        <w:pStyle w:val="HEADERTITLE1"/>
        <w:spacing w:after="0"/>
      </w:pPr>
    </w:p>
    <w:p>
      <w:pPr>
        <w:pStyle w:val="DGTextstand-alone"/>
      </w:pPr>
      <w:r>
        <w:t xml:space="preserve"> </w:t>
      </w:r>
    </w:p>
    <w:p>
      <w:pPr>
        <w:pStyle w:val="DGTextstand-alone"/>
      </w:pPr>
      <w:r>
        <w:t xml:space="preserve"> </w:t>
      </w:r>
    </w:p>
    <w:bookmarkEnd w:id="32"/>
    <w:p>
      <w:pPr>
        <w:pStyle w:val="DGTextstand-alone"/>
        <w:sectPr>
          <w:headerReference w:type="even" r:id="rId93"/>
          <w:headerReference w:type="default" r:id="rId94"/>
          <w:footerReference w:type="even" r:id="rId95"/>
          <w:footerReference w:type="default" r:id="rId96"/>
          <w:headerReference w:type="first" r:id="rId97"/>
          <w:footerReference w:type="first" r:id="rId98"/>
          <w:pgSz w:w="16838" w:h="11906" w:orient="landscape"/>
          <w:pgMar w:top="1134" w:right="1134" w:bottom="1134" w:left="1134" w:header="708" w:footer="708" w:gutter="0"/>
          <w:cols w:space="708"/>
          <w:docGrid w:linePitch="360"/>
        </w:sectPr>
      </w:pPr>
    </w:p>
    <w:p>
      <w:pPr>
        <w:pStyle w:val="DGTextstand-alone"/>
      </w:pPr>
      <w:bookmarkStart w:id="34" w:name="_DMBM_11301"/>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ITLE1"/>
        <w:rPr>
          <w:rFonts w:eastAsia="Calibri"/>
        </w:rPr>
      </w:pPr>
      <w:bookmarkStart w:id="35" w:name="_Toc517433953"/>
      <w:bookmarkStart w:id="36" w:name="_Toc522890005"/>
      <w:bookmarkStart w:id="37" w:name="_Toc522890236"/>
      <w:r>
        <w:t>БЕЛЕЖКИ КЪМ ФИНАНСОВИТЕ ОТЧЕТИ</w:t>
      </w:r>
      <w:bookmarkEnd w:id="35"/>
      <w:bookmarkEnd w:id="36"/>
      <w:bookmarkEnd w:id="37"/>
    </w:p>
    <w:p>
      <w:pPr>
        <w:pStyle w:val="DGTextstand-alone"/>
      </w:pPr>
    </w:p>
    <w:p>
      <w:pPr>
        <w:pStyle w:val="DGTextstand-alone"/>
      </w:pPr>
    </w:p>
    <w:p>
      <w:pPr>
        <w:pStyle w:val="DGTextstand-alone"/>
      </w:pPr>
    </w:p>
    <w:p>
      <w:pPr>
        <w:pStyle w:val="DGTextstand-alone"/>
        <w:sectPr>
          <w:headerReference w:type="even" r:id="rId99"/>
          <w:headerReference w:type="default" r:id="rId100"/>
          <w:footerReference w:type="even" r:id="rId101"/>
          <w:footerReference w:type="default" r:id="rId102"/>
          <w:headerReference w:type="first" r:id="rId103"/>
          <w:footerReference w:type="first" r:id="rId104"/>
          <w:pgSz w:w="11906" w:h="16838"/>
          <w:pgMar w:top="1134" w:right="1134" w:bottom="1134" w:left="1134" w:header="709" w:footer="709" w:gutter="0"/>
          <w:cols w:space="708"/>
          <w:docGrid w:linePitch="360"/>
        </w:sectPr>
      </w:pPr>
      <w:r>
        <w:t xml:space="preserve"> </w:t>
      </w:r>
      <w:bookmarkEnd w:id="34"/>
    </w:p>
    <w:p>
      <w:pPr>
        <w:pStyle w:val="HEADER1NOTES"/>
        <w:rPr>
          <w:noProof/>
        </w:rPr>
      </w:pPr>
      <w:bookmarkStart w:id="38" w:name="_Toc517433954"/>
      <w:bookmarkStart w:id="39" w:name="_Toc522890237"/>
      <w:bookmarkStart w:id="40" w:name="_DMBM_11437"/>
      <w:r>
        <w:rPr>
          <w:noProof/>
        </w:rPr>
        <w:t>ВАЖНИ СЧЕТОВОДНИ ПОЛИТИКИ</w:t>
      </w:r>
      <w:bookmarkEnd w:id="38"/>
      <w:bookmarkEnd w:id="39"/>
    </w:p>
    <w:p>
      <w:pPr>
        <w:pStyle w:val="Textstand-alone"/>
        <w:spacing w:before="0" w:after="0"/>
        <w:sectPr>
          <w:headerReference w:type="even" r:id="rId105"/>
          <w:headerReference w:type="default" r:id="rId106"/>
          <w:footerReference w:type="even" r:id="rId107"/>
          <w:footerReference w:type="default" r:id="rId108"/>
          <w:headerReference w:type="first" r:id="rId109"/>
          <w:footerReference w:type="first" r:id="rId110"/>
          <w:pgSz w:w="11906" w:h="16838"/>
          <w:pgMar w:top="1134" w:right="1134" w:bottom="1134" w:left="1134" w:header="709" w:footer="709" w:gutter="0"/>
          <w:cols w:space="708"/>
          <w:docGrid w:linePitch="360"/>
        </w:sectPr>
      </w:pPr>
      <w:bookmarkStart w:id="41" w:name="DOC_TBL00002_1_1_0"/>
      <w:bookmarkStart w:id="42" w:name="DOC_TBL00001_1_1_0"/>
      <w:bookmarkEnd w:id="41"/>
      <w:bookmarkEnd w:id="42"/>
      <w:r>
        <w:t xml:space="preserve"> </w:t>
      </w:r>
      <w:bookmarkEnd w:id="40"/>
    </w:p>
    <w:p>
      <w:pPr>
        <w:pStyle w:val="HEADER2NOTES"/>
        <w:rPr>
          <w:noProof/>
        </w:rPr>
      </w:pPr>
      <w:bookmarkStart w:id="43" w:name="_DMBM_11297"/>
      <w:r>
        <w:rPr>
          <w:noProof/>
        </w:rPr>
        <w:t>ПРАВНО ОСНОВАНИЕ И ПРАВИЛА ЗА СЧЕТОВОДНА ОТЧЕТНОСТ</w:t>
      </w:r>
    </w:p>
    <w:p>
      <w:pPr>
        <w:pStyle w:val="DGTextstand-alone"/>
      </w:pPr>
      <w:r>
        <w:t>Счетоводството на ЕС се води в съответствие с Регламент (ЕС, Евратом) № 966/2012 на Европейския парламент и на Съвета от 25 октомври 2012 г. относно финансовите правила, приложими за общия бюджет на Съюза, и за отмяна на Регламент (ЕО, Евратом) № 1605/2002 на Съвета (OВ L 298, 26.10.2012 г., стр. 1) (наричан по-нататък „Финансовият регламент“) и с Делегиран регламент (ЕС) № 1268/2012 на Комисията от 29 октомври 2012 г. (OВ L 362, 31.12.2012 г., стр. 1) относно подробните правила за прилагане на този финансов регламент.</w:t>
      </w:r>
    </w:p>
    <w:p>
      <w:pPr>
        <w:pStyle w:val="DGTextstand-alone"/>
      </w:pPr>
      <w:r>
        <w:t>В съответствие с член 143 от Финансовия регламент ЕС изготвя своите финансови отчети въз основа на правилата за счетоводна отчетност на базата на текущо начисляване, които се основават на международните счетоводни стандарти за публичния сектор (МССПС). Тези правила за счетоводна отчетност, приети от счетоводителя на Комисията, трябва да се прилагат от всички институции и органи на ЕС, които попадат в обхвата на консолидацията, за да бъде установен единен набор от правила за счетоводна отчетност, оценка и представяне на отчетите с цел хармонизиране на процеса на съставяне на финансовите отчети и консолидация.</w:t>
      </w:r>
    </w:p>
    <w:p>
      <w:pPr>
        <w:pStyle w:val="HEADER5"/>
        <w:rPr>
          <w:noProof/>
        </w:rPr>
      </w:pPr>
      <w:r>
        <w:rPr>
          <w:noProof/>
        </w:rPr>
        <w:t>Прилагане на нови и на изменени счетоводни правила на Европейския съюз (СПЕС)</w:t>
      </w:r>
    </w:p>
    <w:p>
      <w:pPr>
        <w:pStyle w:val="DGTextstand-alone"/>
        <w:rPr>
          <w:u w:val="single"/>
        </w:rPr>
      </w:pPr>
      <w:r>
        <w:rPr>
          <w:u w:val="single"/>
        </w:rPr>
        <w:t>Изменения на СПЕС, които са в сила за годишните периоди, започващи на или след 1 януари 2017 г.</w:t>
      </w:r>
    </w:p>
    <w:p>
      <w:pPr>
        <w:pStyle w:val="DGTextstand-alone"/>
      </w:pPr>
      <w:r>
        <w:t>Счетоводителят на Комисията прие следните изменения:</w:t>
      </w:r>
    </w:p>
    <w:p>
      <w:pPr>
        <w:pStyle w:val="DGTextstand-alone"/>
        <w:numPr>
          <w:ilvl w:val="0"/>
          <w:numId w:val="21"/>
        </w:numPr>
      </w:pPr>
      <w:r>
        <w:t xml:space="preserve">изменения на СПЕС 1 „Финансови отчети“; и </w:t>
      </w:r>
    </w:p>
    <w:p>
      <w:pPr>
        <w:pStyle w:val="DGTextstand-alone"/>
        <w:numPr>
          <w:ilvl w:val="0"/>
          <w:numId w:val="21"/>
        </w:numPr>
      </w:pPr>
      <w:r>
        <w:t>изменения на СПЕС 14 „Счетоводна политика, промени в счетоводните приблизителни оценки и грешки“.</w:t>
      </w:r>
    </w:p>
    <w:p>
      <w:pPr>
        <w:pStyle w:val="DGTextstand-alone"/>
        <w:ind w:left="340"/>
      </w:pPr>
      <w:r>
        <w:t xml:space="preserve">Тези изменения произтичат от извършените наскоро промени в МССПС 1 „Представяне на финансови отчети“ и МССПС 3 „Счетоводна политика, промени в счетоводните приблизителни оценки и грешки“, като предлагат подобрения, за да се осигури съгласуваност между МССПС. Вследствие на това съответните СПЕС бяха актуализирани, като основните промени са свързани с описанието на качествените характеристики на финансовото отчитане и с актуализациите на йерархията на източниците, които следва да бъдат използвани при подбора и прилагането на счетоводните политики. </w:t>
      </w:r>
    </w:p>
    <w:p>
      <w:pPr>
        <w:pStyle w:val="DGTextstand-alone"/>
      </w:pPr>
      <w:r>
        <w:t>Приемането на тези изменения не повлия на годишните отчети на ЕС за 2017 г.</w:t>
      </w:r>
    </w:p>
    <w:p>
      <w:pPr>
        <w:pStyle w:val="DGTextstand-alone"/>
        <w:rPr>
          <w:u w:val="single"/>
        </w:rPr>
      </w:pPr>
      <w:r>
        <w:rPr>
          <w:u w:val="single"/>
        </w:rPr>
        <w:t>Нови и преразгледани СПЕС, които са приети, но все още не са в сила към 31 декември 2017 г.</w:t>
      </w:r>
    </w:p>
    <w:p>
      <w:pPr>
        <w:pStyle w:val="DGTextstand-alone"/>
      </w:pPr>
      <w:r>
        <w:t>ЕС не е приложил следните нови и преразгледани СПЕС, които са приети от счетоводителя на Комисията, но все още не са в сила:</w:t>
      </w:r>
    </w:p>
    <w:p>
      <w:pPr>
        <w:pStyle w:val="DGTextstand-alone"/>
        <w:numPr>
          <w:ilvl w:val="0"/>
          <w:numId w:val="22"/>
        </w:numPr>
      </w:pPr>
      <w:r>
        <w:t>Преразглеждане на СПЕС 12 „Доходи на наети лица“ (в сила за годишните периоди, започващи на или след 1 януари 2018 г.): СПЕС 12 бе преразгледан в съответствие с новия МССПС 39 „Доходи на наети лица“. Основната промяна се състои в това, че всички печалби или загуби, произтичащи от промени в актюерските предположения, се признават директно в нетните активи, за разлика от настоящото изискване да бъдат признавани в излишъка или дефицита.</w:t>
      </w:r>
    </w:p>
    <w:p>
      <w:pPr>
        <w:pStyle w:val="DGTextstand-alone"/>
        <w:ind w:left="340"/>
      </w:pPr>
      <w:r>
        <w:t>Понастоящем ЕС анализира въздействието на прилагането на това преразгледано СПЕС и практическите последици от това прилагане. При все това не се очаква значително въздействие върху консолидираните финансови отчети, с изключение на признаването на актюерските предположения в нетните активи вместо в отчета за финансовия резултат.</w:t>
      </w:r>
    </w:p>
    <w:p>
      <w:pPr>
        <w:pStyle w:val="DGTextstand-alone"/>
        <w:numPr>
          <w:ilvl w:val="0"/>
          <w:numId w:val="22"/>
        </w:numPr>
      </w:pPr>
      <w:r>
        <w:t xml:space="preserve">Ново СПЕС 20 „Комбинации с публичния сектор“ (в сила за годишните периоди, започващи на или след 1 януари 2019 г.): СПЕС 20, което се основава на МССПС 40 „Комбинации с публичния сектор“, класифицира комбинациите с публичния сектор в два различни вида в зависимост от това дали сделката се извършва под общ контрол: i) обединяване, при което сделката се основава на балансовите стойности на субекта, който се комбинира с ЕС; и ii) придобиване, при което сделката се основава на справедливите стойности на придобивания от ЕС субект на датата на придобиване. Двата вида комбинации имат различни изисквания за оповестяване и нива на оповестяване, за да се осигури по-добро разбиране на последиците от тях за ползвателите на финансовите отчети на ЕС. </w:t>
      </w:r>
    </w:p>
    <w:p>
      <w:pPr>
        <w:pStyle w:val="DGTextstand-alone"/>
        <w:ind w:left="340"/>
      </w:pPr>
      <w:r>
        <w:t>Въздействието върху финансовите отчети на ЕС през годината на първоначално прилагане ще зависи от това дали през този период ЕС ще сключи сделка за комбинация с публичния сектор.</w:t>
      </w:r>
    </w:p>
    <w:p>
      <w:pPr>
        <w:pStyle w:val="HEADER2NOTES"/>
        <w:keepNext/>
        <w:rPr>
          <w:noProof/>
        </w:rPr>
      </w:pPr>
      <w:r>
        <w:rPr>
          <w:noProof/>
        </w:rPr>
        <w:t>СЧЕТОВОДНИ ПРИНЦИПИ</w:t>
      </w:r>
    </w:p>
    <w:p>
      <w:pPr>
        <w:pStyle w:val="DGTextstand-alone"/>
      </w:pPr>
      <w:r>
        <w:t xml:space="preserve">Целта на финансовите отчети е да се предостави информация за финансовото състояние, резултатите и паричните потоци на даден субект, която е полезна за широк кръг ползватели. За ЕС като публичноправен субект целите по-конкретно са да бъде предоставена информация, полезна при вземането на решения, и да бъде показана отчетността на субекта за ресурсите, които са му поверени. Настоящият документ е съставен с оглед на тези цели. </w:t>
      </w:r>
    </w:p>
    <w:p>
      <w:pPr>
        <w:pStyle w:val="DGTextstand-alone"/>
      </w:pPr>
      <w: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1 „Финансови отчети“ на ЕС и са същите като описаните в МССПС 1: честно представяне, текущо начисляване, действащо предприятие, последователно представяне, същественост, агрегиране, прихващане и сравнителна информация. Качествените характеристики на финансовото отчитане са релевантност, достоверно представяне (надеждност), разбираемост, навременност, сравнимост и проверимост.</w:t>
      </w:r>
    </w:p>
    <w:p>
      <w:pPr>
        <w:pStyle w:val="HEADER2NOTES"/>
        <w:rPr>
          <w:noProof/>
        </w:rPr>
      </w:pPr>
      <w:r>
        <w:rPr>
          <w:noProof/>
        </w:rPr>
        <w:t>КОНСОЛИДАЦИЯ</w:t>
      </w:r>
    </w:p>
    <w:p>
      <w:pPr>
        <w:pStyle w:val="HEADER5"/>
        <w:rPr>
          <w:b/>
          <w:noProof/>
        </w:rPr>
      </w:pPr>
      <w:r>
        <w:rPr>
          <w:noProof/>
        </w:rPr>
        <w:t>Обхват на консолидацията</w:t>
      </w:r>
    </w:p>
    <w:p>
      <w:pPr>
        <w:pStyle w:val="DGTextstand-alone"/>
      </w:pPr>
      <w:r>
        <w:t>Консолидираните финансови отчети на ЕС обхващат всички важни контролирани субекти (т.е. институциите (включително Комисията) и агенциите на ЕС), асоциирани предприятия и съвместни предприятия. Пълният списък на консолидираните субекти се съдържа в бележка </w:t>
      </w:r>
      <w:r>
        <w:rPr>
          <w:b/>
        </w:rPr>
        <w:t>9</w:t>
      </w:r>
      <w:r>
        <w:t xml:space="preserve"> от финансовите отчети на ЕС. Понастоящем той включва 52 контролирани субекта и 1 асоциирано предприятие. Субектите, които попадат в обхвата на консолидацията, но които са несъществени за консолидираните финансови отчети на ЕС като цяло, не е необходимо да бъдат консолидирани или отчетени чрез метода на собствения капитал, когато това ще доведе до прекомерни времеви или финансови разходи за ЕС. Тези субекти се наричат „несъществени субекти“ и са посочени отделно в бележка </w:t>
      </w:r>
      <w:r>
        <w:rPr>
          <w:b/>
        </w:rPr>
        <w:t>9</w:t>
      </w:r>
      <w:r>
        <w:t>. През 2017 г. като несъществени субекти бяха определени 7 субекта.</w:t>
      </w:r>
    </w:p>
    <w:p>
      <w:pPr>
        <w:pStyle w:val="HEADER5"/>
        <w:rPr>
          <w:b/>
          <w:noProof/>
        </w:rPr>
      </w:pPr>
      <w:r>
        <w:rPr>
          <w:noProof/>
        </w:rPr>
        <w:t>Контролирани субекти</w:t>
      </w:r>
    </w:p>
    <w:p>
      <w:pPr>
        <w:pStyle w:val="DGTextstand-alone"/>
        <w:spacing w:after="0"/>
      </w:pPr>
      <w:r>
        <w:t>Решението за включване на субект в обхвата на консолидацията се основава на концепцията за контрол. Контролирани субекти са всички субекти, при които ЕС е изложен на различни ползи или има право на различни ползи от своето участие и има способността да повлияе на естеството и размера на тези ползи чрез властта си над другия субект. Тази власт трябва да е упражняема в настоящия момент и да е свързана със съответните дейности на предприятието. Контролираните субекти се консолидират изцяло. Консолидирането започва на първата дата, на която има наличие на контрол, и приключва, когато такъв контрол вече не съществува.</w:t>
      </w:r>
    </w:p>
    <w:p>
      <w:pPr>
        <w:pStyle w:val="DGTextstand-alone"/>
      </w:pPr>
      <w:r>
        <w:t>Най-често използваните показатели за контрол в рамките на ЕС са: създаване на субекта с учредителни договори или вторично законодателство, финансиране на субекта от бюджета на ЕС, наличие на право на глас в ръководните органи, одит от Европейската сметна палата и освобождаване от отговорност във връзка с изпълнението на бюджета от Европейския парламент. Прави се индивидуална оценка на всеки субект, за да се прецени дали един или всички от изброените по-горе критерии са достатъчни, за да се породи контрол.</w:t>
      </w:r>
    </w:p>
    <w:p>
      <w:pPr>
        <w:pStyle w:val="DGTextstand-alone"/>
      </w:pPr>
      <w:r>
        <w:t xml:space="preserve">Съгласно този подход институциите (с изключение на Европейската централна банка) и агенциите (с изключение на агенциите от бившия 2-ри стълб) на ЕС се считат за намиращи се под изключителния контрол на ЕС и поради това попадат в обхвата на консолидирането. Освен това Европейската общност за въглища и стомана (EОВС) в ликвидация също се счита за контролиран субект. </w:t>
      </w:r>
    </w:p>
    <w:p>
      <w:pPr>
        <w:pStyle w:val="DGTextstand-alone"/>
      </w:pPr>
      <w:r>
        <w:t>Всички съществени операции и салда между контролирани субекти на ЕС са изключени, докато нереализираните печалби и загуби от такива операции не са съществени и поради това не са изключени.</w:t>
      </w:r>
    </w:p>
    <w:p>
      <w:pPr>
        <w:pStyle w:val="HEADER5"/>
        <w:rPr>
          <w:b/>
          <w:noProof/>
        </w:rPr>
      </w:pPr>
      <w:r>
        <w:rPr>
          <w:noProof/>
        </w:rPr>
        <w:t>Съвместни договорености</w:t>
      </w:r>
    </w:p>
    <w:p>
      <w:pPr>
        <w:pStyle w:val="DGTextstand-alone"/>
      </w:pPr>
      <w:r>
        <w:t>Съвместната договореност е договореност, върху която ЕС и една или повече страни имат съвместен контрол. Съвместният контрол е договорно уредено споделяне на контрола върху дадена договореност, който съществува само когато за вземането на решения, свързани със съответните дейности, се изисква единодушното съгласие на страните, които споделят контрола. Съвместните договорености могат да бъдат съвместни операции или съвместни предприятия. Когато съвместната договореност е структурирана посредством отделен инструмент и страните по нея имат права спрямо нейните нетни активи, тя се класифицира като съвместно предприятие. Участията в съвместни предприятия се отчитат по метода на собствения капитал (вж. бележка </w:t>
      </w:r>
      <w:r>
        <w:rPr>
          <w:b/>
        </w:rPr>
        <w:t>1.5.4</w:t>
      </w:r>
      <w:r>
        <w:t>). Когато страните имат права спрямо активите и задължения спрямо пасивите, които активи и пасиви са свързани с договореността, тази съвместна договореност се класифицира като съвместна операция. Що се отнася до дела на ЕС в съвместни операции, ЕС признава във финансовите си отчети: своите активи и пасиви, своите приходи и разходи и дела си от активите, пасивите, приходите и разходите, държани или направени съвместно.</w:t>
      </w:r>
    </w:p>
    <w:p>
      <w:pPr>
        <w:pStyle w:val="HEADER5"/>
        <w:rPr>
          <w:b/>
          <w:noProof/>
        </w:rPr>
      </w:pPr>
      <w:r>
        <w:rPr>
          <w:noProof/>
        </w:rPr>
        <w:t>Асоциирани предприятия</w:t>
      </w:r>
    </w:p>
    <w:p>
      <w:pPr>
        <w:pStyle w:val="DGTextstand-alone"/>
      </w:pPr>
      <w:r>
        <w:t>Асоциирани предприятия са субектите, върху които ЕС има, пряко или непряко, значително влияние, но не и контрол. Приема се, че съществува значително влияние, ако ЕС държи пряко или непряко 20 % или повече от правата на глас. Участията в асоциирани предприятия се отчитат по метода на собствения капитал (вж. бележка </w:t>
      </w:r>
      <w:r>
        <w:rPr>
          <w:b/>
        </w:rPr>
        <w:t>1.5.4</w:t>
      </w:r>
      <w:r>
        <w:t>).</w:t>
      </w:r>
    </w:p>
    <w:p>
      <w:pPr>
        <w:pStyle w:val="HEADER5"/>
        <w:rPr>
          <w:b/>
          <w:noProof/>
        </w:rPr>
      </w:pPr>
      <w:r>
        <w:rPr>
          <w:noProof/>
        </w:rPr>
        <w:t>Неконсолидирани субекти, чиито средства се управляват от Комисията</w:t>
      </w:r>
    </w:p>
    <w:p>
      <w:pPr>
        <w:pStyle w:val="DGTextstand-alone"/>
      </w:pPr>
      <w:r>
        <w:t>Средствата на общата система за здравно осигуряване за служителите на ЕС, на Европейския фонд за развитие и на Гаранционния фонд за участниците се управляват от Комисията от тяхно име. Тъй като обаче тези субекти не се контролират от ЕС, те не се консолидират в неговите финансови отчети.</w:t>
      </w:r>
    </w:p>
    <w:p>
      <w:pPr>
        <w:pStyle w:val="HEADER2NOTES"/>
        <w:rPr>
          <w:noProof/>
        </w:rPr>
      </w:pPr>
      <w:r>
        <w:rPr>
          <w:noProof/>
        </w:rPr>
        <w:t>БАЗА ЗА ИЗГОТВЯНЕТО</w:t>
      </w:r>
    </w:p>
    <w:p>
      <w:pPr>
        <w:pStyle w:val="DGTextstand-alone"/>
      </w:pPr>
      <w:r>
        <w:t>Финансовите отчети се представят ежегодно. Счетоводната година започва на 1 януари и приключва на 31 декември.</w:t>
      </w:r>
    </w:p>
    <w:p>
      <w:pPr>
        <w:pStyle w:val="HEADER3NOTES"/>
        <w:rPr>
          <w:noProof/>
        </w:rPr>
      </w:pPr>
      <w:r>
        <w:rPr>
          <w:noProof/>
        </w:rPr>
        <w:t>Валута и база за конвертиране</w:t>
      </w:r>
    </w:p>
    <w:p>
      <w:pPr>
        <w:pStyle w:val="HEADER5"/>
        <w:rPr>
          <w:b/>
          <w:noProof/>
        </w:rPr>
      </w:pPr>
      <w:r>
        <w:rPr>
          <w:noProof/>
        </w:rPr>
        <w:t>Работна и отчетна валута</w:t>
      </w:r>
    </w:p>
    <w:p>
      <w:pPr>
        <w:pStyle w:val="DGTextstand-alone"/>
      </w:pPr>
      <w:r>
        <w:t>Освен когато е посочено друго, финансовите отчети са представени в милиони евро — работната и отчетна валута на ЕС.</w:t>
      </w:r>
    </w:p>
    <w:p>
      <w:pPr>
        <w:pStyle w:val="HEADER5"/>
        <w:rPr>
          <w:b/>
          <w:noProof/>
        </w:rPr>
      </w:pPr>
      <w:r>
        <w:rPr>
          <w:noProof/>
        </w:rPr>
        <w:t>Операции и салда</w:t>
      </w:r>
    </w:p>
    <w:p>
      <w:pPr>
        <w:pStyle w:val="DGTextstand-alone"/>
        <w:spacing w:after="0"/>
      </w:pPr>
      <w:r>
        <w:t>Операциите в чуждестранна валута се конвертират в евро, като се използва обменният курс, преобладаващ към датaтa на операциите. Печалбите и загубите от курсови разлики, произтичащи от уреждането на операции в чуждестранна валута и от повторното конвертиране на паричните активи и пасиви в чуждестранна валута по обменните курсове в края на годината, се признават в отчета за финансовия резултат. Разликите от конвертиране за непаричните финансови инструменти, класифицирани като финансови активи, обявени за продажба, се включват в резерва на справедливата стойност.</w:t>
      </w:r>
    </w:p>
    <w:p>
      <w:pPr>
        <w:pStyle w:val="DGTextstand-alone"/>
      </w:pPr>
      <w:r>
        <w:t>Различни методи за конвертиране се прилагат за имотите, машините и съоръженията и за нематериалните активи, които запазват стойността си в евро при курса, който се е прилагал към датата, на която са закупени.</w:t>
      </w:r>
    </w:p>
    <w:p>
      <w:pPr>
        <w:pStyle w:val="DGTextstand-alone"/>
      </w:pPr>
      <w:r>
        <w:t>Салдата в края на годината на паричните активи и пасиви в чуждестранна валута се конвертират в евро въз основа на обменните курсове на Европейската централна банка, прилагани на 31 декември:</w:t>
      </w:r>
    </w:p>
    <w:p>
      <w:pPr>
        <w:pStyle w:val="HEADER5"/>
        <w:rPr>
          <w:b/>
          <w:noProof/>
        </w:rPr>
      </w:pPr>
      <w:r>
        <w:rPr>
          <w:noProof/>
        </w:rPr>
        <w:t>Обменни курсове спрямо еврото</w:t>
      </w:r>
    </w:p>
    <w:p>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44" w:name="DOC_TBL00005_1_1"/>
            <w:bookmarkEnd w:id="44"/>
            <w:r>
              <w:t>Валута</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Валута</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w:t>
            </w:r>
            <w:r>
              <w:rPr>
                <w:lang w:val="en-GB"/>
              </w:rPr>
              <w:t>,</w:t>
            </w:r>
            <w:r>
              <w:t>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w:t>
            </w:r>
            <w:r>
              <w:rPr>
                <w:lang w:val="en-GB"/>
              </w:rPr>
              <w:t>,</w:t>
            </w:r>
            <w:r>
              <w:t>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w:t>
            </w:r>
            <w:r>
              <w:rPr>
                <w:lang w:val="en-GB"/>
              </w:rPr>
              <w:t>,</w:t>
            </w:r>
            <w:r>
              <w:t>177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w:t>
            </w:r>
            <w:r>
              <w:rPr>
                <w:lang w:val="en-GB"/>
              </w:rPr>
              <w:t>,</w:t>
            </w:r>
            <w:r>
              <w:t>4103</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w:t>
            </w:r>
            <w:r>
              <w:rPr>
                <w:lang w:val="en-GB"/>
              </w:rPr>
              <w:t>,</w:t>
            </w:r>
            <w:r>
              <w:t>5350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27</w:t>
            </w:r>
            <w:r>
              <w:rPr>
                <w:lang w:val="en-GB"/>
              </w:rPr>
              <w:t>,</w:t>
            </w:r>
            <w:r>
              <w:t>0210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w:t>
            </w:r>
            <w:r>
              <w:rPr>
                <w:lang w:val="en-GB"/>
              </w:rPr>
              <w:t>,</w:t>
            </w:r>
            <w:r>
              <w:t>6585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w:t>
            </w:r>
            <w:r>
              <w:rPr>
                <w:lang w:val="en-GB"/>
              </w:rPr>
              <w:t>,</w:t>
            </w:r>
            <w:r>
              <w:t>5390</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w:t>
            </w:r>
            <w:r>
              <w:rPr>
                <w:lang w:val="en-GB"/>
              </w:rPr>
              <w:t>,</w:t>
            </w:r>
            <w:r>
              <w:t>4449</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w:t>
            </w:r>
            <w:r>
              <w:rPr>
                <w:lang w:val="en-GB"/>
              </w:rPr>
              <w:t>,</w:t>
            </w:r>
            <w:r>
              <w:t>4344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w:t>
            </w:r>
            <w:r>
              <w:rPr>
                <w:lang w:val="en-GB"/>
              </w:rPr>
              <w:t>,</w:t>
            </w:r>
            <w:r>
              <w:t>8438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w:t>
            </w:r>
            <w:r>
              <w:rPr>
                <w:lang w:val="en-GB"/>
              </w:rPr>
              <w:t>,</w:t>
            </w:r>
            <w:r>
              <w:t>5525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w:t>
            </w:r>
            <w:r>
              <w:rPr>
                <w:lang w:val="en-GB"/>
              </w:rPr>
              <w:t>,</w:t>
            </w:r>
            <w:r>
              <w:t>8872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w:t>
            </w:r>
            <w:r>
              <w:rPr>
                <w:lang w:val="en-GB"/>
              </w:rPr>
              <w:t>,</w:t>
            </w:r>
            <w:r>
              <w:t>8562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w:t>
            </w:r>
            <w:r>
              <w:rPr>
                <w:lang w:val="en-GB"/>
              </w:rPr>
              <w:t>,</w:t>
            </w:r>
            <w:r>
              <w:t>1702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w:t>
            </w:r>
            <w:r>
              <w:rPr>
                <w:lang w:val="en-GB"/>
              </w:rPr>
              <w:t>,</w:t>
            </w:r>
            <w:r>
              <w:t>0739</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w:t>
            </w:r>
            <w:r>
              <w:rPr>
                <w:lang w:val="en-GB"/>
              </w:rPr>
              <w:t>,</w:t>
            </w:r>
            <w:r>
              <w:t>4400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w:t>
            </w:r>
            <w:r>
              <w:rPr>
                <w:lang w:val="en-GB"/>
              </w:rPr>
              <w:t>,</w:t>
            </w:r>
            <w:r>
              <w:t>5597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135</w:t>
            </w:r>
            <w:r>
              <w:rPr>
                <w:lang w:val="en-GB"/>
              </w:rPr>
              <w:t>,</w:t>
            </w:r>
            <w:r>
              <w:t>01</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123</w:t>
            </w:r>
            <w:r>
              <w:rPr>
                <w:lang w:val="en-GB"/>
              </w:rPr>
              <w:t>,</w:t>
            </w:r>
            <w:r>
              <w:t>4000</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310</w:t>
            </w:r>
            <w:r>
              <w:rPr>
                <w:lang w:val="en-GB"/>
              </w:rPr>
              <w:t>,</w:t>
            </w:r>
            <w:r>
              <w:t>3300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309</w:t>
            </w:r>
            <w:r>
              <w:rPr>
                <w:lang w:val="en-GB"/>
              </w:rPr>
              <w:t>,</w:t>
            </w:r>
            <w:r>
              <w:t>8300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w:t>
            </w:r>
            <w:r>
              <w:rPr>
                <w:lang w:val="en-GB"/>
              </w:rPr>
              <w:t>,</w:t>
            </w:r>
            <w:r>
              <w:t>1993</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w:t>
            </w:r>
            <w:r>
              <w:rPr>
                <w:lang w:val="en-GB"/>
              </w:rPr>
              <w:t>,</w:t>
            </w:r>
            <w:r>
              <w:t>0541</w:t>
            </w:r>
          </w:p>
        </w:tc>
      </w:tr>
    </w:tbl>
    <w:p>
      <w:pPr>
        <w:pStyle w:val="DGTextstand-alone"/>
        <w:spacing w:before="0" w:after="0"/>
      </w:pPr>
    </w:p>
    <w:p>
      <w:pPr>
        <w:pStyle w:val="HEADER3NOTES"/>
        <w:keepNext/>
        <w:rPr>
          <w:noProof/>
        </w:rPr>
      </w:pPr>
      <w:r>
        <w:rPr>
          <w:noProof/>
        </w:rPr>
        <w:t>Използване на приблизителни оценки</w:t>
      </w:r>
    </w:p>
    <w:p>
      <w:pPr>
        <w:pStyle w:val="DGTextstand-alone"/>
      </w:pPr>
      <w:r>
        <w:t>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ръководителите, основаващи се на най-надеждната налична информация. Съществените приблизителни оценки включват, без да са ограничени до това: сумите за задълженията, свързани с доходите на наети лица, провизиите, финансовия риск, свързан с материалните запаси и вземанията, начислените приходи и разходи, условните активи и пасиви, степента на обезценка на нематериалните активи и на имотите, машините и съоръженията и сумите, оповестени в бележките във връзка с финансовите инструменти. Действителните резултати могат да се различават от тези приблизителни оценки. Промените в приблизителните оценки се отразяват през периода, през който станат известни.</w:t>
      </w:r>
    </w:p>
    <w:p>
      <w:pPr>
        <w:pStyle w:val="HEADER2NOTES"/>
        <w:rPr>
          <w:noProof/>
        </w:rPr>
      </w:pPr>
      <w:r>
        <w:rPr>
          <w:noProof/>
        </w:rPr>
        <w:t>СЧЕТОВОДЕН БАЛАНС</w:t>
      </w:r>
    </w:p>
    <w:p>
      <w:pPr>
        <w:pStyle w:val="HEADER3NOTES"/>
        <w:rPr>
          <w:noProof/>
        </w:rPr>
      </w:pPr>
      <w:r>
        <w:rPr>
          <w:noProof/>
        </w:rPr>
        <w:t>Нематериални активи</w:t>
      </w:r>
    </w:p>
    <w:p>
      <w:pPr>
        <w:pStyle w:val="DGTextstand-alone"/>
      </w:pPr>
      <w:r>
        <w:t>Придобитите лицензи за компютърен софтуер се посочват по историческа стойност минус натрупаната амортизация и загубите от обезценка. Активите се амортизират по линейния метод през очаквания си полезен живот (3—11 години). Очакваният полезен живот на нематериалните активи зависи от специфичния им икономически живот или от правния им живот, който се определя от споразумение. Вътрешно разработените нематериални активи се капитализират, когато съответните критерии на правилата за счетоводна отчетност на ЕС бъдат изпълнени и разходите са свързани единствено с етапа на разработка на актива. Капитализируемите разходи включват всички разходи, които могат директно да се припишат и които са необходими за създаването, производството и подготвянето на актива за работа по предвидения от ръководството начин. Разходите, свързани с научноизследователски дейности, некапитализируемите разходи по разработката и разходите за поддръжка се признават като разходи в момента на възникването си.</w:t>
      </w:r>
      <w:r>
        <w:tab/>
      </w:r>
    </w:p>
    <w:p>
      <w:pPr>
        <w:pStyle w:val="HEADER3NOTES"/>
        <w:rPr>
          <w:noProof/>
        </w:rPr>
      </w:pPr>
      <w:r>
        <w:rPr>
          <w:noProof/>
        </w:rPr>
        <w:t>Имоти, машини и съоръжения</w:t>
      </w:r>
    </w:p>
    <w:p>
      <w:pPr>
        <w:pStyle w:val="DGTextstand-alone"/>
      </w:pPr>
      <w:r>
        <w:t>Всички имоти, машини и съоръжения се посочват по историческа стойност минус натрупаната амортизация и загубите от обезценка. Стойността включва разходите, които могат директно да се припишат на придобиването, създаването или прехвърлянето на актива.</w:t>
      </w:r>
    </w:p>
    <w:p>
      <w:pPr>
        <w:pStyle w:val="DGTextstand-alone"/>
        <w:spacing w:after="0"/>
      </w:pPr>
      <w:r>
        <w:t>Последващите разходи се включват в балансовата стойност на актива или се признават като отделен актив, както е уместно, единствено когато е вероятно бъдещите икономически ползи или потенциалът за предоставяне на услуга, свързани с актива, да са по посока на ЕС и стойността на актива може да бъде надеждно оценена. Разходите за ремонт и поддръжка се включват в отчета за финансовия резултат през финансовия период, през който са били извършени.</w:t>
      </w:r>
    </w:p>
    <w:p>
      <w:pPr>
        <w:pStyle w:val="DGTextstand-alone"/>
      </w:pPr>
      <w:r>
        <w:t>Земята и произведенията на изкуството не се амортизират, тъй като се счита, че имат безкраен полезен живот. Активите в процес на изграждане не се амортизират, тъй като тези активи все още не са на разположение за употреба. Амортизацията на другите активи се изчислява чрез линейния метод, за да бъде разпределена тяхната стойност минус остатъчната им стойност през очаквания им полезен живот,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45" w:name="DOC_TBL00006_1_1"/>
            <w:bookmarkEnd w:id="45"/>
            <w:r>
              <w:t>Вид актив</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Норма на линейна амортизация</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Сгради</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от 4 % до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Космически активи</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от 8 % до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Машини и съоръжения</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от 10 % до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Обзавеждане и превозни средства</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от 10 % до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Компютърен хардуер</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от 25 % до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от 10 % до 33 %</w:t>
            </w:r>
          </w:p>
        </w:tc>
      </w:tr>
    </w:tbl>
    <w:p>
      <w:pPr>
        <w:pStyle w:val="DGTextstand-alone"/>
      </w:pPr>
      <w:r>
        <w:t>Печалбите и загубите от намаленията на активи се определят чрез сравняване на приходите минус разходите по продажбата с балансовата стойност на актива, от който институцията се освобождава, и се включват в отчета за финансовия резултат.</w:t>
      </w:r>
    </w:p>
    <w:p>
      <w:pPr>
        <w:pStyle w:val="HEADER5"/>
        <w:keepNext/>
        <w:rPr>
          <w:b/>
          <w:noProof/>
        </w:rPr>
      </w:pPr>
      <w:r>
        <w:rPr>
          <w:noProof/>
        </w:rPr>
        <w:t>Лизинг</w:t>
      </w:r>
    </w:p>
    <w:p>
      <w:pPr>
        <w:pStyle w:val="DGTextstand-alone"/>
      </w:pPr>
      <w:r>
        <w:t>Лизингът на материални активи, при който ЕС носи по същество всички рискове и ползи от собствеността, се класифицира като финансов лизинг. Финансовият лизинг се капитализира в началото на лизинга по по-ниската от следните две стойности — справедливата стойност на наетия актив и настоящата стойност на минималните лизингови плащания. Лихвеният елемент на плащането по финансов лизинг се начислява към разходите за срока на лизинга при постоянен периодичен лихвен процент за оставащото салдо. Наемните задължения, след приспадане на финансовите разходи, се включват във финансовите пасиви (нетекущи и текущи). Лихвеният елемент от финансовия разход се отнася като разход в отчета за финансовия резултат през лизинговия период така, че да бъде получен постоянен периодичен лихвен процент за оставащото салдо по пасива за всеки период. Държаните чрез финансов лизинг активи се амортизират през по-краткия от следните периоди — полезния живот на актива и срока на лизинга.</w:t>
      </w:r>
    </w:p>
    <w:p>
      <w:pPr>
        <w:pStyle w:val="DGTextstand-alone"/>
      </w:pPr>
      <w:r>
        <w:t>Лизингът, при който наемодателят запазва значителна част от рисковете и ползите, произтичащи от собствеността, се класифицира като оперативен лизинг. Плащанията по оперативен лизинг се признават като разход в отчета за финансовия резултат по линейния метод през срока на лизинга.</w:t>
      </w:r>
    </w:p>
    <w:p>
      <w:pPr>
        <w:pStyle w:val="HEADER3NOTES"/>
        <w:rPr>
          <w:noProof/>
        </w:rPr>
      </w:pPr>
      <w:r>
        <w:rPr>
          <w:noProof/>
        </w:rPr>
        <w:t>Обезценка на нефинансови активи</w:t>
      </w:r>
    </w:p>
    <w:p>
      <w:pPr>
        <w:pStyle w:val="DGTextstand-alone"/>
      </w:pPr>
      <w:r>
        <w:t>Активите, имащи безкраен полезен живот, не подлежат на амортизация и се проверяват всяка година за обезценка. Активите, подлежащи на амортизация, се проверяват за обезценка, когато събития или промени в обстоятелствата покажат, че балансовата им стойност може да не е възстановима. Загуба от обезценка се признава за сумата, с която балансовата стойност на актива надвишава възстановимата му стойност (на ползване). Възстановимата стойност (на ползване) е по-високата от следните две стойности — справедливата стойност на актива, намалена с разходите по продажбата му, и стойността му в употреба.</w:t>
      </w:r>
    </w:p>
    <w:p>
      <w:pPr>
        <w:pStyle w:val="DGTextstand-alone"/>
      </w:pPr>
      <w:r>
        <w:t>Остатъчната стойност и полезният живот на нематериалните активи и на имотите, машините и съоръженията се преразглеждат и ако е необходимо, се коригират поне веднъж годишно. Балансовата стойност на даден актив се намалява веднага до неговата възстановима стойност (на ползване), ако балансовата стойност на актива е по-голяма от приблизителната му възстановима стойност (на ползване). Ако основанията за обезценки, признати през предходни години, вече не са валидни, загубите от обезценка съответно се сторнират.</w:t>
      </w:r>
    </w:p>
    <w:p>
      <w:pPr>
        <w:pStyle w:val="HEADER3NOTES"/>
        <w:rPr>
          <w:noProof/>
        </w:rPr>
      </w:pPr>
      <w:r>
        <w:rPr>
          <w:noProof/>
        </w:rPr>
        <w:t>Инвестиции, отчетени посредством метода на собствения капитал</w:t>
      </w:r>
    </w:p>
    <w:p>
      <w:pPr>
        <w:pStyle w:val="HEADER5"/>
        <w:rPr>
          <w:b/>
          <w:noProof/>
        </w:rPr>
      </w:pPr>
      <w:r>
        <w:rPr>
          <w:noProof/>
        </w:rPr>
        <w:t>Участия в асоциирани предприятия и в съвместни предприятия</w:t>
      </w:r>
    </w:p>
    <w:p>
      <w:pPr>
        <w:pStyle w:val="DGTextstand-alone"/>
      </w:pPr>
      <w:r>
        <w:t>Инвестициите, отчитани по метода на собствения капитал, първоначално се признават по себестойност. Участието на ЕС в тези инвестиции се признава в отчета за финансовия резултат, а делът му от движенията на резервите се признава в резерва на справедливата стойност при нетните активи. Първоначалният разход, в който са отразени всички движения (допълнителни вноски, дял от финансовите резултати и от движенията на резервите, обезценки и дивиденти), образува счетоводната стойност на инвестицията във финансовите отчети към датата на счетоводния баланс. Доходите, получени от инвестицията, намаляват балансовата стойност на актива.</w:t>
      </w:r>
    </w:p>
    <w:p>
      <w:pPr>
        <w:pStyle w:val="DGTextstand-alone"/>
      </w:pPr>
      <w:r>
        <w:t>Ако делът на ЕС от дефицита на инвестиция, отчитана по метода на собствения капитал, е равен на дела му от инвестицията или превишава този дял, ЕС спира да признава дела си от следващите загуби („непризнати загуби“). След като делът на ЕС бъде намален до нула, допълнителните загуби се отчитат и се признава пасив само до размера, за който ЕС има правно или конструктивно задължение или е извършил плащания от името на субекта.</w:t>
      </w:r>
    </w:p>
    <w:p>
      <w:pPr>
        <w:pStyle w:val="DGTextstand-alone"/>
      </w:pPr>
      <w:r>
        <w:t>Ако има признаци за обезценка, трябва да се направи намаление до по-ниската възстановима стойност. Възстановимата стойност се определя, както е описано в бележка </w:t>
      </w:r>
      <w:r>
        <w:rPr>
          <w:b/>
        </w:rPr>
        <w:t>1.5.3</w:t>
      </w:r>
      <w:r>
        <w:t>. Ако след време причината за обезценката спре да бъде валидна, загубата от обезценка се сторнира до балансовата стойност, която щеше да бъде определена, ако не беше призната загуба от обезценка.</w:t>
      </w:r>
    </w:p>
    <w:p>
      <w:pPr>
        <w:pStyle w:val="DGTextstand-alone"/>
      </w:pPr>
      <w:r>
        <w:t>В случаите, когато ЕС държи 20 % или повече от фонд за инвестиционен капитал, той не се стреми да упражнява значително влияние. Поради това тези фондове се третират като финансови инструменти и се категоризират като финансови активи, обявени за продажба.</w:t>
      </w:r>
    </w:p>
    <w:p>
      <w:pPr>
        <w:pStyle w:val="DGTextstand-alone"/>
      </w:pPr>
      <w:r>
        <w:t xml:space="preserve">Асоциираните и съвместните предприятия, класифицирани като несъществени субекти, не се отчитат по метода на собствения капитал. Приносът на ЕС към тези субекти се отчита като разход за периода. </w:t>
      </w:r>
    </w:p>
    <w:p>
      <w:pPr>
        <w:pStyle w:val="HEADER3NOTES"/>
        <w:keepNext/>
        <w:rPr>
          <w:noProof/>
        </w:rPr>
      </w:pPr>
      <w:r>
        <w:rPr>
          <w:noProof/>
        </w:rPr>
        <w:t>Финансови активи</w:t>
      </w:r>
    </w:p>
    <w:p>
      <w:pPr>
        <w:pStyle w:val="HEADER5"/>
        <w:rPr>
          <w:b/>
          <w:noProof/>
        </w:rPr>
      </w:pPr>
      <w:r>
        <w:rPr>
          <w:noProof/>
        </w:rPr>
        <w:t>Класификация</w:t>
      </w:r>
    </w:p>
    <w:p>
      <w:pPr>
        <w:pStyle w:val="DGTextstand-alone"/>
      </w:pPr>
      <w:r>
        <w:t>ЕС класифицира своите финансови активи в следните категории: финансови активи по справедлива стойност чрез излишъка или дефицита; заеми и вземания; инвестиции, държани до падеж; и финансови активи, обявени за продажба. Класификацията на финансовите инструменти се определя при първоначалното им признаване и се преоценява към датата на всеки счетоводен баланс.</w:t>
      </w:r>
    </w:p>
    <w:p>
      <w:pPr>
        <w:pStyle w:val="TextSubtitlenumberingRCItalic"/>
        <w:rPr>
          <w:noProof/>
        </w:rPr>
      </w:pPr>
      <w:r>
        <w:rPr>
          <w:noProof/>
        </w:rPr>
        <w:t>Финансови активи по справедлива стойност чрез излишъка или дефицита</w:t>
      </w:r>
    </w:p>
    <w:p>
      <w:pPr>
        <w:pStyle w:val="DGTextstand-alone"/>
      </w:pPr>
      <w:r>
        <w:t>Финансов актив се класифицира в тази категория, ако е придобит основно с цел продажба в краткосрочен план. Деривативите също попадат в тази категория. Активите в тази категория се класифицират като текущи активи, ако се очаква да бъдат реализирани в срок от 12 месеца от датата на счетоводния баланс.</w:t>
      </w:r>
    </w:p>
    <w:p>
      <w:pPr>
        <w:pStyle w:val="TextSubtitlenumberingRCItalic"/>
        <w:keepNext/>
        <w:rPr>
          <w:noProof/>
        </w:rPr>
      </w:pPr>
      <w:r>
        <w:rPr>
          <w:noProof/>
        </w:rPr>
        <w:t>Заеми и вземания</w:t>
      </w:r>
    </w:p>
    <w:p>
      <w:pPr>
        <w:pStyle w:val="DGTextstand-alone"/>
      </w:pPr>
      <w:r>
        <w:t>Заемите и вземанията са недеривативни финансови активи с фиксирани или определими плащания, които не се котират на активен пазар. Те възникват, когато ЕС предоставя пари, стоки или услуги пряко на длъжник без намерение да търгува с вземането или когато ЕС встъпва в правата на първоначалния заемодател след плащане, направено от ЕС по договор за гаранция. Плащанията, които стават дължими в срок от 12 месеца от датата на счетоводния баланс, се класифицират като текущи активи. Плащанията, които стават дължими след 12 месеца от датата на счетоводния баланс, се класифицират като нетекущи активи. Заемите и вземанията включват срочните депозити с първоначален срок от над три месеца.</w:t>
      </w:r>
    </w:p>
    <w:p>
      <w:pPr>
        <w:pStyle w:val="TextSubtitlenumberingRCItalic"/>
        <w:rPr>
          <w:noProof/>
        </w:rPr>
      </w:pPr>
      <w:r>
        <w:rPr>
          <w:noProof/>
        </w:rPr>
        <w:t>Инвестиции, държани до падеж</w:t>
      </w:r>
    </w:p>
    <w:p>
      <w:pPr>
        <w:pStyle w:val="DGTextstand-alone"/>
      </w:pPr>
      <w:r>
        <w:t xml:space="preserve">Инвестициите, държани до падеж, представляват недеривативни финансови активи с фиксирани или определими плащания и фиксиран падеж, които ЕС има категоричното намерение и възможност да държи до падеж. През тази финансова година ЕС не държа инвестиции в тази категория. </w:t>
      </w:r>
    </w:p>
    <w:p>
      <w:pPr>
        <w:pStyle w:val="TextSubtitlenumberingRCItalic"/>
        <w:rPr>
          <w:noProof/>
        </w:rPr>
      </w:pPr>
      <w:r>
        <w:rPr>
          <w:noProof/>
        </w:rPr>
        <w:t>Финансови активи, обявени за продажба</w:t>
      </w:r>
    </w:p>
    <w:p>
      <w:pPr>
        <w:pStyle w:val="DGTextstand-alone"/>
      </w:pPr>
      <w:r>
        <w:t>Обявените за продажба финансови активи са недеривативни инструменти, които или се посочват в тази категория, или не се класифицират в никоя от другите категории. Те се класифицират или като текущи, или като нетекущи активи в зависимост от периода от време, през който ЕС очаква да ги държи. Инвестициите в субекти, които не са консолидирани и не се отчитат по метода на собствения капитал, и другите инвестиции от капиталов вид (напр. операциите с рисков капитал), също се класифицират като финансови активи, обявени за продажба.</w:t>
      </w:r>
    </w:p>
    <w:p>
      <w:pPr>
        <w:pStyle w:val="HEADER5"/>
        <w:rPr>
          <w:b/>
          <w:noProof/>
        </w:rPr>
      </w:pPr>
      <w:r>
        <w:rPr>
          <w:noProof/>
        </w:rPr>
        <w:t>Първоначално признаване и оценяване</w:t>
      </w:r>
    </w:p>
    <w:p>
      <w:pPr>
        <w:pStyle w:val="DGTextstand-alone"/>
      </w:pPr>
      <w:r>
        <w:t>Покупките и продажбите на финансови активи по справедлива стойност чрез излишъка или дефицита, държани до падеж и обявени за продажба, се признават на датата на търгуване — датата, на която ЕС поема задължение да закупи или продаде актива. Паричните еквиваленти и заемите се признават, когато паричните средства бъдат отпуснати на заемополучателите. Финансовите инструменти първоначално се признават по справедлива стойност. Трансакционните разходи за всички финансови активи, които не са отчетени по справедлива стойност чрез излишъка или дефицита, се добавят към справедливата стойност при първоначалното признаване. Финансовите активи, отчетени по справедлива стойност чрез излишъка или дефицита, първоначално се признават по справедлива стойност, а трансакционните разходи се вписват като разход в отчета за финансовия резултат.</w:t>
      </w:r>
    </w:p>
    <w:p>
      <w:pPr>
        <w:pStyle w:val="DGTextstand-alone"/>
      </w:pPr>
      <w:r>
        <w:t>Справедливата стойност на финансов актив при първоначалното признаване обикновено е цената на сделката (т.е. справедливата стойност на полученото възнаграждение), освен ако справедливата стойност на този инструмент се доказва чрез сравняване с други наблюдаеми текущи пазарни сделки със същия инструмент или въз основа на техника за оценяване, чиито променливи включват само данни от наблюдаеми пазари (напр. при някои договори за деривативи). Въпреки това, когато бъде отпуснат дългосрочен безлихвен заем или дългосрочен заем, чиято лихва е под пазарните условия, неговата справедлива стойност може да бъде оценена като настоящата стойност на всички бъдещи парични постъпления, дисконтирани посредством преобладаващия пазарен лихвен процент за подобен инструмент с подобен кредитен рейтинг.</w:t>
      </w:r>
    </w:p>
    <w:p>
      <w:pPr>
        <w:pStyle w:val="DGTextstand-alone"/>
      </w:pPr>
      <w:r>
        <w:t>Отпуснатите заеми се оценяват по номиналната им стойност, която се счита за справедливата стойност на заема. Обяснението за това е следното:</w:t>
      </w:r>
    </w:p>
    <w:p>
      <w:pPr>
        <w:pStyle w:val="DGTextstand-alone"/>
        <w:numPr>
          <w:ilvl w:val="0"/>
          <w:numId w:val="23"/>
        </w:numPr>
      </w:pPr>
      <w:r>
        <w:t>„Пазарната среда“ за отпускане на заеми от ЕС е много специфична и различна от капиталовия пазар, използван за емитиране на корпоративни или държавни облигации. Тъй като заемодателите на тези пазари имат възможността да избират алтернативни инвестиции, вероятността за тази възможност се отчита в пазарните цени. Тази възможност за алтернативни инвестиции обаче не съществува за ЕС, който няма право да инвестира пари на капиталовите пазари. Той само взема средства назаем с цел отпускане на заеми при същия лихвен процент. Това означава, че за взетите назаем суми ЕС не разполага с алтернативен вариант за отпускане на заеми или за инвестиране. Ето защо не съществува алтернативен разход и следователно не съществува база за сравнение с пазарните проценти. Всъщност самата операция на ЕС по отпускане на заем представлява пазарът. По същество, тъй като алтернативният разход „вариант“ не важи, пазарната цена не отразява справедливо същността на операциите на ЕС по отпускане на заеми. Поради това не е подходящо справедливата стойност на отпускането на заеми от страна на ЕС да се определя с упоменаване на корпоративни или държавни облигации.</w:t>
      </w:r>
    </w:p>
    <w:p>
      <w:pPr>
        <w:pStyle w:val="DGTextstand-alone"/>
        <w:numPr>
          <w:ilvl w:val="0"/>
          <w:numId w:val="23"/>
        </w:numPr>
      </w:pPr>
      <w:r>
        <w:t>Освен това, тъй като няма активен пазар или подобни операции, с които да се направи сравнение, лихвеният процент, който ЕС трябва да използва за определяне на справедливата стойност на своите операции по отпускане на заеми в рамките на ЕМФС, за подпомагане на ПБ и други такива заеми, следва да бъде дължимият лихвен процент.</w:t>
      </w:r>
    </w:p>
    <w:p>
      <w:pPr>
        <w:pStyle w:val="DGTextstand-alone"/>
        <w:numPr>
          <w:ilvl w:val="0"/>
          <w:numId w:val="23"/>
        </w:numPr>
      </w:pPr>
      <w:r>
        <w:t>Освен това за тези заеми има компенсиращи ефекти между отпуснатите и получените заеми поради техния реципрочен характер („бек-ту-бек“). Поради това ефективната лихва за отпуснатия заем е равна на ефективната лихва за свързаните с него получени заеми. Трансакционните разходи, направени от ЕС и след това начислени на бенефициера на заема, се признават направо в отчета за финансовия резултат.</w:t>
      </w:r>
    </w:p>
    <w:p>
      <w:pPr>
        <w:pStyle w:val="DGTextstand-alone"/>
      </w:pPr>
      <w:r>
        <w:t>Финансовите инструменти се отписват, когато правата за получаване на парични потоци от инвестициите са изтекли или ЕС по същество е прехвърлил всички рискове и ползи от собствеността на друга страна.</w:t>
      </w:r>
    </w:p>
    <w:p>
      <w:pPr>
        <w:pStyle w:val="HEADER5"/>
        <w:rPr>
          <w:noProof/>
        </w:rPr>
      </w:pPr>
      <w:r>
        <w:rPr>
          <w:noProof/>
        </w:rPr>
        <w:t>Последващо оценяване</w:t>
      </w:r>
    </w:p>
    <w:p>
      <w:pPr>
        <w:pStyle w:val="DGTextstand-alone"/>
        <w:numPr>
          <w:ilvl w:val="0"/>
          <w:numId w:val="24"/>
        </w:numPr>
      </w:pPr>
      <w:r>
        <w:t>Финансовите активи, отчетени по справедлива стойност чрез излишъка или дефицита, впоследствие се отчитат по справедлива стойност. Печалбите и загубите, възникващи от промени в справедливата стойност на категорията „финансови инструменти по справедлива стойност чрез излишъка или дефицита“, се включват в отчета за финансовия резултат през периода, в който възникват.</w:t>
      </w:r>
    </w:p>
    <w:p>
      <w:pPr>
        <w:pStyle w:val="DGTextstand-alone"/>
        <w:numPr>
          <w:ilvl w:val="0"/>
          <w:numId w:val="24"/>
        </w:numPr>
      </w:pPr>
      <w:r>
        <w:t>Заемите и вземанията се отчитат по амортизирана стойност чрез метода на ефективната лихва. В случай на заеми, отпуснати от заемни средства, същата ефективна лихва се прилага както за отпуснатите, така и за получените заеми, тъй като тези отпуснати заеми имат характеристиките на операции от вида „бек-ту-бек“ (back-to-back) и разликите между условията за отпускане и получаване на заем и между сумите не са съществени. Трансакционните разходи, направени от ЕС и след това начислени на бенефициера на заема, се признават направо в отчета за финансовия резултат.</w:t>
      </w:r>
    </w:p>
    <w:p>
      <w:pPr>
        <w:pStyle w:val="DGTextstand-alone"/>
        <w:numPr>
          <w:ilvl w:val="0"/>
          <w:numId w:val="24"/>
        </w:numPr>
      </w:pPr>
      <w:r>
        <w:t>Активите, държани до падеж, се отчитат по амортизирана стойност чрез метода на ефективната лихва. Понастоящем ЕС не държи инвестиции, държани до падеж.</w:t>
      </w:r>
    </w:p>
    <w:p>
      <w:pPr>
        <w:pStyle w:val="DGTextstand-alone"/>
        <w:numPr>
          <w:ilvl w:val="0"/>
          <w:numId w:val="24"/>
        </w:numPr>
      </w:pPr>
      <w:r>
        <w:t>Финансовите активи, обявени за продажба, впоследствие се отчитат по справедлива стойност. Печалбите и загубите, възникващи от промени в справедливата стойност на финансовите активи, обявени за продажба, се признават в резерва на справедливата стойност, с изключение на разликите от конвертиране на паричните активи, които се признават в отчета за финансовия резултат. Когато активи, класифицирани като финансови активи, обявени за продажба, бъдат отписани или се обезценят, кумулативните корекции на справедливата стойност, които преди са били признати в резерва на справедливата стойност, се признават в отчета за финансовия резултат. Лихвата по финансовите активи, обявени за продажба, изчислена по метода на ефективната лихва, се признава в отчета за финансовия резултат. Дивидентите от капиталови инструменти, обявени за продажба, се признават, когато бъде установено правото на ЕС да получи плащането.</w:t>
      </w:r>
    </w:p>
    <w:p>
      <w:pPr>
        <w:pStyle w:val="DGTextstand-alone"/>
      </w:pPr>
      <w:r>
        <w:t xml:space="preserve">Справедливата стойност на инвестициите, котирани на активни пазари, се основава на текущите цени „купува“. Ако пазарът за даден финансов актив не е активен (и за нерегистрирани на борсата ценни книжа и извънборсови деривативи), ЕС определя справедлива стойност с помощта на техники за оценяване. Те включват използването на скорошни операции между несвързани страни, отнасяне към други инструменти, които по същество са същите, анализ на дисконтирания паричен поток, модели на ценообразуване на опции и други техники за оценяване, обикновено използвани от участниците на пазара. </w:t>
      </w:r>
    </w:p>
    <w:p>
      <w:pPr>
        <w:pStyle w:val="DGTextstand-alone"/>
      </w:pPr>
      <w:r>
        <w:t>Инвестициите във фондове за рисков капитал, които са класифицирани като финансови активи, обявени за продажба, и които нямат котирана пазарна цена на активен пазар, се оценяват по нетната стойност на активите, която може да им бъде приписана и която се счита за еквивалент на справедливата им стойност.</w:t>
      </w:r>
    </w:p>
    <w:p>
      <w:pPr>
        <w:pStyle w:val="DGTextstand-alone"/>
      </w:pPr>
      <w:r>
        <w:t>Когато справедливата стойност на инвестициите в капиталови инструменти, които нямат посочена пазарна цена на активен пазар, не може да бъде оценена по надежден начин, тези инвестиции се оценяват по себестойност минус загубите от обезценка.</w:t>
      </w:r>
    </w:p>
    <w:p>
      <w:pPr>
        <w:pStyle w:val="HEADER5"/>
        <w:rPr>
          <w:b/>
          <w:noProof/>
        </w:rPr>
      </w:pPr>
      <w:r>
        <w:rPr>
          <w:noProof/>
        </w:rPr>
        <w:t>Обезценка на финансови активи</w:t>
      </w:r>
    </w:p>
    <w:p>
      <w:pPr>
        <w:pStyle w:val="DGTextstand-alone"/>
      </w:pPr>
      <w:r>
        <w:t>Към датата на всеки счетоводен баланс ЕС преценява дали има обективни доказателства, че даден финансов актив се е обезценил. Финансов актив се е обезценил и са настъпили загуби от обезценка, ако и само тогава, когато съществува обективно доказателство за обезценка в резултат на едно или повече събития, настъпили след първоначалното признаване на актива, и това събитие (или събития), което води до загуба, има измеримо по надежден начин въздействие върху очакваните бъдещи парични потоци по финансовия актив.</w:t>
      </w:r>
    </w:p>
    <w:p>
      <w:pPr>
        <w:pStyle w:val="TextSubtitleItalicnumberinglettera"/>
        <w:numPr>
          <w:ilvl w:val="0"/>
          <w:numId w:val="3"/>
        </w:numPr>
        <w:rPr>
          <w:noProof/>
        </w:rPr>
      </w:pPr>
      <w:r>
        <w:rPr>
          <w:noProof/>
        </w:rPr>
        <w:t>Активи, отчетени по амортизирана стойност</w:t>
      </w:r>
    </w:p>
    <w:p>
      <w:pPr>
        <w:pStyle w:val="DGTextstand-alone"/>
      </w:pPr>
      <w:r>
        <w:t>Ако има обективно доказателство, че е възникнала загуба от обезценка по заеми и вземания или по инвестиции, държани до падеж, които са отчетени по амортизирана стойност, размерът на загубата се оценява като разликата между балансовата стойност на актива и настоящата стойност на очакваните бъдещи парични потоци (като се изключват бъдещите кредитни загуби, които не са възникнали), дисконтирани по първоначалния ефективен лихвен процент на финансовия актив. Балансовата стойност на актива се намалява и стойността на загубата се признава в отчета за финансовия резултат. Ако заем или инвестиция, държана до падеж, има променлив лихвен процент, дисконтовият процент за оценяване на всяка загуба от обезценка е текущият ефективен лихвен процент, определен съгласно договора. Изчисляването на настоящата стойност на очакваните бъдещи парични потоци по обезпечен финансов актив отразява паричните потоци, които могат да произтекат от конфискацията, минус разходите по придобиването и продажбата на обезпечението, без значение дали конфискацията е вероятна или не. Ако в следващ период размерът на загубата от обезценка намалее и намалението може обективно да бъде свързано със събитие, настъпило след като обезценката е била призната, признатата преди това загуба от обезценка се сторнира чрез отчета за финансовия резултат.</w:t>
      </w:r>
    </w:p>
    <w:p>
      <w:pPr>
        <w:pStyle w:val="TextSubtitleItalicnumberinglettera"/>
        <w:numPr>
          <w:ilvl w:val="0"/>
          <w:numId w:val="3"/>
        </w:numPr>
        <w:rPr>
          <w:noProof/>
        </w:rPr>
      </w:pPr>
      <w:r>
        <w:rPr>
          <w:noProof/>
        </w:rPr>
        <w:t>Активи, отчетени по справедлива стойност</w:t>
      </w:r>
    </w:p>
    <w:p>
      <w:pPr>
        <w:pStyle w:val="DGTextstand-alone"/>
      </w:pPr>
      <w:r>
        <w:t>В случай на капиталови инвестиции, класифицирани като финансови активи, обявени за продажба, при определяне на това дали ценните книжа са се обезценили се взема предвид значителният или постоянен (продължителен) спад в справедливата стойност на ценната книга под нейната себестойност. Ако съществува такова доказателство за финансови активи, обявени за продажба, кумулативната загуба — оценявана като разликата между цената на придобиване и текущата справедлива стойност, минус загубите от обезценка по този финансов актив, вече признати в отчета за финансовия резултат — се отстранява от резервите и се признава в отчета за финансовия резултат. Признатите в отчета за финансовия резултат загуби от обезценка на капиталовите инструменти не се сторнират чрез отчета за финансовия резултат. Ако през следващ период справедливата стойност на дългов инструмент, класифициран като финансов актив, обявен за продажба, нарасне и нарастването може обективно да бъде свързано със събитие, настъпило след признаването на загубата от обезценка, загубата от обезценка се сторнира чрез отчета за финансовия резултат.</w:t>
      </w:r>
    </w:p>
    <w:p>
      <w:pPr>
        <w:pStyle w:val="HEADER3NOTES"/>
        <w:rPr>
          <w:noProof/>
        </w:rPr>
      </w:pPr>
      <w:r>
        <w:rPr>
          <w:noProof/>
        </w:rPr>
        <w:t>Материални запаси</w:t>
      </w:r>
    </w:p>
    <w:p>
      <w:pPr>
        <w:pStyle w:val="DGTextstand-alone"/>
        <w:spacing w:after="0"/>
      </w:pPr>
      <w:r>
        <w:t>Материалните запаси се посочват по по-ниската от следните две стойности — себестойността и нетната реализируема стойност. Себестойността се определя посредством метода първа входяща, първа изходяща (FIFO). Себестойността на завършените стоки и на започнатата работа включва суровините, прекия труд, другите разходи, които могат директно да им се припишат, и свързаните с производството режийни разходи (въз основа на обичайния работен капацитет). Нетната реализируема стойност е очакваната продажна цена в нормалния ход на дейността минус разходите по завършване и продажба. Когато материалните запаси са държани за дистрибуция без разход или при номинален разход, те се оценяват по по-ниската от следните две стойности — себестойността и текущата възстановителна стойност. Текущата възстановителна стойност е разходът, който ЕС би направил, за да придобие актива на отчетната дата.</w:t>
      </w:r>
    </w:p>
    <w:p>
      <w:pPr>
        <w:pStyle w:val="HEADER3NOTES"/>
        <w:rPr>
          <w:noProof/>
        </w:rPr>
      </w:pPr>
      <w:r>
        <w:rPr>
          <w:noProof/>
        </w:rPr>
        <w:t>Суми по предварително финансиране</w:t>
      </w:r>
    </w:p>
    <w:p>
      <w:pPr>
        <w:pStyle w:val="DGTextstand-alone"/>
      </w:pPr>
      <w:r>
        <w:t xml:space="preserve">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от време, определен в конкретния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 Ако бенефициерът не направи допустими разходи, той е длъжен да върне авансово предоставената сума на ЕС. Сумата по предварителното финансиране може да бъде намалена (изцяло или частично) с приемането на допустимите разходи (които се признават като разходи). </w:t>
      </w:r>
    </w:p>
    <w:p>
      <w:pPr>
        <w:pStyle w:val="DGTextstand-alone"/>
      </w:pPr>
      <w:r>
        <w:t xml:space="preserve">На следващите дати на счетоводния баланс предварителното финансиране се оценява по стойността, първоначално призната в счетоводния баланс, минус допустимите разходи (включително прогнозните суми, когато е необходимо), направени през периода. </w:t>
      </w:r>
    </w:p>
    <w:p>
      <w:pPr>
        <w:pStyle w:val="DGTextstand-alone"/>
      </w:pPr>
      <w:r>
        <w:t>Лихвата по предварителното финансиране се признава в момента на начисляването ѝ в съответствие с разпоредбите на съответното споразумение. В края на годината се прави приблизителна оценка на начислените приходи от лихви въз основа на най-надеждната информация и тази оценка се включва в счетоводния баланс.</w:t>
      </w:r>
    </w:p>
    <w:p>
      <w:pPr>
        <w:pStyle w:val="DGTextstand-alone"/>
      </w:pPr>
      <w:r>
        <w:t>Другите авансови средства, предоставени на държавите членки, които произхождат от възстановяването от страна на ЕС на суми, платени авансово от държавите членки на техните бенефициери (включително финансовите инструменти под режим споделено управление), се признават като активи и се представят в позицията за предварителното финансиране. Другите авансови средства, предоставени на държавите членки, впоследствие се оценяват по стойността, първоначално призната в счетоводния баланс, минус най-точната оценка на допустимите разходи, направени от крайните бенефициери, изчислена въз основа на разумни предположения, които могат да бъдат подкрепени.</w:t>
      </w:r>
    </w:p>
    <w:p>
      <w:pPr>
        <w:pStyle w:val="DGTextstand-alone"/>
      </w:pPr>
      <w:r>
        <w:t>Средствата, които ЕС отпуска за доверителните фондове на Европейския фонд за развитие или други неконсолидирани субекти, също се класифицират като предварително финансиране, тъй като целта им е да осигурят налични средства на доверителния фонд, за да може той да финансира конкретни действия, които са определени в целите на доверителния фонд. Средствата от ЕС за доверителните фондове се оценяват по първоначалната стойност на финансовия принос на ЕС минус допустимите разходи, включително прогнозните суми, когато е необходимо, направени от доверителния фонд през отчетния период и отнесени към финансовия принос на ЕС съгласно съответното споразумение.</w:t>
      </w:r>
    </w:p>
    <w:p>
      <w:pPr>
        <w:pStyle w:val="HEADER3NOTES"/>
        <w:rPr>
          <w:noProof/>
        </w:rPr>
      </w:pPr>
      <w:r>
        <w:rPr>
          <w:noProof/>
        </w:rPr>
        <w:t>Вземания по операции с размяна и средства, подлежащи на събиране, по операции без размяна</w:t>
      </w:r>
    </w:p>
    <w:p>
      <w:pPr>
        <w:pStyle w:val="DGTextstand-alone"/>
      </w:pPr>
      <w:r>
        <w:t>Тъй като счетоводните правила на ЕС изискват отделно представяне на операциите с размяна и операциите без размяна за целите на изготвянето на отчетите, вземанията се дефинират като произтичащи от операции с размяна, а средствата, подлежащи на събиране, се дефинират като произтичащи от операции без размяна, т.е. когато ЕС получава стойност от друг субект, без да дава директно приблизително същата стойност в замяна (например подлежащите на събиране от държавите членки средства, свързани със собствените ресурси).</w:t>
      </w:r>
    </w:p>
    <w:p>
      <w:pPr>
        <w:pStyle w:val="DGTextstand-alone"/>
      </w:pPr>
      <w:r>
        <w:t>Вземанията от операции с размяна отговарят на определението за финансови инструменти и поради това се класифицират като заеми и вземания и се оценяват по съответния начин (вж. бележка </w:t>
      </w:r>
      <w:r>
        <w:rPr>
          <w:b/>
        </w:rPr>
        <w:t>1.5.5</w:t>
      </w:r>
      <w:r>
        <w:t>). Оповестените данни в бележките за финансовите инструменти във връзка с вземанията от операции с размяна включват начислените приходи и разходите за бъдещи периоди от операции с размяна, тъй като те не са съществени.</w:t>
      </w:r>
    </w:p>
    <w:p>
      <w:pPr>
        <w:pStyle w:val="DGTextstand-alone"/>
        <w:spacing w:after="0"/>
      </w:pPr>
      <w:r>
        <w:t>Средствата, подлежащи на събиране, от операции без размяна се отчитат по първоначална стойност (коригирана с лихвите и глобите) минус намалението за обезценка. Намаление за обезценка на средствата, подлежащи на събиране, от операции без размяна се установява, когато има обективно доказателство, че ЕС няма да може да събере всички дължими суми в съответствие с първоначалните срокове, предвидени за средствата, подлежащи на събиране, от операции без размяна. Размерът на намалението е разликата между балансовата стойност на актива и възстановимата стойност. Стойността на намалението се признава в отчета за финансовия резултат. Прави се и общо намаление, въз основа на опит от миналото, за неизпълнените нареждания за събиране на вземания, които не подлежат на специфично намаление. Вж. бележка </w:t>
      </w:r>
      <w:r>
        <w:rPr>
          <w:b/>
        </w:rPr>
        <w:t>1.5.14</w:t>
      </w:r>
      <w:r>
        <w:t xml:space="preserve"> относно третирането на начислените приходи към края на годината. Сумите, посочени и оповестени като средства, подлежащи на събиране, от операции без размяна, не са финансови инструменти, тъй като не са следствие от договор, който ще доведе до финансово задължение или капиталов инструмент. При все това, когато е целесъобразно, в бележките към финансовите отчети средствата, подлежащи на събиране, от операции без размяна са оповестени заедно с вземанията от операции с размяна.</w:t>
      </w:r>
    </w:p>
    <w:p>
      <w:pPr>
        <w:pStyle w:val="HEADER3NOTES"/>
        <w:rPr>
          <w:noProof/>
        </w:rPr>
      </w:pPr>
      <w:r>
        <w:rPr>
          <w:noProof/>
        </w:rPr>
        <w:t>Пари и парични еквиваленти</w:t>
      </w:r>
    </w:p>
    <w:p>
      <w:pPr>
        <w:pStyle w:val="DGTextstand-alone"/>
      </w:pPr>
      <w:r>
        <w:t>Парите и паричните еквиваленти представляват финансови инструменти и включват парите в брой, депозитите по разплащателни или краткосрочни спестовни сметки в банки и другите краткосрочни високоликвидни инвестиции с първоначален срок от три месеца или под три месеца.</w:t>
      </w:r>
    </w:p>
    <w:p>
      <w:pPr>
        <w:pStyle w:val="HEADER3NOTES"/>
        <w:rPr>
          <w:noProof/>
        </w:rPr>
      </w:pPr>
      <w:r>
        <w:rPr>
          <w:noProof/>
        </w:rPr>
        <w:t>Пенсии и други доходи на наети лица</w:t>
      </w:r>
    </w:p>
    <w:p>
      <w:pPr>
        <w:pStyle w:val="HEADER5"/>
        <w:rPr>
          <w:b/>
          <w:noProof/>
        </w:rPr>
      </w:pPr>
      <w:r>
        <w:rPr>
          <w:noProof/>
        </w:rPr>
        <w:t>Пенсионни задължения</w:t>
      </w:r>
    </w:p>
    <w:p>
      <w:pPr>
        <w:pStyle w:val="DGTextstand-alone"/>
      </w:pPr>
      <w:r>
        <w:t>ЕС управлява пенсионни планове за дефинирани доходи. Докато персоналът участва с вноски от своята заплата за събирането на една трета от очакваната стойност на тези доходи, задължението не се финансира. Задължението, признато в счетоводния баланс по отношение на пенсионните планове за дефинирани доходи, е настоящата стойност на задължението за изплащане на дефинирани доходи към датата на счетоводния баланс минус справедливата стойност на активите, свързани с плана. Задължението за изплащане на дефинирани доходи се изчислява от актюери, като се използва кредитният метод на прогнозираните единици. Настоящата стойност на задължението за изплащане на дефинирани доходи се определя чрез дисконтиране на очакваните бъдещи изходящи парични потоци, като се използват лихвени проценти на държавни облигации във валутата, в която ще се изплащат доходите, и които имат падежни срокове, приблизително отговарящи на сроковете на съответното пенсионно задължение.</w:t>
      </w:r>
    </w:p>
    <w:p>
      <w:pPr>
        <w:pStyle w:val="DGTextstand-alone"/>
      </w:pPr>
      <w:r>
        <w:t>Актюерските печалби и загуби, възникващи от корекции, свързани с опита, и от промени в актюерските предположения, се признават веднага в отчета за финансовия резултат. Разходите за предишен стаж се признават веднага в отчета за финансовия резултат, освен ако промените в пенсионния план са с условието служителите да останат на служба за определен период от време (правопораждащия период). В този случай разходите за предишен стаж се амортизират по линейния метод през правопораждащия период.</w:t>
      </w:r>
    </w:p>
    <w:p>
      <w:pPr>
        <w:pStyle w:val="HEADER5"/>
        <w:rPr>
          <w:b/>
          <w:noProof/>
        </w:rPr>
      </w:pPr>
      <w:r>
        <w:rPr>
          <w:noProof/>
        </w:rPr>
        <w:t>Обезщетения за болест след напускане на работа</w:t>
      </w:r>
    </w:p>
    <w:p>
      <w:pPr>
        <w:pStyle w:val="DGTextstand-alone"/>
      </w:pPr>
      <w:r>
        <w:t>ЕС предоставя обезщетения при болест на своите служители чрез възстановяване на медицинските разходи. За извършване на свързаната с това ежедневна дейност е създаден отделен фонд. От системата се ползват както настоящите служители, така и пенсионерите, вдовците и техните роднини. Доходите, отпускани на „неактивните лица“ (пенсионери, сираци и т.н.), се класифицират като „Доходи на наети лица след напускане на работа“. Поради естеството на тези доходи е необходимо извършването на актюерско изчисление. Задължението в счетоводния баланс се определя на база, подобна на тази за пенсионните задължения (вж. по-горе).</w:t>
      </w:r>
    </w:p>
    <w:p>
      <w:pPr>
        <w:pStyle w:val="HEADER3NOTES"/>
        <w:rPr>
          <w:noProof/>
        </w:rPr>
      </w:pPr>
      <w:r>
        <w:rPr>
          <w:noProof/>
        </w:rPr>
        <w:t>Провизии</w:t>
      </w:r>
    </w:p>
    <w:p>
      <w:pPr>
        <w:pStyle w:val="DGTextstand-alone"/>
      </w:pPr>
      <w:r>
        <w:t>Провизиите се признават, когато ЕС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погасяване на настоящото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pPr>
        <w:pStyle w:val="HEADER3NOTES"/>
        <w:rPr>
          <w:noProof/>
        </w:rPr>
      </w:pPr>
      <w:r>
        <w:rPr>
          <w:noProof/>
        </w:rPr>
        <w:t>Финансови пасиви</w:t>
      </w:r>
    </w:p>
    <w:p>
      <w:pPr>
        <w:pStyle w:val="DGTextstand-alone"/>
      </w:pPr>
      <w:r>
        <w:t>Финансовите пасиви се класифицират като финансови пасиви по справедлива стойност чрез излишъка или дефицита, като финансови пасиви, отчетени по амортизирана стойност, или като задължения по финансови гаранции.</w:t>
      </w:r>
    </w:p>
    <w:p>
      <w:pPr>
        <w:pStyle w:val="DGTextstand-alone"/>
      </w:pPr>
      <w:r>
        <w:t>Получените заеми се състоят от заеми от кредитни институции и дългове, удостоверени със сертификати. Те се признават първоначално по справедлива стойност, която представлява постъпленията от тяхното отпускане (справедливата стойност на полученото възнаграждение) след приспадане на направените трансакционни разходи, а впоследствие се отчитат по амортизирана стойност, като се използва методът на ефективната лихва. Всяка разлика между постъпленията, от които са приспаднати трансакционните разходи, и погасителната стойност се признава в отчета за финансовия резултат през срока на получените заеми, като се използва методът на ефективната лихва. В случай на заеми, отпуснати от заемни средства, методът на ефективната лихва не може да се прилага за отпуснатите заеми и за получените заеми по съображения за същественост. Трансакционните разходи, направени от ЕС и след това начислени на бенефициера на заема, се признават направо в отчета за финансовия резултат.</w:t>
      </w:r>
    </w:p>
    <w:p>
      <w:pPr>
        <w:pStyle w:val="DGTextstand-alone"/>
      </w:pPr>
      <w:r>
        <w:t>Финансовите пасиви, категоризирани по справедлива стойност чрез излишъка или дефицита, включват деривативите с отрицателна справедлива стойност. Те следват същата счетоводна обработка като финансовите активи по справедлива стойност чрез излишъка или дефицита (вж. бележка </w:t>
      </w:r>
      <w:r>
        <w:rPr>
          <w:b/>
        </w:rPr>
        <w:t>1.5.5</w:t>
      </w:r>
      <w:r>
        <w:t xml:space="preserve">). </w:t>
      </w:r>
    </w:p>
    <w:p>
      <w:pPr>
        <w:pStyle w:val="DGTextstand-alone"/>
      </w:pPr>
      <w:r>
        <w:t xml:space="preserve">Задълженията по финансови гаранции първоначално се признават по справедлива стойност, която представлява получената премия. Впоследствие задълженията по финансови гаранции се оценяват по по-високата от следните две стойности — най-добрата прогноза за разходите, които се очаква да бъдат необходими за уреждане на задължението по финансова гаранция, и първоначално признатата стойност минус, когато е уместно, натрупаната амортизация. ЕС признава задължение по финансова гаранция, когато получава възнаграждение за предоставянето на гаранцията, т.е. при пазарни условия, или когато справедливата стойност на гаранцията може да бъде оценена по надежден начин. Ако не съществува активен пазар за пряко еквивалентен договор за гаранция, ЕС оповестява дадената гаранция като условен пасив (вж. бележка </w:t>
      </w:r>
      <w:r>
        <w:rPr>
          <w:b/>
        </w:rPr>
        <w:t>1.7.2</w:t>
      </w:r>
      <w:r>
        <w:t xml:space="preserve">) или — когато е по-вероятно да е необходим изходящ поток от ресурси за уреждане на задължението — ЕС признава провизия (вж. бележка </w:t>
      </w:r>
      <w:r>
        <w:rPr>
          <w:b/>
        </w:rPr>
        <w:t>1.5.11</w:t>
      </w:r>
      <w:r>
        <w:t>).</w:t>
      </w:r>
    </w:p>
    <w:p>
      <w:pPr>
        <w:pStyle w:val="DGTextstand-alone"/>
      </w:pPr>
      <w:r>
        <w:t xml:space="preserve">Финансовите пасиви се класифицират като нетекущи пасиви, освен когато падежът настъпва по-малко от 12 месеца след датата на счетоводния баланс. </w:t>
      </w:r>
    </w:p>
    <w:p>
      <w:pPr>
        <w:pStyle w:val="DGTextstand-alone"/>
      </w:pPr>
      <w:r>
        <w:t>Доверителните фондове на ЕС, които се считат за част от оперативните дейности на Комисията, се отчитат в отчетите на Комисията и след това се консолидират в годишните отчети на ЕС. По тази причина средствата от други донори, предназначени за доверителните фондове на ЕС, отговарят при определени условия на критериите за приходи от операции без размяна и се представят като финансови задължения, докато условията, свързани с прехвърляните средства, бъдат изпълнени, т.е. докато доверителният фонд извърши допустими разходи. Доверителният фонд трябва да финансира конкретни проекти и да върне оставащите средства при приключването на дейността си. Към датата на счетоводния баланс задълженията по оставащите вноски се оценяват по стойността на получените вноски минус разходите, направени от доверителния фонд, включително прогнозните суми, когато е необходимо. За целите на отчитането нетните разходи се отнасят към вноските на други донори пропорционално на стойността на платените нетни вноски към 31 декември. Това отнасяне на вноските е само ориентировъчно. Когато дейността на доверителния фонд бъде прекратена, реалното разпределение на оставащите средства ще бъде определено от управителния съвет на доверителния фонд.</w:t>
      </w:r>
    </w:p>
    <w:p>
      <w:pPr>
        <w:pStyle w:val="HEADER3NOTES"/>
        <w:rPr>
          <w:noProof/>
        </w:rPr>
      </w:pPr>
      <w:r>
        <w:rPr>
          <w:noProof/>
        </w:rPr>
        <w:t>Задължения</w:t>
      </w:r>
    </w:p>
    <w:p>
      <w:pPr>
        <w:pStyle w:val="DGTextstand-alone"/>
      </w:pPr>
      <w:r>
        <w:t>Значителна част от задълженията на ЕС представляват неплатени декларации за направени разходи от бенефициери на безвъзмездни средства или на друго финансиране от ЕС (операции без размяна). Те се записват като задължения в размер на исканата сума при получаване на декларацията за разходи. След проверка и приемане на допустимите разходи задълженията се оценяват по приетата и допустима стойност.</w:t>
      </w:r>
    </w:p>
    <w:p>
      <w:pPr>
        <w:pStyle w:val="DGTextstand-alone"/>
      </w:pPr>
      <w:r>
        <w:t>Задълженията, възникващи от закупуването на стоки и услуги, се признават при получаването на фактурата за първоначалната сума и съответните разходи се вписват в сметките, когато доставките или услугите бъдат извършени и приети от ЕС.</w:t>
      </w:r>
    </w:p>
    <w:p>
      <w:pPr>
        <w:pStyle w:val="HEADER3NOTES"/>
        <w:keepNext/>
        <w:rPr>
          <w:noProof/>
        </w:rPr>
      </w:pPr>
      <w:r>
        <w:rPr>
          <w:noProof/>
        </w:rPr>
        <w:t>Начислени приходи и разходи и приходи и разходи за бъдещи периоди</w:t>
      </w:r>
    </w:p>
    <w:p>
      <w:pPr>
        <w:pStyle w:val="DGTextstand-alone"/>
      </w:pPr>
      <w:r>
        <w:t>Операциите и събитията се признават във финансовите отчети през периода, за който се отнасят. В края на годината, ако все още не е издадена фактура, но услугата е предоставена, доставките са извършени от ЕС или съществува договорно споразумение (напр. чрез позоваване на договор),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p>
    <w:p>
      <w:pPr>
        <w:pStyle w:val="DGTextstand-alone"/>
      </w:pPr>
      <w:r>
        <w:t>Разходите също се отчитат през периода, за който се отнасят. В края на отчетния период начислените разходи се признават въз основа на очакван размер на задължението за прехвърляне за периода. Изчисляването на начислените разходи се прави в съответствие с подробни оперативни и практически насоки, издадени от Комисията и насочени към гарантиране на това, че финансовите отчети дават вярна представа за икономическите и другите явления, които се предполага, че представляват. Аналогично, ако е направено предварително плащане за услуги или стоки, които все още не са получени, разходът се отсрочва и се признава през следващия отчетен период.</w:t>
      </w:r>
    </w:p>
    <w:p>
      <w:pPr>
        <w:pStyle w:val="HEADER2NOTES"/>
        <w:rPr>
          <w:noProof/>
        </w:rPr>
      </w:pPr>
      <w:r>
        <w:rPr>
          <w:noProof/>
        </w:rPr>
        <w:t>ОТЧЕТ ЗА ФИНАНСОВИЯ РЕЗУЛТАТ</w:t>
      </w:r>
    </w:p>
    <w:p>
      <w:pPr>
        <w:pStyle w:val="HEADER3NOTES"/>
        <w:rPr>
          <w:noProof/>
        </w:rPr>
      </w:pPr>
      <w:r>
        <w:rPr>
          <w:noProof/>
        </w:rPr>
        <w:t>Приходи</w:t>
      </w:r>
    </w:p>
    <w:p>
      <w:pPr>
        <w:pStyle w:val="HEADER5"/>
        <w:rPr>
          <w:b/>
          <w:noProof/>
        </w:rPr>
      </w:pPr>
      <w:r>
        <w:rPr>
          <w:noProof/>
        </w:rPr>
        <w:t>ПРИХОДИ ОТ ОПЕРАЦИИ БЕЗ РАЗМЯНА</w:t>
      </w:r>
    </w:p>
    <w:p>
      <w:pPr>
        <w:pStyle w:val="DGTextstand-alone"/>
      </w:pPr>
      <w:r>
        <w:t>По-голямата част от приходите на ЕС са от операции без размяна:</w:t>
      </w:r>
    </w:p>
    <w:p>
      <w:pPr>
        <w:pStyle w:val="HEADER5"/>
        <w:rPr>
          <w:b/>
          <w:noProof/>
        </w:rPr>
      </w:pPr>
      <w:r>
        <w:rPr>
          <w:noProof/>
        </w:rPr>
        <w:t>Ресурси на база БНД и ресурси от ДДС</w:t>
      </w:r>
    </w:p>
    <w:p>
      <w:pPr>
        <w:pStyle w:val="DGTextstand-alone"/>
      </w:pPr>
      <w:r>
        <w:t>Приходите се признават за периода, за който Комисията изпрати покана за внасяне на средства до държавите членки, с която изисква те да внесат своята вноска. Те се оценяват по своя „поискан размер“. Тъй като ресурсите от ДДС и от БНД се основават на приблизителни оценки на данните за съответната бюджетна година, те могат да бъдат променяни при настъпването на промени до публикуването на окончателните данни от държавите членки. Резултатът от промяна на приблизителна оценка се включва при определянето на нетния излишък или дефицит за периода, през който е настъпила промяната.</w:t>
      </w:r>
    </w:p>
    <w:p>
      <w:pPr>
        <w:pStyle w:val="HEADER5"/>
        <w:rPr>
          <w:b/>
          <w:noProof/>
        </w:rPr>
      </w:pPr>
      <w:r>
        <w:rPr>
          <w:noProof/>
        </w:rPr>
        <w:t>Традиционни собствени ресурси</w:t>
      </w:r>
    </w:p>
    <w:p>
      <w:pPr>
        <w:pStyle w:val="DGTextstand-alone"/>
      </w:pPr>
      <w:r>
        <w:t>Средствата, подлежащи на събиране, от операции без размяна и свързаните с тях приходи се признават, когато бъдат получени изпратените от държавите членки съответни месечни отчети „A“ (включително събраните мита и дължимите суми, които са обезпечени и не са оспорени). Към отчетната дата събраните от държавите членки приходи за периода, които все още не са платени на Комисията, се оценяват и признават като начислени приходи. Тримесечните отчети „Б“ (включително митата, които не са събрани и не са обезпечени, както и обезпечените суми, които са оспорени от длъжника), получени от държавите членки, се признават като приход, като от тях се изваждат разходите по събирането, на които държавите имат право. Освен това се признава намаление на стойността в размер на очакваните несъбрани суми.</w:t>
      </w:r>
    </w:p>
    <w:p>
      <w:pPr>
        <w:pStyle w:val="HEADER5"/>
        <w:rPr>
          <w:b/>
          <w:noProof/>
        </w:rPr>
      </w:pPr>
      <w:r>
        <w:rPr>
          <w:noProof/>
        </w:rPr>
        <w:t>Глоби</w:t>
      </w:r>
    </w:p>
    <w:p>
      <w:pPr>
        <w:pStyle w:val="DGTextstand-alone"/>
      </w:pPr>
      <w:r>
        <w:t>Приходите от глоби се признават, когато решението на ЕС за налагане на глоба бъде взето и адресатът бъде официално уведомен за него. Ако има съмнения по отношение на платежоспособността на предприятието, се признава намаление на стойността на вземането. След решението за налагане на глоба длъжниците разполагат с два месеца от датата на уведомлението:</w:t>
      </w:r>
    </w:p>
    <w:p>
      <w:pPr>
        <w:pStyle w:val="DGTextstand-alone"/>
        <w:numPr>
          <w:ilvl w:val="0"/>
          <w:numId w:val="25"/>
        </w:numPr>
      </w:pPr>
      <w:r>
        <w:t>или да приемат решението, в който случай те трябва да платят глобата в посочения срок и сумата се събира от ЕС окончателно;</w:t>
      </w:r>
    </w:p>
    <w:p>
      <w:pPr>
        <w:pStyle w:val="DGTextstand-alone"/>
        <w:numPr>
          <w:ilvl w:val="0"/>
          <w:numId w:val="25"/>
        </w:numPr>
      </w:pPr>
      <w:r>
        <w:t xml:space="preserve">или да не приемат решението, в който случай го обжалват в съответствие със законодателството на ЕС. </w:t>
      </w:r>
    </w:p>
    <w:p>
      <w:pPr>
        <w:pStyle w:val="DGTextstand-alone"/>
      </w:pPr>
      <w:r>
        <w:t>При все това, дори и решението да бъде обжалвано, глобата трябва да бъде платена в определения тримесечен срок, тъй като обжалването няма суспензивно действие (член 278 от Договора за ЕС), или, при определени обстоятелства и със съгласието на счетоводителя на Комисията, вместо това длъжникът може да представи банкова гаранция за сумата.</w:t>
      </w:r>
    </w:p>
    <w:p>
      <w:pPr>
        <w:pStyle w:val="DGTextstand-alone"/>
      </w:pPr>
      <w:r>
        <w:t>Ако предприятието обжалва решението и вече е платило глобата условно, сумата се записва като условeн пасив. Въпреки това, тъй като обжалването на решение на ЕС от адресата няма суспензивно действие, получените парични средства се използват за изчистване на подлежащата на събиране сума. Ако вместо плащане бъде получена гаранция, глобата остава като сума, която подлежи на събиране. Ако изглежда вероятно, че Общият съд може да не се произнесе в полза на ЕС, се признава провизия за покриване на този риск. Ако вместо това е предоставена гаранция, сумата, която подлежи на събиране, се намалява в необходимата степен. Натрупаната лихва, получена от Комисията по банковите сметки, в които се депозират получаваните плащания, се признава като приход и всеки условен пасив се увеличава в съответната степен.</w:t>
      </w:r>
    </w:p>
    <w:p>
      <w:pPr>
        <w:pStyle w:val="DGTextstand-alone"/>
      </w:pPr>
      <w:r>
        <w:t>От 2010 г. всички условно платени глоби се управляват от Комисията в специално създаден за целта фонд (BUFI) и се инвестират във финансови инструменти.</w:t>
      </w:r>
    </w:p>
    <w:p>
      <w:pPr>
        <w:pStyle w:val="HEADER5"/>
        <w:rPr>
          <w:b/>
          <w:noProof/>
        </w:rPr>
      </w:pPr>
      <w:r>
        <w:rPr>
          <w:noProof/>
        </w:rPr>
        <w:t>ПРИХОДИ ОТ ОПЕРАЦИИ С РАЗМЯНА</w:t>
      </w:r>
    </w:p>
    <w:p>
      <w:pPr>
        <w:pStyle w:val="DGTextstand-alone"/>
      </w:pPr>
      <w:r>
        <w:t>Приходите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със сделка, включваща предоставянето на услуги, се признават в зависимост от етапа на завършеност на сделката към отчетната дата.</w:t>
      </w:r>
    </w:p>
    <w:p>
      <w:pPr>
        <w:pStyle w:val="HEADER5"/>
        <w:rPr>
          <w:b/>
          <w:noProof/>
        </w:rPr>
      </w:pPr>
      <w:r>
        <w:rPr>
          <w:noProof/>
        </w:rPr>
        <w:t>Приходи и разходи от лихви</w:t>
      </w:r>
    </w:p>
    <w:p>
      <w:pPr>
        <w:pStyle w:val="DGTextstand-alone"/>
      </w:pPr>
      <w:r>
        <w:t>Приходите и разходите от лихви се признават в отчета за финансовия резултат посредством метода на ефективната лихва. Това е метод за изчисляване на амортизираната стойност на финансов актив или пасив и за разпределяне на лихвените приходи или разходи през съответния период. При изчисляване на ефективния лихвен процент ЕС оценява приблизително паричните потоци, като взема предвид всички договорни условия на финансовия инструмент (например възможностите за предплащане), но не взема предвид бъдещите кредитни загуби. Изчислението включва всички такси и пунктове, платени или получени между страните по договора, които са неразделна част от ефективния лихвен процент, от трансакционните разходи и от всички други премии или намаления.</w:t>
      </w:r>
    </w:p>
    <w:p>
      <w:pPr>
        <w:pStyle w:val="DGTextstand-alone"/>
      </w:pPr>
      <w:r>
        <w:t>Когато даден финансов актив или група от подобни финансови активи бъдат намалени в резултат на загуба от обезценка, приходите от лихви се признават посредством лихвения процент, използван за дисконтиране на бъдещите парични потоци за целите на оценяването на загубата от обезценка.</w:t>
      </w:r>
    </w:p>
    <w:p>
      <w:pPr>
        <w:pStyle w:val="HEADER5"/>
        <w:rPr>
          <w:b/>
          <w:noProof/>
        </w:rPr>
      </w:pPr>
      <w:r>
        <w:rPr>
          <w:noProof/>
        </w:rPr>
        <w:t>Приходи от дивиденти</w:t>
      </w:r>
    </w:p>
    <w:p>
      <w:pPr>
        <w:pStyle w:val="DGTextstand-alone"/>
      </w:pPr>
      <w:r>
        <w:t>Приходите от дивиденти и от сходни доходи се признават, когато бъде установено правото за получаване на плащането.</w:t>
      </w:r>
    </w:p>
    <w:p>
      <w:pPr>
        <w:pStyle w:val="HEADER3NOTES"/>
        <w:rPr>
          <w:noProof/>
        </w:rPr>
      </w:pPr>
      <w:r>
        <w:rPr>
          <w:noProof/>
        </w:rPr>
        <w:t>Разходи</w:t>
      </w:r>
    </w:p>
    <w:p>
      <w:pPr>
        <w:pStyle w:val="DGTextstand-alone"/>
      </w:pPr>
      <w:r>
        <w:t>Разходите от операции без размяна представляват основната част от разходите на ЕС. Те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w:t>
      </w:r>
    </w:p>
    <w:p>
      <w:pPr>
        <w:pStyle w:val="DGTextstand-alone"/>
      </w:pPr>
      <w:r>
        <w:t>Трансферите се признават като разходи през периода, през който са настъпили събитията, пораждащи трансфера, при условие че естеството на трансфера се допуска от нормативната уредба (Финансовия регламент, Правилника за персонала или друг регламент) или е подписано споразумение, разрешаващо трансфера; бенефициерът е изпълнил всички критерии за допустимост; и може да бъде направена разумна оценка на сумата.</w:t>
      </w:r>
    </w:p>
    <w:p>
      <w:pPr>
        <w:pStyle w:val="DGTextstand-alone"/>
      </w:pPr>
      <w:r>
        <w:t>Когато бъде получено искане за плащане или декларация за направени разходи, които изпълняват критериите за признаване, те се признават като разход в размер на допустимата сума. В края на годината направените допустими разходи, които се дължат на бенефициерите, но които все още не са съобщени, се оценяват и записват като начислени разходи.</w:t>
      </w:r>
    </w:p>
    <w:p>
      <w:pPr>
        <w:pStyle w:val="DGTextstand-alone"/>
      </w:pPr>
      <w:r>
        <w:t>Разходите от операции с размяна, възникващи от закупуването на стоки и услуги, се признават, когато доставките бъдат извършени и приети от ЕС. Те се оценяват по първоначална фактурна стойност. Освен това към датата на счетоводния баланс разходите, свързани с предоставяната услуга през периода, за който все още не е получена или приета фактура, се оценяват приблизително и се признават в отчета за финансовия резултат.</w:t>
      </w:r>
    </w:p>
    <w:p>
      <w:pPr>
        <w:pStyle w:val="HEADER2NOTES"/>
        <w:keepNext/>
        <w:rPr>
          <w:noProof/>
        </w:rPr>
      </w:pPr>
      <w:r>
        <w:rPr>
          <w:noProof/>
        </w:rPr>
        <w:t>УСЛОВНИ АКТИВИ И ПАСИВИ</w:t>
      </w:r>
    </w:p>
    <w:p>
      <w:pPr>
        <w:pStyle w:val="HEADER3NOTES"/>
        <w:keepNext/>
        <w:rPr>
          <w:noProof/>
        </w:rPr>
      </w:pPr>
      <w:r>
        <w:rPr>
          <w:noProof/>
        </w:rPr>
        <w:t>Условни активи</w:t>
      </w:r>
    </w:p>
    <w:p>
      <w:pPr>
        <w:pStyle w:val="DGTextstand-alone"/>
      </w:pPr>
      <w: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ЕС. Условен актив се оповестява, когато е вероятна появата на входящ поток от икономически ползи или на потенциал за предоставяне на услуга.</w:t>
      </w:r>
    </w:p>
    <w:p>
      <w:pPr>
        <w:pStyle w:val="HEADER3NOTES"/>
        <w:rPr>
          <w:noProof/>
        </w:rPr>
      </w:pPr>
      <w:r>
        <w:rPr>
          <w:noProof/>
        </w:rPr>
        <w:t>Условни пасиви</w:t>
      </w:r>
    </w:p>
    <w:p>
      <w:pPr>
        <w:pStyle w:val="DGTextstand-alone"/>
      </w:pPr>
      <w:r>
        <w:t>Условен пасив е възможно задължение, което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ЕС; или настоящо задължение, което възниква от минали събития, но не е признато, тъй като: не е вероятно да бъде необходим изходящ поток от ресурси, съдържащи икономически ползи или потенциал за предоставяне на услуга, за уреждане на задължението или в редките случаи, когато размерът на задължението не може да бъде оценен достатъчно надеждно.</w:t>
      </w:r>
    </w:p>
    <w:p>
      <w:pPr>
        <w:pStyle w:val="HEADER2NOTES"/>
        <w:rPr>
          <w:noProof/>
        </w:rPr>
      </w:pPr>
      <w:r>
        <w:rPr>
          <w:noProof/>
        </w:rPr>
        <w:t>ОТЧЕТ ЗА ПАРИЧНИТЕ ПОТОЦИ</w:t>
      </w:r>
    </w:p>
    <w:p>
      <w:pPr>
        <w:pStyle w:val="DGTextstand-alone"/>
      </w:pPr>
      <w:r>
        <w:t>Информацията за паричните потоци се използва, за да се осигури база за оценка на способността на ЕС да генерира пари и парични еквиваленти и нуждите му, свързани с използването на тези парични потоци.</w:t>
      </w:r>
    </w:p>
    <w:p>
      <w:pPr>
        <w:pStyle w:val="DGTextstand-alone"/>
      </w:pPr>
      <w:r>
        <w:t>При изготвянето на отчета за паричните потоци се използва косвеният метод. Това означава, че финансовият резултат за финансовата година се коригира с ефекта от операциите, извършвани по безналичен начин, отсрочените или начислените минали или бъдещи оперативни касови приходи или плащания и приходите или разходите, свързани с инвестирането на парични потоци.</w:t>
      </w:r>
    </w:p>
    <w:p>
      <w:pPr>
        <w:pStyle w:val="DGTextstand-alone"/>
      </w:pPr>
      <w:r>
        <w:t>Паричните потоци, произтичащи от операции в чуждестранна валута, се отчитат във валутата, използвана за счетоводството на ЕС (евро), като към сумата в чуждестранна валута се прилага обменният курс на еврото към чуждестранната валута към датата на паричния поток.</w:t>
      </w:r>
    </w:p>
    <w:p>
      <w:pPr>
        <w:pStyle w:val="DGTextstand-alone"/>
      </w:pPr>
      <w:r>
        <w:t>Отчетът за паричните потоци съдържа паричните потоци през периода, класифицирани по оперативни и инвестиционни дейности (ЕС не извършва дейности по финансиране).</w:t>
      </w:r>
    </w:p>
    <w:p>
      <w:pPr>
        <w:pStyle w:val="DGTextstand-alone"/>
      </w:pPr>
      <w:r>
        <w:t xml:space="preserve">Оперативни дейности са дейностите на ЕС, които не са инвестиционни дейности. Това са по-голямата част от извършваните дейности. Заемите, отпуснати на бенефициери (и когато е приложимо, свързаните с тях получени заеми), не се считат за инвестиционни дейности (или дейности по финансиране), тъй като са част от общите цели и следователно са ежедневни операции на ЕС. </w:t>
      </w:r>
    </w:p>
    <w:p>
      <w:pPr>
        <w:pStyle w:val="DGTextstand-alone"/>
      </w:pPr>
      <w:r>
        <w:t>Инвестиционни дейности са придобиването на нематериални активи и имоти, машини и съоръжения и други инвестиции, които не са включени в паричните еквиваленти, и освобождаването от тях. Инвестиционните дейности не включват заемите, отпуснати на бенефициери. Целта е да бъдат показани реалните инвестиции на ЕС.</w:t>
      </w:r>
    </w:p>
    <w:p>
      <w:pPr>
        <w:pStyle w:val="DGTextstand-alone"/>
        <w:sectPr>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1134" w:right="1134" w:bottom="1134" w:left="1134" w:header="709" w:footer="709" w:gutter="0"/>
          <w:cols w:space="708"/>
          <w:docGrid w:linePitch="360"/>
        </w:sectPr>
      </w:pPr>
      <w:r>
        <w:t xml:space="preserve"> </w:t>
      </w:r>
      <w:bookmarkEnd w:id="43"/>
    </w:p>
    <w:p>
      <w:pPr>
        <w:pStyle w:val="HEADER1NOTES"/>
        <w:spacing w:after="120"/>
        <w:rPr>
          <w:noProof/>
        </w:rPr>
      </w:pPr>
      <w:bookmarkStart w:id="46" w:name="_Toc517433955"/>
      <w:bookmarkStart w:id="47" w:name="_Toc522890238"/>
      <w:bookmarkStart w:id="48" w:name="_DMBM_11329"/>
      <w:r>
        <w:rPr>
          <w:noProof/>
        </w:rPr>
        <w:t>БЕЛЕЖКИ КЪМ СЧЕТОВОДНИЯ БАЛАНС</w:t>
      </w:r>
      <w:bookmarkEnd w:id="46"/>
      <w:bookmarkEnd w:id="47"/>
    </w:p>
    <w:p>
      <w:pPr>
        <w:pStyle w:val="Textstand-alone"/>
        <w:spacing w:before="0"/>
        <w:sectPr>
          <w:headerReference w:type="even" r:id="rId117"/>
          <w:headerReference w:type="default" r:id="rId118"/>
          <w:footerReference w:type="even" r:id="rId119"/>
          <w:footerReference w:type="default" r:id="rId120"/>
          <w:headerReference w:type="first" r:id="rId121"/>
          <w:footerReference w:type="first" r:id="rId122"/>
          <w:pgSz w:w="11906" w:h="16838"/>
          <w:pgMar w:top="1134" w:right="1134" w:bottom="1134" w:left="1134" w:header="709" w:footer="709" w:gutter="0"/>
          <w:cols w:space="708"/>
          <w:docGrid w:linePitch="360"/>
        </w:sectPr>
      </w:pPr>
      <w:r>
        <w:t xml:space="preserve"> </w:t>
      </w:r>
      <w:bookmarkEnd w:id="48"/>
    </w:p>
    <w:p>
      <w:pPr>
        <w:pStyle w:val="HEADERTABLE"/>
        <w:spacing w:after="0"/>
        <w:rPr>
          <w:noProof/>
        </w:rPr>
      </w:pPr>
      <w:bookmarkStart w:id="49" w:name="_DMBM_11278"/>
      <w:r>
        <w:rPr>
          <w:noProof/>
        </w:rPr>
        <w:t>АКТИВИ</w:t>
      </w:r>
    </w:p>
    <w:p>
      <w:pPr>
        <w:pStyle w:val="Textstand-alone"/>
        <w:spacing w:before="0" w:after="0"/>
        <w:sectPr>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1134" w:right="1134" w:bottom="1134" w:left="1134" w:header="709" w:footer="709" w:gutter="0"/>
          <w:cols w:space="708"/>
          <w:docGrid w:linePitch="360"/>
        </w:sectPr>
      </w:pPr>
      <w:r>
        <w:t xml:space="preserve"> </w:t>
      </w:r>
      <w:bookmarkEnd w:id="49"/>
    </w:p>
    <w:p>
      <w:pPr>
        <w:pStyle w:val="HEADER2NOTES"/>
        <w:spacing w:before="240" w:after="240"/>
        <w:rPr>
          <w:noProof/>
        </w:rPr>
      </w:pPr>
      <w:bookmarkStart w:id="50" w:name="_DMBM_11277"/>
      <w:r>
        <w:rPr>
          <w:noProof/>
        </w:rPr>
        <w:t>НЕМАТЕРИАЛНИ АКТИВИ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1" w:name="DOC_TBL00007_1_1"/>
            <w:bookmarkEnd w:id="51"/>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милиони евро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Брутна балансова стойност към 31.12.2016 г.</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Новопридобити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Намаления на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Трансфер между категориите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промени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Брутна балансова стойност към 31.12.2017 г.</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Натрупана амортизация към 31.12.2016 г.</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Амортизационен разход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Отменена амортизация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Намаления на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Трансфер между категориите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промени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Натрупана амортизация към 31.12.2017 г.</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(535)</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eastAsia="Verdana" w:cs="Verdana"/>
              </w:rPr>
            </w:pPr>
            <w:r>
              <w:t>Нетна балансова стойност към 31.12.2017 г.</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405</w:t>
            </w:r>
          </w:p>
        </w:tc>
      </w:tr>
      <w:tr>
        <w:tc>
          <w:tcPr>
            <w:tcW w:w="7621" w:type="dxa"/>
            <w:tcBorders>
              <w:top w:val="single" w:sz="4" w:space="0" w:color="FFFFFF"/>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Нетна балансова стойност към 31.12.2016 г.</w:t>
            </w:r>
          </w:p>
        </w:tc>
        <w:tc>
          <w:tcPr>
            <w:tcW w:w="2126" w:type="dxa"/>
            <w:tcBorders>
              <w:top w:val="single" w:sz="4" w:space="0" w:color="FFFFFF"/>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381</w:t>
            </w:r>
          </w:p>
        </w:tc>
      </w:tr>
    </w:tbl>
    <w:p>
      <w:pPr>
        <w:pStyle w:val="Textstand-alone"/>
        <w:spacing w:after="0"/>
      </w:pPr>
      <w:r>
        <w:t xml:space="preserve">Сумите по-горе се отнасят предимно до компютърния софтуер. </w:t>
      </w:r>
    </w:p>
    <w:bookmarkEnd w:id="50"/>
    <w:p>
      <w:pPr>
        <w:pStyle w:val="Textstand-alone"/>
        <w:spacing w:before="0" w:after="0"/>
        <w:sectPr>
          <w:headerReference w:type="even" r:id="rId129"/>
          <w:headerReference w:type="default" r:id="rId130"/>
          <w:footerReference w:type="even" r:id="rId131"/>
          <w:footerReference w:type="default" r:id="rId132"/>
          <w:headerReference w:type="first" r:id="rId133"/>
          <w:footerReference w:type="first" r:id="rId134"/>
          <w:type w:val="continuous"/>
          <w:pgSz w:w="11906" w:h="16838"/>
          <w:pgMar w:top="1134" w:right="1134" w:bottom="1134" w:left="1134" w:header="709" w:footer="709" w:gutter="0"/>
          <w:cols w:space="708"/>
          <w:docGrid w:linePitch="360"/>
        </w:sectPr>
      </w:pPr>
    </w:p>
    <w:p>
      <w:pPr>
        <w:pStyle w:val="HEADER2NOTES"/>
        <w:spacing w:before="240" w:after="240"/>
        <w:rPr>
          <w:noProof/>
        </w:rPr>
      </w:pPr>
      <w:bookmarkStart w:id="52" w:name="_DMBM_11342"/>
      <w:r>
        <w:rPr>
          <w:noProof/>
        </w:rPr>
        <w:t>ИМОТИ, МАШИНИ И СЪОРЪЖЕНИЯ</w:t>
      </w:r>
    </w:p>
    <w:p>
      <w:pPr>
        <w:pStyle w:val="Textstand-alone"/>
      </w:pPr>
      <w:bookmarkStart w:id="53" w:name="DOC_TBL00001_1_1_1"/>
      <w:bookmarkEnd w:id="53"/>
      <w:r>
        <w:t>Категорията на космическите активи обхваща оперативните дълготрайни активи, свързани с двете космически програми на ЕС: Глобалната навигационна спътникова система (ГНСС), т.е. „Галилео“ и EGNOS, и европейската програма за наблюдение на Земята „Коперник“, докато активите на космическите системи, които все още не са в действие, са включени в позицията за активите в процес на изграждане.</w:t>
      </w:r>
    </w:p>
    <w:p>
      <w:pPr>
        <w:pStyle w:val="Textstand-alone"/>
      </w:pPr>
      <w:r>
        <w:t>Що се отнася до „Галилео“, през 2017 г. към оперативната мрежа бяха добавени четири нови спътника, с което общият брой на спътниците в мрежата достигна 18. След приспадане на амортизацията оперативните дълготрайни активи на „Галилео“ бяха на стойност 2 276 милиона евро към 31 декември 2016 г. (2016 г.: 2 146 милиона евро). Оставащите активи в процес на изграждане, чиято обща стойност е 1 026 милиона евро (2016 г.: 756 милиона евро), включват четирите спътника, изстреляни през декември 2017 г., за които изпитванията в орбита все още не бяха приключили към датата на счетоводния баланс. Разработването на системата „Галилео“ ще продължи, докато системата достигне пълния си оперативен капацитет. В завършен вид мрежата на „Галилео“ ще се състои от 24 оперативни спътника и 6 резервни спътника.</w:t>
      </w:r>
    </w:p>
    <w:p>
      <w:pPr>
        <w:pStyle w:val="Textstand-alone"/>
        <w:rPr>
          <w:spacing w:val="-6"/>
        </w:rPr>
      </w:pPr>
      <w:r>
        <w:rPr>
          <w:spacing w:val="-6"/>
        </w:rPr>
        <w:t>Що се отнася до „Коперник“, през 2017 г. бе пуснат в експлоатация нов спътник (Sentinel 2В), в допълнение към други четири оперативни спътника на „Коперник“, с което общата стойност на оперативните дълготрайни активи на „Коперник“ нарасна на 1 140 милиона евро (2016 г.: 1 073 милиона евро) след приспадане на натрупаната амортизация. Други 1 443 милиона евро, свързани със спътниците на „Коперник“, са признати като активи в процес на изграждане (2016 г.: 1 133 милиона евро).</w:t>
      </w:r>
    </w:p>
    <w:p>
      <w:pPr>
        <w:pStyle w:val="Textstand-alone"/>
      </w:pPr>
      <w:r>
        <w:t>Дълготрайни активи, свързани с наземната инфраструктура на Европейската геостационарна служба за навигационно покритие (EGNOS), на стойност 67 милиона евро (2016 г.: 83 милиона евро) също са включени в позицията за космически активи. Освен това активите на EGNOS, които са в процес на изграждане, възлизат на 52 милиона евро (2016 г.: 21 милиона евро).</w:t>
      </w:r>
    </w:p>
    <w:p>
      <w:pPr>
        <w:pStyle w:val="Textstand-alone"/>
      </w:pPr>
      <w:r>
        <w:t xml:space="preserve">Активите, свързани с космическите програми на ЕС, се изграждат с помощта на Европейската космическа агенция (ЕКА). </w:t>
      </w:r>
    </w:p>
    <w:p>
      <w:pPr>
        <w:pStyle w:val="Textstand-alone"/>
        <w:sectPr>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1134" w:right="1134" w:bottom="1134" w:left="1134" w:header="709" w:footer="709" w:gutter="0"/>
          <w:cols w:space="708"/>
          <w:docGrid w:linePitch="360"/>
        </w:sectPr>
      </w:pPr>
      <w:r>
        <w:t xml:space="preserve"> </w:t>
      </w:r>
      <w:bookmarkEnd w:id="52"/>
    </w:p>
    <w:p>
      <w:pPr>
        <w:pStyle w:val="HEADERTABLE"/>
        <w:rPr>
          <w:noProof/>
        </w:rPr>
      </w:pPr>
      <w:bookmarkStart w:id="54" w:name="_DMBM_11270"/>
      <w:r>
        <w:rPr>
          <w:noProof/>
        </w:rPr>
        <w:t>Имоти, машини и съоръжения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134"/>
        <w:gridCol w:w="992"/>
        <w:gridCol w:w="1134"/>
        <w:gridCol w:w="1418"/>
        <w:gridCol w:w="1134"/>
      </w:tblGrid>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55" w:name="DOC_TBL00008_1_1"/>
            <w:bookmarkEnd w:id="55"/>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Земя и сгради</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Космически активи</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Машини и съоръжения</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Обзавеждане и превозни средства</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Компютърен хардуер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Други</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Финансови лизинги</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 xml:space="preserve"> Активи в процес на изграждане</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Общо</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Брутна балансова стойност към 31.12.2016 г.</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5 297</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3 603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658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2 783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15 783</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Новопридобити активи</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1 417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1 630</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Намаления на активи</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(119)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Трансфер между категориите активи</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Други промени</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(14)</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Брутна балансова стойност към 31.12.2017 г.</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5 456</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4 264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597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266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675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309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2 787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2 920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17 273</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Натрупана амортизация към 31.12.2016 г.</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(2 865)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(301)</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(474)</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(186)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(535)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(203)</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(1 150)</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(5 715)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Амортизационен разход за годината</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(917)</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Отменена амортизация</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Намаления на активи</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78</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Трансфер между категориите активи</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Други промени</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Натрупана амортизация към 31.12.2017 г.</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(3 035)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(780)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(502)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(188)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(553)</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(226)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(1 244)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(6 528)</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НЕТНА БАЛАНСОВА СТОЙНОСТ КЪМ 31.12.2017 г.</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2 422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3 484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95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78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83</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1 543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2 920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10 745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НЕТНА БАЛАНСОВА СТОЙНОСТ КЪМ 31.12.2016 г.</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2 432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3 302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10 068</w:t>
            </w:r>
          </w:p>
        </w:tc>
      </w:tr>
    </w:tbl>
    <w:p>
      <w:pPr>
        <w:pStyle w:val="HEADERTABLE"/>
        <w:rPr>
          <w:noProof/>
        </w:rPr>
        <w:sectPr>
          <w:headerReference w:type="even" r:id="rId141"/>
          <w:headerReference w:type="default" r:id="rId142"/>
          <w:footerReference w:type="even" r:id="rId143"/>
          <w:footerReference w:type="default" r:id="rId144"/>
          <w:headerReference w:type="first" r:id="rId145"/>
          <w:footerReference w:type="first" r:id="rId146"/>
          <w:pgSz w:w="16838" w:h="11906" w:orient="landscape"/>
          <w:pgMar w:top="1134" w:right="1134" w:bottom="1134" w:left="1134" w:header="708" w:footer="708" w:gutter="0"/>
          <w:cols w:space="708"/>
          <w:docGrid w:linePitch="360"/>
        </w:sectPr>
      </w:pPr>
      <w:r>
        <w:rPr>
          <w:noProof/>
        </w:rPr>
        <w:t xml:space="preserve"> </w:t>
      </w:r>
      <w:bookmarkEnd w:id="54"/>
    </w:p>
    <w:p>
      <w:pPr>
        <w:pStyle w:val="HEADER2NOTES"/>
        <w:rPr>
          <w:noProof/>
        </w:rPr>
      </w:pPr>
      <w:bookmarkStart w:id="56" w:name="_DMBM_11269"/>
      <w:r>
        <w:rPr>
          <w:noProof/>
        </w:rPr>
        <w:t>ИНВЕСТИЦИИ, ОТЧЕТЕНИ ПОСРЕДСТВОМ МЕТОДА НА СОБСТВЕНИЯ КАПИТАЛ</w:t>
      </w:r>
    </w:p>
    <w:p>
      <w:pPr>
        <w:pStyle w:val="DGTextstand-alone"/>
      </w:pPr>
      <w:r>
        <w:t xml:space="preserve">Участието на ЕС, представляван от Комисията, в Европейския инвестиционен фонд (ЕИФ) се третира като асоциирано предприятие, като се използва методът на собствения капитал. ЕИФ е финансовата институция на ЕС, специализирана в предоставянето на рисков капитал и на гаранции на малките и средните предприятия (МСП). ЕИФ се намира в Люксембург и развива дейност като публично-частно партньорство. В него членуват Европейската инвестиционна банка (ЕИБ), ЕС и група от финансови институции. Към 31 декември 2017 г. ЕС притежаваше 29,7 % </w:t>
      </w:r>
      <w:bookmarkStart w:id="57" w:name="OLE_LINK1"/>
      <w:bookmarkStart w:id="58" w:name="OLE_LINK2"/>
      <w:r>
        <w:t>дялово участие</w:t>
      </w:r>
      <w:bookmarkEnd w:id="57"/>
      <w:bookmarkEnd w:id="58"/>
      <w:r>
        <w:t xml:space="preserve"> в ЕИФ (2016 г.: 28,1 %) и 29,7 % от правата на глас (2016 г.: 28,1 %). В съответствие със своя устав ЕИФ трябва да заделя поне 20 % от годишния си нетен резултат в нормативно предвиден резерв, докато общият размер на резерва достигне 10 % от записания капитал. Средствата в този резерв не могат да бъдат разпределяни.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9" w:name="DOC_TBL00009_1_1"/>
            <w:bookmarkEnd w:id="59"/>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Европейски инвестиционен фонд</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Участие към 31.12.2016 г.</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528</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Вноски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Получени дивиденти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Дял от нетния резултат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Дял от нетните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Участие към 31.12.2017 г.</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581</w:t>
            </w:r>
          </w:p>
        </w:tc>
      </w:tr>
    </w:tbl>
    <w:p>
      <w:pPr>
        <w:pStyle w:val="DGTextstand-alone"/>
      </w:pPr>
      <w:r>
        <w:t>Следните балансови стойности могат да се припишат на ЕС въз основа на процента на неговото участие: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0" w:name="DOC_TBL00010_1_1"/>
            <w:bookmarkEnd w:id="6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Общо ЕИФ</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Общо ЕИФ</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Пасиви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Излишък/(дефицит)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122</w:t>
            </w:r>
          </w:p>
        </w:tc>
      </w:tr>
    </w:tbl>
    <w:p>
      <w:pPr>
        <w:pStyle w:val="DGTextstand-alone"/>
      </w:pPr>
      <w:r>
        <w:t>Равнението на обобщената по-горе финансова информация с балансовата стойност на дяловото участие в ЕИФ е,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1" w:name="DOC_TBL00011_1_1"/>
            <w:bookmarkEnd w:id="6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Нетни активи на асоциираното предприятие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Дялово участие на ЕС в ЕИФ</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29,7 %</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28,1 %</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Балансова стойност</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528</w:t>
            </w:r>
          </w:p>
        </w:tc>
      </w:tr>
    </w:tbl>
    <w:p>
      <w:pPr>
        <w:pStyle w:val="DGTextstand-alone"/>
      </w:pPr>
      <w:r>
        <w:t>ЕС, представляван от Комисията, е внесъл 20 % от записаните акции в капитала на ЕИФ към 31 декември 2017 г., като непоисканата сума е,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2" w:name="DOC_TBL00012_1_1"/>
            <w:bookmarkEnd w:id="6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Общ размер на капитала на ЕИФ</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Участие на ЕС</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Общо акционерен капитал</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1 337</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Внесен</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Непоискан</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3 600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1 070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spacing w:before="0" w:after="0"/>
        <w:sectPr>
          <w:headerReference w:type="even" r:id="rId147"/>
          <w:headerReference w:type="default" r:id="rId148"/>
          <w:footerReference w:type="even" r:id="rId149"/>
          <w:footerReference w:type="default" r:id="rId150"/>
          <w:headerReference w:type="first" r:id="rId151"/>
          <w:footerReference w:type="first" r:id="rId152"/>
          <w:pgSz w:w="11906" w:h="16838"/>
          <w:pgMar w:top="1134" w:right="1134" w:bottom="1134" w:left="1134" w:header="709" w:footer="709" w:gutter="0"/>
          <w:cols w:space="708"/>
          <w:docGrid w:linePitch="360"/>
        </w:sectPr>
      </w:pPr>
      <w:r>
        <w:t xml:space="preserve"> </w:t>
      </w:r>
      <w:bookmarkEnd w:id="56"/>
    </w:p>
    <w:p>
      <w:pPr>
        <w:pStyle w:val="HEADER2NOTES"/>
        <w:rPr>
          <w:noProof/>
        </w:rPr>
      </w:pPr>
      <w:bookmarkStart w:id="63" w:name="_DMBM_11295"/>
      <w:r>
        <w:rPr>
          <w:noProof/>
        </w:rPr>
        <w:t>ФИНАНСОВИ АКТИВИ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1256"/>
        <w:gridCol w:w="1813"/>
        <w:gridCol w:w="1814"/>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4" w:name="DOC_TBL00013_1_1"/>
            <w:bookmarkEnd w:id="6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 финансови активи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активи, обявени за продажба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11 758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9 131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активи по справедлива стойност чрез излишъка или дефицита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Заеми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48 205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53 116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59 980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62 247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 финансови активи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активи, обявени за продажба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активи по справедлива стойност чрез излишъка или дефицита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Заеми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3 673</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68 635</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65 920</w:t>
            </w:r>
          </w:p>
        </w:tc>
      </w:tr>
    </w:tbl>
    <w:p>
      <w:pPr>
        <w:pStyle w:val="HEADER3NOTES"/>
        <w:spacing w:after="0"/>
        <w:rPr>
          <w:noProof/>
        </w:rPr>
      </w:pPr>
      <w:r>
        <w:rPr>
          <w:noProof/>
        </w:rPr>
        <w:t>Финансови активи, обявени за продажба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5" w:name="DOC_TBL00014_1_1"/>
            <w:bookmarkEnd w:id="6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Инвестиции в BUFI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ЕОВС в ликвидация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банка за възстановяване и развитие</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4 004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3 886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Гаранционни фондове за бюджетни гаранции: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Гаранционен фонд на ЕФСИ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Гаранционен фонд за външни дейности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2 199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2 069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5 613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3 017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spacing w:val="-6"/>
              </w:rPr>
            </w:pPr>
            <w:r>
              <w:rPr>
                <w:spacing w:val="-6"/>
              </w:rPr>
              <w:t>Финансови инструменти, финансирани от бюджета на ЕС:</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„Хоризонт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Механизъм за финансиране с поделяне на риска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ETF Start-up (схема за подкрепа на стартиращи предприятия по Европейския механизъм за технологии)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Механизъм за свързване на Европа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фонд за Югоизточна Европа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Операции с рисков капитал</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4 014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3 539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13 632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Нетекущи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11 758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9 131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Текущи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1 311</w:t>
            </w:r>
          </w:p>
        </w:tc>
      </w:tr>
    </w:tbl>
    <w:p>
      <w:pPr>
        <w:pStyle w:val="DGTextstand-alone"/>
        <w:spacing w:before="120" w:after="0"/>
      </w:pPr>
      <w:r>
        <w:t>От общо 13 632 милиона евро ЕС държи финансови активи, обявени за продажба, под формата на дългови ценни книжа (напр. облигации) на стойност 12 048 милиона евро, капиталови инструменти на стойност 1 333 милиона евро и инвестиции в Унитарния фонд (фонд на паричния пазар) на ЕИБ на стойност 251 милиона евро. Дълговите ценни книжа и единиците в Унитарния фонд на ЕИБ се използват предимно за временно инвестиране на сумите, заделени за гаранцията на ЕС и инструментите за поделяне на риска, докато бъдат използвани за задействаните гаранции.</w:t>
      </w:r>
    </w:p>
    <w:p>
      <w:pPr>
        <w:pStyle w:val="DGTextstand-alone"/>
        <w:spacing w:before="0" w:after="0"/>
      </w:pPr>
    </w:p>
    <w:p>
      <w:pPr>
        <w:pStyle w:val="HEADER5"/>
        <w:rPr>
          <w:noProof/>
        </w:rPr>
      </w:pPr>
      <w:r>
        <w:rPr>
          <w:noProof/>
        </w:rPr>
        <w:t>Инвестиции в BUFI</w:t>
      </w:r>
    </w:p>
    <w:p>
      <w:pPr>
        <w:pStyle w:val="DGTextstand-alone"/>
        <w:spacing w:before="120" w:after="0"/>
      </w:pPr>
      <w:r>
        <w:t>Условно платените глоби, свързани с дела в областта на конкуренцията, се внасят в специален фонд (фонд BUFI — фонд за бюджетни глоби) и се инвестират от Комисията в дългови инструменти, категоризирани като финансови активи, обявени за продажба.</w:t>
      </w:r>
    </w:p>
    <w:p>
      <w:pPr>
        <w:pStyle w:val="DGTextstand-alone"/>
        <w:spacing w:before="0" w:after="0"/>
      </w:pPr>
    </w:p>
    <w:p>
      <w:pPr>
        <w:pStyle w:val="HEADER5"/>
        <w:keepNext/>
        <w:rPr>
          <w:noProof/>
        </w:rPr>
      </w:pPr>
      <w:r>
        <w:rPr>
          <w:noProof/>
        </w:rPr>
        <w:t>ЕОВС в ликвидация</w:t>
      </w:r>
    </w:p>
    <w:p>
      <w:pPr>
        <w:pStyle w:val="Textstand-alone"/>
      </w:pPr>
      <w:r>
        <w:t>Що се отнася до Европейската общност за въглища и стомана (EОВС) в ликвидация, всички финансови активи, обявени за продажба, са дългови ценни книжа в евро, котирани на активен пазар.</w:t>
      </w:r>
    </w:p>
    <w:p>
      <w:pPr>
        <w:pStyle w:val="HEADER5"/>
        <w:rPr>
          <w:noProof/>
        </w:rPr>
      </w:pPr>
      <w:r>
        <w:rPr>
          <w:noProof/>
        </w:rPr>
        <w:t>Европейска банка за възстановяване и развитие</w:t>
      </w:r>
    </w:p>
    <w:p>
      <w:pPr>
        <w:pStyle w:val="Textstand-alone"/>
        <w:spacing w:after="0"/>
      </w:pPr>
      <w:r>
        <w:t>ЕС притежава финансова инвестиция в капитала на Европейската банка за възстановяване и развитие (ЕБВР), в който към 31 декември 2017 г. броят на държаните акции бе 90 044 (2016 г.: 90 044 акции), представляващи 3 % от общия записан акционерен капитал. ЕС е записал акционерен капитал на обща стойност 900 милиона евро, от които 713 милиона евро понастоящем са непоискани. Съгласно Споразумението за създаване на ЕБВР, акционерите имат някои договорни ограничения, като например факта, че акциите не подлежат на прехвърляне и обратното им изкупуване е ограничено до максимум първоначалната покупна цена.</w:t>
      </w:r>
    </w:p>
    <w:p>
      <w:pPr>
        <w:pStyle w:val="Textstand-alone"/>
        <w:spacing w:after="0"/>
      </w:pPr>
      <w:r>
        <w:t>ЕС оценява инвестицията в ЕБВР по справедлива стойност. Първоначалната покупна цена се счита за най-добрата оценка на справедливата стойност, по-специално поради договорните ограничения, посочени по-горе. Въпреки че акциите на ЕБВР не се котират на никоя фондова борса, в капитала на субекта, в който е инвестирано, съществуват скорошни сделки (емитиране на капитал по номинална стойност), които показват, че цената е най-добрата оценка на справедливата стойност в тази ситуация.</w:t>
      </w:r>
    </w:p>
    <w:p>
      <w:pPr>
        <w:pStyle w:val="Textstand-alone"/>
        <w:spacing w:before="0" w:after="0"/>
      </w:pPr>
      <w:r>
        <w:t xml:space="preserve"> </w:t>
      </w:r>
    </w:p>
    <w:p>
      <w:pPr>
        <w:pStyle w:val="HEADER5"/>
        <w:rPr>
          <w:noProof/>
        </w:rPr>
      </w:pPr>
      <w:r>
        <w:rPr>
          <w:noProof/>
        </w:rPr>
        <w:t>ГАРАНЦИОННИ ФОНДОВЕ ЗА БЮДЖЕТНИ ГАРАНЦИИ</w:t>
      </w:r>
    </w:p>
    <w:p>
      <w:pPr>
        <w:pStyle w:val="HEADER5"/>
        <w:rPr>
          <w:noProof/>
        </w:rPr>
      </w:pPr>
    </w:p>
    <w:p>
      <w:pPr>
        <w:pStyle w:val="HEADER5"/>
        <w:rPr>
          <w:noProof/>
        </w:rPr>
      </w:pPr>
      <w:r>
        <w:rPr>
          <w:noProof/>
        </w:rPr>
        <w:t>Гаранционен фонд на ЕФСИ</w:t>
      </w:r>
    </w:p>
    <w:p>
      <w:pPr>
        <w:pStyle w:val="DGTextstand-alone"/>
        <w:spacing w:before="120"/>
      </w:pPr>
      <w:r>
        <w:t xml:space="preserve">Съгласно Регламента за ЕФСИ Гаранционният фонд на ЕФСИ бе създаден, за да се осигури ликвиден буфер срещу потенциалните загуби, понесени от ЕИБ във връзка с нейните операции по финансиране и инвестиране, които отговарят на условията за гаранцията от ЕС по линия на ЕФСИ съгласно Споразумението за ЕФСИ (вж. бележка </w:t>
      </w:r>
      <w:r>
        <w:rPr>
          <w:b/>
        </w:rPr>
        <w:t>4.1.1</w:t>
      </w:r>
      <w:r>
        <w:t>). Гаранционният фонд на ЕФСИ се финансира със средства от бюджета на ЕС. Той се финансира също с приходи от инвестираните ресурси на гаранционния фонд, с приходи, получени от ЕС като възнаграждение за гаранцията по Споразумението за ЕФСИ, и със суми, събрани от ЕИБ от некоректни длъжници във връзка с предходни задействани гаранции. Фондът се управлява от Комисията, която е оправомощена да инвестира активите на Гаранционния фонд на ЕФСИ на финансовите пазари в съответствие с принципа на добро финансово управление, като спазва подходящи пруденциални правила. Гаранционният фонд на ЕФСИ започна дейност през април 2016 г. В съответствие с Регламента за ЕФСИ, изменен през декември 2017 г. (Регламент (ЕС) 2017/2396), той ще бъде постепенно захранен със средства и постепенно ще достигне 9,1 милиарда евро, т.е. 35 % от общите задължения, свързани с гаранцията от ЕС по линия на ЕФСИ.</w:t>
      </w:r>
    </w:p>
    <w:p>
      <w:pPr>
        <w:pStyle w:val="HEADER5"/>
        <w:rPr>
          <w:noProof/>
        </w:rPr>
      </w:pPr>
      <w:r>
        <w:rPr>
          <w:noProof/>
        </w:rPr>
        <w:t>Гаранционен фонд за външни дейности</w:t>
      </w:r>
    </w:p>
    <w:p>
      <w:pPr>
        <w:pStyle w:val="DGTextstand-alone"/>
        <w:spacing w:before="120"/>
      </w:pPr>
      <w:r>
        <w:t xml:space="preserve">Гаранционният фонд за външни дейности обхваща заемите, гарантирани от бюджета на ЕС, и по-специално операциите на ЕИБ по отпускане на заеми извън ЕС, финансирани от собствените ресурси на ЕИБ, заемите в рамките на макрофинансовата помощ (МФП) и заемите от Евратом извън ЕС (вж. бележка </w:t>
      </w:r>
      <w:r>
        <w:rPr>
          <w:b/>
        </w:rPr>
        <w:t>4.1.1</w:t>
      </w:r>
      <w:r>
        <w:t>). Той представлява дългосрочен инструмент (нетекуща част: 2 078 милиона евро), управляван от ЕИБ и предназначен за покриване на гарантираните от ЕС заеми, задълженията по които не се изпълняват. Фондът се финансира с плащания от бюджета на ЕС, с постъпленията от лихви върху инвестициите, направени от активите на Фонда, и със сумите, събрани от просрочили плащанията си длъжници, за които Фондът е трябвало да задейства своята гаранция. Размерът на Фонда следва да се поддържа на целево равнище, съответстващо на 9 % от гарантираните непогасени заеми към края на годината. Разликата между целевия размер на Фонда и стойността на активите на Фонда към края на годината се покрива от бюджета на ЕС през годината n+2, а всеки излишък се връща в бюджета на ЕС.</w:t>
      </w:r>
    </w:p>
    <w:p>
      <w:pPr>
        <w:pStyle w:val="HEADER5"/>
        <w:rPr>
          <w:noProof/>
        </w:rPr>
      </w:pPr>
      <w:r>
        <w:rPr>
          <w:noProof/>
        </w:rPr>
        <w:t>ФИНАНСОВИ ИНСТРУМЕНТИ, ФИНАНСИРАНИ ОТ БЮДЖЕТА НА ЕС</w:t>
      </w:r>
    </w:p>
    <w:p>
      <w:pPr>
        <w:pStyle w:val="DGTextstand-alone"/>
        <w:rPr>
          <w:b/>
        </w:rPr>
      </w:pPr>
      <w:r>
        <w:t>За общ преглед на всички финансови инструменти, финансирани от бюджета, вж. частта „Обсъждане и анализ на финансовите отчети“.</w:t>
      </w:r>
    </w:p>
    <w:p>
      <w:pPr>
        <w:pStyle w:val="HEADER5"/>
        <w:spacing w:after="120"/>
        <w:rPr>
          <w:noProof/>
        </w:rPr>
      </w:pPr>
      <w:r>
        <w:rPr>
          <w:noProof/>
        </w:rPr>
        <w:t>„Хоризонт 2020“</w:t>
      </w:r>
    </w:p>
    <w:p>
      <w:pPr>
        <w:pStyle w:val="DGTextstand-alone"/>
        <w:spacing w:before="120"/>
      </w:pPr>
      <w:r>
        <w:t xml:space="preserve">Съгласно Регламента на ЕС за създаване на „Хоризонт 2020“ — рамковата програма за научни изследвания и иновации (2014—2020 г.), бяха създадени нови финансови инструменти, за да се подобри достъпът до финансиране за субекти, работещи в областта на научните изследвания и иновациите (НИИ). Тези инструменти са: </w:t>
      </w:r>
      <w:r>
        <w:rPr>
          <w:i/>
        </w:rPr>
        <w:t>услугата за заеми и гаранции по InnovFin за научни изследвания и иновации</w:t>
      </w:r>
      <w:r>
        <w:t xml:space="preserve"> — по която Комисията споделя финансовия риск, свързан с портфейл с нови операции за финансиране, предприети от ЕИБ; </w:t>
      </w:r>
      <w:r>
        <w:rPr>
          <w:i/>
        </w:rPr>
        <w:t>гаранцията за МСП по InnovFin, включително инструмента за неограничена гаранция в рамките на инициативата за МСП (SIUGI)</w:t>
      </w:r>
      <w:r>
        <w:t xml:space="preserve"> — механизми за гарантиране, управлявани от ЕИФ, предоставящи гаранции и насрещни гаранции за финансовите посредници за новите портфейли със заеми (по SIUGI Комисията споделя финансовия риск, свързан с дадената гаранция, с държавите членки, ЕИФ и ЕИБ); и </w:t>
      </w:r>
      <w:r>
        <w:rPr>
          <w:i/>
        </w:rPr>
        <w:t>капиталовия механизъм по InnovFin за научни изследвания и иновации</w:t>
      </w:r>
      <w:r>
        <w:t xml:space="preserve">, който отпуска инвестиции във фондове за рисков капитал и се управлява от ЕИФ. </w:t>
      </w:r>
    </w:p>
    <w:p>
      <w:pPr>
        <w:pStyle w:val="HEADER5"/>
        <w:keepNext/>
        <w:spacing w:after="120"/>
        <w:rPr>
          <w:noProof/>
        </w:rPr>
      </w:pPr>
      <w:r>
        <w:rPr>
          <w:noProof/>
        </w:rPr>
        <w:t>Механизъм за финансиране с поделяне на риска</w:t>
      </w:r>
    </w:p>
    <w:p>
      <w:pPr>
        <w:pStyle w:val="DGTextstand-alone"/>
        <w:spacing w:before="120"/>
        <w:rPr>
          <w:rFonts w:ascii="Times New Roman" w:hAnsi="Times New Roman"/>
          <w:szCs w:val="20"/>
        </w:rPr>
      </w:pPr>
      <w:r>
        <w:t>Механизмът за финансиране с поделяне на риска (МФПР) се управлява от ЕИБ и инвестиционният портфейл на Комисията се използва за осигуряване срещу финансовия риск при заемите и гаранциите, предоставени от ЕИБ на допустими проекти в областта на научните изследвания. Общо в МФР за периода 2007—2013 г. за МФПР бе заделен бюджет на ЕС в размер на максимум 1 милиард евро. В МФР за периода 2014—2020 г. не са предвидени допълнителни бюджетни средства за МФПР. Общият риск за ЕС е ограничен до размера на сумата, която той предоставя за Механизма.</w:t>
      </w:r>
    </w:p>
    <w:p>
      <w:pPr>
        <w:pStyle w:val="HEADER5"/>
        <w:spacing w:after="120"/>
        <w:rPr>
          <w:noProof/>
        </w:rPr>
      </w:pPr>
      <w:r>
        <w:rPr>
          <w:noProof/>
        </w:rPr>
        <w:t>ETF Start-up (схема за подкрепа на стартиращи предприятия по Европейския механизъм за технологии)</w:t>
      </w:r>
    </w:p>
    <w:p>
      <w:pPr>
        <w:pStyle w:val="DGTextstand-alone"/>
        <w:spacing w:before="120" w:after="480"/>
      </w:pPr>
      <w:r>
        <w:t>Това са капиталови инструменти, които бяха финансирани от Програмата за растеж и заетост, Многогодишната програма за предприятията и предприемачеството, Програмата за конкурентоспособност и иновации и Пилотния проект за трансфер на технологии, които се намират под попечителството на ЕИФ, и подпомагат създаването на МСП и финансирането на новосъздадени МСП чрез инвестиране в подходящи специализирани фондове за рисков капитал.</w:t>
      </w:r>
    </w:p>
    <w:p>
      <w:pPr>
        <w:pStyle w:val="HEADER5"/>
        <w:spacing w:after="120"/>
        <w:rPr>
          <w:noProof/>
        </w:rPr>
      </w:pPr>
      <w:r>
        <w:rPr>
          <w:noProof/>
        </w:rPr>
        <w:t>Механизъм за свързване на Европа</w:t>
      </w:r>
    </w:p>
    <w:p>
      <w:pPr>
        <w:pStyle w:val="DGTextstand-alone"/>
        <w:spacing w:before="120" w:after="480"/>
      </w:pPr>
      <w:r>
        <w:t>Съгласно Регламент (ЕС) № 1316/2013 дълговият инструмент „Механизъм за свързване на Европа“ (МСЕ) беше създаден с цел да се улесни достъпът на инфраструктурните проекти до финансиране в секторите на транспорта, телекомуникациите и енергетиката. Той се управлява от ЕИБ съгласно споразумение с ЕС. Дълговият финансов инструмент МСЕ е продължението на Инструмента за гарантиране на заеми за проекти по TEN-T (LGTT) и на пилотната фаза на инициативата „Облигации за проекти“ (PBI). LGTT и портфейлът на PBI бяха обединени във финансовия инструмент МСЕ, считано от 1 януари 2016 г. Той предлага споделяне на риска за дълговото финансиране под формата на привилегирован и подчинен дълг или на гаранции, както и подкрепа за проектни облигации.</w:t>
      </w:r>
    </w:p>
    <w:p>
      <w:pPr>
        <w:pStyle w:val="HEADER3NOTES"/>
        <w:spacing w:after="0"/>
        <w:rPr>
          <w:noProof/>
        </w:rPr>
      </w:pPr>
      <w:r>
        <w:rPr>
          <w:noProof/>
        </w:rPr>
        <w:t>Финансови активи по справедлива стойност чрез излишъка или дефицита</w:t>
      </w:r>
    </w:p>
    <w:p>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6" w:name="DOC_TBL00015_1_1"/>
            <w:bookmarkEnd w:id="6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Вид дериватив</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Теоретична сума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Справедлива стойност</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Теоретична сума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Справедлива стойност</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Валутен форуърден договор</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0</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Гаранция на ЕФСИ по капиталовия портфейл</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258</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892</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Нетекущи</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258</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16</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Текущи</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 xml:space="preserve"> 0</w:t>
            </w:r>
          </w:p>
        </w:tc>
      </w:tr>
    </w:tbl>
    <w:p>
      <w:pPr>
        <w:pStyle w:val="DGTextstand-alone"/>
      </w:pPr>
      <w:r>
        <w:t xml:space="preserve">ЕС сключва валутни форуърдни договори, за да хеджира валутния риск, свързан с дълговите ценни книжа в щатски долари, държани в Гаранционния фонд на ЕФСИ. По силата на валутните форуърдни договори ЕС трябва да даде посочената в договора теоретична сума в чуждестранна валута (операция за плащане), представена в таблицата по-горе, и ще получи теоретичната сума в евро (операция за получаване) на датата на падежа. Тези деривативни договори се оценяват по справедлива стойност към датата на счетоводния баланс и се класифицират като финансови активи или финансови пасиви по справедлива стойност чрез излишъка или дефицита в зависимост от това дали справедливата им стойност е положителна или отрицателна. Към 31 декември 2017 г. имаше само един действащ валутен форуърден договор, който доведе до положителна справедлива стойност в размер на 6 милиона евро (йерархия на справедливата стойност ниво 2), поради което той бе признат при финансовите активи по справедлива стойност чрез излишъка или дефицита. </w:t>
      </w:r>
    </w:p>
    <w:p>
      <w:pPr>
        <w:pStyle w:val="DGTextstand-alone"/>
        <w:spacing w:after="0"/>
      </w:pPr>
      <w:r>
        <w:t xml:space="preserve">Гаранцията от ЕС по линия на ЕФСИ, дадена на групата на ЕИБ във връзка с портфейлите с капиталови инвестиции, се класифицира като деривативен финансов инструмент и се отчита като финансов актив или финансов пасив по справедлива стойност чрез излишъка или дефицита (йерархия на справедливата стойност ниво 3) (вж. бележка </w:t>
      </w:r>
      <w:r>
        <w:rPr>
          <w:b/>
        </w:rPr>
        <w:t>4.1.1</w:t>
      </w:r>
      <w:r>
        <w:t xml:space="preserve">). Към 31 декември 2017 г. размерът на съответните капиталови инвестиции, платени от ЕИБ и ЕИФ, възлизаше на 258 милиона евро, а справедливата стойност на гаранцията от ЕС по линия на ЕФСИ по капиталовите портфейли на ЕФСИ възлизаше на 16 милиона евро. </w:t>
      </w:r>
    </w:p>
    <w:p>
      <w:pPr>
        <w:pStyle w:val="DGTextstand-alone"/>
        <w:spacing w:before="0" w:after="0"/>
      </w:pPr>
    </w:p>
    <w:p>
      <w:pPr>
        <w:pStyle w:val="HEADER5"/>
        <w:rPr>
          <w:noProof/>
        </w:rPr>
      </w:pPr>
      <w:r>
        <w:rPr>
          <w:noProof/>
        </w:rPr>
        <w:t>Йерархия на справедливата стойност на финансовите активи, оценени по справедлива стойност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7" w:name="DOC_TBL00016_1_1"/>
            <w:bookmarkEnd w:id="6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Ниво 1: котирани цени на активни пазари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Ниво 2: наблюдаеми елементи, различни от котираните цени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Ниво 3: техники за оценяване, при които елементите не се основават на наблюдаеми пазарни данни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13 654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bl>
    <w:p>
      <w:pPr>
        <w:pStyle w:val="Textstand-alone"/>
        <w:spacing w:before="120"/>
      </w:pPr>
      <w:r>
        <w:t>През периода нямаше трансфери между ниво 1 и ниво 2.</w:t>
      </w:r>
    </w:p>
    <w:p>
      <w:pPr>
        <w:pStyle w:val="HEADER5"/>
        <w:rPr>
          <w:noProof/>
        </w:rPr>
      </w:pPr>
      <w:r>
        <w:rPr>
          <w:noProof/>
        </w:rPr>
        <w:t>Равняване на финансовите активи, оценени с помощта на техники за оценяване, използващи елементи, които не се основават на наблюдаеми пазарни данни (ниво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8" w:name="DOC_TBL00017_1_1"/>
            <w:bookmarkEnd w:id="68"/>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Начално салдо към 31.12.2016 г.</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Покупки и продажби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pacing w:val="-6"/>
              </w:rPr>
            </w:pPr>
            <w:r>
              <w:rPr>
                <w:spacing w:val="-6"/>
              </w:rPr>
              <w:t>Печалби или загуби за периода като финансови приходи или финансови разходи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Печалби или загуби в нетните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Трансфери към ниво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Трансфери от ниво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Крайно салдо към 31.12.2017 г.</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1 161</w:t>
            </w:r>
          </w:p>
        </w:tc>
      </w:tr>
    </w:tbl>
    <w:p>
      <w:pPr>
        <w:pStyle w:val="HEADER3NOTES"/>
        <w:spacing w:before="240" w:after="0"/>
        <w:rPr>
          <w:noProof/>
        </w:rPr>
      </w:pPr>
      <w:r>
        <w:rPr>
          <w:noProof/>
        </w:rPr>
        <w:t xml:space="preserve"> Заеми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1256"/>
        <w:gridCol w:w="1814"/>
        <w:gridCol w:w="1815"/>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9" w:name="DOC_TBL00018_1_1"/>
            <w:bookmarkEnd w:id="6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Заеми за финансова помощ</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заеми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343</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54 981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55 477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Нетекущи</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48 205</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53 116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Текущи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2 361</w:t>
            </w:r>
          </w:p>
        </w:tc>
      </w:tr>
    </w:tbl>
    <w:p>
      <w:pPr>
        <w:pStyle w:val="HEADER4NOTES"/>
        <w:spacing w:before="240" w:after="0"/>
        <w:rPr>
          <w:noProof/>
        </w:rPr>
      </w:pPr>
      <w:r>
        <w:rPr>
          <w:noProof/>
        </w:rPr>
        <w:t>Заеми за финансова помощ</w:t>
      </w:r>
    </w:p>
    <w:p>
      <w:pPr>
        <w:pStyle w:val="DGTextstand-alone"/>
        <w:spacing w:before="0"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rPr>
          <w:cantSplit/>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0" w:name="DOC_TBL00019_1_1"/>
            <w:bookmarkEnd w:id="70"/>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7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милиони евро</w:t>
            </w:r>
          </w:p>
        </w:tc>
      </w:tr>
      <w:tr>
        <w:trPr>
          <w:cantSplit/>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ЕМФС</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ПБ</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МФП</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Евратом</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ЕОВС в ликвидация</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Общо</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Общо към 31.12.2016 г.</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Нови заеми</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Възстановени суми</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(1 335)</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Курсови разлики</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pacing w:val="-6"/>
              </w:rPr>
            </w:pPr>
            <w:r>
              <w:rPr>
                <w:spacing w:val="-6"/>
              </w:rPr>
              <w:t>Промени в балансовата стойност</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cantSplit/>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Обезценка</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7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към 31.12.2017 г.</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0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100</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54 844</w:t>
            </w:r>
          </w:p>
        </w:tc>
      </w:tr>
      <w:tr>
        <w:trPr>
          <w:cantSplit/>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Нетекущи</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07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96</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Текущи</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DGTextstand-alone"/>
        <w:spacing w:before="120" w:after="0"/>
        <w:rPr>
          <w:i/>
          <w:sz w:val="16"/>
        </w:rPr>
      </w:pPr>
    </w:p>
    <w:p>
      <w:pPr>
        <w:pStyle w:val="DGTextstand-alone"/>
        <w:spacing w:before="0" w:after="120"/>
      </w:pPr>
      <w:r>
        <w:t>Номиналната стойност на заемите за финансова помощ към 31 декември 2017 г., включително заемите на ЕОВС в ликвидация, бе общо 54 093 милиона евро (2016 г.: 54 373 милиона евро).</w:t>
      </w:r>
      <w:r>
        <w:rPr>
          <w:sz w:val="20"/>
        </w:rPr>
        <w:t xml:space="preserve"> </w:t>
      </w:r>
      <w:r>
        <w:t>Промяната в балансовата стойност съответства на промяната в начислените лихви.</w:t>
      </w:r>
    </w:p>
    <w:p>
      <w:pPr>
        <w:pStyle w:val="DGTextstand-alone"/>
        <w:spacing w:before="120" w:after="120"/>
      </w:pPr>
      <w:r>
        <w:t xml:space="preserve">ЕМФС предоставя възможност да се оказва финансова помощ на държава членка, изпитваща трудности или сериозно застрашена от големи трудности, причинени от извънредни обстоятелства извън нейния контрол. Тази помощ може да бъде под формата на заем или кредитна линия. Съгласно заключенията на Съвета по икономическите и финансовите въпроси от 9 май 2010 г. механизмът не може да надвишава 60 милиарда евро, но правното ограничение ограничава непогасените отпуснати заеми или кредитните линии до наличния под тавана за собствените ресурси марж. Получените заеми, свързани със заеми, отпуснати по линия на ЕМФС, са гарантирани от бюджета на ЕС. Не е предвидено ЕМФС да участва в нови програми за финансиране или да сключва нови споразумения за заем. </w:t>
      </w:r>
    </w:p>
    <w:p>
      <w:pPr>
        <w:pStyle w:val="DGTextstand-alone"/>
        <w:spacing w:before="120" w:after="120"/>
      </w:pPr>
      <w:r>
        <w:t>Инструментът за ПБ, който е основан на политиката финансов инструмент, осигурява средносрочна финансова помощ за държавите — членки на ЕС, които не са приели еврото. Благодарение на него могат да се отпускат заеми на държавите членки, които изпитват или са сериозно застрашени от трудности със своите платежни баланси или капиталови движения. Максималният размер на непогасените отпуснати заеми по инструмента е ограничен до 50 милиарда евро. Получените заеми, свързани с тези заеми по линия на ПБ, са гарантирани от бюджета на ЕС.</w:t>
      </w:r>
    </w:p>
    <w:p>
      <w:pPr>
        <w:pStyle w:val="DGTextstand-alone"/>
        <w:spacing w:before="80" w:after="80"/>
      </w:pPr>
      <w:r>
        <w:t xml:space="preserve">МФП е основан на политиката финансов инструмент за необвързана и непредназначена за конкретна цел помощ за платежния баланс и/или бюджетна подкрепа за партньорските държави, които понастоящем изпълняват програма на МВФ. Тя се предоставя под формата на средно-/дългосрочни заеми или безвъзмездни средства или на подходяща комбинация от двете и обикновено допълва финансирането, осигурено в контекста на подкрепяна от МВФ програма за корекция и реформи. Тези заеми са гарантирани от Гаранционния фонд за външни дейности. През 2017 г. новите плащания по заеми по линия на МФП бяха на обща стойност 1 013 милиона евро, от които 600 милиона евро бяха предоставени на Украйна, 300 милиона евро бяха предоставени на Тунис, 100 милиона евро бяха предоставени на Йордания и 13 милиона евро — на Грузия. Към 31 декември 2017 г. допълнителни 460 милиона евро във връзка със споразумение за заем по линия на МФП бяха отпуснати на Тунис (300 милиона евро), на Йордания (100 милиона евро) и на Молдова (60 милиона евро), но тези средства все още не бяха изплатени на държавите (вж. бележка </w:t>
      </w:r>
      <w:r>
        <w:rPr>
          <w:b/>
        </w:rPr>
        <w:t>4.1.2</w:t>
      </w:r>
      <w:r>
        <w:t>). Оставащите 600 милиона евро, налични по споразумението за заем по линия на МФП за Украйна, не бяха поискани от Украйна в рамките на срока, през който средствата могат да бъдат отпуснати, който срок изтече през януари 2018 г.</w:t>
      </w:r>
    </w:p>
    <w:p>
      <w:pPr>
        <w:pStyle w:val="DGTextstand-alone"/>
        <w:spacing w:before="80" w:after="80"/>
        <w:rPr>
          <w:spacing w:val="-4"/>
        </w:rPr>
      </w:pPr>
      <w:r>
        <w:rPr>
          <w:spacing w:val="-4"/>
        </w:rPr>
        <w:t xml:space="preserve">Европейската общност за атомна енергия (Евратом, представлявана от Комисията) отпуска заеми както на държави, които са членки на ЕС, така и на държави, които не са членки на ЕС, а също и на субекти от двата вида държави, с цел финансиране на проекти, свързани с енергийни съоръжения. Към 31 декември 2017 г. бяха отпуснати заеми на стойност 250 милиона евро за проекти в Украйна, които все още не бяха изплатени на държавата (вж. бележка </w:t>
      </w:r>
      <w:r>
        <w:rPr>
          <w:b/>
          <w:spacing w:val="-4"/>
        </w:rPr>
        <w:t>4.1.2</w:t>
      </w:r>
      <w:r>
        <w:rPr>
          <w:spacing w:val="-4"/>
        </w:rPr>
        <w:t>). Получени бяха гаранции от трети страни на стойност 250 милиона евро (2016 г.: 252 милиона евро), които покриват заемите от Евратом.</w:t>
      </w:r>
    </w:p>
    <w:p>
      <w:pPr>
        <w:pStyle w:val="DGTextstand-alone"/>
        <w:spacing w:before="120" w:after="120"/>
      </w:pPr>
      <w:r>
        <w:t>Заемите от ЕОВС в ликвидация не са заеми за финансова помощ, а записи на заповед, за да се запазят паричните потоци успоредни с получените заеми. При все това, подобно на заемите за финансова помощ, те бяха отпуснати от заемни средства в съответствие с членове 54 и 56 от Договора за ЕОВС с цел финансиране на проекти.</w:t>
      </w:r>
    </w:p>
    <w:p>
      <w:pPr>
        <w:pStyle w:val="HEADER5"/>
        <w:keepNext/>
        <w:rPr>
          <w:noProof/>
        </w:rPr>
      </w:pPr>
      <w:r>
        <w:rPr>
          <w:noProof/>
        </w:rPr>
        <w:t>Ефективни лихвени проценти за заемите (изразени като лихвен диапазон)</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71" w:name="DOC_TBL00020_1_1"/>
            <w:bookmarkEnd w:id="71"/>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Макрофинансова помощ (МФП)</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Евратом</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- 5,76 %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Платежен баланс (ПБ)</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w:t>
            </w:r>
            <w:r>
              <w:rPr>
                <w:lang w:val="en-GB"/>
              </w:rPr>
              <w:t>,</w:t>
            </w:r>
            <w:r>
              <w:t>88 % - 3</w:t>
            </w:r>
            <w:r>
              <w:rPr>
                <w:lang w:val="en-GB"/>
              </w:rPr>
              <w:t>,</w:t>
            </w:r>
            <w:r>
              <w:t>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w:t>
            </w:r>
            <w:r>
              <w:rPr>
                <w:lang w:val="en-GB"/>
              </w:rPr>
              <w:t>,</w:t>
            </w:r>
            <w:r>
              <w:t>37 % - 3</w:t>
            </w:r>
            <w:r>
              <w:rPr>
                <w:lang w:val="en-GB"/>
              </w:rPr>
              <w:t>,</w:t>
            </w:r>
            <w:r>
              <w:t>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механизъм за финансово стабилизиране (ЕМФС)</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ЕОВС в ликвидация</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r>
    </w:tbl>
    <w:p>
      <w:pPr>
        <w:pStyle w:val="HEADER4NOTES"/>
        <w:spacing w:before="240" w:after="120"/>
        <w:rPr>
          <w:noProof/>
        </w:rPr>
      </w:pPr>
      <w:r>
        <w:rPr>
          <w:noProof/>
        </w:rPr>
        <w:t>Други заеми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2" w:name="DOC_TBL00021_1_1"/>
            <w:bookmarkEnd w:id="7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Заеми при специални условия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Жилищни кредити от ЕОВС в ликвидация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Срочни депозити със срок между 3 и 12 месеца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137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343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Нетекущи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Текущи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266</w:t>
            </w:r>
          </w:p>
        </w:tc>
      </w:tr>
    </w:tbl>
    <w:p>
      <w:pPr>
        <w:pStyle w:val="DGTextstand-alone"/>
      </w:pPr>
      <w:r>
        <w:t>Номиналната стойност на другите заеми към 31 декември 2017 г. бе общо 561 милиона евро (2016 г.: 673 милиона евро).</w:t>
      </w:r>
    </w:p>
    <w:p>
      <w:pPr>
        <w:pStyle w:val="DGTextstand-alone"/>
      </w:pPr>
      <w:r>
        <w:t>Заемите при специални условия се отпускат при преференциални лихви като част от сътрудничеството с държави, които не са членки на ЕС.</w:t>
      </w:r>
    </w:p>
    <w:p>
      <w:pPr>
        <w:pStyle w:val="HEADER5"/>
        <w:rPr>
          <w:noProof/>
        </w:rPr>
      </w:pPr>
      <w:r>
        <w:rPr>
          <w:noProof/>
        </w:rPr>
        <w:t>Обезценка на други заеми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3" w:name="DOC_TBL00022_1_1"/>
            <w:bookmarkEnd w:id="73"/>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Новопридобити активи</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Сторниране</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Отписване </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Други</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Заеми при специални условия</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Суброгирани заеми</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332</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100</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432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Общо</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339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101</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440</w:t>
            </w:r>
          </w:p>
        </w:tc>
      </w:tr>
    </w:tbl>
    <w:p>
      <w:pPr>
        <w:pStyle w:val="Textstand-alone"/>
        <w:spacing w:before="0"/>
      </w:pPr>
      <w:r>
        <w:t xml:space="preserve"> </w:t>
      </w:r>
    </w:p>
    <w:p>
      <w:pPr>
        <w:pStyle w:val="DGTextstand-alone"/>
      </w:pPr>
      <w:r>
        <w:t>Суброгираните заеми са необслужвани заеми, отпуснати от ЕИБ и гарантирани от бюджета на ЕС, за които всички права са суброгирани на ЕС след плащането от Гаранционния фонд за външни дейности. Тези заеми са изцяло обезценени със сума в размер на 432 милиона евро (2016 г.: 332 милиона евро). Задействаните през 2017 г. гаранции бяха частично покрити от финансовите провизии, направени през предходни години. В съответствие със споразумение между ЕС и ЕИБ, ЕИБ предприема действия по събиране от името на ЕС с цел да събере дължимите суми.</w:t>
      </w:r>
    </w:p>
    <w:p>
      <w:pPr>
        <w:pStyle w:val="Textstand-alone"/>
        <w:spacing w:before="0"/>
        <w:rPr>
          <w:lang w:val="en-GB"/>
        </w:rPr>
      </w:pPr>
    </w:p>
    <w:p>
      <w:pPr>
        <w:pStyle w:val="Textstand-alone"/>
        <w:spacing w:before="0"/>
        <w:sectPr>
          <w:headerReference w:type="even" r:id="rId153"/>
          <w:headerReference w:type="default" r:id="rId154"/>
          <w:footerReference w:type="even" r:id="rId155"/>
          <w:footerReference w:type="default" r:id="rId156"/>
          <w:headerReference w:type="first" r:id="rId157"/>
          <w:footerReference w:type="first" r:id="rId158"/>
          <w:pgSz w:w="11906" w:h="16838"/>
          <w:pgMar w:top="1134" w:right="1134" w:bottom="1134" w:left="1134" w:header="709" w:footer="709" w:gutter="0"/>
          <w:cols w:space="708"/>
          <w:docGrid w:linePitch="360"/>
        </w:sectPr>
      </w:pPr>
      <w:r>
        <w:t xml:space="preserve"> </w:t>
      </w:r>
      <w:bookmarkEnd w:id="63"/>
    </w:p>
    <w:p>
      <w:pPr>
        <w:pStyle w:val="HEADER2NOTES"/>
        <w:rPr>
          <w:noProof/>
        </w:rPr>
      </w:pPr>
      <w:bookmarkStart w:id="74" w:name="_DMBM_11249"/>
      <w:r>
        <w:rPr>
          <w:noProof/>
        </w:rP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0"/>
        <w:gridCol w:w="1256"/>
        <w:gridCol w:w="1810"/>
        <w:gridCol w:w="1811"/>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5" w:name="DOC_TBL00023_1_1"/>
            <w:bookmarkEnd w:id="75"/>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Нетекущо 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21 939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20 219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Други средства, предоставени авансово на държавите членки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3 018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1 651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Принос към доверителните фондове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25 022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21 901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Текущо 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22 361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21 386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Други средства, предоставени авансово на държавите членки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1 645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2 183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24 005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23 569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cs="Verdana"/>
              </w:rPr>
            </w:pPr>
            <w:r>
              <w:t>Общо</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49 027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45 470</w:t>
            </w:r>
          </w:p>
        </w:tc>
      </w:tr>
    </w:tbl>
    <w:p>
      <w:pPr>
        <w:pStyle w:val="DGTextstand-alone"/>
      </w:pPr>
      <w:r>
        <w:t xml:space="preserve">Нивото на сумите по предварително финансиране за различните програми трябва да е достатъчно за осигуряване на средствата, необходими на бенефициера, за да започне проекта, като същевременно се защитават финансовите интереси на ЕС и се вземат под внимание правните и оперативните ограничения и ограниченията, свързани с разходната ефективност. Комисията отдели нужното внимание на всички тези елементи с цел подобряване на действията, които се предприемат във връзка с предварителното финансиране. </w:t>
      </w:r>
    </w:p>
    <w:p>
      <w:pPr>
        <w:pStyle w:val="HEADER3NOTES"/>
        <w:rPr>
          <w:noProof/>
        </w:rPr>
      </w:pPr>
      <w:r>
        <w:rPr>
          <w:noProof/>
        </w:rP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6" w:name="DOC_TBL00024_1_1"/>
            <w:bookmarkEnd w:id="76"/>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милиони евро</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Брутна сума</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Уравнени (край на финансовия период)</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Нетна сума към 31.12.2017 г.</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Брутна сума</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Уравнени (край на финансовия период)</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Нетна сума към 31.12.2016 г.</w:t>
            </w:r>
          </w:p>
        </w:tc>
      </w:tr>
      <w:tr>
        <w:trPr>
          <w:trHeight w:val="247"/>
        </w:trPr>
        <w:tc>
          <w:tcPr>
            <w:tcW w:w="3085" w:type="dxa"/>
            <w:gridSpan w:val="2"/>
            <w:tcBorders>
              <w:top w:val="nil"/>
              <w:left w:val="nil"/>
              <w:bottom w:val="nil"/>
              <w:right w:val="nil"/>
            </w:tcBorders>
            <w:tcMar>
              <w:top w:w="0" w:type="dxa"/>
              <w:left w:w="108" w:type="dxa"/>
              <w:bottom w:w="0" w:type="dxa"/>
              <w:right w:w="108" w:type="dxa"/>
            </w:tcMar>
          </w:tcPr>
          <w:p>
            <w:pPr>
              <w:pStyle w:val="Figures8pBoldRight025"/>
              <w:jc w:val="left"/>
              <w:rPr>
                <w:rFonts w:cs="Verdana"/>
              </w:rPr>
            </w:pPr>
            <w:r>
              <w:t>Споделено управление</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ЕЗФРСР и други инструменти за развитие на селските райони</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3 955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3 955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ЕФРР и КФ</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20 561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(5 678)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14 883</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19 858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(4 727)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15 131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EСФ</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6 792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(1 182)</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5 610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6 477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5 860</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Други</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5 037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(2 267)</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2 770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4 219</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(2 393)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1 826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36 125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(9 127)</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26 998</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34 509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(7 737)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26 772</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Пряко управление</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Извършено от: </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Комисията</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12 165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(8 331)</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3 834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12 424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(8 843)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3 581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Изпълнителните агенции на ЕС</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13 843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(8 749)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5 094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13 136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4 788</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Доверителни фондове</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(212)</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 xml:space="preserve"> 228</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 xml:space="preserve"> 142</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26 447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(17 292)</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9 155</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25 701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(17 273)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8 429</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Непряко управление</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Извършено от:</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Други агенции и органи на ЕС</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575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616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459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Трети държави</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1 586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(956)</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630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1 861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(1 135)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Международни организации</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9 000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(5 879)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3 121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7 230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(4 432)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2 797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Други субекти</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7 753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(3 933)</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3 820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6 498</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(4 077)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2 422</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19 062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(10 916)</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8 146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16 206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(9 801)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6 404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Общо</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81 635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(37 335)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44 300</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76 416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(34 811)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41 605</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ItalicleftBlue"/>
              <w:rPr>
                <w:rFonts w:cs="Verdana"/>
              </w:rPr>
            </w:pPr>
            <w:r>
              <w:t>Нетекущи</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cs="Verdana"/>
              </w:rPr>
            </w:pPr>
            <w:r>
              <w:t>20 219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20 219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Текущи</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59 696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(37 335)</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r>
              <w:t>22 361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r>
              <w:t>56 197</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(34 811)</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r>
              <w:t>21 386</w:t>
            </w:r>
          </w:p>
        </w:tc>
      </w:tr>
    </w:tbl>
    <w:p>
      <w:pPr>
        <w:pStyle w:val="DGTextstand-alone"/>
      </w:pPr>
      <w:r>
        <w:t xml:space="preserve">Предварителното финансиране представлява платени средства, а следователно и изпълнение на бюджетни кредити за плащания. Както бе обяснено в бележка </w:t>
      </w:r>
      <w:r>
        <w:rPr>
          <w:b/>
        </w:rPr>
        <w:t>1.5.7</w:t>
      </w:r>
      <w:r>
        <w:t xml:space="preserve">, това са авансово платени средства, поради което те все още не са отчетени като разход. Поради това, въпреки че предварителното финансиране намалява RAL (вж. бележка </w:t>
      </w:r>
      <w:r>
        <w:rPr>
          <w:b/>
        </w:rPr>
        <w:t>5.1</w:t>
      </w:r>
      <w:r>
        <w:t>), то представлява разходи, които все още не са признати в отчета за финансовия резултат.</w:t>
      </w:r>
    </w:p>
    <w:p>
      <w:pPr>
        <w:pStyle w:val="DGTextstand-alone"/>
      </w:pPr>
      <w:r>
        <w:t xml:space="preserve">Приключването на периода на програмиране 2007—2013 г. и постепенното започване на изпълнението на програмите за периода 2014—2020 г. влияят силно на сумите в счетоводния баланс: предварителното финансиране за старите програми намалява поради приемането на разходи с приключването на програмите, докато за новия период на програмиране е изплатено допълнително предварително финансиране. </w:t>
      </w:r>
    </w:p>
    <w:p>
      <w:pPr>
        <w:pStyle w:val="DGTextstand-alone"/>
      </w:pPr>
      <w:r>
        <w:t>Що се отнася до споделеното управление, този преход между периодите на програмиране също обяснява движението между текущи и нетекущи салда. Що се отнася до периода на програмиране 2014—2020 г., платеното първоначално предварително финансиране се записва като нетекущо, докато годишното предварително финансиране се записва като текущо.</w:t>
      </w:r>
    </w:p>
    <w:p>
      <w:pPr>
        <w:pStyle w:val="DGTextstand-alone"/>
      </w:pPr>
      <w:r>
        <w:t>Увеличението с 0,9 милиарда евро при другите елементи под споделено управление се отнася до ФСЕС (фонд „Солидарност“ на Европейския съюз), предназначени предимно за подпомагане на възстановителните работи след земетресенията в италианските региони Абруцо, Лацио, Марке и Умбрия.</w:t>
      </w:r>
    </w:p>
    <w:p>
      <w:pPr>
        <w:pStyle w:val="DGTextstand-alone"/>
      </w:pPr>
      <w:r>
        <w:t xml:space="preserve">Що се отнася до прякото управление, сумите по предварително финансиране са свързани предимно с „Хоризонт 2020“ и Механизма за свързване на Европа. </w:t>
      </w:r>
    </w:p>
    <w:p>
      <w:pPr>
        <w:pStyle w:val="DGTextstand-alone"/>
      </w:pPr>
      <w:r>
        <w:t>Предварителното финансиране при непрякото управление обхваща предимно програми по линия на вътрешните политики, като „Еразъм“, „Галилео“ и EGNOS, но също и инструменти, свързани с външните отношения, като ЕИС (Европейския инструмент за съседство), ИСР (Инструмента за сътрудничество за развитие) и хуманитарната помощ.</w:t>
      </w:r>
    </w:p>
    <w:p>
      <w:pPr>
        <w:pStyle w:val="HEADER5"/>
        <w:rPr>
          <w:b/>
          <w:noProof/>
        </w:rPr>
      </w:pPr>
      <w:r>
        <w:rPr>
          <w:noProof/>
        </w:rPr>
        <w:t>Гаранции, получени по отношение на предварително финансиране</w:t>
      </w:r>
    </w:p>
    <w:p>
      <w:pPr>
        <w:pStyle w:val="DGTextstand-alone"/>
      </w:pPr>
      <w:r>
        <w:t xml:space="preserve">Това са гаранции, които Комисията изисква в някои случаи от бенефициерите, които не са държави членки, при извършване на авансови плащания (предварително финансиране). За този вид гаранция се оповестяват две стойности: „номиналната“ и „текущата“ стойност. При номиналната стойност пораждащото събитие е свързано със съществуването на гаранцията. При текущата стойност пораждащото събитие за гаранцията са плащането на предварителното финансиране и/или последващите изчиствания. Към 31 декември 2017 г. номиналната стойност на гаранциите, получени във връзка с предварително финансиране, възлизаше на 620 милиона евро, докато текущата стойност на тези гаранции бе 462 милиона евро (2016 г.: съответно 683 милиона евро и 496 милиона евро). </w:t>
      </w:r>
    </w:p>
    <w:p>
      <w:pPr>
        <w:pStyle w:val="DGTextstand-alone"/>
      </w:pPr>
      <w:r>
        <w:t>Някои суми предварително финансиране, платени по 7-та рамкова програма за научни изследвания и технологично развитие (7РП) и по програмата „Хоризонт 2020“, успешно се покриват от Гаранционен фонд за участниците (ГФУ). ГФУ е инструмент от взаимна полза, създаден с цел покриване на рисковете, свързани с неплащането на суми от страна на бенефициерите в хода на изпълнението на непреките дейности по линия на 7РП и „Хоризонт 2020“. Всички участници в непреки дейности, които получават безвъзмездни средства от ЕС, внасят 5 % от общия размер на получените средства в капитала на ГФУ.</w:t>
      </w:r>
    </w:p>
    <w:p>
      <w:pPr>
        <w:pStyle w:val="DGTextstand-alone"/>
      </w:pPr>
      <w:r>
        <w:t>Към 31 декември 2017 г. сумите по предварително финансиране, покрити от ГФУ, възлизаха на общо 1,9 милиарда евро (2016 г.: 1,8 милиарда евро). ЕС (представляван от Комисията) действа като изпълнител за участниците в ГФУ, но Фондът се притежава от участниците.</w:t>
      </w:r>
    </w:p>
    <w:p>
      <w:pPr>
        <w:pStyle w:val="DGTextstand-alone"/>
      </w:pPr>
      <w:r>
        <w:t>Към края на годината ГФУ имаше активи на обща стойност 1 997 милиона евро (2016 г.: 1 951 милиона евро). Активите на ГФУ включват също финансовите активи, които се управляват от генерална дирекция „Икономически и финансови въпроси“ на Комисията. Тъй като ГФУ е отделен субект, активите му не се консолидират в годишните отчети на ЕС.</w:t>
      </w:r>
    </w:p>
    <w:p>
      <w:pPr>
        <w:pStyle w:val="HEADER3NOTES"/>
        <w:rPr>
          <w:noProof/>
        </w:rPr>
      </w:pPr>
      <w:r>
        <w:rPr>
          <w:noProof/>
        </w:rPr>
        <w:t>Други средства, предоставени авансово на държавите членки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7" w:name="DOC_TBL00025_1_1"/>
            <w:bookmarkEnd w:id="7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Авансови средства, отпуснати на държавите членки, за финансовите инструменти под режим споделено управление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2 768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2 534</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Схеми за помощ</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1 895</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1 300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4 663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Нетекущи</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3 018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1 651</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Текущи</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1 645</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2 183</w:t>
            </w:r>
          </w:p>
        </w:tc>
      </w:tr>
    </w:tbl>
    <w:p>
      <w:pPr>
        <w:pStyle w:val="Heading8pNormalCentered"/>
      </w:pPr>
    </w:p>
    <w:p>
      <w:pPr>
        <w:rPr>
          <w:rFonts w:ascii="Verdana" w:hAnsi="Verdana"/>
          <w:noProof/>
          <w:color w:val="016794"/>
          <w:sz w:val="18"/>
          <w:szCs w:val="18"/>
          <w:lang w:val="en-GB"/>
        </w:rPr>
      </w:pPr>
    </w:p>
    <w:p>
      <w:pPr>
        <w:pStyle w:val="HEADER5"/>
        <w:rPr>
          <w:noProof/>
        </w:rPr>
      </w:pPr>
      <w:r>
        <w:rPr>
          <w:noProof/>
        </w:rPr>
        <w:t>Авансови средства, отпуснати на държавите членки, за финансовите инструменти под режим споделено управление</w:t>
      </w:r>
    </w:p>
    <w:p>
      <w:pPr>
        <w:pStyle w:val="Textstand-alone"/>
      </w:pPr>
      <w:r>
        <w:t>В рамките на програмите по европейските структурни и инвестиционни фондове (ЕСИФ) е възможно да се правят авансови плащания от бюджета на ЕС към държавите членки, за да могат те да предоставят средства за финансови инструменти (т.е. заеми, капиталови инвестиции или гаранции). Тези финансови инструменти се създават и управляват под отговорността на държавите членки, не на Комисията. При все това средствата, които не са усвоени от тези инструменти към края на годината, са собственост на ЕС (както и цялото предварително финансиране) и поради това се третират като актив в счетоводния баланс на ЕС.</w:t>
      </w:r>
    </w:p>
    <w:p>
      <w:pPr>
        <w:pStyle w:val="Textstand-alone"/>
        <w:spacing w:before="0"/>
        <w:rPr>
          <w:i/>
        </w:rPr>
      </w:pPr>
      <w:r>
        <w:rPr>
          <w:i/>
        </w:rPr>
        <w:t>Период 2014—2020 г.:</w:t>
      </w:r>
    </w:p>
    <w:p>
      <w:pPr>
        <w:pStyle w:val="DGTextstand-alone"/>
      </w:pPr>
      <w:r>
        <w:t>При политиката на сближаване държавите членки са предоставили 3 714 милиона евро, за които е изчислено, че към 31 декември 2017 г. все още не са изпълнени 2 760 милиона евро. Това включва приноса на държавите членки към инициативата за МСП, която е инструмент, имащ за цел да се стимулира допълнителното отпускане на заеми от банковия сектор на МСП (платени са 966 милиона евро, за които е изчислено, че 315 милиона евро все още не са изпълнени).</w:t>
      </w:r>
    </w:p>
    <w:p>
      <w:pPr>
        <w:pStyle w:val="DGTextstand-alone"/>
      </w:pPr>
      <w:r>
        <w:t>Що се отнася до развитието на селските райони, към края на годината са останали неусвоени 8 милиона евро.</w:t>
      </w:r>
    </w:p>
    <w:p>
      <w:pPr>
        <w:pStyle w:val="Textstand-alone"/>
        <w:spacing w:before="0"/>
        <w:rPr>
          <w:i/>
        </w:rPr>
      </w:pPr>
      <w:r>
        <w:rPr>
          <w:i/>
        </w:rPr>
        <w:t xml:space="preserve">Период 2007—2013 г.: </w:t>
      </w:r>
    </w:p>
    <w:p>
      <w:pPr>
        <w:pStyle w:val="DGTextstand-alone"/>
      </w:pPr>
      <w:r>
        <w:t>Счита се, че всички суми, свързани с политиката на сближаване, са били или усвоени, или отнесени към други мерки, поради което към 31 декември 2017 г. в счетоводния баланс няма активи. Следва да се отбележи, че реалното изпълнение от различните инструменти ще бъде прегледано като част от процеса на приключване на програмите.</w:t>
      </w:r>
    </w:p>
    <w:p>
      <w:pPr>
        <w:pStyle w:val="HEADER5"/>
        <w:spacing w:before="240"/>
        <w:rPr>
          <w:b/>
          <w:noProof/>
        </w:rPr>
      </w:pPr>
      <w:r>
        <w:rPr>
          <w:noProof/>
        </w:rPr>
        <w:t>Схеми за помощ</w:t>
      </w:r>
    </w:p>
    <w:p>
      <w:pPr>
        <w:pStyle w:val="Textstand-alone"/>
      </w:pPr>
      <w:r>
        <w:t>Подобно на посоченото по-горе, изплатените от държавите членки аванси за различни схеми за помощ (държавна помощ, пазарни мерки на ЕФГЗ или инвестиционни мерки на ЕЗФРСР), които не са усвоени към края на годината, се записват като активи в счетоводния баланс на ЕС. Комисията е оценила стойността на тези авансови средства въз основа на предоставената от държавите членки информация. Получените суми са включени в подпозицията за схемите за помощ по-горе.</w:t>
      </w:r>
    </w:p>
    <w:p>
      <w:pPr>
        <w:pStyle w:val="Textstand-alone"/>
        <w:spacing w:before="0"/>
        <w:rPr>
          <w:i/>
        </w:rPr>
      </w:pPr>
      <w:r>
        <w:rPr>
          <w:i/>
        </w:rPr>
        <w:t>Период 2014—2020 г.:</w:t>
      </w:r>
    </w:p>
    <w:p>
      <w:pPr>
        <w:pStyle w:val="Textstand-alone"/>
        <w:spacing w:before="0"/>
      </w:pPr>
      <w:r>
        <w:t>Неизползваните суми към края на годината бяха оценени на 680 милиона евро за политиката на сближаване и 904 милиона евро за селскостопанската политика.</w:t>
      </w:r>
    </w:p>
    <w:p>
      <w:pPr>
        <w:pStyle w:val="Textstand-alone"/>
        <w:spacing w:before="0"/>
        <w:rPr>
          <w:i/>
        </w:rPr>
      </w:pPr>
      <w:r>
        <w:rPr>
          <w:i/>
        </w:rPr>
        <w:t>Период 2007—2013 г.:</w:t>
      </w:r>
    </w:p>
    <w:p>
      <w:pPr>
        <w:pStyle w:val="Textstand-alone"/>
        <w:spacing w:before="0"/>
      </w:pPr>
      <w:r>
        <w:t>Счита се, че към края на 2017 г. са останали неусвоени 311 милиона евро (2016 г.: 461 милиона евро), които представляват авансови плащания, извършени в контекста на селскостопанската политика.</w:t>
      </w:r>
    </w:p>
    <w:p>
      <w:pPr>
        <w:pStyle w:val="Textstand-alone"/>
        <w:spacing w:before="0" w:after="0"/>
        <w:sectPr>
          <w:headerReference w:type="even" r:id="rId159"/>
          <w:headerReference w:type="default" r:id="rId160"/>
          <w:footerReference w:type="even" r:id="rId161"/>
          <w:footerReference w:type="default" r:id="rId162"/>
          <w:headerReference w:type="first" r:id="rId163"/>
          <w:footerReference w:type="first" r:id="rId164"/>
          <w:type w:val="continuous"/>
          <w:pgSz w:w="11906" w:h="16838"/>
          <w:pgMar w:top="1134" w:right="1134" w:bottom="1134" w:left="1134" w:header="709" w:footer="709" w:gutter="0"/>
          <w:cols w:space="708"/>
          <w:docGrid w:linePitch="360"/>
        </w:sectPr>
      </w:pPr>
      <w:r>
        <w:t xml:space="preserve"> </w:t>
      </w:r>
      <w:bookmarkEnd w:id="74"/>
    </w:p>
    <w:p>
      <w:pPr>
        <w:pStyle w:val="HEADER2NOTES"/>
        <w:spacing w:before="720"/>
        <w:rPr>
          <w:noProof/>
        </w:rPr>
      </w:pPr>
      <w:bookmarkStart w:id="78" w:name="_DMBM_11308"/>
      <w:r>
        <w:rPr>
          <w:noProof/>
        </w:rPr>
        <w:t>ВЗЕМАНИЯ ПО ОПЕРАЦИИ С РАЗМЯНА И СРЕДСТВА, ПОДЛЕЖАЩИ НА СЪБИРАНЕ, ПО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1256"/>
        <w:gridCol w:w="1813"/>
        <w:gridCol w:w="1814"/>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9" w:name="DOC_TBL00026_1_1"/>
            <w:bookmarkEnd w:id="7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Средства, подлежащи на събиране,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717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Средства, подлежащи на събиране,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11 065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558</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11 755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10 905</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12 366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11 621</w:t>
            </w:r>
          </w:p>
        </w:tc>
      </w:tr>
    </w:tbl>
    <w:p>
      <w:pPr>
        <w:pStyle w:val="HEADER3NOTES"/>
        <w:spacing w:after="0"/>
        <w:rPr>
          <w:noProof/>
        </w:rPr>
      </w:pPr>
      <w:r>
        <w:rPr>
          <w:noProof/>
        </w:rPr>
        <w:t>Средства, подлежащи на събиране, от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1256"/>
        <w:gridCol w:w="1811"/>
        <w:gridCol w:w="181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0" w:name="DOC_TBL00027_1_1"/>
            <w:bookmarkEnd w:id="8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Държави членки</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700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Държави членки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8 162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Глоби в областта на конкуренцията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Начислени приходи и разходи за бъдещи периоди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Други средства, подлежащи на събиране</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11 065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10 347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11 659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11 047</w:t>
            </w:r>
          </w:p>
        </w:tc>
      </w:tr>
    </w:tbl>
    <w:p>
      <w:pPr>
        <w:pStyle w:val="HEADER4NOTES"/>
        <w:spacing w:before="600" w:after="0"/>
        <w:rPr>
          <w:noProof/>
        </w:rPr>
      </w:pPr>
      <w:r>
        <w:rPr>
          <w:noProof/>
        </w:rPr>
        <w:t>Средства, подлежащи на събиране от държавите членки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81" w:name="DOC_TBL00028_1_1"/>
            <w:bookmarkEnd w:id="8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ТСР, установени в сметка „А“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3 261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ТСР, установени в отделната сметка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1 617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1 437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Собствени ресурси за получаване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1 764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Обезценка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(753)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Други</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56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36</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Средства, подлежащи на събиране, в областта на собствените ресурси</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5 745</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r>
              <w:t>Европейски фонд за гарантиране на земеделието (ЕФГЗ)</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2 280</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2 606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Европейски земеделски фонд за развитие на селските райони (ЕЗФРСР)</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Временен инструмент за развитие на селските райони (ВИРСР)</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Специална предприсъединителна програма за развитие на земеделието и селските райони (САПАРД)</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167</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Обезценка</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(804)</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(999)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Средства, подлежащи на събиране, в областта на ЕФГЗ и на развитието на селските райони</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2 583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2 729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Очаквано събиране на предварително финансиране</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182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293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Платен ДДС и ДДС, подлежащ на събиране</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64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41</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Други средства, подлежащи на събиране от държавите членки</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120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55</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6 784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8 863</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Нетекущи</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594</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700</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Текущи</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6 190</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8 162</w:t>
            </w:r>
          </w:p>
        </w:tc>
      </w:tr>
    </w:tbl>
    <w:p>
      <w:pPr>
        <w:pStyle w:val="DGTextstand-alone"/>
      </w:pPr>
      <w:r>
        <w:t>Нетекущите суми, които държавите членки дължат, са свързани с неизпълнени решения за уравняване с оглед на съответствието за Европейския фонд за гарантиране на земеделието (ЕФГЗ) и Европейския земеделски фонд за развитие на селските райони (ЕЗФРСР), които трябва да бъдат изплатени на годишни траншове и/или с отсрочване. Сумите в другите подлежащи на събиране суми включват също сумите от глобите, наложени на държавите членки за нарушаване на правото на Съюза (24 милиона евро).</w:t>
      </w:r>
    </w:p>
    <w:p>
      <w:pPr>
        <w:pStyle w:val="Textstand-alone"/>
        <w:rPr>
          <w:b/>
        </w:rPr>
      </w:pPr>
      <w:r>
        <w:rPr>
          <w:color w:val="016794"/>
        </w:rPr>
        <w:t>Средства, подлежащи на събиране, в областта на собствените ресурси</w:t>
      </w:r>
    </w:p>
    <w:p>
      <w:pPr>
        <w:pStyle w:val="DGTextstand-alone"/>
      </w:pPr>
      <w:r>
        <w:t xml:space="preserve">Традиционните собствени ресурси (ТСР), които се състоят от мита и налози върху захарта, се събират от държавите членки от името на Комисията. Държавите членки установяват ТСР и съобщават размера на установените вземания на Комисията посредством месечни отчети за сметка „A“. Установените вземания, които не са включени в сметка „А“, тъй като не са събрани от държавите членки и за тях не е предоставено обезпечение (или е предоставено обезпечение, но те са оспорени), се посочват в „отделната сметка“. Тези вземания подлежат на обезценка въз основа на информацията, предоставяна всяка година от държавите членки. </w:t>
      </w:r>
    </w:p>
    <w:p>
      <w:pPr>
        <w:pStyle w:val="DGTextstand-alone"/>
      </w:pPr>
      <w:r>
        <w:t>На 31 декември 2016 г. имаше одобрени корекции на собствените ресурси във връзка с новите разпоредби, въведени с Решението за собствените ресурси (РСР) от 2014 г., за 2014 г., 2015 г. и 2016 г., като собствените ресурси бяха дължими на 1 януари 2017 г. Оставащите суми са свързани с коригиращ бюджет № 6/2017, приет на 30 ноември 2017 г. Сумите трябваше да бъдат получени на първия работен ден на януари 2018 г.</w:t>
      </w:r>
    </w:p>
    <w:p>
      <w:pPr>
        <w:pStyle w:val="DGTextstand-alone"/>
      </w:pPr>
      <w:r>
        <w:t>На 8 март 2018 г. Европейската комисия изпрати официално уведомително писмо (нарушение № 2018/2008) на Обединеното кралство във връзка с неговия отказ да предостави мита на бюджета на ЕС, както се изисква съгласно правото на ЕС. В доклад на OLAF от 2017 г. бе констатирано, че вносители в Обединеното кралство са избегнали заплащането на значителна сума мита, като при вноса са използвали фиктивни и фалшиви фактури, както и декларации, в които е посочена неправилна митническа стойност. Комисията изчислява, че нарушението на законодателството на ЕС от страна на Обединеното кралство е довело, през периода от ноември 2011 г. до декември 2017 г., до загуби за бюджета на ЕС в размер на 2,2 милиарда евро (нетна сума, т.е. след приспадане на разходите по събирането, които Обединеното кралство следва да задържи, от брутната сума 2,7 милиарда евро). Върху тази сума ще бъдат дължими и лихви за забава. Въпросните суми не са включени в настоящите отчети за 2017 г., тъй като те ще бъдат признати едва след като бъдат изпълнени критериите за признаване на приходите в съответствие със счетоводните правила на ЕС.</w:t>
      </w:r>
    </w:p>
    <w:p>
      <w:pPr>
        <w:pStyle w:val="Textstand-alone"/>
        <w:rPr>
          <w:b/>
        </w:rPr>
      </w:pPr>
      <w:r>
        <w:rPr>
          <w:color w:val="016794"/>
        </w:rPr>
        <w:t>Средства, подлежащи на събиране, в областта на ЕФГЗ и на развитието на селските райони</w:t>
      </w:r>
    </w:p>
    <w:p>
      <w:pPr>
        <w:pStyle w:val="DGTextstand-alone"/>
      </w:pPr>
      <w:r>
        <w:t>Тази позиция включва предимно сумите, които държавите членки дължат към 31 декември 2017 г., декларирани и сертифицирани от тях към 15 октомври 2017 г. Направена е приблизителна оценка на средствата, подлежащи на събиране, които възникват след това деклариране до 31 декември 2017 г. Комисията оценява също размера на намаление за сумите, дължими от бенефициерите, които е малко вероятно да бъдат събрани. Фактът, че се прави такава корекция, не означава, че Комисията се отказва от събирането на тези суми в бъдеще. В корекцията е включено и отчисление от 20 %, което съответства на средствата, които държавите членки могат да задържат за покриване на административните си разходи.</w:t>
      </w:r>
    </w:p>
    <w:p>
      <w:pPr>
        <w:pStyle w:val="HEADER4NOTES"/>
        <w:spacing w:after="0"/>
        <w:rPr>
          <w:noProof/>
        </w:rPr>
      </w:pPr>
      <w:r>
        <w:rPr>
          <w:noProof/>
        </w:rPr>
        <w:t>Средства, подлежащи на събиране, от глоби в областта на конкуренцията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2" w:name="DOC_TBL00029_1_1"/>
            <w:bookmarkEnd w:id="8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Брутна сума на средствата, подлежащи на събиране, от глоби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6 510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Минус платените суми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(4 524)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Минус намалените суми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4 225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1 808</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Нетекущи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Текущи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4 225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1 808</w:t>
            </w:r>
          </w:p>
        </w:tc>
      </w:tr>
    </w:tbl>
    <w:p>
      <w:pPr>
        <w:pStyle w:val="DGTextstand-alone"/>
      </w:pPr>
      <w:r>
        <w:t xml:space="preserve">Подлежащите на събиране 4 225 милиона евро се отнасят до глоби в областта на конкуренцията, които не са получени към края на годината (4 397 милиона евро), минус намаленията на стойността (172 милиона евро). Получените суми се отнасят предимно до постъпления от предприятия, които при все това са започнали обжалване или все още имат възможност да обжалват решенията за налагане на глоба пред съдилищата на ЕС. Оповестен е условен пасив поради възможността тези суми да бъдат върнати на предприятията (вж. бележка </w:t>
      </w:r>
      <w:r>
        <w:rPr>
          <w:b/>
        </w:rPr>
        <w:t>4.1.4</w:t>
      </w:r>
      <w:r>
        <w:t xml:space="preserve">). </w:t>
      </w:r>
    </w:p>
    <w:p>
      <w:pPr>
        <w:pStyle w:val="DGTextstand-alone"/>
      </w:pPr>
      <w:r>
        <w:t>Глобените предприятия, които са започнали или планират да започнат обжалване, имат възможност да направят условни плащания или да предоставят на Комисията банкова гаранция.</w:t>
      </w:r>
    </w:p>
    <w:p>
      <w:pPr>
        <w:pStyle w:val="DGTextstand-alone"/>
      </w:pPr>
      <w:r>
        <w:t xml:space="preserve">Следва да бъде отбелязано, че 942 милиона евро от глобите, които не бяха платени към края на годината, бяха дължими след 31 декември 2017 г. За някои от глобите, които не бяха получени към края на годината, Комисията прие гаранции на обща стойност 3 124 милиона евро (2016 г.: 1 012 милиона евро). След 31 декември 2017 г. Комисията прие допълнителни гаранции в размер на 880 милиона евро. </w:t>
      </w:r>
    </w:p>
    <w:p>
      <w:pPr>
        <w:pStyle w:val="DGTextstand-alone"/>
      </w:pPr>
      <w:r>
        <w:t xml:space="preserve">Намаленията на стойността на глобите отразяват преценката на Комисията, за всеки отделен случай, във връзка с размера на неполучените глоби или глобите, които не са покрити от гаранция, които Комисията очаква да не събере.  </w:t>
      </w:r>
    </w:p>
    <w:p>
      <w:pPr>
        <w:pStyle w:val="DGTextstand-alone"/>
      </w:pPr>
      <w:r>
        <w:t xml:space="preserve">Увеличението на подлежащите на събиране средства при глобите в областта на конкуренцията се отнася предимно до една значителна по размер глоба (2 424 милиона евро) в случай, при който съответните предприятия са обезпечили глобата с приети от Комисията банкови гаранции, т.е. глобата няма да бъде получена до окончателното уреждане на съдебния спор. </w:t>
      </w:r>
    </w:p>
    <w:p>
      <w:pPr>
        <w:pStyle w:val="HEADER4NOTES"/>
        <w:spacing w:after="0"/>
        <w:rPr>
          <w:noProof/>
        </w:rPr>
      </w:pPr>
      <w:r>
        <w:rPr>
          <w:noProof/>
        </w:rPr>
        <w:t>Начислени приходи и разходи за бъдещи периоди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000000" w:themeColor="text1"/>
              </w:rPr>
            </w:pPr>
            <w:bookmarkStart w:id="83" w:name="DOC_TBL00030_1_1"/>
            <w:bookmarkEnd w:id="8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корекции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 начислени 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Разходи за бъдещи периоди, свързани с операции без размяна</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329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Нетекущи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Текущи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329</w:t>
            </w:r>
          </w:p>
        </w:tc>
      </w:tr>
    </w:tbl>
    <w:p>
      <w:pPr>
        <w:pStyle w:val="DGTextstand-alone"/>
        <w:rPr>
          <w:color w:val="000000" w:themeColor="text1"/>
        </w:rPr>
      </w:pPr>
      <w:r>
        <w:rPr>
          <w:color w:val="000000" w:themeColor="text1"/>
        </w:rPr>
        <w:t>Другите начислени приходи включват 271 милиона евро, които Комисията очаква да събере от държавите членки в областта на сближаването. Събирането ще бъде осъществено в резултат на разглеждането и приемането на годишните отчети, представени от държавите членки на 15 февруари 2018 г. Тази процедура за приемане на годишните отчети на държавите членки бе въведена за първи път в областта на сближаването за периода на програмиране 2014—2020 г.</w:t>
      </w:r>
    </w:p>
    <w:p>
      <w:pPr>
        <w:pStyle w:val="HEADER3NOTES"/>
        <w:spacing w:after="0"/>
        <w:rPr>
          <w:noProof/>
        </w:rPr>
      </w:pPr>
      <w:r>
        <w:rPr>
          <w:noProof/>
        </w:rPr>
        <w:t>Вземания от операции с размяна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4" w:name="DOC_TBL00031_1_1"/>
            <w:bookmarkEnd w:id="8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вземания</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Клиенти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Обезценка на вземанията от клиенти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бъдещи периоди, свързани с операции с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689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707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574</w:t>
            </w:r>
          </w:p>
        </w:tc>
      </w:tr>
    </w:tbl>
    <w:p>
      <w:pPr>
        <w:pStyle w:val="DGTextstand-alone"/>
        <w:spacing w:after="0"/>
      </w:pPr>
      <w:r>
        <w:t>Обезценката на вземанията от клиенти, оповестена по-горе, включва обезценка на стойност 68 милиона евро, определена на индивидуална основа.</w:t>
      </w:r>
    </w:p>
    <w:p>
      <w:pPr>
        <w:pStyle w:val="DGTextstand-alone"/>
        <w:spacing w:before="0" w:after="0"/>
        <w:sectPr>
          <w:headerReference w:type="even" r:id="rId165"/>
          <w:headerReference w:type="default" r:id="rId166"/>
          <w:footerReference w:type="even" r:id="rId167"/>
          <w:footerReference w:type="default" r:id="rId168"/>
          <w:headerReference w:type="first" r:id="rId169"/>
          <w:footerReference w:type="first" r:id="rId170"/>
          <w:type w:val="continuous"/>
          <w:pgSz w:w="11906" w:h="16838"/>
          <w:pgMar w:top="1134" w:right="1134" w:bottom="1134" w:left="1134" w:header="709" w:footer="709" w:gutter="0"/>
          <w:cols w:space="708"/>
          <w:docGrid w:linePitch="360"/>
        </w:sectPr>
      </w:pPr>
      <w:r>
        <w:t xml:space="preserve"> </w:t>
      </w:r>
      <w:bookmarkEnd w:id="78"/>
    </w:p>
    <w:p>
      <w:pPr>
        <w:pStyle w:val="HEADER2NOTES"/>
        <w:rPr>
          <w:noProof/>
        </w:rPr>
      </w:pPr>
      <w:bookmarkStart w:id="85" w:name="_DMBM_11283"/>
      <w:r>
        <w:rPr>
          <w:noProof/>
        </w:rPr>
        <w:t xml:space="preserve">МАТЕРИАЛНИ ЗАПАСИ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6" w:name="DOC_TBL00032_1_1"/>
            <w:bookmarkEnd w:id="8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Научни материали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295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165</w:t>
            </w:r>
          </w:p>
        </w:tc>
      </w:tr>
    </w:tbl>
    <w:p>
      <w:pPr>
        <w:pStyle w:val="Textstand-alone"/>
        <w:spacing w:before="0" w:after="0"/>
        <w:sectPr>
          <w:headerReference w:type="even" r:id="rId171"/>
          <w:headerReference w:type="default" r:id="rId172"/>
          <w:footerReference w:type="even" r:id="rId173"/>
          <w:footerReference w:type="default" r:id="rId174"/>
          <w:headerReference w:type="first" r:id="rId175"/>
          <w:footerReference w:type="first" r:id="rId176"/>
          <w:type w:val="continuous"/>
          <w:pgSz w:w="11906" w:h="16838"/>
          <w:pgMar w:top="1134" w:right="1134" w:bottom="1134" w:left="1134" w:header="709" w:footer="709" w:gutter="0"/>
          <w:cols w:space="708"/>
          <w:docGrid w:linePitch="360"/>
        </w:sectPr>
      </w:pPr>
      <w:r>
        <w:t xml:space="preserve"> </w:t>
      </w:r>
      <w:bookmarkEnd w:id="85"/>
    </w:p>
    <w:p>
      <w:pPr>
        <w:pStyle w:val="HEADER2NOTES"/>
        <w:rPr>
          <w:noProof/>
        </w:rPr>
      </w:pPr>
      <w:bookmarkStart w:id="87" w:name="_DMBM_11316"/>
      <w:r>
        <w:rPr>
          <w:noProof/>
        </w:rPr>
        <w:t>ПАРИ И ПАРИЧНИ ЕКВИВАЛЕНТИ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1256"/>
        <w:gridCol w:w="1811"/>
        <w:gridCol w:w="1812"/>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8" w:name="DOC_TBL00033_1_1"/>
            <w:bookmarkEnd w:id="8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Сметки към министерствата на финансите и в централните банки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24 566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Текущи сметки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Сметки за авансови средства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Трансфери (парични средства в движение)</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Банкови сметки за изпълнението на бюджета</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2.8.1</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20 236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24 698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Парични средства, предназначени за финансови инструменти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2.8.2</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1 608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1 390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Парични средства, свързани с глоби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2.8.3</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1 234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1 325</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Парични средства, свързани с други институции, агенции и органи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999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1 006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Парични средства, свързани с доверителни фондове</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24 111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28 585</w:t>
            </w:r>
          </w:p>
        </w:tc>
      </w:tr>
    </w:tbl>
    <w:p>
      <w:pPr>
        <w:pStyle w:val="HEADER3NOTES"/>
        <w:rPr>
          <w:noProof/>
        </w:rPr>
      </w:pPr>
      <w:r>
        <w:rPr>
          <w:noProof/>
        </w:rPr>
        <w:t>Банкови сметки за изпълнението на бюджета и други срочни депозити</w:t>
      </w:r>
    </w:p>
    <w:p>
      <w:pPr>
        <w:pStyle w:val="DGTextstand-alone"/>
      </w:pPr>
      <w:r>
        <w:t>Тази позиция обхваща средствата, които Комисията държи в банковите си сметки във всяка държава членка и държава от ЕАСТ (към министерството на финансите или в централната банка), както и в текущи сметки в търговски банки, в сметки за авансови средства и в каса. Касовите наличности към края на 2017 г. се дължат на следните основни елементи:</w:t>
      </w:r>
    </w:p>
    <w:p>
      <w:pPr>
        <w:pStyle w:val="DGTextstand-alone"/>
        <w:numPr>
          <w:ilvl w:val="0"/>
          <w:numId w:val="26"/>
        </w:numPr>
        <w:rPr>
          <w:sz w:val="16"/>
        </w:rPr>
      </w:pPr>
      <w:r>
        <w:t>Що се отнася до собствените ресурси, касовите наличности към края на годината съдържат обща нетна сума от 8,9 милиарда евро, която трябва да бъде върната на държавите членки в началото на 2018 г. вследствие на коригиращ бюджет, приет в края на 2017 г.</w:t>
      </w:r>
    </w:p>
    <w:p>
      <w:pPr>
        <w:pStyle w:val="DGTextstand-alone"/>
        <w:numPr>
          <w:ilvl w:val="0"/>
          <w:numId w:val="26"/>
        </w:numPr>
        <w:rPr>
          <w:sz w:val="16"/>
        </w:rPr>
      </w:pPr>
      <w:r>
        <w:t>Допълнителните глоби, наложени от Комисията за нарушаване на правилата за конкуренция, в размер на 0,5 милиарда евро, окончателно платени в края на 2017 г., също са част от касовите наличности към края на годината.</w:t>
      </w:r>
    </w:p>
    <w:p>
      <w:pPr>
        <w:pStyle w:val="DGTextstand-alone"/>
        <w:numPr>
          <w:ilvl w:val="0"/>
          <w:numId w:val="26"/>
        </w:numPr>
        <w:rPr>
          <w:sz w:val="16"/>
        </w:rPr>
      </w:pPr>
      <w:r>
        <w:t>Касовите наличности включват също така бюджетни кредити за плащания от целеви приходи в размер на 8,4 милиарда евро.</w:t>
      </w:r>
    </w:p>
    <w:p>
      <w:pPr>
        <w:pStyle w:val="HEADER3NOTES"/>
        <w:rPr>
          <w:noProof/>
        </w:rPr>
      </w:pPr>
      <w:r>
        <w:rPr>
          <w:noProof/>
        </w:rPr>
        <w:t>Парични средства, предназначени за финансови инструменти</w:t>
      </w:r>
    </w:p>
    <w:p>
      <w:pPr>
        <w:pStyle w:val="Textstand-alone"/>
      </w:pPr>
      <w:r>
        <w:t xml:space="preserve">Сумите в тази позиция се отнасят предимно до парични еквиваленти, управлявани от доверени лица от името на Комисията с цел изпълнение на конкретни програми по линия на финансови инструменти, финансирани от бюджета на ЕС (вж. бележка </w:t>
      </w:r>
      <w:r>
        <w:rPr>
          <w:b/>
        </w:rPr>
        <w:t>2.4.1</w:t>
      </w:r>
      <w:r>
        <w:t>). Средствата, предназначени за финансови инструменти, могат да се използват само в съответната програма.</w:t>
      </w:r>
    </w:p>
    <w:p>
      <w:pPr>
        <w:pStyle w:val="HEADER3NOTES"/>
        <w:rPr>
          <w:noProof/>
        </w:rPr>
      </w:pPr>
      <w:r>
        <w:rPr>
          <w:noProof/>
        </w:rPr>
        <w:t>Парични средства, свързани с глоби</w:t>
      </w:r>
    </w:p>
    <w:p>
      <w:pPr>
        <w:pStyle w:val="Textstand-alone"/>
      </w:pPr>
      <w:r>
        <w:t>Това са парични средства, получени във връзка с глоби, наложени от Комисията, по които случаят все още не е приключен. Тези суми се държат в специални депозитни сметки, които не се използват за никакви други дейности. При обжалване или когато не е известно дали другата страна ще обжалва, съответната сума се оповестява като условен пасив в бележка </w:t>
      </w:r>
      <w:r>
        <w:rPr>
          <w:b/>
        </w:rPr>
        <w:t>4.1.4</w:t>
      </w:r>
      <w:r>
        <w:t>.</w:t>
      </w:r>
    </w:p>
    <w:p>
      <w:pPr>
        <w:pStyle w:val="Textstand-alone"/>
        <w:spacing w:after="0"/>
      </w:pPr>
      <w:r>
        <w:t>От 2010 г. всички нови условно платени глоби се управляват от Комисията във фонда BUFI и се инвестират във финансови инструменти, категоризирани като обявени за продажба (вж. бележка </w:t>
      </w:r>
      <w:r>
        <w:rPr>
          <w:b/>
        </w:rPr>
        <w:t>2.4.1</w:t>
      </w:r>
      <w:r>
        <w:t>).</w:t>
      </w:r>
    </w:p>
    <w:p>
      <w:pPr>
        <w:pStyle w:val="Textstand-alone"/>
        <w:spacing w:before="0"/>
        <w:sectPr>
          <w:headerReference w:type="even" r:id="rId177"/>
          <w:headerReference w:type="default" r:id="rId178"/>
          <w:footerReference w:type="even" r:id="rId179"/>
          <w:footerReference w:type="default" r:id="rId180"/>
          <w:headerReference w:type="first" r:id="rId181"/>
          <w:footerReference w:type="first" r:id="rId182"/>
          <w:type w:val="continuous"/>
          <w:pgSz w:w="11906" w:h="16838"/>
          <w:pgMar w:top="1134" w:right="1134" w:bottom="1134" w:left="1134" w:header="709" w:footer="709" w:gutter="0"/>
          <w:cols w:space="708"/>
          <w:docGrid w:linePitch="360"/>
        </w:sectPr>
      </w:pPr>
      <w:r>
        <w:t xml:space="preserve"> </w:t>
      </w:r>
      <w:bookmarkEnd w:id="87"/>
    </w:p>
    <w:p>
      <w:pPr>
        <w:pStyle w:val="HEADERTABLE"/>
        <w:spacing w:after="0"/>
        <w:rPr>
          <w:noProof/>
        </w:rPr>
      </w:pPr>
      <w:bookmarkStart w:id="89" w:name="_DMBM_11279"/>
      <w:r>
        <w:rPr>
          <w:noProof/>
        </w:rPr>
        <w:t>ПАСИВИ</w:t>
      </w:r>
    </w:p>
    <w:p>
      <w:pPr>
        <w:pStyle w:val="HEADER2NOTES"/>
        <w:rPr>
          <w:noProof/>
        </w:rPr>
      </w:pPr>
      <w:bookmarkStart w:id="90" w:name="_DMBM_11291"/>
      <w:bookmarkEnd w:id="89"/>
      <w:r>
        <w:rPr>
          <w:noProof/>
        </w:rPr>
        <w:t>ПЕНСИИ И ДРУГИ ДОХОДИ НА НАЕТИ ЛИЦА</w:t>
      </w:r>
    </w:p>
    <w:p>
      <w:pPr>
        <w:pStyle w:val="HEADER5"/>
        <w:rPr>
          <w:noProof/>
        </w:rPr>
      </w:pPr>
      <w:r>
        <w:rPr>
          <w:noProof/>
        </w:rPr>
        <w:t>Нетно задължение във връзка със схемата за доходи на наети лица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391"/>
        <w:gridCol w:w="1398"/>
        <w:gridCol w:w="1398"/>
        <w:gridCol w:w="1478"/>
        <w:gridCol w:w="1488"/>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1" w:name="DOC_TBL00034_1_1"/>
            <w:bookmarkEnd w:id="91"/>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sz w:val="16"/>
              </w:rPr>
            </w:pPr>
            <w:r>
              <w:rPr>
                <w:noProof/>
                <w:sz w:val="16"/>
              </w:rPr>
              <w:t>Пенсионноосигурителна схема на европейските длъжностни лица</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sz w:val="16"/>
              </w:rPr>
            </w:pPr>
            <w:r>
              <w:rPr>
                <w:noProof/>
                <w:sz w:val="16"/>
              </w:rPr>
              <w:t>Други схеми за пенсионно осигуряване</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sz w:val="16"/>
              </w:rPr>
            </w:pPr>
            <w:r>
              <w:rPr>
                <w:noProof/>
                <w:sz w:val="16"/>
              </w:rPr>
              <w:t>Обща система за здравно осигуряване</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sz w:val="16"/>
              </w:rPr>
            </w:pPr>
            <w:r>
              <w:rPr>
                <w:noProof/>
                <w:sz w:val="16"/>
              </w:rPr>
              <w:t>31.12.2017 г. Общо</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sz w:val="16"/>
              </w:rPr>
            </w:pPr>
            <w:r>
              <w:rPr>
                <w:noProof/>
                <w:sz w:val="16"/>
              </w:rPr>
              <w:t>31.12.2016 г. Общо</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6"/>
              </w:rPr>
            </w:pPr>
            <w:r>
              <w:rPr>
                <w:sz w:val="16"/>
              </w:rPr>
              <w:t>Задължение за изплащане на дефинирани доходи</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63 951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1 854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7 756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73 560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67 664</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6"/>
              </w:rPr>
            </w:pPr>
            <w:r>
              <w:rPr>
                <w:sz w:val="16"/>
              </w:rPr>
              <w:t>Активи на плана</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N/A</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(432)</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sz w:val="16"/>
              </w:rPr>
            </w:pPr>
            <w:r>
              <w:rPr>
                <w:sz w:val="16"/>
              </w:rPr>
              <w:t>Нетни задължения</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63 951</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1 717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7 455</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73 122</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67 231</w:t>
            </w:r>
          </w:p>
        </w:tc>
      </w:tr>
    </w:tbl>
    <w:p>
      <w:pPr>
        <w:pStyle w:val="DGTextstand-alone"/>
      </w:pPr>
      <w:r>
        <w:t>Увеличението на общия размер на задължението, свързано с доходите на наети лица, се дължи предимно на увеличение на нетното задължение на пенсионноосигурителната схема на европейските длъжностни лица. Това увеличение се дължи предимно: на факта, че допълнителните права за доходи, придобити от членове на схемата, надхвърлят изходящите плащания на доходи по схемата, на актуализираните актюерски предположения и на преглед на качеството на данните, частично компенсирани от увеличението на дисконтовия процент.</w:t>
      </w:r>
    </w:p>
    <w:p>
      <w:pPr>
        <w:pStyle w:val="HEADER3NOTES"/>
        <w:rPr>
          <w:noProof/>
        </w:rPr>
      </w:pPr>
      <w:r>
        <w:rPr>
          <w:noProof/>
        </w:rPr>
        <w:t>Пенсионноосигурителна схема на европейските длъжностни лица</w:t>
      </w:r>
    </w:p>
    <w:p>
      <w:pPr>
        <w:pStyle w:val="DGTextstand-alone"/>
      </w:pPr>
      <w:r>
        <w:t>Това задължение за изплащане на дефинирани доходи представлява настоящата стойност на очакваните бъдещи плащания, които ЕС трябва да направи, за да изпълни пенсионните задължения, произтичащи от трудовия стаж на служителите през текущия и минали периоди. Тъй като схемата е текуща, всички плащания, които трябва да бъдат направени от нея на годишна основа, се включват в бюджета на ЕС всяка година.</w:t>
      </w:r>
    </w:p>
    <w:p>
      <w:pPr>
        <w:pStyle w:val="DGTextstand-alone"/>
      </w:pPr>
      <w:r>
        <w:t xml:space="preserve">В съответствие с член 83 от Правилника за персонала плащането на обезщетенията, предвидени в пенсионноосигурителната схема на персонала, представлява разход за бюджета на ЕС. Схемата не се финансира, но държавите членки колективно гарантират изплащането на тези обезщетения. От основните заплати на активните членове се удържа задължителна пенсионна вноска, която понастоящем е 9,8 %. Тези вноски се третират като бюджетен приход за годината и допринасят за финансирането на разходите на ЕС като цяло (вж. също бележка </w:t>
      </w:r>
      <w:r>
        <w:rPr>
          <w:b/>
        </w:rPr>
        <w:t>3.6</w:t>
      </w:r>
      <w:r>
        <w:t>).</w:t>
      </w:r>
    </w:p>
    <w:p>
      <w:pPr>
        <w:pStyle w:val="DGTextstand-alone"/>
      </w:pPr>
      <w:r>
        <w:t>Задълженията на пенсионноосигурителната схема бяха оценени въз основа на броя на служителите и на пенсионираните служители към 31 декември 2017 г. и на правилата на Правилника за персонала, приложими към тази дата. Тази оценка беше извършена в съответствие с методиката на МССПС 25 (а следователно и на счетоводно правило 12 на ЕС). Както вече беше отбелязано в годишните отчети за 2016 г., съответните служби на Комисията продължиха да работят през 2017 г. за подобряване на методите за събиране на данни, а следователно и на качеството на използваните данни. Постигнати са подобрения, които са отразени в общия размер на задължението, свързано с доходите на наети лица. Работата в това отношение продължава.</w:t>
      </w:r>
    </w:p>
    <w:p>
      <w:pPr>
        <w:pStyle w:val="DGTextstand-alone"/>
      </w:pPr>
      <w:r>
        <w:t xml:space="preserve">През 2018 г. ще се прилага актуализираното счетоводно правило 12 на ЕС, което е основано на МССПС 39. Поради това въздействието на всички промени ще бъде отразено в отчетите за 2018 г. </w:t>
      </w:r>
    </w:p>
    <w:p>
      <w:pPr>
        <w:pStyle w:val="HEADER3NOTES"/>
        <w:rPr>
          <w:noProof/>
        </w:rPr>
      </w:pPr>
      <w:r>
        <w:rPr>
          <w:noProof/>
        </w:rPr>
        <w:t>Други схеми за пенсионно осигуряване</w:t>
      </w:r>
    </w:p>
    <w:p>
      <w:pPr>
        <w:pStyle w:val="DGTextstand-alone"/>
      </w:pPr>
      <w:r>
        <w:t>Тази позиция се отнася до пасива, свързан с пенсионните задължения към членовете и бившите членове на Комисията, Съда (и Общия съд) и Сметната палата, генералните секретари на Съвета, Омбудсмана, Европейския надзорен орган по защита на данните и Съда на публичната служба на Европейския съюз. Също включен в тази позиция е пасив, свързан с пенсиите на членовете на Европейския парламент.</w:t>
      </w:r>
    </w:p>
    <w:p>
      <w:pPr>
        <w:pStyle w:val="HEADER3NOTES"/>
        <w:spacing w:after="120"/>
        <w:rPr>
          <w:noProof/>
        </w:rPr>
      </w:pPr>
      <w:r>
        <w:rPr>
          <w:noProof/>
        </w:rPr>
        <w:t>Обща система за здравно осигуряване</w:t>
      </w:r>
    </w:p>
    <w:p>
      <w:pPr>
        <w:pStyle w:val="DGTextstand-alone"/>
      </w:pPr>
      <w:r>
        <w:t>В допълнение към горепосочените схеми за пенсионно осигуряване се прави оценка на очакваното задължение на ЕС, що се отнася до общата система за здравно осигуряване, във връзка с разходите за здравеопазване, които трябва да се плащат по време на периодите след напускането на служителите (като се приспаднат техните вноски). Изчисляването на това задължение, въз основа на счетоводно правило 12 на ЕС (СПЕС), отчита целия период на активна служба. Актуализацията на СПЕС 12, която е в сила от 2018 г. нататък, ще отразява МССПС 39 и може да доведе до промяна на този метод.</w:t>
      </w:r>
    </w:p>
    <w:p>
      <w:pPr>
        <w:pStyle w:val="HEADER5"/>
        <w:rPr>
          <w:b/>
          <w:noProof/>
        </w:rPr>
      </w:pPr>
      <w:r>
        <w:rPr>
          <w:noProof/>
        </w:rPr>
        <w:t>Движение в настоящата стойност на задължението за изплащане на дефинирани доходи за доходите на наети лица</w:t>
      </w:r>
    </w:p>
    <w:p>
      <w:pPr>
        <w:pStyle w:val="DGTextstand-alone"/>
      </w:pPr>
      <w:r>
        <w:t xml:space="preserve">Настоящата стойност на задължението за изплащане на дефинирани доходи е дисконтираната стойност, без да се приспадат активи на плана, на очакваните бъдещи плащания, необходими за уреждането на задължението, произтичащо от трудовия стаж на наетите лица през текущия и миналите периоди. </w:t>
      </w:r>
    </w:p>
    <w:p>
      <w:pPr>
        <w:pStyle w:val="DGTextstand-alone"/>
        <w:spacing w:before="120" w:after="120"/>
      </w:pPr>
      <w:r>
        <w:t>По-долу е показан анализ на движението в задължението за изплащане на дефинирани доходи за текущата година: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2" w:name="DOC_TBL00035_1_1"/>
            <w:bookmarkEnd w:id="92"/>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Пенсионноосигурителна схема на европейските длъжностни лица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Други схеми за пенсионно осигуряване</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Обща система за здравно осигуряване</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Общо</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Настояща стойност към 31.12.2016 г.</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58 746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1 882</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7 036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67 664</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текущ трудов стаж</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2 637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266</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2 990</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лихви</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1 148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Нетни актюерски (печалби) и загуби</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3 616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3 924</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Вноски от членовете</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Изплатени доходи</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(1 417)</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(1 572)</w:t>
            </w:r>
          </w:p>
        </w:tc>
      </w:tr>
      <w:tr>
        <w:trPr>
          <w:cantSplit/>
        </w:trPr>
        <w:tc>
          <w:tcPr>
            <w:tcW w:w="32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задължението поради данъци върху пенсиите</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(778)</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(777)</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Настояща стойност към 31.12.2017 г.</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63 951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1 854</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7 756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73 560</w:t>
            </w:r>
          </w:p>
        </w:tc>
      </w:tr>
    </w:tbl>
    <w:p>
      <w:pPr>
        <w:pStyle w:val="DGTextstand-alone"/>
      </w:pPr>
      <w:r>
        <w:t xml:space="preserve">Разходите за текущ трудов стаж представляват увеличението на настоящата стойност на задължението за изплащане на дефинирани доходи, което увеличение е следствие от услугите, предоставени от членовете на персонала през текущия период. </w:t>
      </w:r>
    </w:p>
    <w:p>
      <w:pPr>
        <w:pStyle w:val="DGTextstand-alone"/>
      </w:pPr>
      <w:r>
        <w:t xml:space="preserve">Разходите за лихви представляват увеличението през периода на настоящата стойност на задължението за изплащане на дефинирани доходи, което увеличение е следствие от това, че доходите са с един период по-близо до своето плащане. </w:t>
      </w:r>
    </w:p>
    <w:p>
      <w:pPr>
        <w:pStyle w:val="DGTextstand-alone"/>
        <w:spacing w:after="120"/>
      </w:pPr>
      <w:r>
        <w:t>Нетните актюерски печалби и загуби включват:</w:t>
      </w:r>
    </w:p>
    <w:p>
      <w:pPr>
        <w:pStyle w:val="DGTextstand-alone"/>
        <w:numPr>
          <w:ilvl w:val="0"/>
          <w:numId w:val="27"/>
        </w:numPr>
        <w:spacing w:before="120" w:after="120"/>
      </w:pPr>
      <w:r>
        <w:t>Произтеклите от опита и действителността корекции (ефекта от разликите между предходните актюерски предположения за 2017 г. и събитията, които са се случили в действителност през 2017 г.); и</w:t>
      </w:r>
    </w:p>
    <w:p>
      <w:pPr>
        <w:pStyle w:val="DGTextstand-alone"/>
        <w:numPr>
          <w:ilvl w:val="0"/>
          <w:numId w:val="27"/>
        </w:numPr>
        <w:spacing w:before="120" w:after="120"/>
      </w:pPr>
      <w:r>
        <w:t>ефекта от промените в актюерските предположения — финансови (напр. очакваните увеличения на заплатите) или демографски (напр. смъртността). Тези предположения се актуализират редовно, за да бъдат отразени промените в условията, на които те се базират.</w:t>
      </w:r>
    </w:p>
    <w:p>
      <w:pPr>
        <w:pStyle w:val="DGTextstand-alone"/>
      </w:pPr>
      <w:r>
        <w:t>Доходите (например пенсии или възстановени медицински разходи) се изплащат през годината съгласно правилата на схемата. Тези платени доходи водят до намаление на задължението за изплащане на дефинирани доходи, тъй като те вече не трябва да бъдат платени в бъдеще.</w:t>
      </w:r>
    </w:p>
    <w:p>
      <w:pPr>
        <w:rPr>
          <w:rFonts w:ascii="Verdana" w:hAnsi="Verdana"/>
          <w:noProof/>
          <w:color w:val="016794"/>
          <w:sz w:val="18"/>
          <w:szCs w:val="18"/>
        </w:rPr>
      </w:pPr>
      <w:r>
        <w:rPr>
          <w:noProof/>
        </w:rPr>
        <w:br w:type="page"/>
      </w:r>
    </w:p>
    <w:p>
      <w:pPr>
        <w:pStyle w:val="HEADER5"/>
        <w:rPr>
          <w:noProof/>
        </w:rPr>
      </w:pPr>
      <w:r>
        <w:rPr>
          <w:noProof/>
        </w:rPr>
        <w:t>Актюерски предположения — доходи на наети лица</w:t>
      </w:r>
    </w:p>
    <w:p>
      <w:pPr>
        <w:pStyle w:val="DGTextstand-alone"/>
      </w:pPr>
      <w:r>
        <w:t>Основните актюерски предположения, използвани при оценяването на двете основни схеми за доходи на служителите на ЕС, са показани по-долу:</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2899"/>
        <w:gridCol w:w="1928"/>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bookmarkStart w:id="93" w:name="DOC_TBL00036_1_1"/>
            <w:bookmarkEnd w:id="93"/>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Пенсионноосигурителна схема на европейските длъжностни лица</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Обща система за здравно осигуряване</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Номинален дисконтов процент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w:t>
            </w:r>
            <w:r>
              <w:rPr>
                <w:lang w:val="en-GB"/>
              </w:rPr>
              <w:t>,</w:t>
            </w:r>
            <w:r>
              <w:t>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Очаквана инфлация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w:t>
            </w:r>
            <w:r>
              <w:rPr>
                <w:lang w:val="en-GB"/>
              </w:rPr>
              <w:t>,</w:t>
            </w:r>
            <w:r>
              <w:t>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w:t>
            </w:r>
            <w:r>
              <w:rPr>
                <w:lang w:val="en-GB"/>
              </w:rPr>
              <w:t>,</w:t>
            </w:r>
            <w:r>
              <w:t>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Реален дисконтов процент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w:t>
            </w:r>
            <w:r>
              <w:rPr>
                <w:lang w:val="en-GB"/>
              </w:rPr>
              <w:t>,</w:t>
            </w:r>
            <w:r>
              <w:t>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w:t>
            </w:r>
            <w:r>
              <w:rPr>
                <w:lang w:val="en-GB"/>
              </w:rPr>
              <w:t>,</w:t>
            </w:r>
            <w:r>
              <w:t>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Очаквано увеличение на заплатите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w:t>
            </w:r>
            <w:r>
              <w:rPr>
                <w:lang w:val="en-GB"/>
              </w:rPr>
              <w:t>,</w:t>
            </w:r>
            <w:r>
              <w:t>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w:t>
            </w:r>
            <w:r>
              <w:rPr>
                <w:lang w:val="en-GB"/>
              </w:rPr>
              <w:t>,</w:t>
            </w:r>
            <w:r>
              <w:t>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Промяна в медицинските разходи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N/A</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Възраст на пенсиониране</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Номинален дисконтов процент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Очаквана инфлация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Реален дисконтов процент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0,3 %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Очаквано увеличение на заплатите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Промяна в медицинските разходи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N/A</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Възраст на пенсиониране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bl>
    <w:p>
      <w:pPr>
        <w:pStyle w:val="DGTextstand-alone"/>
      </w:pPr>
      <w:r>
        <w:t>Смъртността се основава на таблицата „Живот“ за служителите на ЕС (EU Civil Servants Life Table — EULT 2018) (2016 г.: международна таблица „Живот“ за публичните служители (International Civil Servants Life Table — ICSLT 2013).</w:t>
      </w:r>
    </w:p>
    <w:p>
      <w:pPr>
        <w:pStyle w:val="DGTextstand-alone"/>
      </w:pPr>
      <w:r>
        <w:t>Номиналният дисконтов процент се определя като стойността на доходността на облигациите с нулев купон в евро (със срок 20 години, считано от декември 2017 г., за пенсионноосигурителната схема на европейските длъжностни лица (PSEO) и 25 години за общата система за здравно осигуряване). Използваната инфлация е очакваната инфлация през еквивалентния период. Тя трябва да бъде определена емпирично въз основа на очаквани стойности, изразени чрез свързани с индекс облигации на европейските финансови пазари. Реалният дисконтов процент се изчислява чрез номиналния дисконтов процент и очакваната инфлация в дългосрочен план.</w:t>
      </w:r>
    </w:p>
    <w:p>
      <w:pPr>
        <w:pStyle w:val="HEADER5"/>
        <w:rPr>
          <w:noProof/>
        </w:rPr>
      </w:pPr>
      <w:r>
        <w:rPr>
          <w:noProof/>
        </w:rPr>
        <w:t>Движение в настоящата стойност на активите на плана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4" w:name="DOC_TBL00037_1_1"/>
            <w:bookmarkEnd w:id="94"/>
          </w:p>
        </w:tc>
        <w:tc>
          <w:tcPr>
            <w:tcW w:w="2551"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Други схеми за пенсионно осигуряване</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Обща система за здравно осигуряване</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Общо</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Настояща стойност към 31.12.2016 г.</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139</w:t>
            </w:r>
          </w:p>
        </w:tc>
        <w:tc>
          <w:tcPr>
            <w:tcW w:w="255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293</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432</w:t>
            </w:r>
          </w:p>
        </w:tc>
      </w:tr>
      <w:tr>
        <w:trPr>
          <w:cantSplit/>
        </w:trPr>
        <w:tc>
          <w:tcPr>
            <w:tcW w:w="322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Нетно движение в активите на плана</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25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41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Настояща стойност към 31.12.2017 г.</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137</w:t>
            </w:r>
          </w:p>
        </w:tc>
        <w:tc>
          <w:tcPr>
            <w:tcW w:w="25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301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ing-9pNormalCentered"/>
      </w:pPr>
    </w:p>
    <w:p>
      <w:pPr>
        <w:pStyle w:val="HEADER5"/>
        <w:rPr>
          <w:noProof/>
        </w:rPr>
      </w:pPr>
      <w:r>
        <w:rPr>
          <w:noProof/>
        </w:rPr>
        <w:t>5-годишна тенденция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5" w:name="DOC_TBL00038_1_1"/>
            <w:bookmarkEnd w:id="95"/>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2013</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2014</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2017</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Задължение, свързано с доходите на наети лица</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46 818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58 616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63 814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67 231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73 122</w:t>
            </w:r>
          </w:p>
        </w:tc>
      </w:tr>
    </w:tbl>
    <w:p>
      <w:pPr>
        <w:pStyle w:val="DGTextstand-alone"/>
      </w:pPr>
      <w:r>
        <w:t xml:space="preserve">Значителното увеличение на задължението, свързано с доходите на наети лица, през петте години може да бъде обяснено до голяма степен с намаляването на реалния дисконтов процент, използван за дисконтиране на бъдещите парични потоци. Това намаление е свързано с икономическите условия, и по-специално с намаляването на лихвените проценти. Например, що се отнася до основната схема PSEO, реалният дисконтов процент намаля от 1,8 % в края на 2013 г. на 0,4 % в края на 2017 г. </w:t>
      </w:r>
    </w:p>
    <w:p>
      <w:pPr>
        <w:rPr>
          <w:rFonts w:ascii="Verdana" w:hAnsi="Verdana"/>
          <w:noProof/>
          <w:color w:val="016794"/>
          <w:sz w:val="18"/>
          <w:szCs w:val="18"/>
        </w:rPr>
      </w:pPr>
      <w:r>
        <w:rPr>
          <w:noProof/>
        </w:rPr>
        <w:br w:type="page"/>
      </w:r>
    </w:p>
    <w:p>
      <w:pPr>
        <w:pStyle w:val="HEADER5"/>
        <w:rPr>
          <w:noProof/>
        </w:rPr>
      </w:pPr>
      <w:r>
        <w:rPr>
          <w:noProof/>
        </w:rPr>
        <w:t>Суми, признати в отчета за финансовия резултат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6" w:name="DOC_TBL00039_1_1"/>
            <w:bookmarkEnd w:id="9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Пенсионноосигурителна схема на европейските длъжностни лица</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Други схеми за пенсионно осигуряване</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Обща система за здравно осигуряване</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Общо</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Разходи за текущ трудов стаж</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2 360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2 715</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Разходи за лихви</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1 190</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Разходи за бивш трудов стаж</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Промяна в активите на плана</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Разходи за персонал и за пенсии</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3 387</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103</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318</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3 808</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Актюерски печалби и загуби</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3 236</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(86)</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3 544</w:t>
            </w:r>
          </w:p>
        </w:tc>
      </w:tr>
      <w:tr>
        <w:trPr>
          <w:cantSplit/>
        </w:trP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признати</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6 623</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17</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712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7 353</w:t>
            </w:r>
          </w:p>
        </w:tc>
      </w:tr>
    </w:tbl>
    <w:p>
      <w:pPr>
        <w:pStyle w:val="Heading-9pNormalCentered"/>
      </w:pPr>
      <w:r>
        <w:t xml:space="preserve"> </w:t>
      </w:r>
    </w:p>
    <w:p>
      <w:pPr>
        <w:pStyle w:val="HEADER5"/>
        <w:rPr>
          <w:noProof/>
        </w:rPr>
      </w:pPr>
      <w:r>
        <w:rPr>
          <w:noProof/>
        </w:rPr>
        <w:t>Чувствителност на общата система за здравно осигуряване</w:t>
      </w:r>
    </w:p>
    <w:p>
      <w:pPr>
        <w:pStyle w:val="DGTextstand-alone"/>
      </w:pPr>
      <w:r>
        <w:t>Промяната с един процентен пункт на предположената промяна в медицинските разходи има следните последици: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7" w:name="DOC_TBL00040_1_1"/>
            <w:bookmarkEnd w:id="9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Увеличение с един процентен пункт</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Намаление с един процентен пункт</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Обща стойност на компонента на разходите за текущ трудов стаж и компонента на разходите за лихви от нетните периодични медицински разходи след напускане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Натрупано задължение за изплащане на медицинските разходи след напускане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(1 867)</w:t>
            </w:r>
          </w:p>
        </w:tc>
      </w:tr>
    </w:tbl>
    <w:p>
      <w:pPr>
        <w:pStyle w:val="DGTextstand-alone"/>
        <w:spacing w:before="120" w:after="120"/>
      </w:pPr>
      <w:r>
        <w:t xml:space="preserve"> </w:t>
      </w:r>
      <w:bookmarkEnd w:id="90"/>
    </w:p>
    <w:p>
      <w:pPr>
        <w:pStyle w:val="HEADER2NOTES"/>
        <w:spacing w:before="120" w:after="0"/>
        <w:rPr>
          <w:noProof/>
        </w:rPr>
      </w:pPr>
      <w:bookmarkStart w:id="98" w:name="_DMBM_11323"/>
      <w:r>
        <w:rPr>
          <w:noProof/>
        </w:rPr>
        <w:t>ПРОВИЗИИ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1134"/>
        <w:gridCol w:w="1134"/>
        <w:gridCol w:w="1134"/>
        <w:gridCol w:w="1134"/>
        <w:gridCol w:w="1134"/>
        <w:gridCol w:w="1417"/>
      </w:tblGrid>
      <w:tr>
        <w:trPr>
          <w:trHeight w:val="274"/>
        </w:trPr>
        <w:tc>
          <w:tcPr>
            <w:tcW w:w="156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9" w:name="DOC_TBL00041_1_1"/>
            <w:bookmarkEnd w:id="9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156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Сума към 31.12.2016 г.</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Допълнителни провизии</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Сторнирани неизползвани суми</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Използвани суми</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Трансфер между категориите</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Промяна в очакваната стойност</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Сума към 31.12.2017 г.</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Съдебни дела:</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Селско стопанство</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Сближаване</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Други</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Демонтаж на ядрени обекти</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1 113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853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1 934</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Финансови</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378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1 115</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t>Глоби</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r>
      <w:tr>
        <w:tc>
          <w:tcPr>
            <w:tcW w:w="1560"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Други</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127</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(39)</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272</w:t>
            </w:r>
          </w:p>
        </w:tc>
      </w:tr>
      <w:tr>
        <w:tc>
          <w:tcPr>
            <w:tcW w:w="1560"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Общо</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2 611</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648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(118)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(456)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853</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3 538</w:t>
            </w:r>
          </w:p>
        </w:tc>
      </w:tr>
      <w:tr>
        <w:tc>
          <w:tcPr>
            <w:tcW w:w="1560"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Нетекущи</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1 936</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440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856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2 880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560"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Текущи</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675</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208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659</w:t>
            </w:r>
          </w:p>
        </w:tc>
      </w:tr>
    </w:tbl>
    <w:p>
      <w:pPr>
        <w:pStyle w:val="DGTextstand-alone"/>
      </w:pPr>
      <w:r>
        <w:t>Провизиите представляват суми, произтичащи от минали събития, които вероятно ще трябва да бъдат платени от бюджета на ЕС в бъдеще.</w:t>
      </w:r>
    </w:p>
    <w:p>
      <w:pPr>
        <w:pStyle w:val="HEADER5"/>
        <w:rPr>
          <w:noProof/>
        </w:rPr>
      </w:pPr>
      <w:r>
        <w:rPr>
          <w:noProof/>
        </w:rPr>
        <w:t>Съдебни дела</w:t>
      </w:r>
    </w:p>
    <w:p>
      <w:pPr>
        <w:pStyle w:val="DGTextstand-alone"/>
      </w:pPr>
      <w:r>
        <w:t>Това са очакваните суми, които вероятно ще трябва да бъдат платени след края на годината във връзка с редица продължаващи съдебни дела.</w:t>
      </w:r>
    </w:p>
    <w:p>
      <w:pPr>
        <w:pStyle w:val="HEADER5"/>
        <w:rPr>
          <w:b/>
          <w:noProof/>
        </w:rPr>
      </w:pPr>
      <w:r>
        <w:rPr>
          <w:noProof/>
        </w:rPr>
        <w:t>Демонтаж на ядрени обекти</w:t>
      </w:r>
    </w:p>
    <w:p>
      <w:pPr>
        <w:pStyle w:val="DGTextstand-alone"/>
      </w:pPr>
      <w:r>
        <w:t xml:space="preserve">През 2017 г. основанието за провизията беше актуализирано в съответствие със стратегията за програма на JRC за извеждане от експлоатация и управление на отпадъците (D&amp;WMP) — актуализирана през 2017 г. Прегледът на стратегията, както и на бюджетните нужди и нуждите от персонал, беше направен съвместно с независимата експертна група D&amp;WMP. Той бе извършен във връзка с коментарите, изразени при прегледа на програмата D&amp;WMP на JRC, извършен от външни експерти през 2012 г., и с препоръките, изразени при извършения през 2015 г. вътрешен одит на JRC относно извеждането от експлоатация. Той представлява най-добрата налична оценка на бюджета и персонала, необходими за приключване на извеждането от експлоатация на обектите на JRC в Испра, Геел, Карлсруе и Петен. </w:t>
      </w:r>
    </w:p>
    <w:p>
      <w:pPr>
        <w:pStyle w:val="DGTextstand-alone"/>
      </w:pPr>
      <w:r>
        <w:t>В съответствие със счетоводните правила на ЕС тази провизия се индексира с инфлацията, след което се дисконтира до нетната ѝ настояща стойност (като се използва суаповата крива в евро). Към 31 декември 2017 г. това доведе до провизия в размер на 1 934 милиона евро, разпределени между сумите, които се очаква да бъдат използвани през 2018 г. (30 милиона евро) и след това (1 904 милиона евро). Увеличението от 821 милиона евро в сравнение с 31 декември 2016 г. се дължи предимно на удължения срок (понастоящем около 40 години в сравнение с предишните около 20 години).</w:t>
      </w:r>
    </w:p>
    <w:p>
      <w:pPr>
        <w:pStyle w:val="DGTextstand-alone"/>
        <w:spacing w:after="360"/>
      </w:pPr>
      <w:r>
        <w:t>Трябва да се отбележи, че голямата несигурност, характерна за дългосрочното планиране на извеждането от експлоатация на ядрени съоръжения, може да повлияе на тази оценка, която може да се увеличи значително в бъдеще. Основните източници на несигурност са свързани с крайното състояние изведения от експлоатация обект, ядрените материали, аспектите на управлението и обезвреждането на отпадъците, непълните или липсващите национални нормативни уредби, сложния и продължителен процес на получаване на разрешителни и бъдещото развитие на промишления пазар за извеждане от експлоатация.</w:t>
      </w:r>
    </w:p>
    <w:p>
      <w:pPr>
        <w:pStyle w:val="HEADER5"/>
        <w:spacing w:before="120"/>
        <w:rPr>
          <w:b/>
          <w:noProof/>
        </w:rPr>
      </w:pPr>
      <w:r>
        <w:rPr>
          <w:noProof/>
        </w:rPr>
        <w:t>Финансови провизии</w:t>
      </w:r>
    </w:p>
    <w:p>
      <w:pPr>
        <w:pStyle w:val="DGTextstand-alone"/>
      </w:pPr>
      <w:r>
        <w:t>Те се отнасят предимно до провизиите, представляващи очакваните загуби, които ще бъдат претърпени във връзка с гаранциите, предоставени по линия на различните финансови инструменти, при които съответните субекти са оправомощени да издават гаранции на свое име, но от името и на риска на ЕС. Финансовият риск за ЕС, свързан с гаранциите, е ограничен, а финансовите активи постепенно се обезпечават със средства с цел покриване на бъдещите задействани гаранции. Тази позиция включва също провизиите за непогасените заеми, отпуснати на Сирия от ЕИБ в рамките на мандата ѝ за външно кредитиране и следователно гарантирани от ЕС чрез Гаранционния фонд за външни дейности. Нетекущите финансови провизии се дисконтират до нетната им настояща стойност.</w:t>
      </w:r>
    </w:p>
    <w:p>
      <w:pPr>
        <w:pStyle w:val="DGTextstand-alone"/>
      </w:pPr>
      <w:r>
        <w:t>Увеличението на финансовите провизии е свързано с увеличението на обема на гарантираните операции по финансовите инструменти на „Хоризонт 2020“ и COSME.</w:t>
      </w:r>
    </w:p>
    <w:p>
      <w:pPr>
        <w:pStyle w:val="HEADER2NOTES"/>
        <w:spacing w:before="480" w:after="480"/>
        <w:rPr>
          <w:noProof/>
        </w:rPr>
      </w:pPr>
      <w:r>
        <w:rPr>
          <w:noProof/>
        </w:rPr>
        <w:t xml:space="preserve"> </w:t>
      </w:r>
      <w:bookmarkStart w:id="100" w:name="_DMBM_11314"/>
      <w:bookmarkEnd w:id="98"/>
      <w:r>
        <w:rPr>
          <w:noProof/>
        </w:rPr>
        <w:t>ФИНАНСОВИ ПАСИВИ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1256"/>
        <w:gridCol w:w="1812"/>
        <w:gridCol w:w="181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1" w:name="DOC_TBL00042_1_1"/>
            <w:bookmarkEnd w:id="10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 финансови пасиви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 по амортизирана стойност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50 061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 по справедлива стойност чрез излишъка или дефицита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50 063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 финансови пасиви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 по амортизирана стойност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2 283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 по справедлива стойност чрез излишъка или дефицита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6 850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2 284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57 351</w:t>
            </w:r>
          </w:p>
        </w:tc>
      </w:tr>
    </w:tbl>
    <w:p>
      <w:pPr>
        <w:pStyle w:val="HEADER3NOTES"/>
        <w:rPr>
          <w:noProof/>
        </w:rPr>
      </w:pPr>
      <w:r>
        <w:rPr>
          <w:noProof/>
        </w:rPr>
        <w:t xml:space="preserve">Финансови пасиви по амортизирана стойност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1256"/>
        <w:gridCol w:w="1814"/>
        <w:gridCol w:w="1815"/>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2" w:name="DOC_TBL00043_1_1"/>
            <w:bookmarkEnd w:id="10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Получени заеми за финансова помощ</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Други финансови пасиви</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2 222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Нетекущи</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50 061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Текущи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2 283</w:t>
            </w:r>
          </w:p>
        </w:tc>
      </w:tr>
    </w:tbl>
    <w:p>
      <w:pPr>
        <w:pStyle w:val="HEADER4NOTES"/>
        <w:numPr>
          <w:ilvl w:val="0"/>
          <w:numId w:val="0"/>
        </w:numPr>
        <w:spacing w:before="0" w:after="0"/>
        <w:rPr>
          <w:noProof/>
        </w:rPr>
      </w:pPr>
    </w:p>
    <w:p>
      <w:pPr>
        <w:pStyle w:val="HEADER4NOTES"/>
        <w:spacing w:before="240" w:after="120"/>
        <w:rPr>
          <w:noProof/>
        </w:rPr>
      </w:pPr>
      <w:r>
        <w:rPr>
          <w:noProof/>
        </w:rPr>
        <w:t>Получени заеми за финансова помощ</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3" w:name="DOC_TBL00044_1_1"/>
            <w:bookmarkEnd w:id="103"/>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7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милиони евро</w:t>
            </w:r>
          </w:p>
        </w:tc>
      </w:tr>
      <w:tr>
        <w:trPr>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ЕМФС</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ПБ</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МФП</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Евратом</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ЕОВС в ликвидация</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Общо</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Общо към 31.12.2016 г.</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184</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Нови получени заеми</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Възстановени суми</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(1 336)</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Курсови разлики</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Промени в балансовите стойности</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7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rPr>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към 31.12.2017 г.</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0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54 841</w:t>
            </w:r>
          </w:p>
        </w:tc>
      </w:tr>
      <w:tr>
        <w:trPr>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Нетекущи</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07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93</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48 141</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Текущи</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Textstand-alone"/>
        <w:spacing w:before="120" w:after="120"/>
      </w:pPr>
      <w:r>
        <w:t>Получените заеми на стойност 54 674 милиона евро включват предимно дълговете, удостоверени със сертификати (2016 г.: 54 951 милиона евро). Промените в балансовата стойност съответстват на промяната в начислените лихви.</w:t>
      </w:r>
    </w:p>
    <w:p>
      <w:pPr>
        <w:pStyle w:val="Textstand-alone"/>
        <w:spacing w:before="120" w:after="120"/>
      </w:pPr>
      <w:r>
        <w:t xml:space="preserve">Като се изключи ЕОВС в ликвидация, погасяването на горепосочените получени заеми в крайна сметка се гарантира от бюджета на ЕС (вж. бележка </w:t>
      </w:r>
      <w:r>
        <w:rPr>
          <w:b/>
        </w:rPr>
        <w:t>4.1.2</w:t>
      </w:r>
      <w:r>
        <w:t>), а вследствие на това и от всяка държава членка.</w:t>
      </w:r>
    </w:p>
    <w:p>
      <w:pPr>
        <w:pStyle w:val="HEADER5"/>
        <w:rPr>
          <w:noProof/>
        </w:rPr>
      </w:pPr>
      <w:r>
        <w:rPr>
          <w:noProof/>
        </w:rPr>
        <w:t>Ефективни лихвени проценти за получените заеми (изразени като лихвен диапазон)</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104" w:name="DOC_TBL00045_1_1"/>
            <w:bookmarkEnd w:id="104"/>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Макрофинансова помощ (МФП)</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Евратом</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w:t>
            </w:r>
            <w:r>
              <w:rPr>
                <w:lang w:val="en-GB"/>
              </w:rPr>
              <w:t>,</w:t>
            </w:r>
            <w:r>
              <w:t>68 %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Платежен баланс (ПБ)</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w:t>
            </w:r>
            <w:r>
              <w:rPr>
                <w:lang w:val="en-GB"/>
              </w:rPr>
              <w:t>,</w:t>
            </w:r>
            <w:r>
              <w:t>88 % - 3</w:t>
            </w:r>
            <w:r>
              <w:rPr>
                <w:lang w:val="en-GB"/>
              </w:rPr>
              <w:t>,</w:t>
            </w:r>
            <w:r>
              <w:t>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w:t>
            </w:r>
            <w:r>
              <w:rPr>
                <w:lang w:val="en-GB"/>
              </w:rPr>
              <w:t>,</w:t>
            </w:r>
            <w:r>
              <w:t>37 % - 3</w:t>
            </w:r>
            <w:r>
              <w:rPr>
                <w:lang w:val="en-GB"/>
              </w:rPr>
              <w:t>,</w:t>
            </w:r>
            <w:r>
              <w:t>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механизъм за финансово стабилизиране (ЕМФС)</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ЕОВС в ликвидация</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w:t>
            </w:r>
            <w:r>
              <w:rPr>
                <w:lang w:val="en-GB"/>
              </w:rPr>
              <w:t>,</w:t>
            </w:r>
            <w:r>
              <w:t>91 % - 8</w:t>
            </w:r>
            <w:r>
              <w:rPr>
                <w:lang w:val="en-GB"/>
              </w:rPr>
              <w:t>,</w:t>
            </w:r>
            <w:r>
              <w:t>97 %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w:t>
            </w:r>
            <w:r>
              <w:rPr>
                <w:lang w:val="en-GB"/>
              </w:rPr>
              <w:t>,</w:t>
            </w:r>
            <w:r>
              <w:t>92 % - 9</w:t>
            </w:r>
            <w:r>
              <w:rPr>
                <w:lang w:val="en-GB"/>
              </w:rPr>
              <w:t>,</w:t>
            </w:r>
            <w:r>
              <w:t>78 %</w:t>
            </w:r>
          </w:p>
        </w:tc>
      </w:tr>
    </w:tbl>
    <w:p>
      <w:pPr>
        <w:pStyle w:val="HEADER4NOTES"/>
        <w:spacing w:before="240" w:after="120"/>
        <w:rPr>
          <w:noProof/>
        </w:rPr>
      </w:pPr>
      <w:r>
        <w:rPr>
          <w:noProof/>
        </w:rPr>
        <w:t>Други финансови пасиви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5" w:name="DOC_TBL00046_1_1"/>
            <w:bookmarkEnd w:id="10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Задължения по финансов лизинг</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Сгради, които се изплащат на вноски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1 920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Задължения по финансов лизинг</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Сгради, които се изплащат на вноски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Глоби, които подлежат на възстановяване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150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2 222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ing9pNormalRight025"/>
        <w:rPr>
          <w:noProof/>
        </w:rPr>
      </w:pPr>
    </w:p>
    <w:p>
      <w:pPr>
        <w:rPr>
          <w:rFonts w:ascii="Verdana" w:hAnsi="Verdana"/>
          <w:noProof/>
          <w:color w:val="016794"/>
          <w:sz w:val="18"/>
          <w:szCs w:val="18"/>
        </w:rPr>
      </w:pPr>
      <w:r>
        <w:rPr>
          <w:noProof/>
        </w:rPr>
        <w:br w:type="page"/>
      </w:r>
    </w:p>
    <w:p>
      <w:pPr>
        <w:pStyle w:val="HEADER5"/>
        <w:rPr>
          <w:noProof/>
        </w:rPr>
      </w:pPr>
      <w:r>
        <w:rPr>
          <w:noProof/>
        </w:rPr>
        <w:t>Задължения по финансов лизинг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tc>
          <w:tcPr>
            <w:tcW w:w="3936"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rPr>
            </w:pPr>
            <w:bookmarkStart w:id="106" w:name="DOC_TBL00047_1_1"/>
            <w:bookmarkEnd w:id="106"/>
          </w:p>
        </w:tc>
        <w:tc>
          <w:tcPr>
            <w:tcW w:w="1452"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rPr>
            </w:pPr>
            <w:r>
              <w:t>милиони евро</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Описание</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Бъдещи суми за плащане</w:t>
            </w:r>
          </w:p>
        </w:tc>
      </w:tr>
      <w:tr>
        <w:tc>
          <w:tcPr>
            <w:tcW w:w="3936"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&lt; 1 година</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1—5 години</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&gt; 5 години</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Общо пасив</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Земя и сгради</w:t>
            </w:r>
          </w:p>
        </w:tc>
        <w:tc>
          <w:tcPr>
            <w:tcW w:w="14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424</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1 023</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1 532</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Други материални активи</w:t>
            </w:r>
          </w:p>
        </w:tc>
        <w:tc>
          <w:tcPr>
            <w:tcW w:w="145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към 31.12.2017 г.</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1 023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1 545</w:t>
            </w:r>
          </w:p>
        </w:tc>
      </w:tr>
      <w:tr>
        <w:tc>
          <w:tcPr>
            <w:tcW w:w="3936"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Лихвен елемент</w:t>
            </w:r>
          </w:p>
        </w:tc>
        <w:tc>
          <w:tcPr>
            <w:tcW w:w="14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247</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565</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бъдещи минимални лизингови плащания към 31.12.2017 г.</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158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682</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1 271</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2 111</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Общо бъдещи минимални лизингови плащания към 31.12.2016 г.</w:t>
            </w:r>
          </w:p>
        </w:tc>
        <w:tc>
          <w:tcPr>
            <w:tcW w:w="14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156</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678</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1 439</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2 274</w:t>
            </w:r>
          </w:p>
        </w:tc>
      </w:tr>
    </w:tbl>
    <w:p>
      <w:pPr>
        <w:pStyle w:val="DGTextstand-alone"/>
      </w:pPr>
      <w:r>
        <w:t xml:space="preserve">Сумите за лизинг и сгради, посочени по-горе, ще трябва да бъдат финансирани от бъдещи бюджети. </w:t>
      </w:r>
    </w:p>
    <w:p>
      <w:pPr>
        <w:pStyle w:val="HEADER3NOTES"/>
        <w:rPr>
          <w:noProof/>
        </w:rPr>
      </w:pPr>
      <w:r>
        <w:rPr>
          <w:noProof/>
        </w:rPr>
        <w:t xml:space="preserve">Финансови пасиви по справедлива стойност чрез излишъка или дефицита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7" w:name="DOC_TBL00048_1_1"/>
            <w:bookmarkEnd w:id="107"/>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Вид дериватив</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Теоретична сума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Справедлива стойност</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Теоретична сума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Справедлива стойност</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Валутен форуърден договор</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Валутна опция (пут спред)</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Нетекущи</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Текущи</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1</w:t>
            </w:r>
          </w:p>
        </w:tc>
      </w:tr>
    </w:tbl>
    <w:p>
      <w:pPr>
        <w:pStyle w:val="DGTextstand-alone"/>
      </w:pPr>
      <w:r>
        <w:t>Към 31 декември 2017 г. в ЕС държи деривативен финансов инструмент (валутна опция — опция от вида пут спред), в която покрива обезценката на чуждестранната валута (UHA), свързана със заеми, отпуснати от финансови институции на МСП в Украйна, за да се подобрят достъпът до финансиране и привлекателността на условията по заемите в Украйна. Съгласно условията на договора ЕС предоставя на партньорите си възможност да поискат — за всеки допустим заем — финансов принос от ЕС в размер на максимум 30 % в случай на обезценка на съотношението UHA/EUR.</w:t>
      </w:r>
    </w:p>
    <w:p>
      <w:pPr>
        <w:pStyle w:val="DGTextstand-alone"/>
      </w:pPr>
      <w:r>
        <w:t>Към 31 декември 2017 г. всички финансови пасиви по справедлива стойност чрез излишъка или дефицита са категоризирани в ниво 2 от йерархията на справедливата стойност (оценката се основава на наблюдаеми елементи, различни от котираните цени).</w:t>
      </w:r>
    </w:p>
    <w:p>
      <w:pPr>
        <w:pStyle w:val="HEADER3NOTES"/>
        <w:rPr>
          <w:noProof/>
        </w:rPr>
      </w:pPr>
      <w:r>
        <w:rPr>
          <w:noProof/>
        </w:rPr>
        <w:t>Задължения по финансови гаранции</w:t>
      </w:r>
    </w:p>
    <w:p>
      <w:pPr>
        <w:pStyle w:val="DGTextstand-alone"/>
      </w:pPr>
      <w:r>
        <w:t xml:space="preserve">Гаранцията на ЕФСИ по дълговия портфейл, отпуснат от ЕИБ в рамките на инфраструктурния и иновационен прозорец (ИИП) на ЕФСИ, се класифицира като задължение по финансова гаранция. Към 31 декември 2017 г. общото задължение по финансовата гаранция по ЕФСИ възлизаше на нула, тъй като приходите, които трябва да бъдат получени по линия на гаранцията, надвишават очакваните загуби (вж. бележка </w:t>
      </w:r>
      <w:r>
        <w:rPr>
          <w:b/>
        </w:rPr>
        <w:t>4.1.1</w:t>
      </w:r>
      <w:r>
        <w:t>).</w:t>
      </w:r>
    </w:p>
    <w:p>
      <w:pPr>
        <w:pStyle w:val="DGTextstand-alone"/>
        <w:rPr>
          <w:b/>
        </w:rPr>
      </w:pPr>
      <w:r>
        <w:rPr>
          <w:b/>
        </w:rPr>
        <w:t xml:space="preserve"> </w:t>
      </w:r>
      <w:bookmarkEnd w:id="100"/>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sectPr>
          <w:headerReference w:type="even" r:id="rId183"/>
          <w:headerReference w:type="default" r:id="rId184"/>
          <w:footerReference w:type="even" r:id="rId185"/>
          <w:footerReference w:type="default" r:id="rId186"/>
          <w:headerReference w:type="first" r:id="rId187"/>
          <w:footerReference w:type="first" r:id="rId188"/>
          <w:pgSz w:w="11906" w:h="16838"/>
          <w:pgMar w:top="1134" w:right="1134" w:bottom="1134" w:left="1134" w:header="709" w:footer="709" w:gutter="0"/>
          <w:cols w:space="708"/>
          <w:docGrid w:linePitch="360"/>
        </w:sectPr>
      </w:pPr>
    </w:p>
    <w:p>
      <w:pPr>
        <w:pStyle w:val="HEADER2NOTES"/>
        <w:rPr>
          <w:noProof/>
        </w:rPr>
      </w:pPr>
      <w:bookmarkStart w:id="108" w:name="_DMBM_11302"/>
      <w:r>
        <w:rPr>
          <w:noProof/>
        </w:rPr>
        <w:t>ЗАДЪЛЖЕНИЯ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9" w:name="DOC_TBL00049_1_1"/>
            <w:bookmarkEnd w:id="10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милиони евро</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Брутна сума</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Корек-</w:t>
            </w:r>
          </w:p>
          <w:p>
            <w:pPr>
              <w:pStyle w:val="Heading8pNormalCentered"/>
              <w:rPr>
                <w:rFonts w:cs="Verdana"/>
              </w:rPr>
            </w:pPr>
            <w:r>
              <w:t>ции</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Нетна сума към 31.12.2017 г.</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Брутна сума</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Корек-</w:t>
            </w:r>
          </w:p>
          <w:p>
            <w:pPr>
              <w:pStyle w:val="Heading8pNormalCentered"/>
              <w:rPr>
                <w:rFonts w:cs="Verdana"/>
              </w:rPr>
            </w:pPr>
            <w:r>
              <w:t>ции</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Нетна сума към 31.12.2016 г.</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cs="Verdana"/>
              </w:rPr>
            </w:pPr>
            <w:r>
              <w:t>Декларации за разходи и фактури, получени от:</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Държави членки:</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ЕЗФРСР и други инструменти за развитие на селските райони</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500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ЕФРР и КФ</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12 602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(883)</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11 719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10 663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9 871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EСФ</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4 183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3 919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4 145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4 050</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Други</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(280)</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466</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Blue"/>
              <w:rPr>
                <w:rFonts w:cs="Verdana"/>
              </w:rPr>
            </w:pPr>
            <w:r>
              <w:t>Частни и публични субекти</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1 563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(144)</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1 419</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1 677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(169)</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1 507</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Общо получени декларации за разходи и фактури</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19 574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(1 571)</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18 004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17 779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(1 138)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16 641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ЕФГЗ</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12 193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12 193</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Задължения по собствените ресурси</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10 441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10 441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Разни задължения</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Други</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40 618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(1 571)</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cs="Verdana"/>
              </w:rPr>
            </w:pPr>
            <w:r>
              <w:t>39 048</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cs="Verdana"/>
              </w:rPr>
            </w:pPr>
            <w:r>
              <w:t>41 142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(1 138)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40 005</w:t>
            </w:r>
          </w:p>
        </w:tc>
      </w:tr>
    </w:tbl>
    <w:p>
      <w:pPr>
        <w:pStyle w:val="DGTextstand-alone"/>
      </w:pPr>
      <w:r>
        <w:t>Задълженията включват фактурите и декларациите за разходи, които са получени, но все още не са платени, към края на годината. Те се признават първоначално към момента на получаване на фактурите/декларациите за разходи за исканите суми. Впоследствие задълженията се коригират, за да отразяват само приетите суми след прегледа на разходите, както и сумите, които се считат за допустими, след процедурата за разделяне на финансовите периоди. Сумите, за които се счита, че са недопустими, са включени в колоната „Корекции“. Най-големите суми се отнасят до дейностите по структурните фондове.</w:t>
      </w:r>
    </w:p>
    <w:p>
      <w:pPr>
        <w:pStyle w:val="DGTextstand-alone"/>
      </w:pPr>
      <w:r>
        <w:t>През периода на програмиране 2014—2020 г. в Регламента за общоприложимите разпоредби (РОР), който се прилага за структурните фондове (ЕФРР и ЕСФ), за Кохезионния фонд и за Европейския фонд за морско дело и рибарство (ЕФМДР), се предвижда бюджетът на ЕС да се защитава посредством систематично задържане на 10 % от направените междинни плащания. До февруари след края на счетоводната година по РОР (1 юли — 30 юни) приключва цикълът на контрол, който се осъществява както чрез проверки на управлението, извършени от управляващите органи, така и чрез одити от страна на одитните органи. Комисията разглежда документите за получаване на увереност и отчетите, предоставени от съответните органи в държавите членки. Плащането или събирането на окончателното салдо се извършва едва след като това разглеждане приключи и отчетите бъдат приети. Задържаната в съответствие с тази разпоредба сума възлизаше към края на 2017 г. на общо 3,1 милиарда евро. Част от тази сума (0,6 милиарда евро) е оценена като недопустима въз основа на информацията, предоставена от държавите членки в техните отчети, и също така е включена в колоната „Корекции“.</w:t>
      </w:r>
    </w:p>
    <w:p>
      <w:pPr>
        <w:pStyle w:val="DGTextstand-alone"/>
      </w:pPr>
      <w:r>
        <w:t xml:space="preserve">Последният компонент на корекциите на задълженията представлява сумите, съответстващи на други авансово отпуснати на държавите членки средства (вж. бележка </w:t>
      </w:r>
      <w:r>
        <w:rPr>
          <w:b/>
        </w:rPr>
        <w:t>2.5.2</w:t>
      </w:r>
      <w:r>
        <w:t xml:space="preserve">), които все още не са платени към края на годината (0,3 милиарда евро). </w:t>
      </w:r>
    </w:p>
    <w:p>
      <w:pPr>
        <w:pStyle w:val="DGTextstand-alone"/>
      </w:pPr>
      <w:r>
        <w:t>Що се отнася до политиката на сближаване (ЕФРР, КФ, ЕСФ), декларациите за разходи за периода 2007—2013 г. остават съществени по размер — 10 милиарда евро, тъй като Комисията проверява последните декларации за разходи, представени от държавите членки. Същевременно декларациите за разходи за периода 2014—2020 г. нараснаха на 5 милиарда евро вследствие на напредъка по изпълнението на програмите.</w:t>
      </w:r>
    </w:p>
    <w:p>
      <w:pPr>
        <w:pStyle w:val="HEADER5"/>
        <w:rPr>
          <w:noProof/>
        </w:rPr>
      </w:pPr>
      <w:r>
        <w:rPr>
          <w:noProof/>
        </w:rPr>
        <w:t>Искания за предварително финансиране</w:t>
      </w:r>
    </w:p>
    <w:p>
      <w:pPr>
        <w:pStyle w:val="DGTextstand-alone"/>
        <w:spacing w:after="0"/>
      </w:pPr>
      <w:r>
        <w:t xml:space="preserve">В допълнение към горепосочените суми бяха получени искания за предварително финансиране на стойност 0,5 милиарда евро, които не бяха платени към края на годината. Според счетоводните правила на ЕС тези суми не се отчитат като задължения. </w:t>
      </w:r>
    </w:p>
    <w:p>
      <w:pPr>
        <w:pStyle w:val="DGTextstand-alone"/>
        <w:spacing w:before="0" w:after="0"/>
      </w:pPr>
    </w:p>
    <w:p>
      <w:pPr>
        <w:pStyle w:val="HEADER5"/>
        <w:rPr>
          <w:noProof/>
        </w:rPr>
      </w:pPr>
      <w:r>
        <w:rPr>
          <w:noProof/>
        </w:rPr>
        <w:t>Задължения по собствените ресурси</w:t>
      </w:r>
    </w:p>
    <w:p>
      <w:pPr>
        <w:pStyle w:val="DGTextstand-alone"/>
      </w:pPr>
      <w:r>
        <w:t>Задълженията по собствените ресурси са свързани с вноските на държавите членки в бюджета на ЕС, които трябва да бъдат върнати в края на годината вследствие на коригиращ бюджет № 6/2017. Коригиращите бюджети се изпълняват съгласно член 10, параграф 3 от Регламент № 609/2014. Значителната сума на 31 декември 2017 г. се дължи на приемането на коригиращ бюджет № 6/2017 на 30 ноември 2017 г. Съгласно тази правна разпоредба получените в резултат суми бяха върнати на държавите членки на първия работен ден на месец януари 2018 г.</w:t>
      </w:r>
    </w:p>
    <w:p>
      <w:pPr>
        <w:pStyle w:val="HEADER2NOTES"/>
        <w:rPr>
          <w:noProof/>
          <w:spacing w:val="-6"/>
          <w:sz w:val="24"/>
        </w:rPr>
      </w:pPr>
      <w:bookmarkStart w:id="110" w:name="_DMBM_11267"/>
      <w:bookmarkEnd w:id="108"/>
      <w:r>
        <w:rPr>
          <w:noProof/>
          <w:spacing w:val="-6"/>
          <w:sz w:val="24"/>
        </w:rPr>
        <w:t>НАЧИСЛЕНИ РАЗХОДИ И ПРИХОДИ ЗА БЪДЕЩИ ПЕРИОДИ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1" w:name="DOC_TBL00050_1_1"/>
            <w:bookmarkEnd w:id="11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Начислени разходи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63 588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66 800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Приходи за бъдещи периоди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638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Други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63 902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67 580</w:t>
            </w:r>
          </w:p>
        </w:tc>
      </w:tr>
    </w:tbl>
    <w:p>
      <w:pPr>
        <w:pStyle w:val="DGTextstand-alone"/>
      </w:pPr>
      <w:r>
        <w:t>Разпределението на начислените разходи е,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2" w:name="DOC_TBL00051_1_1"/>
            <w:bookmarkEnd w:id="112"/>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ЕФГЗ</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33 303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33 033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ЕЗФРСР и други инструменти за развитие на селските райони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17 464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17 024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ЕФРР и КФ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4 249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7 157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EСФ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2 870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3 473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Други</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5 702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6 112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63 588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66 800</w:t>
            </w:r>
          </w:p>
        </w:tc>
      </w:tr>
    </w:tbl>
    <w:p>
      <w:pPr>
        <w:pStyle w:val="DGTextstand-alone"/>
        <w:spacing w:after="0"/>
      </w:pPr>
      <w:r>
        <w:t>Най-голямото движение е свързано с политиката на сближаване — намаление с 2,9 милиарда евро за ЕФРР и КФ и с 0,6 милиарда евро за ЕСФ. Това се дължи на намаляващите начисления за предходния период на програмиране 2007—2013 г., тъй като програмите са навлезли в етапа на приключване.</w:t>
      </w:r>
    </w:p>
    <w:bookmarkEnd w:id="110"/>
    <w:p>
      <w:pPr>
        <w:pStyle w:val="DGTextstand-alone"/>
        <w:spacing w:after="0"/>
        <w:rPr>
          <w:lang w:val="en-GB"/>
        </w:rPr>
      </w:pPr>
    </w:p>
    <w:p>
      <w:pPr>
        <w:pStyle w:val="HEADERTABLE"/>
        <w:rPr>
          <w:noProof/>
        </w:rPr>
      </w:pPr>
      <w:bookmarkStart w:id="113" w:name="_DMBM_11298"/>
      <w:r>
        <w:rPr>
          <w:noProof/>
        </w:rPr>
        <w:t>НЕТНИ АКТИВИ</w:t>
      </w:r>
    </w:p>
    <w:p>
      <w:pPr>
        <w:pStyle w:val="HEADER2NOTES"/>
        <w:rPr>
          <w:noProof/>
        </w:rPr>
      </w:pPr>
      <w:r>
        <w:rPr>
          <w:noProof/>
        </w:rPr>
        <w:t>РЕЗЕРВИ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1256"/>
        <w:gridCol w:w="1811"/>
        <w:gridCol w:w="181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4" w:name="DOC_TBL00052_1_1"/>
            <w:bookmarkEnd w:id="11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Резерв на справедливата стойност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Резерв на Гаранционния фонд</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 резерви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4 841</w:t>
            </w:r>
          </w:p>
        </w:tc>
      </w:tr>
    </w:tbl>
    <w:p>
      <w:pPr>
        <w:pStyle w:val="HEADER3NOTES"/>
        <w:rPr>
          <w:noProof/>
        </w:rPr>
      </w:pPr>
      <w:r>
        <w:rPr>
          <w:noProof/>
        </w:rPr>
        <w:t>Резерв на справедливата стойност</w:t>
      </w:r>
    </w:p>
    <w:p>
      <w:pPr>
        <w:pStyle w:val="DGTextstand-alone"/>
      </w:pPr>
      <w:r>
        <w:t>В съответствие с правилата за счетоводна отчетност на ЕС корекцията на справедливата стойност на финансовите активи, обявени за продажба, се отчита чрез резерва на справедливата стойност.</w:t>
      </w:r>
    </w:p>
    <w:p>
      <w:pPr>
        <w:pStyle w:val="HEADER5"/>
        <w:rPr>
          <w:noProof/>
        </w:rPr>
      </w:pPr>
      <w:r>
        <w:rPr>
          <w:noProof/>
        </w:rPr>
        <w:t>Движения на резерва на справедливата стойност през периода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5" w:name="DOC_TBL00053_1_1"/>
            <w:bookmarkEnd w:id="11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Включени в резерва на справедливата стойност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Включени в отчета за финансовия резултат</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3NOTES"/>
        <w:numPr>
          <w:ilvl w:val="0"/>
          <w:numId w:val="0"/>
        </w:numPr>
        <w:spacing w:before="120" w:after="0"/>
        <w:rPr>
          <w:noProof/>
        </w:rPr>
      </w:pPr>
    </w:p>
    <w:p>
      <w:pPr>
        <w:pStyle w:val="HEADER3NOTES"/>
        <w:rPr>
          <w:noProof/>
        </w:rPr>
      </w:pPr>
      <w:r>
        <w:rPr>
          <w:noProof/>
        </w:rPr>
        <w:t>Резерв на Гаранционния фонд</w:t>
      </w:r>
    </w:p>
    <w:p>
      <w:pPr>
        <w:pStyle w:val="DGTextstand-alone"/>
      </w:pPr>
      <w:r>
        <w:t xml:space="preserve">Този резерв отразява 9 %-ата целева сума на непогасените средства, гарантирани от бюджета на ЕС по линия на мандата на ЕИБ за външно кредитиране, която трябва да се държи като активи в Гаранционния фонд за външни дейности (вж. бележка </w:t>
      </w:r>
      <w:r>
        <w:rPr>
          <w:b/>
        </w:rPr>
        <w:t>2.4.1</w:t>
      </w:r>
      <w:r>
        <w:t>).</w:t>
      </w:r>
    </w:p>
    <w:p>
      <w:pPr>
        <w:pStyle w:val="HEADER3NOTES"/>
        <w:rPr>
          <w:noProof/>
        </w:rPr>
      </w:pPr>
      <w:r>
        <w:rPr>
          <w:noProof/>
        </w:rPr>
        <w:t>Други резерви</w:t>
      </w:r>
    </w:p>
    <w:p>
      <w:pPr>
        <w:pStyle w:val="DGTextstand-alone"/>
        <w:spacing w:after="0"/>
      </w:pPr>
      <w:r>
        <w:t>Сумата е свързана предимно с резервите на ЕОВС в ликвидация (1 515 милиона евро) за активите на Изследователския фонд за въглища и стомана, които резерви бяха създадени в контекста на приключването на дейността на ЕОВС.</w:t>
      </w:r>
    </w:p>
    <w:p>
      <w:pPr>
        <w:pStyle w:val="DGTextstand-alone"/>
        <w:spacing w:before="0" w:after="0"/>
        <w:sectPr>
          <w:headerReference w:type="even" r:id="rId189"/>
          <w:headerReference w:type="default" r:id="rId190"/>
          <w:footerReference w:type="even" r:id="rId191"/>
          <w:footerReference w:type="default" r:id="rId192"/>
          <w:headerReference w:type="first" r:id="rId193"/>
          <w:footerReference w:type="first" r:id="rId194"/>
          <w:pgSz w:w="11906" w:h="16838"/>
          <w:pgMar w:top="1134" w:right="1134" w:bottom="1134" w:left="1134" w:header="709" w:footer="709" w:gutter="0"/>
          <w:cols w:space="708"/>
          <w:docGrid w:linePitch="360"/>
        </w:sectPr>
      </w:pPr>
      <w:r>
        <w:t xml:space="preserve"> </w:t>
      </w:r>
      <w:bookmarkEnd w:id="113"/>
    </w:p>
    <w:p>
      <w:pPr>
        <w:pStyle w:val="HEADER2NOTES"/>
        <w:rPr>
          <w:noProof/>
        </w:rPr>
      </w:pPr>
      <w:bookmarkStart w:id="116" w:name="_DMBM_11338"/>
      <w:r>
        <w:rPr>
          <w:noProof/>
        </w:rPr>
        <w:t>СУМИ, КОИТО ТРЯБВА ДА БЪДАТ ПОИСКАНИ ОТ ДЪРЖАВИТЕ ЧЛЕНКИ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7" w:name="DOC_TBL00054_1_1"/>
            <w:bookmarkEnd w:id="117"/>
          </w:p>
        </w:tc>
        <w:tc>
          <w:tcPr>
            <w:tcW w:w="2126"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милиони евро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cs="Verdana"/>
              </w:rPr>
            </w:pPr>
            <w:r>
              <w:t>Суми, които трябва да бъдат поискани от държавите членки, към 31.12.2016 г.</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cs="Verdana"/>
              </w:rPr>
            </w:pPr>
            <w:r>
              <w:t>76 881</w:t>
            </w:r>
          </w:p>
        </w:tc>
      </w:tr>
      <w:tr>
        <w:tc>
          <w:tcPr>
            <w:tcW w:w="7621" w:type="dxa"/>
            <w:tcBorders>
              <w:top w:val="single" w:sz="4" w:space="0" w:color="FFFFFF"/>
              <w:left w:val="nil"/>
              <w:bottom w:val="nil"/>
              <w:right w:val="nil"/>
            </w:tcBorders>
            <w:tcMar>
              <w:top w:w="0" w:type="dxa"/>
              <w:left w:w="108" w:type="dxa"/>
              <w:bottom w:w="0" w:type="dxa"/>
              <w:right w:w="108" w:type="dxa"/>
            </w:tcMar>
          </w:tcPr>
          <w:p>
            <w:pPr>
              <w:pStyle w:val="Text9pItalicLeft"/>
              <w:rPr>
                <w:rFonts w:cs="Verdana"/>
              </w:rPr>
            </w:pPr>
            <w:r>
              <w:t>Връщане на бюджетния излишък за 2016 г. на държавите членки</w:t>
            </w:r>
          </w:p>
        </w:tc>
        <w:tc>
          <w:tcPr>
            <w:tcW w:w="2126" w:type="dxa"/>
            <w:tcBorders>
              <w:top w:val="single" w:sz="4" w:space="0" w:color="FFFFFF"/>
              <w:left w:val="nil"/>
              <w:bottom w:val="nil"/>
              <w:right w:val="nil"/>
            </w:tcBorders>
            <w:tcMar>
              <w:top w:w="0" w:type="dxa"/>
              <w:left w:w="108" w:type="dxa"/>
              <w:bottom w:w="0" w:type="dxa"/>
              <w:right w:w="108" w:type="dxa"/>
            </w:tcMar>
          </w:tcPr>
          <w:p>
            <w:pPr>
              <w:pStyle w:val="Figures9pItalicRight025"/>
              <w:rPr>
                <w:rFonts w:cs="Verdana"/>
              </w:rPr>
            </w:pPr>
            <w:r>
              <w:t>6 405</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Движение на резерва на Гаранционния фонд</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Движения на други резерви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Финансов резултат за годината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Общ размер на сумите, които трябва да бъдат поискани от държавите членки, към 31.12.2017 г.</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r>
    </w:tbl>
    <w:p>
      <w:pPr>
        <w:pStyle w:val="DGTextstand-alone"/>
      </w:pPr>
      <w:r>
        <w:t>Тази сума представлява тази част от разходите, направени от ЕС до 31 декември, която трябва да бъде финансирана от бъдещи бюджети. Много разходи се признават по правилата за счетоводна отчетност на базата на текущо начисляване през годината N, въпреки че може в действителност да бъдат платени през годината N+1 (или по-късно) и поради това да бъдат финансирани от бюджета за годината N+1 (или по-късно). Включването на тези пасиви в отчетите, съчетано с факта, че съответните суми се финансират от бъдещи бюджети, води до това, че в края на годината пасивите значително надвишават активите. Най-значителните суми, които трябва да бъдат изтъкнати, се отнасят до дейностите по ЕФГЗ и задълженията, свързани с доходите на наети лица.</w:t>
      </w:r>
    </w:p>
    <w:p>
      <w:pPr>
        <w:pStyle w:val="DGTextstand-alone"/>
      </w:pPr>
      <w:r>
        <w:t>Следва също да се отбележи, че горното няма отражение върху бюджетния резултат — бюджетните приходи винаги трябва да са равни на бюджетните разходи или да ги превишават и всеки приходен излишък се връща на държавите членки.</w:t>
      </w:r>
    </w:p>
    <w:p>
      <w:pPr>
        <w:pStyle w:val="DGTextstand-alone"/>
        <w:sectPr>
          <w:headerReference w:type="even" r:id="rId195"/>
          <w:headerReference w:type="default" r:id="rId196"/>
          <w:footerReference w:type="even" r:id="rId197"/>
          <w:footerReference w:type="default" r:id="rId198"/>
          <w:headerReference w:type="first" r:id="rId199"/>
          <w:footerReference w:type="first" r:id="rId200"/>
          <w:type w:val="continuous"/>
          <w:pgSz w:w="11906" w:h="16838"/>
          <w:pgMar w:top="1134" w:right="1134" w:bottom="1134" w:left="1134" w:header="709" w:footer="709" w:gutter="0"/>
          <w:cols w:space="708"/>
          <w:docGrid w:linePitch="360"/>
        </w:sectPr>
      </w:pPr>
      <w:r>
        <w:t xml:space="preserve"> </w:t>
      </w:r>
      <w:bookmarkEnd w:id="116"/>
    </w:p>
    <w:p>
      <w:pPr>
        <w:pStyle w:val="HEADER1NOTES"/>
        <w:jc w:val="left"/>
        <w:rPr>
          <w:noProof/>
        </w:rPr>
        <w:sectPr>
          <w:headerReference w:type="even" r:id="rId201"/>
          <w:headerReference w:type="default" r:id="rId202"/>
          <w:footerReference w:type="even" r:id="rId203"/>
          <w:footerReference w:type="default" r:id="rId204"/>
          <w:headerReference w:type="first" r:id="rId205"/>
          <w:footerReference w:type="first" r:id="rId206"/>
          <w:pgSz w:w="11906" w:h="16838"/>
          <w:pgMar w:top="1134" w:right="1134" w:bottom="1134" w:left="1134" w:header="709" w:footer="709" w:gutter="0"/>
          <w:cols w:space="708"/>
          <w:docGrid w:linePitch="360"/>
        </w:sectPr>
      </w:pPr>
      <w:bookmarkStart w:id="118" w:name="_Toc517433956"/>
      <w:bookmarkStart w:id="119" w:name="_Toc522890239"/>
      <w:bookmarkStart w:id="120" w:name="_DMBM_11256"/>
      <w:r>
        <w:rPr>
          <w:noProof/>
        </w:rPr>
        <w:t>БЕЛЕЖКИ КЪМ ОТЧЕТА ЗА ФИНАНСОВИЯ РЕЗУЛТАТ</w:t>
      </w:r>
      <w:bookmarkEnd w:id="118"/>
      <w:bookmarkEnd w:id="119"/>
      <w:r>
        <w:rPr>
          <w:noProof/>
        </w:rPr>
        <w:t xml:space="preserve"> </w:t>
      </w:r>
      <w:bookmarkEnd w:id="120"/>
    </w:p>
    <w:p>
      <w:pPr>
        <w:pStyle w:val="HEADERTABLE"/>
        <w:rPr>
          <w:noProof/>
        </w:rPr>
      </w:pPr>
      <w:bookmarkStart w:id="121" w:name="_DMBM_11332"/>
      <w:r>
        <w:rPr>
          <w:noProof/>
        </w:rPr>
        <w:t>ПРИХОДИ</w:t>
      </w:r>
    </w:p>
    <w:p>
      <w:pPr>
        <w:pStyle w:val="HEADERTABLE"/>
        <w:spacing w:after="0"/>
        <w:rPr>
          <w:noProof/>
        </w:rPr>
      </w:pPr>
      <w:r>
        <w:rPr>
          <w:noProof/>
        </w:rPr>
        <w:t xml:space="preserve">ПРИХОДИ ОТ ОПЕРАЦИИ БЕЗ РАЗМЯНА: </w:t>
      </w:r>
      <w:r>
        <w:rPr>
          <w:noProof/>
        </w:rPr>
        <w:br/>
        <w:t>СОБСТВЕНИ РЕСУРСИ</w:t>
      </w:r>
    </w:p>
    <w:p>
      <w:pPr>
        <w:pStyle w:val="Textstand-alone"/>
        <w:spacing w:before="0"/>
        <w:sectPr>
          <w:headerReference w:type="even" r:id="rId207"/>
          <w:headerReference w:type="default" r:id="rId208"/>
          <w:footerReference w:type="even" r:id="rId209"/>
          <w:footerReference w:type="default" r:id="rId210"/>
          <w:headerReference w:type="first" r:id="rId211"/>
          <w:footerReference w:type="first" r:id="rId212"/>
          <w:type w:val="continuous"/>
          <w:pgSz w:w="11906" w:h="16838"/>
          <w:pgMar w:top="1134" w:right="1134" w:bottom="1134" w:left="1134" w:header="709" w:footer="709" w:gutter="0"/>
          <w:cols w:space="708"/>
          <w:docGrid w:linePitch="360"/>
        </w:sectPr>
      </w:pPr>
      <w:r>
        <w:t xml:space="preserve"> </w:t>
      </w:r>
      <w:bookmarkEnd w:id="121"/>
    </w:p>
    <w:p>
      <w:pPr>
        <w:pStyle w:val="HEADER2NOTES"/>
        <w:rPr>
          <w:noProof/>
        </w:rPr>
      </w:pPr>
      <w:bookmarkStart w:id="122" w:name="_DMBM_11317"/>
      <w:r>
        <w:rPr>
          <w:noProof/>
        </w:rPr>
        <w:t>РЕСУРСИ ОТ БНД</w:t>
      </w:r>
    </w:p>
    <w:p>
      <w:pPr>
        <w:pStyle w:val="DGTextstand-alone"/>
        <w:spacing w:before="0" w:after="0"/>
      </w:pPr>
      <w:r>
        <w:t>Приходите от собствени ресурси са основният елемент на оперативните приходи на ЕС. Приходите от БНД (брутен национален доход) възлизат на 78 620 милиона евро за 2017 г. (2016 г.: 95 578 милиона евро) и са най-съществената от трите категории собствени ресурси. Спрямо БНД на всяка държава членка се прилага единен процент. Приходите от БНД балансират приходите и разходите, т.е. финансират частта от бюджета, която не е покрита от други източници на приходи. Намалението на приходите от БНД се обяснява предимно със значителното намаление на бюджетните кредити за плащания и относително високия бюджетен излишък от предходната финансова година (6 405 милиона евро). И двата елемента намалиха поискания принос на база БНД от държавите членки през 2017 г., тъй като този принос има балансираща роля.</w:t>
      </w:r>
    </w:p>
    <w:p>
      <w:pPr>
        <w:pStyle w:val="DGTextstand-alone"/>
        <w:spacing w:before="0"/>
        <w:sectPr>
          <w:headerReference w:type="even" r:id="rId213"/>
          <w:headerReference w:type="default" r:id="rId214"/>
          <w:footerReference w:type="even" r:id="rId215"/>
          <w:footerReference w:type="default" r:id="rId216"/>
          <w:headerReference w:type="first" r:id="rId217"/>
          <w:footerReference w:type="first" r:id="rId218"/>
          <w:type w:val="continuous"/>
          <w:pgSz w:w="11906" w:h="16838"/>
          <w:pgMar w:top="1134" w:right="1134" w:bottom="1134" w:left="1134" w:header="709" w:footer="709" w:gutter="0"/>
          <w:cols w:space="708"/>
          <w:docGrid w:linePitch="360"/>
        </w:sectPr>
      </w:pPr>
      <w:r>
        <w:t xml:space="preserve"> </w:t>
      </w:r>
      <w:bookmarkEnd w:id="122"/>
    </w:p>
    <w:p>
      <w:pPr>
        <w:pStyle w:val="HEADER2NOTES"/>
        <w:rPr>
          <w:noProof/>
        </w:rPr>
      </w:pPr>
      <w:bookmarkStart w:id="123" w:name="_DMBM_11312"/>
      <w:r>
        <w:rPr>
          <w:noProof/>
        </w:rPr>
        <w:t>ТРАДИЦИОННИ СОБСТВЕНИ РЕСУРСИ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4" w:name="DOC_TBL00055_1_1"/>
            <w:bookmarkEnd w:id="12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Мита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Налози върху захарта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20 520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20 439</w:t>
            </w:r>
          </w:p>
        </w:tc>
      </w:tr>
    </w:tbl>
    <w:p>
      <w:pPr>
        <w:pStyle w:val="DGTextstand-alone"/>
        <w:spacing w:after="0"/>
      </w:pPr>
      <w:r>
        <w:t>Традиционните собствени ресурси се състоят от мита и налози върху захарта. Държавите членки задържат, като разходи по събирането, 20 % от традиционните собствени ресурси и посочените по-горе суми са показани след приспадане на тази сума.</w:t>
      </w:r>
    </w:p>
    <w:p>
      <w:pPr>
        <w:pStyle w:val="DGTextstand-alone"/>
        <w:spacing w:before="0"/>
        <w:sectPr>
          <w:headerReference w:type="even" r:id="rId219"/>
          <w:headerReference w:type="default" r:id="rId220"/>
          <w:footerReference w:type="even" r:id="rId221"/>
          <w:footerReference w:type="default" r:id="rId222"/>
          <w:headerReference w:type="first" r:id="rId223"/>
          <w:footerReference w:type="first" r:id="rId224"/>
          <w:type w:val="continuous"/>
          <w:pgSz w:w="11906" w:h="16838"/>
          <w:pgMar w:top="1134" w:right="1134" w:bottom="1134" w:left="1134" w:header="709" w:footer="709" w:gutter="0"/>
          <w:cols w:space="708"/>
          <w:docGrid w:linePitch="360"/>
        </w:sectPr>
      </w:pPr>
      <w:r>
        <w:t xml:space="preserve"> </w:t>
      </w:r>
      <w:bookmarkEnd w:id="123"/>
    </w:p>
    <w:p>
      <w:pPr>
        <w:pStyle w:val="HEADER2NOTES"/>
        <w:rPr>
          <w:noProof/>
        </w:rPr>
      </w:pPr>
      <w:bookmarkStart w:id="125" w:name="_DMBM_11292"/>
      <w:r>
        <w:rPr>
          <w:noProof/>
        </w:rPr>
        <w:t>РЕСУРСИ ОТ ДДС</w:t>
      </w:r>
    </w:p>
    <w:p>
      <w:pPr>
        <w:pStyle w:val="DGTextstand-alone"/>
        <w:spacing w:after="0"/>
        <w:rPr>
          <w:color w:val="000000" w:themeColor="text1"/>
        </w:rPr>
      </w:pPr>
      <w:r>
        <w:t>Ресурсът от ДДС се събира от базите за ДДС на държавите членки, които са теоретично хармонизирани в съответствие с правилата на ЕС за тази цел. Вноската ДДС се изчислява чрез прилагане на унифицирана изискуема ставка от 0,3 % към базата на всяка държава членка. За периода 2014—2020 г. в Решение 2014/335/ЕС, Евратом на Съвета се предвижда намалена изискуема ставка (0,15 %) за Германия, Нидерландия и Швеция.</w:t>
      </w:r>
    </w:p>
    <w:p>
      <w:pPr>
        <w:pStyle w:val="DGTextstand-alone"/>
        <w:spacing w:before="0"/>
        <w:rPr>
          <w:color w:val="000000" w:themeColor="text1"/>
        </w:rPr>
        <w:sectPr>
          <w:headerReference w:type="even" r:id="rId225"/>
          <w:headerReference w:type="default" r:id="rId226"/>
          <w:footerReference w:type="even" r:id="rId227"/>
          <w:footerReference w:type="default" r:id="rId228"/>
          <w:headerReference w:type="first" r:id="rId229"/>
          <w:footerReference w:type="first" r:id="rId230"/>
          <w:type w:val="continuous"/>
          <w:pgSz w:w="11906" w:h="16838"/>
          <w:pgMar w:top="1134" w:right="1134" w:bottom="1134" w:left="1134" w:header="709" w:footer="709" w:gutter="0"/>
          <w:cols w:space="708"/>
          <w:docGrid w:linePitch="360"/>
        </w:sectPr>
      </w:pPr>
      <w:r>
        <w:rPr>
          <w:color w:val="000000" w:themeColor="text1"/>
        </w:rPr>
        <w:t xml:space="preserve"> </w:t>
      </w:r>
      <w:bookmarkEnd w:id="125"/>
    </w:p>
    <w:p>
      <w:pPr>
        <w:pStyle w:val="HEADERTABLE"/>
        <w:spacing w:after="0"/>
        <w:rPr>
          <w:noProof/>
        </w:rPr>
      </w:pPr>
      <w:bookmarkStart w:id="126" w:name="_DMBM_11248"/>
      <w:r>
        <w:rPr>
          <w:noProof/>
        </w:rPr>
        <w:t>ПРИХОДИ ОТ ОПЕРАЦИИ БЕЗ РАЗМЯНА: ТРАНСФЕРИ</w:t>
      </w:r>
    </w:p>
    <w:p>
      <w:pPr>
        <w:pStyle w:val="Textstand-alone"/>
        <w:spacing w:before="0"/>
        <w:sectPr>
          <w:headerReference w:type="even" r:id="rId231"/>
          <w:headerReference w:type="default" r:id="rId232"/>
          <w:footerReference w:type="even" r:id="rId233"/>
          <w:footerReference w:type="default" r:id="rId234"/>
          <w:headerReference w:type="first" r:id="rId235"/>
          <w:footerReference w:type="first" r:id="rId236"/>
          <w:type w:val="continuous"/>
          <w:pgSz w:w="11906" w:h="16838"/>
          <w:pgMar w:top="1134" w:right="1134" w:bottom="1134" w:left="1134" w:header="709" w:footer="709" w:gutter="0"/>
          <w:cols w:space="708"/>
          <w:docGrid w:linePitch="360"/>
        </w:sectPr>
      </w:pPr>
      <w:r>
        <w:t xml:space="preserve"> </w:t>
      </w:r>
      <w:bookmarkEnd w:id="126"/>
    </w:p>
    <w:p>
      <w:pPr>
        <w:pStyle w:val="HEADER2NOTES"/>
        <w:rPr>
          <w:noProof/>
        </w:rPr>
      </w:pPr>
      <w:bookmarkStart w:id="127" w:name="_DMBM_11286"/>
      <w:r>
        <w:rPr>
          <w:noProof/>
        </w:rPr>
        <w:t>ГЛОБИ</w:t>
      </w:r>
    </w:p>
    <w:p>
      <w:pPr>
        <w:pStyle w:val="DGTextstand-alone"/>
        <w:spacing w:after="0"/>
      </w:pPr>
      <w:r>
        <w:t>Тези приходи от 4 664 милиона евро (2016 г.: 3 858 милиона евро) са свързани с глобите, наложени от Комисията на предприятия за нарушения на правилата за конкуренция на ЕС, и глобите, наложени от Комисията на държавите членки за нарушения на правото на ЕС. Комисията признава приходите от глоби, когато приеме решението за налагане на глоба и официално уведоми адресата за него. През 2017 г. глобите са предимно глоби в областта на конкуренцията (4 568 милиона евро). Най-големите дела се отнасят до нарушения на антитръстовите правила на ЕС, т.е. глоба, наложена на Alphabet Inc. и на Google Inc. за злоупотреба с господстващо положение на пазара като интернет търсачка (2 424 милиона евро), глоба, наложена на Scania за участие в картел в сектора на товарните автомобили (881 милиона евро), и глоби, наложени на 11 въздушни превозвача на товари за участие в картел за определяне на цените (776 милиона евро).</w:t>
      </w:r>
    </w:p>
    <w:p>
      <w:pPr>
        <w:pStyle w:val="DGTextstand-alone"/>
        <w:spacing w:before="0" w:after="0"/>
        <w:sectPr>
          <w:headerReference w:type="even" r:id="rId237"/>
          <w:headerReference w:type="default" r:id="rId238"/>
          <w:footerReference w:type="even" r:id="rId239"/>
          <w:footerReference w:type="default" r:id="rId240"/>
          <w:headerReference w:type="first" r:id="rId241"/>
          <w:footerReference w:type="first" r:id="rId242"/>
          <w:type w:val="continuous"/>
          <w:pgSz w:w="11906" w:h="16838"/>
          <w:pgMar w:top="1134" w:right="1134" w:bottom="1134" w:left="1134" w:header="709" w:footer="709" w:gutter="0"/>
          <w:cols w:space="708"/>
          <w:docGrid w:linePitch="360"/>
        </w:sectPr>
      </w:pPr>
      <w:r>
        <w:t xml:space="preserve"> </w:t>
      </w:r>
      <w:bookmarkEnd w:id="127"/>
    </w:p>
    <w:p>
      <w:pPr>
        <w:pStyle w:val="HEADER2NOTES"/>
        <w:rPr>
          <w:noProof/>
        </w:rPr>
      </w:pPr>
      <w:bookmarkStart w:id="128" w:name="_DMBM_11280"/>
      <w:r>
        <w:rPr>
          <w:noProof/>
        </w:rPr>
        <w:t>СЪБИРАНЕ НА РАЗХОДИ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9" w:name="DOC_TBL00056_1_1"/>
            <w:bookmarkEnd w:id="12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Споделено управление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Пряко управление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Непряко управление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1 879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1 947</w:t>
            </w:r>
          </w:p>
        </w:tc>
      </w:tr>
    </w:tbl>
    <w:p>
      <w:pPr>
        <w:pStyle w:val="DGTextstand-alone"/>
      </w:pPr>
      <w:r>
        <w:t>Тази позиция представлява предимно нарежданията за събиране на вземания, изготвени от Комисията, средствата по които са получени или са прихванати със (т.е. приспаднати от) следващи плащания, записани в счетоводната система на Комисията. Тези нареждания за събиране на вземания са изготвени, за да бъдат събрани разходи, изплатени по-рано от общия бюджет. Събирането на средства се извършва въз основа на проверки, одити или анализ на допустимостта, поради което тези действия са важен елемент при изпълнението на бюджета на ЕС. Тези операции предпазват бюджета на ЕС от разходи, направени в нарушение на закона, и са особено важни, тъй като резултатите от извършените от Европейската сметна палата одити са констатирали съществено ниво на грешки при плащанията, направени от бюджета на ЕС — вж. годишния доклад на Палатата, включително декларацията за достоверност относно законосъобразността и редовността на операциите.</w:t>
      </w:r>
    </w:p>
    <w:p>
      <w:pPr>
        <w:pStyle w:val="DGTextstand-alone"/>
      </w:pPr>
      <w:r>
        <w:t xml:space="preserve">Включват се също нарежданията за събиране на вземания, изготвени от държавите членки за бенефициери на разходи по линия на ЕФГЗ, както и промяната на очакваните начислени приходи от края на предходната година до края на настоящата година. </w:t>
      </w:r>
    </w:p>
    <w:p>
      <w:pPr>
        <w:pStyle w:val="DGTextstand-alone"/>
      </w:pPr>
      <w:r>
        <w:t>Сумите, включени в таблицата по-горе, представляват приходи, реализирани чрез изготвяне на нареждания за събиране на вземания. Поради това те не могат да покажат и не показват пълната степен на мерките, предприети за защита на бюджета на ЕС, особено за политиката на сближаване, където са въведени специални механизми за гарантиране на коригирането на недопустимите разходи, повечето от които механизми не включват издаването на нареждане за събиране на вземания. Не са включени сумите, събрани чрез прихващане с разходи, сумите, събрани посредством оттегляния, и събраните суми предварително финансиране.</w:t>
      </w:r>
    </w:p>
    <w:p>
      <w:pPr>
        <w:pStyle w:val="DGTextstand-alone"/>
      </w:pPr>
      <w:r>
        <w:t xml:space="preserve">Събраните суми при споделеното управление </w:t>
      </w:r>
      <w:r>
        <w:rPr>
          <w:rStyle w:val="DGTextstand-aloneChar"/>
        </w:rPr>
        <w:t>съставляват по-голямата част от общата сума:</w:t>
      </w:r>
    </w:p>
    <w:p>
      <w:pPr>
        <w:pStyle w:val="HEADER5"/>
        <w:rPr>
          <w:noProof/>
        </w:rPr>
      </w:pPr>
      <w:r>
        <w:rPr>
          <w:noProof/>
        </w:rPr>
        <w:t>Селско стопанство: ЕФГЗ и развитие на селските райони</w:t>
      </w:r>
    </w:p>
    <w:p>
      <w:pPr>
        <w:pStyle w:val="DGTextstand-alone"/>
      </w:pPr>
      <w:r>
        <w:t>В рамките на ЕФГЗ и на ЕЗФРСР сумите, отчетени в тази позиция като приходи за годината, са финансовите корекции за годината и възстановяванията, декларирани от държавите членки и събрани през годината, както и нетното увеличение на дължимите суми, декларирани от държавите членки, които трябва да бъдат събрани към края на годината във връзка с измами и нередности.</w:t>
      </w:r>
    </w:p>
    <w:p>
      <w:pPr>
        <w:pStyle w:val="HEADER5"/>
        <w:rPr>
          <w:noProof/>
        </w:rPr>
      </w:pPr>
      <w:r>
        <w:rPr>
          <w:noProof/>
        </w:rPr>
        <w:t>Политика на сближаване</w:t>
      </w:r>
    </w:p>
    <w:p>
      <w:pPr>
        <w:pStyle w:val="DGTextstand-alone"/>
        <w:spacing w:after="0"/>
      </w:pPr>
      <w:r>
        <w:t>Основните суми, свързани с политиката на сближаване, включват нарежданията за събиране на вземания, изготвени от Комисията за събиране на недължимите разходи, направени през предходни години, и приспаданията от разходите минус намалението на начислените приходи в края на годината.</w:t>
      </w:r>
    </w:p>
    <w:p>
      <w:pPr>
        <w:pStyle w:val="DGTextstand-alone"/>
        <w:spacing w:before="0" w:after="0"/>
        <w:sectPr>
          <w:headerReference w:type="even" r:id="rId243"/>
          <w:headerReference w:type="default" r:id="rId244"/>
          <w:footerReference w:type="even" r:id="rId245"/>
          <w:footerReference w:type="default" r:id="rId246"/>
          <w:headerReference w:type="first" r:id="rId247"/>
          <w:footerReference w:type="first" r:id="rId248"/>
          <w:type w:val="continuous"/>
          <w:pgSz w:w="11906" w:h="16838"/>
          <w:pgMar w:top="1134" w:right="1134" w:bottom="1134" w:left="1134" w:header="709" w:footer="709" w:gutter="0"/>
          <w:cols w:space="708"/>
          <w:docGrid w:linePitch="360"/>
        </w:sectPr>
      </w:pPr>
      <w:r>
        <w:t xml:space="preserve"> </w:t>
      </w:r>
      <w:bookmarkEnd w:id="128"/>
    </w:p>
    <w:p>
      <w:pPr>
        <w:rPr>
          <w:rFonts w:ascii="Verdana" w:hAnsi="Verdana"/>
          <w:b/>
          <w:noProof/>
          <w:color w:val="016794"/>
          <w:sz w:val="28"/>
          <w:szCs w:val="28"/>
        </w:rPr>
      </w:pPr>
      <w:bookmarkStart w:id="130" w:name="_DMBM_11250"/>
      <w:r>
        <w:rPr>
          <w:noProof/>
        </w:rPr>
        <w:br w:type="page"/>
      </w:r>
    </w:p>
    <w:p>
      <w:pPr>
        <w:pStyle w:val="HEADER2NOTES"/>
        <w:rPr>
          <w:noProof/>
        </w:rPr>
      </w:pPr>
      <w:r>
        <w:rPr>
          <w:noProof/>
        </w:rPr>
        <w:t>ДРУГИ ПРИХОДИ ОТ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1" w:name="DOC_TBL00057_1_1"/>
            <w:bookmarkEnd w:id="13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Бюджетни корекции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5 806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Вноски от трети държави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Данъци и вноски на персонала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1 189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Вноски от държави членки за външна помощ</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Трансфер на активи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Корекция на провизиите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Селскостопански налози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10 376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5 740</w:t>
            </w:r>
          </w:p>
        </w:tc>
      </w:tr>
    </w:tbl>
    <w:p>
      <w:pPr>
        <w:pStyle w:val="DGTextstand-alone"/>
      </w:pPr>
      <w:r>
        <w:t>Бюджетните корекции включват бюджетния излишък от 2016 г. (6 405 милиона евро). Бюджетният излишък от предходната година е пренесен за следващата година и представлява приход за 2017 г.</w:t>
      </w:r>
    </w:p>
    <w:p>
      <w:pPr>
        <w:pStyle w:val="DGTextstand-alone"/>
      </w:pPr>
      <w:r>
        <w:t>Вноските от трети държави са вноски от държавите от ЕАСТ и от присъединяващите се държави.</w:t>
      </w:r>
    </w:p>
    <w:p>
      <w:pPr>
        <w:pStyle w:val="DGTextstand-alone"/>
      </w:pPr>
      <w:r>
        <w:t>Приходите от данъци и вноски на персонала възникват предимно от удръжки от заплатите на персонала и са съставени от две съществени суми — пенсионните вноски на персонала и данъците върху доходите.</w:t>
      </w:r>
    </w:p>
    <w:p>
      <w:pPr>
        <w:pStyle w:val="DGTextstand-alone"/>
      </w:pPr>
      <w:r>
        <w:t>Вноските от държавите членки за външна помощ са предимно сумите, получени с цел създаване на Механизма за бежанците в Турция.</w:t>
      </w:r>
    </w:p>
    <w:p>
      <w:pPr>
        <w:pStyle w:val="DGTextstand-alone"/>
      </w:pPr>
      <w:r>
        <w:t>Прехвърлянето на приходи от активи е свързано предимно с прехвърлянето на спътници по програмата „Коперник“ (бившата програма ГМОСС) от Европейската космическа агенция (ЕКА) на Комисията (вж. бележка </w:t>
      </w:r>
      <w:r>
        <w:rPr>
          <w:b/>
        </w:rPr>
        <w:t>2.2</w:t>
      </w:r>
      <w:r>
        <w:t>). Според счетоводните правила на ЕС това прехвърляне е операция без размяна. То ще бъде извършвано през бъдещи периоди за оставащите спътници по програмата „Коперник“, които понастоящем са в процес на изграждане.</w:t>
      </w:r>
    </w:p>
    <w:p>
      <w:pPr>
        <w:pStyle w:val="DGTextstand-alone"/>
        <w:spacing w:after="0"/>
      </w:pPr>
      <w:r>
        <w:t xml:space="preserve">Селскостопанските налози се отнасят до налозите върху млякото, които са инструмент за управление на пазара, насочен към санкциониране на производителите на мляко, които превишават референтните си количества. Тъй като не са свързани с предходни плащания от страна на Комисията, те на практика се считат за приход за конкретна цел. </w:t>
      </w:r>
    </w:p>
    <w:p>
      <w:pPr>
        <w:pStyle w:val="DGTextstand-alone"/>
        <w:spacing w:after="0"/>
      </w:pPr>
      <w:r>
        <w:t>Размерът за 2017 г. на другите приходи от операции без размяна включва 300 милиона евро, поискани от ЕФР и представляващи неговият принос към Гаранционния фонд на ЕФУР, който ще бъде създаден през 2018 г. съгласно Регламент (ЕС) 2017/1601.</w:t>
      </w:r>
    </w:p>
    <w:p>
      <w:pPr>
        <w:pStyle w:val="DGTextstand-alone"/>
        <w:spacing w:before="0"/>
        <w:sectPr>
          <w:headerReference w:type="even" r:id="rId249"/>
          <w:headerReference w:type="default" r:id="rId250"/>
          <w:footerReference w:type="even" r:id="rId251"/>
          <w:footerReference w:type="default" r:id="rId252"/>
          <w:headerReference w:type="first" r:id="rId253"/>
          <w:footerReference w:type="first" r:id="rId254"/>
          <w:type w:val="continuous"/>
          <w:pgSz w:w="11906" w:h="16838"/>
          <w:pgMar w:top="1134" w:right="1134" w:bottom="1134" w:left="1134" w:header="709" w:footer="709" w:gutter="0"/>
          <w:cols w:space="708"/>
          <w:docGrid w:linePitch="360"/>
        </w:sectPr>
      </w:pPr>
      <w:r>
        <w:t xml:space="preserve"> </w:t>
      </w:r>
      <w:bookmarkEnd w:id="130"/>
    </w:p>
    <w:p>
      <w:pPr>
        <w:pStyle w:val="HEADERTABLE"/>
        <w:spacing w:after="0"/>
        <w:rPr>
          <w:noProof/>
        </w:rPr>
      </w:pPr>
      <w:bookmarkStart w:id="132" w:name="_DMBM_11346"/>
      <w:r>
        <w:rPr>
          <w:noProof/>
        </w:rPr>
        <w:t>ПРИХОДИ ОТ ОПЕРАЦИИ С РАЗМЯНА</w:t>
      </w:r>
    </w:p>
    <w:p>
      <w:pPr>
        <w:pStyle w:val="Textstand-alone"/>
        <w:spacing w:before="0" w:after="0"/>
        <w:sectPr>
          <w:headerReference w:type="even" r:id="rId255"/>
          <w:headerReference w:type="default" r:id="rId256"/>
          <w:footerReference w:type="even" r:id="rId257"/>
          <w:footerReference w:type="default" r:id="rId258"/>
          <w:headerReference w:type="first" r:id="rId259"/>
          <w:footerReference w:type="first" r:id="rId260"/>
          <w:pgSz w:w="11906" w:h="16838"/>
          <w:pgMar w:top="1134" w:right="1134" w:bottom="1134" w:left="1134" w:header="709" w:footer="709" w:gutter="0"/>
          <w:cols w:space="708"/>
          <w:docGrid w:linePitch="360"/>
        </w:sectPr>
      </w:pPr>
      <w:r>
        <w:t xml:space="preserve"> </w:t>
      </w:r>
      <w:bookmarkEnd w:id="132"/>
    </w:p>
    <w:p>
      <w:pPr>
        <w:pStyle w:val="HEADER2NOTES"/>
        <w:spacing w:before="120" w:after="120"/>
        <w:rPr>
          <w:noProof/>
        </w:rPr>
      </w:pPr>
      <w:bookmarkStart w:id="133" w:name="_DMBM_11348"/>
      <w:r>
        <w:rPr>
          <w:noProof/>
        </w:rPr>
        <w:t>ФИНАНСОВИ ПРИХОДИ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4" w:name="DOC_TBL00058_1_1"/>
            <w:bookmarkEnd w:id="13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Лихви върху:</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Заеми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Просрочени плащания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Други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Премия върху задължение по финансова гаранция (ЕФСИ)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 от финансови активи или пасиви по справедлива стойност чрез излишъка или дефицита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Реализирани печалби от финансови активи, обявени за продажба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Дивиденти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1 845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1 769</w:t>
            </w:r>
          </w:p>
        </w:tc>
      </w:tr>
    </w:tbl>
    <w:p>
      <w:pPr>
        <w:pStyle w:val="DGTextstand-alone"/>
        <w:spacing w:after="0"/>
      </w:pPr>
      <w:r>
        <w:t>Приходите от лихви върху заеми се отнасят предимно до заемите, отпуснати за финансова помощ (вж. бележка </w:t>
      </w:r>
      <w:r>
        <w:rPr>
          <w:b/>
        </w:rPr>
        <w:t>2.4.3</w:t>
      </w:r>
      <w:r>
        <w:t>).</w:t>
      </w:r>
    </w:p>
    <w:p>
      <w:pPr>
        <w:pStyle w:val="DGTextstand-alone"/>
        <w:spacing w:after="0"/>
      </w:pPr>
      <w:r>
        <w:t>Приходите от лихви за забава, произтичат предимно от глоби и вноски собствени ресурси, които са дължими, но не са платени в срок.</w:t>
      </w:r>
    </w:p>
    <w:p>
      <w:pPr>
        <w:pStyle w:val="DGTextstand-alone"/>
        <w:spacing w:before="0"/>
        <w:sectPr>
          <w:headerReference w:type="even" r:id="rId261"/>
          <w:headerReference w:type="default" r:id="rId262"/>
          <w:footerReference w:type="even" r:id="rId263"/>
          <w:footerReference w:type="default" r:id="rId264"/>
          <w:headerReference w:type="first" r:id="rId265"/>
          <w:footerReference w:type="first" r:id="rId266"/>
          <w:type w:val="continuous"/>
          <w:pgSz w:w="11906" w:h="16838"/>
          <w:pgMar w:top="1134" w:right="1134" w:bottom="1134" w:left="1134" w:header="709" w:footer="709" w:gutter="0"/>
          <w:cols w:space="708"/>
          <w:docGrid w:linePitch="360"/>
        </w:sectPr>
      </w:pPr>
      <w:r>
        <w:t xml:space="preserve"> </w:t>
      </w:r>
      <w:bookmarkEnd w:id="133"/>
    </w:p>
    <w:p>
      <w:pPr>
        <w:pStyle w:val="HEADER2NOTES"/>
        <w:spacing w:before="240" w:after="120"/>
        <w:rPr>
          <w:noProof/>
        </w:rPr>
      </w:pPr>
      <w:bookmarkStart w:id="135" w:name="_DMBM_11282"/>
      <w:r>
        <w:rPr>
          <w:noProof/>
        </w:rPr>
        <w:t>ДРУГИ ПРИХОДИ ОТ ОПЕРАЦИИ С РАЗМЯНА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6" w:name="DOC_TBL00059_1_1"/>
            <w:bookmarkEnd w:id="13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от такси за предоставяне на услуги (агенции)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Печалби от курсови разлики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от такси и от премии, свързани с финансовите инструменти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свързани с имоти, машини и съоръжения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Продажба на стоки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Дял от нетния резултат на ЕИФ</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998</w:t>
            </w:r>
          </w:p>
        </w:tc>
      </w:tr>
    </w:tbl>
    <w:p>
      <w:pPr>
        <w:pStyle w:val="DGTextstand-alone"/>
        <w:spacing w:before="0" w:after="0"/>
      </w:pPr>
      <w:r>
        <w:t xml:space="preserve"> </w:t>
      </w:r>
    </w:p>
    <w:p>
      <w:pPr>
        <w:pStyle w:val="DGTextstand-alone"/>
        <w:spacing w:before="0" w:after="0"/>
        <w:rPr>
          <w:lang w:val="en-GB"/>
        </w:rPr>
        <w:sectPr>
          <w:headerReference w:type="even" r:id="rId267"/>
          <w:headerReference w:type="default" r:id="rId268"/>
          <w:footerReference w:type="even" r:id="rId269"/>
          <w:footerReference w:type="default" r:id="rId270"/>
          <w:headerReference w:type="first" r:id="rId271"/>
          <w:footerReference w:type="first" r:id="rId272"/>
          <w:type w:val="continuous"/>
          <w:pgSz w:w="11906" w:h="16838"/>
          <w:pgMar w:top="1134" w:right="1134" w:bottom="1134" w:left="1134" w:header="709" w:footer="709" w:gutter="0"/>
          <w:cols w:space="708"/>
          <w:docGrid w:linePitch="360"/>
        </w:sectPr>
      </w:pPr>
      <w:r>
        <w:t>Приходите от такси за предоставяне на услуги включват предимно таксите за разрешения за търговия, събирани от Европейската агенция по лекарствата, и таксите за марки, събирани от Службата на Европейския съюз за интелектуална собственост.</w:t>
      </w:r>
      <w:bookmarkEnd w:id="135"/>
      <w:r>
        <w:rPr>
          <w:lang w:val="en-GB"/>
        </w:rPr>
        <w:tab/>
      </w:r>
    </w:p>
    <w:p>
      <w:pPr>
        <w:pStyle w:val="HEADERTABLE"/>
        <w:rPr>
          <w:noProof/>
        </w:rPr>
      </w:pPr>
      <w:bookmarkStart w:id="137" w:name="_DMBM_11341"/>
    </w:p>
    <w:p>
      <w:pPr>
        <w:pStyle w:val="HEADERTABLE"/>
        <w:rPr>
          <w:noProof/>
        </w:rPr>
        <w:sectPr>
          <w:headerReference w:type="even" r:id="rId273"/>
          <w:headerReference w:type="default" r:id="rId274"/>
          <w:footerReference w:type="even" r:id="rId275"/>
          <w:footerReference w:type="default" r:id="rId276"/>
          <w:headerReference w:type="first" r:id="rId277"/>
          <w:footerReference w:type="first" r:id="rId278"/>
          <w:type w:val="continuous"/>
          <w:pgSz w:w="11906" w:h="16838"/>
          <w:pgMar w:top="1134" w:right="1134" w:bottom="1134" w:left="1134" w:header="709" w:footer="709" w:gutter="0"/>
          <w:cols w:space="708"/>
          <w:docGrid w:linePitch="360"/>
        </w:sectPr>
      </w:pPr>
      <w:r>
        <w:rPr>
          <w:noProof/>
        </w:rPr>
        <w:t xml:space="preserve">РАЗХОДИ </w:t>
      </w:r>
      <w:bookmarkEnd w:id="137"/>
    </w:p>
    <w:p>
      <w:pPr>
        <w:pStyle w:val="HEADER2NOTES"/>
        <w:rPr>
          <w:noProof/>
        </w:rPr>
      </w:pPr>
      <w:bookmarkStart w:id="138" w:name="_DMBM_11328"/>
      <w:r>
        <w:rPr>
          <w:noProof/>
        </w:rPr>
        <w:t>СПОДЕЛЕНО УПРАВЛЕНИЕ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9" w:name="DOC_TBL00060_1_1"/>
            <w:bookmarkEnd w:id="13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Изпълнено от държавите членки</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фонд за гарантиране на земеделието</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земеделски фонд за развитие на селските райони и други инструменти за развитие на селските райони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фонд за регионално развитие и Кохезионен фонд</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социален фонд</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81 905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102 772</w:t>
            </w:r>
          </w:p>
        </w:tc>
      </w:tr>
    </w:tbl>
    <w:p>
      <w:pPr>
        <w:pStyle w:val="DGTextstand-alone"/>
      </w:pPr>
      <w:r>
        <w:t>Намалението на разходите със 17,4 милиарда евро за областта на сближаването се обяснява с преминаването от предходния период на програмиране 2007—2013 г. към настоящия период на програмиране 2014—2020 г.: декларираните разходи за периода 2007—2013 г. намаляха значително (28,6 милиарда евро), тъй като изпълнението е приключило и програмите са навлезли в етапа на приключване. Същевременно разходите, декларирани за периода 2014—2020 г., се увеличиха, но само с 11,2 милиарда евро, тъй като изпълнението на програмите вече напредва.</w:t>
      </w:r>
    </w:p>
    <w:p>
      <w:pPr>
        <w:pStyle w:val="DGTextstand-alone"/>
        <w:spacing w:after="0"/>
      </w:pPr>
      <w:r>
        <w:t>Другите разходи включват предимно: убежището и миграцията (485 милиона евро), Фонда за европейско подпомагане на най-нуждаещите се лица (378 милиона евро) и вътрешната сигурност (226 милиона евро).</w:t>
      </w:r>
    </w:p>
    <w:p>
      <w:pPr>
        <w:pStyle w:val="DGTextstand-alone"/>
        <w:spacing w:before="0" w:after="0"/>
        <w:sectPr>
          <w:headerReference w:type="even" r:id="rId279"/>
          <w:headerReference w:type="default" r:id="rId280"/>
          <w:footerReference w:type="even" r:id="rId281"/>
          <w:footerReference w:type="default" r:id="rId282"/>
          <w:headerReference w:type="first" r:id="rId283"/>
          <w:footerReference w:type="first" r:id="rId284"/>
          <w:type w:val="continuous"/>
          <w:pgSz w:w="11906" w:h="16838"/>
          <w:pgMar w:top="1134" w:right="1134" w:bottom="1134" w:left="1134" w:header="709" w:footer="709" w:gutter="0"/>
          <w:cols w:space="708"/>
          <w:docGrid w:linePitch="360"/>
        </w:sectPr>
      </w:pPr>
      <w:r>
        <w:t xml:space="preserve"> </w:t>
      </w:r>
      <w:bookmarkEnd w:id="138"/>
    </w:p>
    <w:p>
      <w:pPr>
        <w:pStyle w:val="HEADER2NOTES"/>
        <w:rPr>
          <w:noProof/>
        </w:rPr>
      </w:pPr>
      <w:bookmarkStart w:id="140" w:name="_DMBM_11255"/>
      <w:r>
        <w:rPr>
          <w:noProof/>
        </w:rPr>
        <w:t>ПРЯКО УПРАВЛЕНИЕ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1" w:name="DOC_TBL00061_1_1"/>
            <w:bookmarkEnd w:id="14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Изпълнено от Комисията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8 831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9 254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Изпълнено от изпълнителните агенции на ЕС</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6 699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Изпълнено от доверителните фондове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15 610</w:t>
            </w:r>
          </w:p>
        </w:tc>
      </w:tr>
    </w:tbl>
    <w:p>
      <w:pPr>
        <w:pStyle w:val="DGTextstand-alone"/>
        <w:spacing w:after="0"/>
      </w:pPr>
      <w:r>
        <w:t>Тези суми са свързани предимно с изпълнението на политиката в областта на научните изследвания (7,2 милиарда евро), програмите за мрежи (1,3 милиарда евро), инструментите в областта на сътрудничеството за развитие (1,3 милиарда евро), европейската политика за съседство (1,2 милиард евро) и хуманитарната помощ (0,7 милиарда евро).</w:t>
      </w:r>
    </w:p>
    <w:p>
      <w:pPr>
        <w:pStyle w:val="DGTextstand-alone"/>
        <w:spacing w:before="0" w:after="0"/>
        <w:sectPr>
          <w:headerReference w:type="even" r:id="rId285"/>
          <w:headerReference w:type="default" r:id="rId286"/>
          <w:footerReference w:type="even" r:id="rId287"/>
          <w:footerReference w:type="default" r:id="rId288"/>
          <w:headerReference w:type="first" r:id="rId289"/>
          <w:footerReference w:type="first" r:id="rId290"/>
          <w:type w:val="continuous"/>
          <w:pgSz w:w="11906" w:h="16838"/>
          <w:pgMar w:top="1134" w:right="1134" w:bottom="1134" w:left="1134" w:header="709" w:footer="709" w:gutter="0"/>
          <w:cols w:space="708"/>
          <w:docGrid w:linePitch="360"/>
        </w:sectPr>
      </w:pPr>
      <w:r>
        <w:t xml:space="preserve"> </w:t>
      </w:r>
      <w:bookmarkEnd w:id="140"/>
    </w:p>
    <w:p>
      <w:pPr>
        <w:pStyle w:val="HEADER2NOTES"/>
        <w:rPr>
          <w:noProof/>
        </w:rPr>
      </w:pPr>
      <w:bookmarkStart w:id="142" w:name="_DMBM_11313"/>
      <w:r>
        <w:rPr>
          <w:noProof/>
        </w:rPr>
        <w:t>НЕПРЯКО УПРАВЛЕНИЕ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3" w:name="DOC_TBL00062_1_1"/>
            <w:bookmarkEnd w:id="14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Изпълнено от други агенции и органи на ЕС</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Изпълнено от трети държави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Изпълнено от международни организации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2 382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Изпълнено от други субекти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7 840</w:t>
            </w:r>
          </w:p>
        </w:tc>
      </w:tr>
    </w:tbl>
    <w:p>
      <w:pPr>
        <w:pStyle w:val="DGTextstand-alone"/>
      </w:pPr>
      <w:r>
        <w:t>От разходите за непряко управление 4,2 милиарда евро са предназначени за външни дейности (предимно в областта на периода преди присъединяването, хуманитарната помощ, международното сътрудничество и съседството). Други 3,6 милиарда евро са предназначени за увеличаване на конкурентоспособността на Европа (в области като научните изследвания, системите за спътникова навигация и образованието).</w:t>
      </w:r>
    </w:p>
    <w:p>
      <w:pPr>
        <w:pStyle w:val="HEADER2NOTES"/>
        <w:rPr>
          <w:noProof/>
        </w:rPr>
      </w:pPr>
      <w:bookmarkStart w:id="144" w:name="_DMBM_11322"/>
      <w:bookmarkEnd w:id="142"/>
      <w:r>
        <w:rPr>
          <w:noProof/>
        </w:rPr>
        <w:t>РАЗХОДИ ЗА ПЕРСОНАЛ И ЗА ПЕНСИИ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5" w:name="DOC_TBL00063_1_1"/>
            <w:bookmarkEnd w:id="14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персонал</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пенсии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3 702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9 776</w:t>
            </w:r>
          </w:p>
        </w:tc>
      </w:tr>
    </w:tbl>
    <w:p>
      <w:pPr>
        <w:pStyle w:val="DGTextstand-alone"/>
        <w:spacing w:after="0"/>
      </w:pPr>
      <w:r>
        <w:t>Разходите за пенсии представляват елементи на движенията, които са възникнали след актюерската оценка на задълженията, свързани с доходите на наети лица, различни от актюерските предположения. Поради това те не представляват реалните пенсионни плащания за годината, които са значително по-ниски.</w:t>
      </w:r>
    </w:p>
    <w:p>
      <w:pPr>
        <w:pStyle w:val="DGTextstand-alone"/>
        <w:spacing w:before="0" w:after="0"/>
        <w:sectPr>
          <w:headerReference w:type="even" r:id="rId291"/>
          <w:headerReference w:type="default" r:id="rId292"/>
          <w:footerReference w:type="even" r:id="rId293"/>
          <w:footerReference w:type="default" r:id="rId294"/>
          <w:headerReference w:type="first" r:id="rId295"/>
          <w:footerReference w:type="first" r:id="rId296"/>
          <w:type w:val="continuous"/>
          <w:pgSz w:w="11906" w:h="16838"/>
          <w:pgMar w:top="1134" w:right="1134" w:bottom="1134" w:left="1134" w:header="709" w:footer="709" w:gutter="0"/>
          <w:cols w:space="708"/>
          <w:docGrid w:linePitch="360"/>
        </w:sectPr>
      </w:pPr>
      <w:r>
        <w:t xml:space="preserve"> </w:t>
      </w:r>
      <w:bookmarkEnd w:id="144"/>
    </w:p>
    <w:p>
      <w:pPr>
        <w:rPr>
          <w:rFonts w:ascii="Verdana" w:hAnsi="Verdana"/>
          <w:b/>
          <w:noProof/>
          <w:color w:val="016794"/>
          <w:sz w:val="28"/>
          <w:szCs w:val="28"/>
        </w:rPr>
      </w:pPr>
      <w:bookmarkStart w:id="146" w:name="_DMBM_11325"/>
      <w:r>
        <w:rPr>
          <w:noProof/>
        </w:rPr>
        <w:br w:type="page"/>
      </w:r>
    </w:p>
    <w:p>
      <w:pPr>
        <w:pStyle w:val="HEADER2NOTES"/>
        <w:rPr>
          <w:noProof/>
        </w:rPr>
      </w:pPr>
      <w:r>
        <w:rPr>
          <w:noProof/>
        </w:rPr>
        <w:t>ПРОМЕНИ В АКТЮЕРСКИТЕ ПРЕДПОЛОЖЕНИЯ ЗА ДОХОДИТЕ НА НАЕТИ ЛИЦА</w:t>
      </w:r>
    </w:p>
    <w:p>
      <w:pPr>
        <w:pStyle w:val="DGTextstand-alone"/>
        <w:spacing w:after="0"/>
      </w:pPr>
      <w:r>
        <w:t>Нетната актюерска загуба от 3 544 милиона евро, посочена в тази позиция, се отнася до задълженията, свързани с доходите на наети лица, признати в счетоводния баланс (вж. бележка </w:t>
      </w:r>
      <w:r>
        <w:rPr>
          <w:b/>
        </w:rPr>
        <w:t>2.9</w:t>
      </w:r>
      <w:r>
        <w:t>).</w:t>
      </w:r>
    </w:p>
    <w:p>
      <w:pPr>
        <w:pStyle w:val="HEADER2NOTES"/>
        <w:rPr>
          <w:noProof/>
        </w:rPr>
      </w:pPr>
      <w:bookmarkStart w:id="147" w:name="_DMBM_11294"/>
      <w:bookmarkEnd w:id="146"/>
      <w:r>
        <w:rPr>
          <w:noProof/>
        </w:rPr>
        <w:t>ФИНАНСОВИ РАЗХОДИ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48" w:name="DOC_TBL00064_1_1"/>
            <w:bookmarkEnd w:id="14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Разходи за лихви: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Получени заеми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Други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Загуби от обезценка на заеми и вземания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Финансови лизинги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Загуби от обезценка на финансови активи, обявени за продажба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Загуба от финансови активи или пасиви по справедлива стойност чрез излишъка или дефицита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Реализирани загуби от финансови активи, обявени за продажба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Други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1 896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1 904</w:t>
            </w:r>
          </w:p>
        </w:tc>
      </w:tr>
    </w:tbl>
    <w:p>
      <w:pPr>
        <w:pStyle w:val="DGTextstand-alone"/>
        <w:spacing w:after="0"/>
      </w:pPr>
      <w:r>
        <w:t>Размерът на разходите за лихви по получените заеми съответства предимно на приходите от лихви по отпуснатите заеми за финансова помощ (операции от вида „бек-ту-бек“).</w:t>
      </w:r>
    </w:p>
    <w:p>
      <w:pPr>
        <w:pStyle w:val="DGTextstand-alone"/>
        <w:spacing w:after="0"/>
      </w:pPr>
      <w:r>
        <w:t xml:space="preserve">Загубите от обезценка на заемите и вземанията включват 243 милиона евро, свързани с традиционните собствени ресурси (вж. бележка </w:t>
      </w:r>
      <w:r>
        <w:rPr>
          <w:b/>
        </w:rPr>
        <w:t>2.6.1.1</w:t>
      </w:r>
      <w:r>
        <w:t xml:space="preserve">). </w:t>
      </w:r>
    </w:p>
    <w:p>
      <w:pPr>
        <w:pStyle w:val="HEADER2NOTES"/>
        <w:rPr>
          <w:noProof/>
        </w:rPr>
      </w:pPr>
      <w:bookmarkStart w:id="149" w:name="_DMBM_11261"/>
      <w:bookmarkEnd w:id="147"/>
      <w:r>
        <w:rPr>
          <w:noProof/>
        </w:rPr>
        <w:t>ДРУГИ РАЗХОДИ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0" w:name="DOC_TBL00065_1_1"/>
            <w:bookmarkEnd w:id="15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Административни разходи и разходи в областта на ИТ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свързани с имоти, машини и съоръжения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Корекция на провизиите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Загуби от курсови разлики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по оперативен лизинг</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Намаление на глоби от Съда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6 756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5 486</w:t>
            </w:r>
          </w:p>
        </w:tc>
      </w:tr>
    </w:tbl>
    <w:p>
      <w:pPr>
        <w:pStyle w:val="DGTextstand-alone"/>
      </w:pPr>
      <w:r>
        <w:t xml:space="preserve">Увеличението на разходите, свързани с провизиите, се дължи предимно на промяната в приблизителната оценка на провизията за демонтаж на ядрени обекти (вж. бележка </w:t>
      </w:r>
      <w:r>
        <w:rPr>
          <w:b/>
        </w:rPr>
        <w:t>2.10</w:t>
      </w:r>
      <w:r>
        <w:t xml:space="preserve">). </w:t>
      </w:r>
    </w:p>
    <w:p>
      <w:pPr>
        <w:pStyle w:val="DGTextstand-alone"/>
      </w:pPr>
      <w:r>
        <w:t>Разходите за научноизследователска и развойна дейност са включени в административните разходи и в разходите за ИТ и са,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1" w:name="DOC_TBL00066_1_1"/>
            <w:bookmarkEnd w:id="15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милиони евро </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научни изследвания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Некапитализирани разходи за развойна дейност</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456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431</w:t>
            </w:r>
          </w:p>
        </w:tc>
      </w:tr>
    </w:tbl>
    <w:p>
      <w:pPr>
        <w:pStyle w:val="DGTextstand-alone"/>
        <w:spacing w:before="0" w:after="0"/>
        <w:sectPr>
          <w:headerReference w:type="even" r:id="rId297"/>
          <w:headerReference w:type="default" r:id="rId298"/>
          <w:footerReference w:type="even" r:id="rId299"/>
          <w:footerReference w:type="default" r:id="rId300"/>
          <w:headerReference w:type="first" r:id="rId301"/>
          <w:footerReference w:type="first" r:id="rId302"/>
          <w:type w:val="continuous"/>
          <w:pgSz w:w="11906" w:h="16838"/>
          <w:pgMar w:top="1134" w:right="1134" w:bottom="1134" w:left="1134" w:header="709" w:footer="709" w:gutter="0"/>
          <w:cols w:space="708"/>
          <w:docGrid w:linePitch="360"/>
        </w:sectPr>
      </w:pPr>
      <w:r>
        <w:t xml:space="preserve"> </w:t>
      </w:r>
      <w:bookmarkEnd w:id="149"/>
    </w:p>
    <w:p>
      <w:pPr>
        <w:pStyle w:val="HEADER2NOTES"/>
        <w:spacing w:before="120" w:after="120"/>
        <w:rPr>
          <w:noProof/>
          <w:spacing w:val="-20"/>
        </w:rPr>
      </w:pPr>
      <w:bookmarkStart w:id="152" w:name="_DMBM_11340"/>
      <w:r>
        <w:rPr>
          <w:noProof/>
          <w:spacing w:val="-20"/>
        </w:rPr>
        <w:t>ОТЧИТАНЕ ПО СЕГМЕНТИ ПО ФУНКЦИИ ОТ МНОГОГОДИШНАТА ФИНАНСОВА РАМКА (МФР)</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685"/>
        <w:gridCol w:w="1292"/>
        <w:gridCol w:w="1357"/>
        <w:gridCol w:w="1843"/>
        <w:gridCol w:w="1275"/>
        <w:gridCol w:w="1438"/>
      </w:tblGrid>
      <w:tr>
        <w:trPr>
          <w:cantSplit/>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3" w:name="DOC_TBL00067_1_1"/>
            <w:bookmarkEnd w:id="153"/>
          </w:p>
        </w:tc>
        <w:tc>
          <w:tcPr>
            <w:tcW w:w="162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38" w:type="dxa"/>
            <w:tcBorders>
              <w:top w:val="nil"/>
              <w:left w:val="nil"/>
              <w:bottom w:val="nil"/>
              <w:right w:val="nil"/>
            </w:tcBorders>
            <w:tcMar>
              <w:top w:w="0" w:type="dxa"/>
              <w:left w:w="108" w:type="dxa"/>
              <w:bottom w:w="0" w:type="dxa"/>
              <w:right w:w="108" w:type="dxa"/>
            </w:tcMar>
          </w:tcPr>
          <w:p>
            <w:pPr>
              <w:pStyle w:val="Text8pItalicRight025EUR"/>
              <w:rPr>
                <w:rFonts w:cs="Verdana"/>
                <w:spacing w:val="-10"/>
              </w:rPr>
            </w:pPr>
            <w:r>
              <w:rPr>
                <w:spacing w:val="-10"/>
              </w:rPr>
              <w:t>милиони евро</w:t>
            </w:r>
          </w:p>
        </w:tc>
      </w:tr>
      <w:tr>
        <w:trPr>
          <w:cantSplit/>
          <w:trHeight w:val="737"/>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Интелигентен и приобщаващ растеж</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Устойчив растеж</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Сигурност и гражданство</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Глобална Европа</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Администрация</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Неотнесени към функция от МФР*</w:t>
            </w:r>
          </w:p>
        </w:tc>
        <w:tc>
          <w:tcPr>
            <w:tcW w:w="1438"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Общо</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Ресурси от БНД</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Традиционни собствени ресурси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ДДС</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Глоби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Събиране на разходи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357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1 488</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1 879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Други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1 172</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414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4 827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3 676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10 376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BoldLeft"/>
              <w:rPr>
                <w:rFonts w:cs="Verdana"/>
              </w:rPr>
            </w:pPr>
            <w:r>
              <w:t>Приходи от операции без размяна</w:t>
            </w:r>
          </w:p>
        </w:tc>
        <w:tc>
          <w:tcPr>
            <w:tcW w:w="1620" w:type="dxa"/>
            <w:tcBorders>
              <w:top w:val="nil"/>
              <w:left w:val="nil"/>
              <w:bottom w:val="nil"/>
              <w:right w:val="nil"/>
            </w:tcBorders>
            <w:tcMar>
              <w:top w:w="0" w:type="dxa"/>
              <w:left w:w="108" w:type="dxa"/>
              <w:bottom w:w="0" w:type="dxa"/>
              <w:right w:w="108" w:type="dxa"/>
            </w:tcMar>
          </w:tcPr>
          <w:p>
            <w:pPr>
              <w:pStyle w:val="Figures8pBoldRight025"/>
              <w:rPr>
                <w:rFonts w:cs="Verdana"/>
              </w:rPr>
            </w:pPr>
            <w:r>
              <w:t>1 529</w:t>
            </w:r>
          </w:p>
        </w:tc>
        <w:tc>
          <w:tcPr>
            <w:tcW w:w="1685" w:type="dxa"/>
            <w:tcBorders>
              <w:top w:val="nil"/>
              <w:left w:val="nil"/>
              <w:bottom w:val="nil"/>
              <w:right w:val="nil"/>
            </w:tcBorders>
            <w:tcMar>
              <w:top w:w="0" w:type="dxa"/>
              <w:left w:w="108" w:type="dxa"/>
              <w:bottom w:w="0" w:type="dxa"/>
              <w:right w:w="108" w:type="dxa"/>
            </w:tcMar>
          </w:tcPr>
          <w:p>
            <w:pPr>
              <w:pStyle w:val="Figures8pBoldRight025"/>
              <w:rPr>
                <w:rFonts w:cs="Verdana"/>
              </w:rPr>
            </w:pPr>
            <w:r>
              <w:t>1 732</w:t>
            </w:r>
          </w:p>
        </w:tc>
        <w:tc>
          <w:tcPr>
            <w:tcW w:w="1292"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48</w:t>
            </w:r>
          </w:p>
        </w:tc>
        <w:tc>
          <w:tcPr>
            <w:tcW w:w="1357"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443</w:t>
            </w:r>
          </w:p>
        </w:tc>
        <w:tc>
          <w:tcPr>
            <w:tcW w:w="1843" w:type="dxa"/>
            <w:tcBorders>
              <w:top w:val="nil"/>
              <w:left w:val="nil"/>
              <w:bottom w:val="nil"/>
              <w:right w:val="nil"/>
            </w:tcBorders>
            <w:tcMar>
              <w:top w:w="0" w:type="dxa"/>
              <w:left w:w="108" w:type="dxa"/>
              <w:bottom w:w="0" w:type="dxa"/>
              <w:right w:w="108" w:type="dxa"/>
            </w:tcMar>
          </w:tcPr>
          <w:p>
            <w:pPr>
              <w:pStyle w:val="Figures8pBoldRight025"/>
              <w:rPr>
                <w:rFonts w:cs="Verdana"/>
              </w:rPr>
            </w:pPr>
            <w:r>
              <w:t>4 827</w:t>
            </w:r>
          </w:p>
        </w:tc>
        <w:tc>
          <w:tcPr>
            <w:tcW w:w="1275" w:type="dxa"/>
            <w:tcBorders>
              <w:top w:val="nil"/>
              <w:left w:val="nil"/>
              <w:bottom w:val="nil"/>
              <w:right w:val="nil"/>
            </w:tcBorders>
            <w:tcMar>
              <w:top w:w="0" w:type="dxa"/>
              <w:left w:w="108" w:type="dxa"/>
              <w:bottom w:w="0" w:type="dxa"/>
              <w:right w:w="108" w:type="dxa"/>
            </w:tcMar>
          </w:tcPr>
          <w:p>
            <w:pPr>
              <w:pStyle w:val="Figures8pBoldRight025"/>
              <w:rPr>
                <w:rFonts w:cs="Verdana"/>
              </w:rPr>
            </w:pPr>
            <w:r>
              <w:t>124 428</w:t>
            </w:r>
          </w:p>
        </w:tc>
        <w:tc>
          <w:tcPr>
            <w:tcW w:w="1438" w:type="dxa"/>
            <w:tcBorders>
              <w:top w:val="nil"/>
              <w:left w:val="nil"/>
              <w:bottom w:val="nil"/>
              <w:right w:val="nil"/>
            </w:tcBorders>
            <w:tcMar>
              <w:top w:w="0" w:type="dxa"/>
              <w:left w:w="108" w:type="dxa"/>
              <w:bottom w:w="0" w:type="dxa"/>
              <w:right w:w="108" w:type="dxa"/>
            </w:tcMar>
          </w:tcPr>
          <w:p>
            <w:pPr>
              <w:pStyle w:val="Figures8pBoldRight025"/>
              <w:rPr>
                <w:rFonts w:cs="Verdana"/>
              </w:rPr>
            </w:pPr>
            <w:r>
              <w:t>133 006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Финансови приходи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1 684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1 845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Други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196</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338</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805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1 332</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BoldLeft"/>
              <w:rPr>
                <w:rFonts w:cs="Verdana"/>
              </w:rPr>
            </w:pPr>
            <w:r>
              <w:t>Приходи от операции с размяна</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(15)</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338</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2 489</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3 177</w:t>
            </w:r>
          </w:p>
        </w:tc>
      </w:tr>
      <w:tr>
        <w:trPr>
          <w:cantSplit/>
          <w:trHeight w:val="234"/>
        </w:trPr>
        <w:tc>
          <w:tcPr>
            <w:tcW w:w="4077"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Общо приходи</w:t>
            </w:r>
          </w:p>
        </w:tc>
        <w:tc>
          <w:tcPr>
            <w:tcW w:w="162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1 873</w:t>
            </w:r>
          </w:p>
        </w:tc>
        <w:tc>
          <w:tcPr>
            <w:tcW w:w="168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1 716</w:t>
            </w:r>
          </w:p>
        </w:tc>
        <w:tc>
          <w:tcPr>
            <w:tcW w:w="12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42</w:t>
            </w:r>
          </w:p>
        </w:tc>
        <w:tc>
          <w:tcPr>
            <w:tcW w:w="135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470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5 166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126 917</w:t>
            </w:r>
          </w:p>
        </w:tc>
        <w:tc>
          <w:tcPr>
            <w:tcW w:w="143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136 183</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Разходи, изпълнени от държавите членки:</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ЕФГЗ</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ЕЗФРСР и други инструменти за развитие на селските райони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ЕФРР и КФ</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EСФ</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Други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(897)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(1 253)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Изпълнени от ЕК, изпълнителните агенции и доверителните фондове</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(9 809)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(525)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(1 080)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(4 337)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(15 738)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Изпълнени от други агенции и органи на ЕС</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(2 530)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(121)</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(754)</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762</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(2 667)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Изпълнени от трети държави и международни организации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(434)</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(3 504)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(4 115)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Изпълнени от други субекти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(819)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(675)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(1 478)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Разходи за персонал и за пенсии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(1 638)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(360)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(426)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(5 977)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(10 002)</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Промени в актюерските предположения за доходите на наети лица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t>Финансови разходи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(106)</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t>(1 668)</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t>(1 896)</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Други разходи</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(2 453)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(88)</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(113)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(3 386)</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(521)</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(6 756)</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Общо разходи</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(43 213)</w:t>
            </w: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(56 669)</w:t>
            </w: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(3 528)</w:t>
            </w: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(9 277)</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(13 025)</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(2 389)</w:t>
            </w: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(128 101)</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Финансов резултат за годината</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(41 341)</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(54 953)</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(3 486)</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(8 807)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(7 859)</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124 528</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8 082</w:t>
            </w:r>
          </w:p>
        </w:tc>
      </w:tr>
    </w:tbl>
    <w:p>
      <w:pPr>
        <w:pStyle w:val="Textstand-alone"/>
        <w:tabs>
          <w:tab w:val="left" w:pos="284"/>
        </w:tabs>
        <w:spacing w:before="60" w:after="0"/>
        <w:ind w:left="284" w:hanging="284"/>
        <w:rPr>
          <w:i/>
          <w:sz w:val="14"/>
        </w:rPr>
      </w:pPr>
      <w:r>
        <w:rPr>
          <w:i/>
          <w:sz w:val="14"/>
        </w:rPr>
        <w:t>*</w:t>
      </w:r>
      <w:r>
        <w:tab/>
      </w:r>
      <w:r>
        <w:rPr>
          <w:i/>
          <w:sz w:val="14"/>
        </w:rPr>
        <w:t>Позицията „Неотнесени към функция от МФР“ включва изпълнението на бюджета от консолидираните субекти и консолидационните изключвания, извънбюджетните операции и неразпределените програми с несъществени суми.</w:t>
      </w:r>
    </w:p>
    <w:p>
      <w:pPr>
        <w:pStyle w:val="DGTextstand-alone"/>
        <w:spacing w:before="0" w:after="0"/>
      </w:pPr>
      <w:r>
        <w:t xml:space="preserve">Посочването на приходите и разходите по функции от МФР се основава на приблизителна оценка, тъй като не всички поети задължения са свързани с функция от МФР. </w:t>
      </w:r>
    </w:p>
    <w:p>
      <w:pPr>
        <w:pStyle w:val="DGTextstand-alone"/>
        <w:sectPr>
          <w:headerReference w:type="even" r:id="rId303"/>
          <w:headerReference w:type="default" r:id="rId304"/>
          <w:footerReference w:type="even" r:id="rId305"/>
          <w:footerReference w:type="default" r:id="rId306"/>
          <w:headerReference w:type="first" r:id="rId307"/>
          <w:footerReference w:type="first" r:id="rId308"/>
          <w:pgSz w:w="16838" w:h="11906" w:orient="landscape"/>
          <w:pgMar w:top="1134" w:right="1134" w:bottom="1134" w:left="1134" w:header="708" w:footer="708" w:gutter="0"/>
          <w:cols w:space="708"/>
          <w:docGrid w:linePitch="360"/>
        </w:sectPr>
      </w:pPr>
      <w:r>
        <w:t xml:space="preserve"> </w:t>
      </w:r>
      <w:bookmarkEnd w:id="152"/>
    </w:p>
    <w:p>
      <w:pPr>
        <w:pStyle w:val="HEADER1NOTES"/>
        <w:jc w:val="left"/>
        <w:rPr>
          <w:noProof/>
        </w:rPr>
        <w:sectPr>
          <w:headerReference w:type="even" r:id="rId309"/>
          <w:headerReference w:type="default" r:id="rId310"/>
          <w:footerReference w:type="even" r:id="rId311"/>
          <w:footerReference w:type="default" r:id="rId312"/>
          <w:headerReference w:type="first" r:id="rId313"/>
          <w:footerReference w:type="first" r:id="rId314"/>
          <w:type w:val="continuous"/>
          <w:pgSz w:w="11906" w:h="16838"/>
          <w:pgMar w:top="1134" w:right="1134" w:bottom="1134" w:left="1134" w:header="709" w:footer="709" w:gutter="0"/>
          <w:cols w:space="708"/>
          <w:docGrid w:linePitch="360"/>
        </w:sectPr>
      </w:pPr>
      <w:bookmarkStart w:id="154" w:name="_Toc517433957"/>
      <w:bookmarkStart w:id="155" w:name="_Toc522890240"/>
      <w:bookmarkStart w:id="156" w:name="_DMBM_11343"/>
      <w:r>
        <w:rPr>
          <w:noProof/>
        </w:rPr>
        <w:t>УСЛОВНИ ПАСИВИ И АКТИВИ</w:t>
      </w:r>
      <w:bookmarkEnd w:id="154"/>
      <w:bookmarkEnd w:id="155"/>
      <w:r>
        <w:rPr>
          <w:noProof/>
        </w:rPr>
        <w:t xml:space="preserve"> </w:t>
      </w:r>
      <w:bookmarkEnd w:id="156"/>
    </w:p>
    <w:p>
      <w:pPr>
        <w:pStyle w:val="HEADER2NOTES"/>
        <w:numPr>
          <w:ilvl w:val="0"/>
          <w:numId w:val="0"/>
        </w:numPr>
        <w:rPr>
          <w:noProof/>
        </w:rPr>
      </w:pPr>
      <w:bookmarkStart w:id="157" w:name="_DMBM_11347"/>
      <w:r>
        <w:rPr>
          <w:noProof/>
        </w:rPr>
        <w:t>УСЛОВНИ ПАСИВИ</w:t>
      </w:r>
    </w:p>
    <w:p>
      <w:pPr>
        <w:pStyle w:val="DGTextstand-alone"/>
        <w:spacing w:after="0"/>
      </w:pPr>
      <w:r>
        <w:t xml:space="preserve">Условните пасиви са възможни бъдещи задължения за плащане на ЕС, които могат да възникнат вследствие на минали събития или поети правнообвързващи задължения, но които зависят от бъдещи събития, които не са изцяло под контрола на ЕС. Те са свързани предимно с дадени финансови гаранции (по заеми и програми за финансова помощ) и с правни рискове. Всички условни пасиви, с изключение на тези, свързани с глоби и с обезпечени от фондове гаранции (вж. бележка </w:t>
      </w:r>
      <w:r>
        <w:rPr>
          <w:b/>
        </w:rPr>
        <w:t>2.4.1</w:t>
      </w:r>
      <w:r>
        <w:t>), ще бъдат финансирани, ако станат дължими, от бюджета на ЕС (и следователно от държавите — членки на ЕС) през идните години.</w:t>
      </w:r>
    </w:p>
    <w:p>
      <w:pPr>
        <w:pStyle w:val="HEADER3NOTES"/>
        <w:rPr>
          <w:noProof/>
        </w:rPr>
      </w:pPr>
      <w:r>
        <w:rPr>
          <w:noProof/>
        </w:rPr>
        <w:t>Бюджетни гаранции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8" w:name="DOC_TBL00068_1_1"/>
            <w:bookmarkEnd w:id="158"/>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Таван</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Подписани</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Изплатени</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Таван</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Подписани</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Изплатени</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Гаранции за мандата за външно кредитиране на ЕИБ</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37 479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28 950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19 972</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40 645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30 161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21 145</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Гаранция на ЕФСИ</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13 473</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10 128</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11 245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4 392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53 479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42 423</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30 100</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56 645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41 406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25 537</w:t>
            </w:r>
          </w:p>
        </w:tc>
      </w:tr>
    </w:tbl>
    <w:p>
      <w:pPr>
        <w:pStyle w:val="DGTextstand-alone"/>
      </w:pPr>
      <w:r>
        <w:t>Таблицата по-горе показва експозицията на бюджета на ЕС спрямо евентуални бъдещи плащания, свързани с гаранции, предоставени на групата на ЕИБ. Изплатените суми са сумите, които вече са предоставени на крайните бенефициери, докато подписаните суми включват тези изплатени суми плюс вече подписаните с бенефициери споразумения, средствата по които все още не са изплатени. Таванът представлява общият размер на гаранцията, която бюджетът на ЕС, а следователно и държавите членки са поели задължението да финансират.</w:t>
      </w:r>
    </w:p>
    <w:p>
      <w:pPr>
        <w:pStyle w:val="HEADER5"/>
        <w:rPr>
          <w:noProof/>
        </w:rPr>
      </w:pPr>
      <w:r>
        <w:rPr>
          <w:noProof/>
        </w:rPr>
        <w:t>Гаранции за мандата за външно кредитиране на ЕИБ</w:t>
      </w:r>
    </w:p>
    <w:p>
      <w:pPr>
        <w:pStyle w:val="DGTextstand-alone"/>
      </w:pPr>
      <w:r>
        <w:t>Бюджетът на ЕС гарантира заемите, които ЕИБ е подписала и отпуснала от собствените си ресурси на трети държави. Към 31 декември 2017 г. размерът на непогасените заеми, които са покрити от гаранцията на ЕС, възлизаше на 19 972 милиона евро (2016 г.: 21 145 милиона евро). Гаранции от бюджета на ЕС:</w:t>
      </w:r>
    </w:p>
    <w:p>
      <w:pPr>
        <w:pStyle w:val="DGTextstand-alone"/>
        <w:numPr>
          <w:ilvl w:val="0"/>
          <w:numId w:val="28"/>
        </w:numPr>
      </w:pPr>
      <w:r>
        <w:t xml:space="preserve">18 583 милиона евро (2016 г.: 19 481 милиона евро) чрез Гаранционния фонд за външни дейности (вж. бележка </w:t>
      </w:r>
      <w:r>
        <w:rPr>
          <w:b/>
        </w:rPr>
        <w:t>2.4.1</w:t>
      </w:r>
      <w:r>
        <w:t>) и</w:t>
      </w:r>
    </w:p>
    <w:p>
      <w:pPr>
        <w:pStyle w:val="DGTextstand-alone"/>
        <w:numPr>
          <w:ilvl w:val="0"/>
          <w:numId w:val="28"/>
        </w:numPr>
      </w:pPr>
      <w:r>
        <w:t>1 389 милиона евро (2016 г.: 1 664 милиона евро) директно за заеми, отпуснати на държави членки преди присъединяването.</w:t>
      </w:r>
    </w:p>
    <w:p>
      <w:pPr>
        <w:pStyle w:val="DGTextstand-alone"/>
      </w:pPr>
      <w:r>
        <w:t>В допълнение към сумата от 19 972 милиона евро, оповестена по-горе като реално предоставена, ЕС гарантира и 258 милиона евро непогасени заеми, отпуснати на Сирия, за които са осигурени провизии.</w:t>
      </w:r>
    </w:p>
    <w:p>
      <w:pPr>
        <w:pStyle w:val="DGTextstand-alone"/>
      </w:pPr>
      <w:r>
        <w:t>Гаранцията на ЕС за мандата за външно кредитиране, свързана със заемите, отпуснати от ЕИБ, е ограничена до 65 % от непогасените средства за споразуменията, подписани след 2007 г. (мандати за периодите 2007—2013 г. и 2014—2020 г.). За споразуменията отпреди 2007 г. гаранцията на ЕС е ограничена до процент от тавана на разрешените кредитни линии, като в повечето случаи този процент е 65 %, но може да бъде също 70 %, 75 % или 100 %. Когато таванът не е достигнат, гаранцията на ЕС покрива цялата сума.</w:t>
      </w:r>
    </w:p>
    <w:p>
      <w:pPr>
        <w:pStyle w:val="DGTextstand-alone"/>
      </w:pPr>
      <w:r>
        <w:t>За да се оповести максималният риск за ЕС към 31 декември 2017 г. обаче, трябва да бъдат включени и заемите, които е разрешено да бъдат подписани, но които все още не са подписани (8 529 милиона евро), и подписаните заеми, които не са реално предоставени (8 978 милиона евро).</w:t>
      </w:r>
    </w:p>
    <w:p>
      <w:pPr>
        <w:pStyle w:val="DGTextstand-alone"/>
      </w:pPr>
      <w:r>
        <w:t>През март 2018 г. Европейският парламент и Съветът приеха Решение (ЕС) 2018/412, с което допуснаха да се увеличи горната граница за извършваните от ЕИБ операции за финансиране, ползващи се от гаранцията на ЕС. Това ще бъде отразено в актуализирано споразумение за гаранция, сключено с ЕИБ, и когато то бъде изменено, максималната експозиция на ЕС ще се увеличи с 3,4 милиарда евро.</w:t>
      </w:r>
    </w:p>
    <w:p>
      <w:pPr>
        <w:pStyle w:val="HEADER5"/>
        <w:keepNext/>
        <w:rPr>
          <w:noProof/>
        </w:rPr>
      </w:pPr>
      <w:r>
        <w:rPr>
          <w:noProof/>
        </w:rPr>
        <w:t>Гаранция на Европейския фонд за стратегически инвестиции (ЕФСИ)</w:t>
      </w:r>
    </w:p>
    <w:p>
      <w:pPr>
        <w:pStyle w:val="DGTextstand-alone"/>
      </w:pPr>
      <w:r>
        <w:t>ЕФСИ е инициатива, предприета с цел повишаване на капацитета за поемане на риск на групата на ЕИБ чрез предоставяне на възможност на ЕИБ да увеличи инвестициите си в ЕС. Целта на ЕФСИ е да подпомогне допълнителните инвестиции в ЕС и достъпа до финансиране за малките предприятия. ЕФСИ не е отделно юридическо лице или инвестиционен фонд в тесния смисъл на думата. Резервът за рискове на ЕФСИ осигурява защита на ЕИБ срещу потенциални загуби по съответните операции. Той се състои от 5 милиарда евро, отпуснати от собствения капитал на ЕИБ, и от гаранция от бюджета на ЕС в размер до 16 милиарда евро („гаранция от ЕС по линия на ЕФСИ“). Гаранцията от ЕС по линия на ЕФСИ се предоставя на ЕИБ по силата на споразумение между ЕС и ЕИБ, наричано по-нататък „Споразумението за ЕФСИ“.</w:t>
      </w:r>
    </w:p>
    <w:p>
      <w:pPr>
        <w:pStyle w:val="DGTextstand-alone"/>
      </w:pPr>
      <w:r>
        <w:t>Сумите, отнасящи се до условните пасиви на ЕФСИ, включително таванът на гаранцията, оповестен в настоящата бележка, се основават на Споразумението за ЕФСИ, което бе в сила към 31 декември 2017 г. Следва обаче да бъде отбелязано, че измененият Регламент за ЕФСИ (Регламент (ЕС) 2017/2396), приет през декември 2017 г., позволи гаранцията от ЕС по линия на ЕФСИ да бъде увеличена на 26 милиарда евро. Споразумението за ЕФСИ бе съответно изменено през март 2018 г.</w:t>
      </w:r>
    </w:p>
    <w:p>
      <w:pPr>
        <w:pStyle w:val="DGTextstand-alone"/>
      </w:pPr>
      <w:r>
        <w:t>Операциите на ЕФСИ се осъществяват в рамките на два прозореца: инфраструктурния и иновационен прозорец (ИИП), прилаган от ЕИБ (гаранция от ЕС по линия на ЕФСИ в размер на 13 милиарда евро), и прозореца за МСП (ПМСП), прилаган от ЕИФ (гаранция от ЕС по линия на ЕФСИ в размер на 3 милиарда евро), като и двата прозореца имат дългов портфейл и капиталов портфейл. ЕИФ действа съгласно споразумение с ЕИБ въз основа на гаранция на ЕИБ, която гаранция на свой ред е гарантирана от гаранцията от ЕС по линия на ЕФСИ съгласно Споразумението за ЕФСИ.</w:t>
      </w:r>
    </w:p>
    <w:p>
      <w:pPr>
        <w:pStyle w:val="DGTextstand-alone"/>
      </w:pPr>
      <w:r>
        <w:t>За целите на използването на гаранцията от ЕС по линия на ЕФСИ дейността на ЕФСИ се надзирава от управителен съвет, който действа с консенсус и е съставен от четирима членове, трима от които са назначени от Комисията, а един — от ЕИБ. Съгласно изменения Регламент за ЕФСИ управителният съвет на ЕФСИ ще бъде съставен от петима членове, включително един член без право на глас, назначен от Европейския парламент. Решенията ще се вземат с консенсус, а когато такъв не може да бъде постигнат — с единодушие на членовете на управителния съвет с право на глас. Управителният съвет на ЕФСИ не взема инвестиционни решения.</w:t>
      </w:r>
    </w:p>
    <w:p>
      <w:pPr>
        <w:pStyle w:val="DGTextstand-alone"/>
      </w:pPr>
      <w:r>
        <w:t>ЕС и ЕИБ имат различни роли в рамките на ЕФСИ. ЕФСИ е създаден в рамките на ЕИБ, която финансира операциите (дългови и капиталови инвестиции). За тази цел тя взема назаем необходимите средства на капиталовите пазари. Що се отнася до ИИП, ЕИБ взема инвестиционните решения независимо и управлява операциите в съответствие със своите правила и процедури. Същото важи за операциите в рамките на ПМСП, управлявани от ЕИФ.</w:t>
      </w:r>
    </w:p>
    <w:p>
      <w:pPr>
        <w:pStyle w:val="DGTextstand-alone"/>
      </w:pPr>
      <w:r>
        <w:t>За да се гарантира, че инвестициите, направени по линия на ЕФСИ, остават насочени към постигането на конкретната цел да бъде преодоляна пазарната неефективност, която пречи на инвестирането в ЕС, и че тези инвестиции могат да ползват защитата на гаранцията на ЕС, бе въведена специална управленска структура. Инвестиционният комитет от независими експерти проверява за всеки проект, предложен от ЕИБ в рамките на ИИП, дали отговаря на условията за покритие от гаранцията на ЕС. Когато дадена операция бъде потвърдена за допустима като гарантирана операция по ЕФСИ, по отношение на решението за продължаване на проекта и неговото управление се прилагат обичайният проектен цикъл и обичайният управленски процес на ЕИБ. Що се отнася до ПМСП, ролята на инвестиционния комитет е ограничена до консултацията относно описанието на продуктите по ПМСП, които се одобряват от управителния съвет на ЕФСИ и от управляващия директор на ЕФСИ.</w:t>
      </w:r>
    </w:p>
    <w:p>
      <w:pPr>
        <w:pStyle w:val="DGTextstand-alone"/>
      </w:pPr>
      <w:r>
        <w:t>Ролята на ЕС е свързана с предоставянето на гаранцията на бюджета на ЕС за част от потенциалните загуби, които ЕИБ може да претърпи от инвестициите си в дългови и капиталови инструменти. Поради това ЕС не се намесва в подбора и в управлението на операциите по ЕФСИ, не инвестира средства в операциите по ЕФСИ и не е пряка страна по договор по съответните инструменти. Тъй като критериите за контрол и счетоводните изисквания за консолидирането съгласно счетоводните правила на ЕС (и МССПС) не са изпълнени, съответните гарантирани активи не са отчетени в консолидираните годишни отчети на ЕС.</w:t>
      </w:r>
    </w:p>
    <w:p>
      <w:pPr>
        <w:pStyle w:val="DGTextstand-alone"/>
      </w:pPr>
      <w:r>
        <w:t>Гаранцията на ЕС, предоставена на групата на ЕИБ по линия на ЕФСИ, се отчита, съгласно счетоводните правила на ЕС, като задължение по финансова гаранция по отношение на дълговия портфейл на ИИП, като финансова провизия за дълговия портфейл на ПМСП и като дериватив (финансов актив или финансов пасив по справедлива стойност чрез излишъка или дефицита) за двата капиталови портфейла. Освен в тази бележка е оповестен и условен пасив, свързан с дадената гаранция по ЕФСИ.</w:t>
      </w:r>
    </w:p>
    <w:p>
      <w:pPr>
        <w:pStyle w:val="DGTextstand-alone"/>
      </w:pPr>
      <w:r>
        <w:t xml:space="preserve">По дълговия портфейл по линия на инфраструктурния и иновационен прозорец (ИИП) на ЕФСИ гаранцията на ЕС покрива транша за първа загуба по портфейл с операции за финансиране на ЕИБ, които са предимно стандартни заеми и гаранции. Гаранцията на ЕС се задейства в случаите, в които длъжникът не извърши плащане, когато плащането стане изискуемо, или при преструктуриране на дългове. Гаранцията на ЕС получава заплащане, което е пропорционално на поетия от ЕС риск. Това се осъществява под формата на разпределяне — между ЕИБ и ЕС, на свързаните с риска получени от ЕИБ приходи от гарантираните операции. Приходите на ЕС следва първо да покрият загубите по гарантираните операции. Поради това гаранцията на ЕС се отчита като задължение по финансова гаранция и се оценява, при първоначалното признаване, по справедлива стойност, която представлява нетната настояща стойност на вземанията по премии (приходите на ЕС). Към следващи дати на счетоводния баланс задължението по финансова гаранция се оценява по по-високата от следните две стойности — очакваните загуби и първоначално признатата стойност минус, когато е уместно, натрупаната амортизация на приходите. Задължението по финансова гаранция е представено след приспадане на все още неполучените приходи на ЕС, които са нула към 31 декември 2017 г. (вж. бележка </w:t>
      </w:r>
      <w:r>
        <w:rPr>
          <w:b/>
        </w:rPr>
        <w:t>2.11.3</w:t>
      </w:r>
      <w:r>
        <w:t>).</w:t>
      </w:r>
    </w:p>
    <w:p>
      <w:pPr>
        <w:pStyle w:val="DGTextstand-alone"/>
        <w:rPr>
          <w:spacing w:val="2"/>
        </w:rPr>
      </w:pPr>
      <w:r>
        <w:rPr>
          <w:spacing w:val="2"/>
        </w:rPr>
        <w:t>По капиталовия портфейл по линия на ИИП на ЕФСИ, който се състои от преки капиталови или квазикапиталови участия или подчинени заеми, ЕИБ инвестира при равни условия на свой риск, както и на риска на ЕС. Поради това гаранцията на ЕС покрива — за частта от капиталовите инвестиции, гарантирана от ЕС — отрицателните корекции на стойността (нереализираните загуби) към датата на всеки счетоводен баланс, реализираните загуби при изтеглянето на вложените средства и разходите за финансиране на ЕИБ. В случаите, когато стойността на инвестиция, която преди е била подложена на отрицателна корекция на стойността, нарасне към следващи отчетни дати, ЕИБ възстановява на ЕС сумата до първоначалната цена на инвестицията. В момента на изтеглянето на вложените средства ЕС има също право на постъпленията от инвестицията, които надвишават първоначалната цена. Гаранцията на ЕС получава заплащане от приходите, получени от ЕИБ от гарантираните операции, включително лихви, дивиденти и реализирани печалби. Разплащането между ЕС и ЕИБ се извършва ежегодно след приспадане на загубите и приходите.</w:t>
      </w:r>
    </w:p>
    <w:p>
      <w:pPr>
        <w:pStyle w:val="DGTextstand-alone"/>
        <w:rPr>
          <w:spacing w:val="2"/>
        </w:rPr>
      </w:pPr>
      <w:r>
        <w:rPr>
          <w:spacing w:val="2"/>
        </w:rPr>
        <w:t>В рамките на капиталовия портфейл на ПМСП по ЕФСИ ЕС гарантира капиталови инвестиции в рисков капитал и във фондове за дялово участие, финансирани от ЕИБ и произхождащи и управлявани от ЕИФ. Гаранцията на ЕС се предоставя на базата на портфейл за два портфейла: подпрозорец 1 и подпрозорец 2. Гаранцията на ЕФСИ се задейства за покриване на загуби от обезценка и реализирани загуби от гарантираните инвестиции и от разходите за финансиране на ЕИБ. ЕС има право на възнаграждение за поетия риск под формата на дивиденти и реализирани печалби от гарантираните капиталови операции. В рамките на подпрозорец 2 програмата „Хоризонт 2020“ също инвестира частично в същия капиталов портфейл (инвестицията на „Хоризонт 2020“, финансирана от ЕС, се отчита като финансов актив, обявен за продажба, в отчетите на ЕС) и поема първите загуби от инвестициите, докато следващите загуби се покриват от гаранцията на ЕС и ЕИФ.</w:t>
      </w:r>
    </w:p>
    <w:p>
      <w:pPr>
        <w:pStyle w:val="DGTextstand-alone"/>
      </w:pPr>
      <w:r>
        <w:t xml:space="preserve">Гаранцията на ЕФСИ по капиталовия портфейл на ЕФСИ се класифицира като деривативен финансов инструмент и се отчита като финансов актив или финансов пасив по справедлива стойност чрез излишъка или дефицита. Към 31 декември 2017 г. справедливата стойност на гаранцията от ЕС по линия на ЕФСИ по капиталовия портфейл на ЕФСИ възлизаше на 16 милиона евро (вж. бележка </w:t>
      </w:r>
      <w:r>
        <w:rPr>
          <w:b/>
        </w:rPr>
        <w:t>2.4.2</w:t>
      </w:r>
      <w:r>
        <w:t>).</w:t>
      </w:r>
    </w:p>
    <w:p>
      <w:pPr>
        <w:pStyle w:val="DGTextstand-alone"/>
      </w:pPr>
      <w:r>
        <w:t>Условният пасив по-горе включва операциите по COSME, „Хоризонт 2020“, секторите на културата и творчеството и ЗиСИ за частта, която попада в обхвата на гаранцията от ЕС по линия на ЕФСИ в рамките на дълговия портфейл на ПМСП.</w:t>
      </w:r>
    </w:p>
    <w:p>
      <w:pPr>
        <w:pStyle w:val="DGTextstand-alone"/>
      </w:pPr>
      <w:r>
        <w:t xml:space="preserve">Плащанията по гаранцията на ЕС ще бъдат правени от Гаранционния фонд на ЕФСИ (вж. бележка </w:t>
      </w:r>
      <w:r>
        <w:rPr>
          <w:b/>
        </w:rPr>
        <w:t>2.4.1</w:t>
      </w:r>
      <w:r>
        <w:t xml:space="preserve">). Към края на 2017 г. активите на гаранционния фонд възлизаха на общо 3,5 милиарда евро (2016 г.: 1 милиард евро), докато други 2,6 милиарда евро (2016 г.: 2,4 милиарда евро) са заделени, но все още не са изплатени, и са включени в сумата, оповестена като RAL в бележка </w:t>
      </w:r>
      <w:r>
        <w:rPr>
          <w:b/>
        </w:rPr>
        <w:t>5.1</w:t>
      </w:r>
      <w:r>
        <w:t>.</w:t>
      </w:r>
    </w:p>
    <w:p>
      <w:pPr>
        <w:pStyle w:val="HEADER3NOTES"/>
        <w:spacing w:before="240" w:after="120"/>
        <w:rPr>
          <w:noProof/>
        </w:rPr>
      </w:pPr>
      <w:r>
        <w:rPr>
          <w:noProof/>
        </w:rPr>
        <w:t>Гаранции, свързани с финансова помощ (дейности по получаване и отпускане на заеми)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9" w:name="DOC_TBL00069_1_1"/>
            <w:bookmarkEnd w:id="159"/>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Усвоени</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Неусвоени</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Общо</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Усвоени</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Неусвоени</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Общо</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ЕМФС</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ПБ</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МФП</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3 924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4 384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2 964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1 313</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Евратом</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 xml:space="preserve"> 500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552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54 744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710</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55 454</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54 944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1 613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56 557</w:t>
            </w:r>
          </w:p>
        </w:tc>
      </w:tr>
    </w:tbl>
    <w:p>
      <w:pPr>
        <w:pStyle w:val="DGTextstand-alone"/>
      </w:pPr>
      <w:r>
        <w:t xml:space="preserve">Бюджетът на ЕС гарантира заемите на Комисията, взети с цел финансиране на заеми, отпускани на държави членки и на държави извън ЕС при операциите от вида „бек-ту-бек“. Тези получени заеми вече са признати като пасиви в счетоводния баланс на ЕС (вж. бележка </w:t>
      </w:r>
      <w:r>
        <w:rPr>
          <w:b/>
        </w:rPr>
        <w:t>2.11.1</w:t>
      </w:r>
      <w:r>
        <w:t xml:space="preserve">). Въпреки това при необслужване на задълженията по „бек-ту-бек“ заемите, отпуснати с тези получени заеми, въз основа на член 14 от Регламент № 609/2014 на Съвета бюджетът на ЕС ще трябва да поеме изцяло просрочената сума: </w:t>
      </w:r>
    </w:p>
    <w:p>
      <w:pPr>
        <w:pStyle w:val="DGTextstand-alone"/>
        <w:numPr>
          <w:ilvl w:val="0"/>
          <w:numId w:val="29"/>
        </w:numPr>
      </w:pPr>
      <w:r>
        <w:t>получените заеми, свързани със заеми, отпуснати по линия на ЕМФС, се гарантират единствено от бюджета на ЕС;</w:t>
      </w:r>
    </w:p>
    <w:p>
      <w:pPr>
        <w:pStyle w:val="DGTextstand-alone"/>
        <w:numPr>
          <w:ilvl w:val="0"/>
          <w:numId w:val="29"/>
        </w:numPr>
      </w:pPr>
      <w:r>
        <w:t>получените заеми, свързани със заеми по линия на ПБ, се гарантират единствено от бюджета на ЕС;</w:t>
      </w:r>
    </w:p>
    <w:p>
      <w:pPr>
        <w:pStyle w:val="DGTextstand-alone"/>
        <w:numPr>
          <w:ilvl w:val="0"/>
          <w:numId w:val="29"/>
        </w:numPr>
      </w:pPr>
      <w:r>
        <w:t>заемите по линия на МФП се гарантират първо от Гаранционния фонд за външни дейности (вж. бележка </w:t>
      </w:r>
      <w:r>
        <w:rPr>
          <w:b/>
        </w:rPr>
        <w:t>2.4.1</w:t>
      </w:r>
      <w:r>
        <w:t xml:space="preserve">), а след това от бюджета на ЕС; и </w:t>
      </w:r>
    </w:p>
    <w:p>
      <w:pPr>
        <w:pStyle w:val="DGTextstand-alone"/>
        <w:numPr>
          <w:ilvl w:val="0"/>
          <w:numId w:val="29"/>
        </w:numPr>
      </w:pPr>
      <w:r>
        <w:t>гаранциите от трети страни са първото покритие за целите непогасени заеми от Евратом. Гаранционният фонд ще покрие външните заеми, ако гаранциите от трети страни не предоставят средства за тях.</w:t>
      </w:r>
    </w:p>
    <w:p>
      <w:pPr>
        <w:pStyle w:val="DGTextstand-alone"/>
        <w:rPr>
          <w:spacing w:val="-6"/>
        </w:rPr>
      </w:pPr>
      <w:r>
        <w:rPr>
          <w:spacing w:val="-6"/>
        </w:rPr>
        <w:t xml:space="preserve">Заемите от ЕОВС в ликвидация, отпуснати от заемни средства, не са покрити от бюджетна гаранция на ЕС. Вместо това те са обезпечени с финансови активи на ЕОВС в ликвидация (вж. бележка </w:t>
      </w:r>
      <w:r>
        <w:rPr>
          <w:b/>
          <w:spacing w:val="-6"/>
        </w:rPr>
        <w:t>2.4.1</w:t>
      </w:r>
      <w:r>
        <w:rPr>
          <w:spacing w:val="-6"/>
        </w:rPr>
        <w:t xml:space="preserve">). </w:t>
      </w:r>
    </w:p>
    <w:p>
      <w:pPr>
        <w:pStyle w:val="HEADER3NOTES"/>
        <w:spacing w:before="240" w:after="120"/>
        <w:rPr>
          <w:noProof/>
        </w:rPr>
      </w:pPr>
      <w:r>
        <w:rPr>
          <w:noProof/>
        </w:rPr>
        <w:t>Гаранции, предоставени за финансови инструменти на ЕС</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0" w:name="DOC_TBL00070_1_1"/>
            <w:bookmarkEnd w:id="16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„Хоризонт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Механизъм за финансиране с поделяне на риска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Механизъм за свързване на Европа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2 101</w:t>
            </w:r>
          </w:p>
        </w:tc>
      </w:tr>
    </w:tbl>
    <w:p>
      <w:pPr>
        <w:pStyle w:val="DGTextstand-alone"/>
      </w:pPr>
      <w:r>
        <w:t xml:space="preserve">Както се посочва в член 140, параграф 3 от ФР, бюджетните разходи, свързани с даден финансов инструмент, и финансовата отговорност на ЕС в никакъв случай не могат да надвишават размера на съответното бюджетно задължение, поето за този финансов инструмент, като по този начин се изключва възможността за генериране на условни пасиви за бюджета. На практика това означава, че тези пасиви имат насрещен запис при активите в счетоводния баланс или са покрити от неизпълнените бюджетни задължения, които все още не са отчетени като разход. Условните пасиви по-горе са посочени след приспадане на финансовите провизии, осигурени за тези инструменти (вж. бележка </w:t>
      </w:r>
      <w:r>
        <w:rPr>
          <w:b/>
        </w:rPr>
        <w:t>2.10</w:t>
      </w:r>
      <w:r>
        <w:t>).</w:t>
      </w:r>
    </w:p>
    <w:p>
      <w:pPr>
        <w:pStyle w:val="HEADER3NOTES"/>
        <w:spacing w:before="240" w:after="120"/>
        <w:rPr>
          <w:noProof/>
        </w:rPr>
      </w:pPr>
      <w:r>
        <w:rPr>
          <w:noProof/>
        </w:rPr>
        <w:t>Съдебни дела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1" w:name="DOC_TBL00071_1_1"/>
            <w:bookmarkEnd w:id="16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Глоби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1 834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Селско стопанство</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Сближаване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4 148</w:t>
            </w:r>
          </w:p>
        </w:tc>
      </w:tr>
    </w:tbl>
    <w:p>
      <w:pPr>
        <w:pStyle w:val="Heading9pNormalLeft"/>
        <w:rPr>
          <w:noProof/>
        </w:rPr>
      </w:pPr>
    </w:p>
    <w:p>
      <w:pPr>
        <w:pStyle w:val="HEADER5"/>
        <w:rPr>
          <w:noProof/>
        </w:rPr>
      </w:pPr>
      <w:r>
        <w:rPr>
          <w:noProof/>
        </w:rPr>
        <w:t>Глоби</w:t>
      </w:r>
    </w:p>
    <w:p>
      <w:pPr>
        <w:pStyle w:val="DGTextstand-alone"/>
      </w:pPr>
      <w:r>
        <w:t>Тези суми се отнасят предимно до глобите, наложени от Комисията за нарушение на правилата за конкуренция и платени условно от глобените предприятия, по отношение на които или е подадена жалба, или не е известно дали ще бъде подадена такава. Условният пасив се запазва до произнасяне на окончателно решение на Съда по делото или до изтичане на срока за подаване на жалба. Лихвата, натрупана върху условните плащания, се включва във финансовия резултат за годината, а също и като условен пасив, за да се отрази несигурността на правото на собственост на Комисията върху тези суми.</w:t>
      </w:r>
    </w:p>
    <w:p>
      <w:pPr>
        <w:pStyle w:val="DGTextstand-alone"/>
      </w:pPr>
      <w:r>
        <w:t xml:space="preserve">Ако ЕС загуби някое от тези дела за наложени глоби, няма да бъде отчетен разход от бюджета на ЕС, тъй като глобите са платени условно и тези средства се държат или в специални банкови сметки (вж. бележка </w:t>
      </w:r>
      <w:r>
        <w:rPr>
          <w:b/>
        </w:rPr>
        <w:t>2.8</w:t>
      </w:r>
      <w:r>
        <w:t xml:space="preserve">), или в създадения за тази цел фонд BUFI (вж. бележка </w:t>
      </w:r>
      <w:r>
        <w:rPr>
          <w:b/>
        </w:rPr>
        <w:t>2.4.1</w:t>
      </w:r>
      <w:r>
        <w:t>). Размерът на глобите се признава като бюджетен приход едва когато те станат окончателни (член 83 от ФР).</w:t>
      </w:r>
    </w:p>
    <w:p>
      <w:pPr>
        <w:pStyle w:val="DGTextstand-alone"/>
        <w:spacing w:after="120"/>
        <w:rPr>
          <w:color w:val="016794"/>
          <w:szCs w:val="20"/>
        </w:rPr>
      </w:pPr>
      <w:r>
        <w:rPr>
          <w:color w:val="016794"/>
        </w:rPr>
        <w:t>Селско стопанство</w:t>
      </w:r>
    </w:p>
    <w:p>
      <w:pPr>
        <w:pStyle w:val="DGTextstand-alone"/>
      </w:pPr>
      <w:r>
        <w:t>Това са условни задължения към държавите членки, свързани с решенията с оглед на съответствието по ЕФГЗ, с развитието на селските райони и с финансовите корекции в областта на предприсъединителната помощ, по които Съдът все още не се е произнесъл. Определянето на окончателния размер на пасива и годината, през която резултатът от успешните обжалвания ще бъде вписан като разход за бюджета, зависят от продължителността на процедурата пред Съда.</w:t>
      </w:r>
    </w:p>
    <w:p>
      <w:pPr>
        <w:pStyle w:val="DGTextstand-alone"/>
        <w:spacing w:after="120"/>
        <w:rPr>
          <w:color w:val="016794"/>
          <w:szCs w:val="20"/>
        </w:rPr>
      </w:pPr>
      <w:r>
        <w:rPr>
          <w:color w:val="016794"/>
        </w:rPr>
        <w:t>Сближаване</w:t>
      </w:r>
    </w:p>
    <w:p>
      <w:pPr>
        <w:pStyle w:val="DGTextstand-alone"/>
      </w:pPr>
      <w:r>
        <w:t>Това са условни задължения към държавите членки във връзка с дейности в областта на политиката на сближаване, за които се очаква датата на изслушване или Съдът да се произнесе.</w:t>
      </w:r>
    </w:p>
    <w:p>
      <w:pPr>
        <w:pStyle w:val="DGTextstand-alone"/>
        <w:spacing w:after="120"/>
        <w:rPr>
          <w:color w:val="016794"/>
          <w:szCs w:val="20"/>
        </w:rPr>
      </w:pPr>
      <w:r>
        <w:rPr>
          <w:color w:val="016794"/>
        </w:rPr>
        <w:t>Други съдебни дела</w:t>
      </w:r>
    </w:p>
    <w:p>
      <w:pPr>
        <w:pStyle w:val="DGTextstand-alone"/>
        <w:spacing w:after="0"/>
      </w:pPr>
      <w:r>
        <w:t>Тази позиция се отнася до делата за обезщетения, понастоящем заведени срещу ЕС, други съдебни спорове и очакваните съдебни разноски. Следва да се отбележи, че при дело за обезщетения по член 288 от Договора за EО ищецът трябва да докаже наличието на достатъчно сериозно нарушение от страна на институцията на законова разпоредба, предназначена да предостави права на лица, реална вреда, претърпяна от ищеца, и пряка причинно-следствена връзка между неправомерното действие и вредата.</w:t>
      </w:r>
    </w:p>
    <w:p>
      <w:pPr>
        <w:pStyle w:val="HEADER2NOTES"/>
        <w:rPr>
          <w:noProof/>
        </w:rPr>
      </w:pPr>
      <w:bookmarkStart w:id="162" w:name="_DMBM_11336"/>
      <w:bookmarkEnd w:id="157"/>
      <w:r>
        <w:rPr>
          <w:noProof/>
        </w:rPr>
        <w:t>УСЛОВНИ АКТИВИ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3" w:name="DOC_TBL00072_1_1"/>
            <w:bookmarkEnd w:id="16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Получени гаранции: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Гаранции за добро изпълнение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Други гаранции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 условни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431</w:t>
            </w:r>
          </w:p>
        </w:tc>
      </w:tr>
    </w:tbl>
    <w:p>
      <w:pPr>
        <w:pStyle w:val="DGTextstand-alone"/>
        <w:spacing w:after="0"/>
      </w:pPr>
      <w:r>
        <w:t>Гаранциите за добро изпълнение се изискват, за да се гарантира, че бенефициерите на средства от ЕС изпълняват задълженията по своите договори с ЕС.</w:t>
      </w:r>
    </w:p>
    <w:p>
      <w:pPr>
        <w:pStyle w:val="DGTextstand-alone"/>
        <w:sectPr>
          <w:headerReference w:type="even" r:id="rId315"/>
          <w:headerReference w:type="default" r:id="rId316"/>
          <w:footerReference w:type="even" r:id="rId317"/>
          <w:footerReference w:type="default" r:id="rId318"/>
          <w:headerReference w:type="first" r:id="rId319"/>
          <w:footerReference w:type="first" r:id="rId320"/>
          <w:type w:val="continuous"/>
          <w:pgSz w:w="11906" w:h="16838"/>
          <w:pgMar w:top="1134" w:right="1134" w:bottom="1134" w:left="1134" w:header="709" w:footer="709" w:gutter="0"/>
          <w:cols w:space="708"/>
          <w:docGrid w:linePitch="360"/>
        </w:sectPr>
      </w:pPr>
      <w:r>
        <w:t xml:space="preserve"> </w:t>
      </w:r>
      <w:bookmarkEnd w:id="162"/>
    </w:p>
    <w:p>
      <w:pPr>
        <w:rPr>
          <w:rFonts w:ascii="Verdana" w:hAnsi="Verdana"/>
          <w:b/>
          <w:noProof/>
          <w:color w:val="016794"/>
          <w:sz w:val="32"/>
          <w:szCs w:val="32"/>
        </w:rPr>
      </w:pPr>
      <w:bookmarkStart w:id="164" w:name="_Toc517433958"/>
      <w:bookmarkStart w:id="165" w:name="_DMBM_11309"/>
      <w:r>
        <w:rPr>
          <w:noProof/>
        </w:rPr>
        <w:br w:type="page"/>
      </w:r>
    </w:p>
    <w:p>
      <w:pPr>
        <w:pStyle w:val="HEADER1NOTES"/>
        <w:rPr>
          <w:noProof/>
        </w:rPr>
      </w:pPr>
      <w:bookmarkStart w:id="166" w:name="_Toc522890241"/>
      <w:r>
        <w:rPr>
          <w:noProof/>
        </w:rPr>
        <w:t>БЮДЖЕТНИ И ПРАВНИ ЗАДЪЛЖЕНИЯ</w:t>
      </w:r>
      <w:bookmarkEnd w:id="164"/>
      <w:bookmarkEnd w:id="166"/>
    </w:p>
    <w:p>
      <w:pPr>
        <w:pStyle w:val="DGTextstand-alone"/>
      </w:pPr>
      <w:r>
        <w:t>Тази бележка предоставя информация за бюджетния процес и за бъдещите нужди от финансиране, а не за съществуващите към 31 декември 2017 г. пасиви.</w:t>
      </w:r>
    </w:p>
    <w:p>
      <w:pPr>
        <w:pStyle w:val="DGTextstand-alone"/>
      </w:pPr>
      <w:r>
        <w:t>В многогодишната финансова рамка (МФР), договорена от държавите членки, се определят програмите и се фиксират таваните на функциите за бюджетните кредити за поети задължения и общият размер на бюджетните кредити за плащания, в рамките на които ЕС може да поема бюджетни и правни задължения и в крайна сметка да извършва плащания в продължение на период от 7 години (вж. таблица 1.1 в бележките към докладите за изпълнението на бюджета).</w:t>
      </w:r>
    </w:p>
    <w:p>
      <w:pPr>
        <w:pStyle w:val="DGTextstand-alone"/>
      </w:pPr>
      <w:r>
        <w:t>Таваните на МФР бяха приети от Съвета (държавите членки) с одобрението на Европейския парламент, а в член 16 от Регламент № 1306/2013 относно финансирането на ОСП се прави пряка връзка между годишния таван на разходите по ЕФГЗ и Регламента за МФР. Европейският парламент и Съветът приеха също съответните основни актове за разходите по ЕФГЗ, в които се определят разходите за всяка държава членка за целия период 2014—2020 г.</w:t>
      </w:r>
    </w:p>
    <w:p>
      <w:pPr>
        <w:pStyle w:val="DGTextstand-alone"/>
      </w:pPr>
      <w:r>
        <w:t xml:space="preserve">Правните задължения съответстват на програми, проекти, споразумения или договори, които са подписани от ЕС и следователно го обвързват в правен аспект. Правното задължение представлява действие, чрез което разпоредителят с бюджетни кредити поема или създава задължение (за ЕС), което води до разход (член 85 от ФР). </w:t>
      </w:r>
    </w:p>
    <w:p>
      <w:pPr>
        <w:pStyle w:val="DGTextstand-alone"/>
      </w:pPr>
      <w:r>
        <w:t xml:space="preserve">Бюджетното задължение по принцип се поема преди правното задължение, но за някои многогодишни програми/проекти е обратното — съответните бюджетни задължения се поемат под формата на годишни траншове за няколко години, когато това е предвидено в основния акт. Например, що се отнася до сближаването, в член 76 от Регламента за общоприложимите разпоредби (РОР) (Регламент (ЕС) № 1303/2013) се предвижда, че решението на Комисията, с което се приема дадена програма, представлява правно задължение по смисъла на Финансовия регламент, но че бюджетните задължения на Съюза по отношение на всяка програма се поемат под формата на годишни траншове за всеки фонд през периода между 1 януари 2014 г. и 31 декември 2020 г. Други правни основания могат да съдържат сходни разпоредби. По тази причина може да има суми, за които ЕС е поел правно задължение да ги плати, но съответното бюджетно задължение все още не е поето (вж. бележки </w:t>
      </w:r>
      <w:r>
        <w:rPr>
          <w:b/>
        </w:rPr>
        <w:t>5.2</w:t>
      </w:r>
      <w:r>
        <w:t xml:space="preserve"> и </w:t>
      </w:r>
      <w:r>
        <w:rPr>
          <w:b/>
        </w:rPr>
        <w:t>5.3</w:t>
      </w:r>
      <w:r>
        <w:t xml:space="preserve"> по-долу).</w:t>
      </w:r>
    </w:p>
    <w:p>
      <w:pPr>
        <w:pStyle w:val="DGTextstand-alone"/>
      </w:pPr>
      <w:r>
        <w:t xml:space="preserve">Ако бюджетното задължение е поето, но последващите плащания все още не са извършени, размерът на неизпълнените поети задължения се нарича Reste à Liquider (RAL — неизпълнени поети задължения). То може да представлява програми или проекти (често многогодишни), които са подписани, но все още не са (изцяло) изпълнени. То представлява задължения за плащане за бъдещи години. Тъй като финансовите отчети се изготвят на базата на текущо начисляване, докато докладите за изпълнението на бюджета се изготвят на базата на касова отчетност, част от общия размер на неплатените средства (RAL) вече е отчетена като разход и е призната като пасив в счетоводния баланс (вж. </w:t>
      </w:r>
      <w:r>
        <w:rPr>
          <w:b/>
        </w:rPr>
        <w:t>2.12</w:t>
      </w:r>
      <w:r>
        <w:t xml:space="preserve"> и </w:t>
      </w:r>
      <w:r>
        <w:rPr>
          <w:b/>
        </w:rPr>
        <w:t>2.13</w:t>
      </w:r>
      <w:r>
        <w:t xml:space="preserve">). Изчисляването на тези разходи се прави въз основа на получените декларации за направени разходи и получените фактури или въз основа на прогнозното изпълнение на програма или проект, когато ЕС все още не е получил декларации за направени разходи (вж. бележка </w:t>
      </w:r>
      <w:r>
        <w:rPr>
          <w:b/>
        </w:rPr>
        <w:t>5.1</w:t>
      </w:r>
      <w:r>
        <w:t xml:space="preserve"> по-долу). Когато плащанията, свързани с RAL, бъдат направени след 31 декември 2017 г., пасивът в счетоводния баланс се отписва. Частта от RAL, която все още не е отчетена като разход, не е включена в пасивите, а вместо това е оповестена по-долу.</w:t>
      </w:r>
    </w:p>
    <w:p>
      <w:pPr>
        <w:pStyle w:val="DGTextstand-alone"/>
      </w:pPr>
      <w:r>
        <w:t>Оповестените по-долу суми следователно представляват сумите към 31 декември 2017 г., които ЕС се е ангажирал да плати въз основа на изпълнението на договорните споразумения и които поради това следва да бъдат финансирани от бъдещи бюджети на ЕС.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1256"/>
        <w:gridCol w:w="1813"/>
        <w:gridCol w:w="181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7" w:name="DOC_TBL00073_1_1"/>
            <w:bookmarkEnd w:id="167"/>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Все още неизпълнени бюджетни поети задължения</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Правни задължения под споделено управление в рамките на настоящата МФР, които предстои да бъдат изпълнени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211 688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276 351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Съществени правни задължения в други области</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20 030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22 275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453 109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488 507</w:t>
            </w:r>
          </w:p>
        </w:tc>
      </w:tr>
    </w:tbl>
    <w:p>
      <w:pPr>
        <w:pStyle w:val="HEADER2NOTES"/>
        <w:numPr>
          <w:ilvl w:val="0"/>
          <w:numId w:val="0"/>
        </w:numPr>
        <w:spacing w:before="0" w:after="0"/>
        <w:rPr>
          <w:noProof/>
          <w:sz w:val="20"/>
        </w:rPr>
      </w:pPr>
    </w:p>
    <w:p>
      <w:pPr>
        <w:rPr>
          <w:rFonts w:ascii="Verdana" w:hAnsi="Verdana"/>
          <w:b/>
          <w:noProof/>
          <w:color w:val="016794"/>
          <w:sz w:val="28"/>
          <w:szCs w:val="28"/>
        </w:rPr>
      </w:pPr>
      <w:r>
        <w:rPr>
          <w:noProof/>
        </w:rPr>
        <w:br w:type="page"/>
      </w:r>
    </w:p>
    <w:p>
      <w:pPr>
        <w:pStyle w:val="HEADER2NOTES"/>
        <w:rPr>
          <w:noProof/>
        </w:rPr>
      </w:pPr>
      <w:r>
        <w:rPr>
          <w:noProof/>
        </w:rPr>
        <w:t>ВСЕ ОЩЕ НЕИЗПЪЛНЕНИ БЮДЖЕТНИ ПОЕТИ ЗАДЪЛЖЕНИЯ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8" w:name="DOC_TBL00074_1_1"/>
            <w:bookmarkEnd w:id="16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Все още неизпълнени бюджетни поети задължения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bl>
    <w:p>
      <w:pPr>
        <w:pStyle w:val="DGTextstand-alone"/>
      </w:pPr>
      <w:r>
        <w:t xml:space="preserve">Сумата, оповестена по-горе, представлява бюджетните RAL (Reste à Liquider — неизпълнени поети задължения) на стойност 267 258 милиона евро (вж. таблица 4.4 в бележките към докладите за изпълнението на бюджета) минус свързаните с тях суми, които са включени като пасиви в счетоводния баланс и като разходи в отчета за финансовия резултат. Бюджетните RAL са сума, която представлява неприключените поети задължения, за които плащанията и/или отмените все още не са извършени. Както бе обяснено по-горе, това е нормално следствие от съществуването на многогодишни програми. </w:t>
      </w:r>
    </w:p>
    <w:p>
      <w:pPr>
        <w:pStyle w:val="DGTextstand-alone"/>
      </w:pPr>
      <w:r>
        <w:t xml:space="preserve">Следва да се отбележи, че към 31 декември 2017 г. неприключените аванси по предварително финансиране възлизаха на общо 49 милиарда евро (вж. бележка </w:t>
      </w:r>
      <w:r>
        <w:rPr>
          <w:b/>
        </w:rPr>
        <w:t>2.5</w:t>
      </w:r>
      <w:r>
        <w:t xml:space="preserve">). Това са бюджетни задължения, които са платени, като плащането им е довело до намаляване на неизпълнените поети задължения (RAL), но при които платените суми все още се считат за собственост на ЕС, а не на бенефициера, до изпълнението на договорните задължения. Следователно, подобно на оповестените по-горе RAL, те все още не са отчетени като разход.  </w:t>
      </w:r>
    </w:p>
    <w:p>
      <w:pPr>
        <w:pStyle w:val="HEADER2NOTES"/>
        <w:rPr>
          <w:noProof/>
        </w:rPr>
      </w:pPr>
      <w:r>
        <w:rPr>
          <w:noProof/>
        </w:rPr>
        <w:t xml:space="preserve">ПРАВНИ ЗАДЪЛЖЕНИЯ ПОД СПОДЕЛЕНО УПРАВЛЕНИЕ ПО НАСТОЯЩАТА МФР, КОИТО ПРЕДСТОИ ДА БЪДАТ ИЗПЪЛНЕНИ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tc>
          <w:tcPr>
            <w:tcW w:w="237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9" w:name="DOC_TBL00075_1_1"/>
            <w:bookmarkEnd w:id="169"/>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cs="Verdana"/>
              </w:rPr>
            </w:pPr>
            <w: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rPr>
                <w:rFonts w:cs="Verdana"/>
                <w:noProof/>
              </w:rPr>
            </w:pPr>
            <w:r>
              <w:rPr>
                <w:noProof/>
              </w:rPr>
              <w:t>Фондове</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Финансова рамка за 2014—2020 г. (А)</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Поети правни задължения (Б)</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Бюджетни задължения (В)</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Отмени (Г)</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Бюджет, наличен по МФР (=А-В)</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Правни задължения минус бюджетни задължения (=Б-В+Г)</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Европейски фонд за регионално развитие и Кохезионен фонд</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140 302</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Европейски социален фонд</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51 813</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Фонд за европейско подпомагане на най-нуждаещите се лица</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2 114</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ПОДФУНКЦИЯ 1Б: ФОНДОВЕ В ОБЛАСТТА НА ПОЛИТИКАТА НА СБЛИЖАВАНЕ</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194 229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 xml:space="preserve">Европейски земеделски фонд за развитие на селските райони </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56 401</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Европейски фонд за морско дело и рибарство</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3 210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ФУНКЦИЯ 2: ПРИРОДНИ РЕСУРСИ</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59 611</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Фонд „Убежище и миграция“</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5 391</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4 233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2 794</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2 597</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1 439</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Фонд „Вътрешна сигурност“</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2 812</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2 635</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1 500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1 311</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1 134</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ФУНКЦИЯ 3: СИГУРНОСТ И ГРАЖДАНСТВО</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8 202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6 868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4 294</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3 908</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2 573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cs="Verdana"/>
              </w:rPr>
            </w:pPr>
            <w: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471 157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469 822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258 134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213 023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211 688</w:t>
            </w:r>
          </w:p>
        </w:tc>
      </w:tr>
    </w:tbl>
    <w:p>
      <w:pPr>
        <w:pStyle w:val="DGTextstand-alone"/>
      </w:pPr>
      <w:r>
        <w:t>Това са правни задължения, съгласно които ЕС се е ангажирал да плаща, когато приема оперативните програми, свързани със споделеното управление. Решението на Комисията, с което тя приема оперативна програма, представлява решение за финансиране по смисъла на член 84 от ФР, а след като за него бъде уведомена засегната държава членка — правно задължение по смисъла на посочения регламент.</w:t>
      </w:r>
    </w:p>
    <w:p>
      <w:pPr>
        <w:pStyle w:val="DGTextstand-alone"/>
      </w:pPr>
      <w:r>
        <w:t xml:space="preserve">Член 76 от РОР за европейските структурни и инвестиционни фондове (ЕСИФ) гласи: </w:t>
      </w:r>
    </w:p>
    <w:p>
      <w:pPr>
        <w:pStyle w:val="DGTextstand-alone"/>
        <w:rPr>
          <w:i/>
        </w:rPr>
      </w:pPr>
      <w:r>
        <w:rPr>
          <w:i/>
        </w:rPr>
        <w:t>„Поемането на бюджетни задължения от страна на Съюза по отношение на всяка програма се извършва на годишни вноски за всеки от фондовете в периода между 1 януари 2014 г. и 31 декември 2020 г. Бюджетните задължения, свързани с резерва за изпълнение във всяка програма, се определят отделно от останалото разпределяне на средствата за програмата.“</w:t>
      </w:r>
    </w:p>
    <w:p>
      <w:pPr>
        <w:pStyle w:val="DGTextstand-alone"/>
      </w:pPr>
      <w:r>
        <w:t>Таблицата по-горе започва с общата МФР (колона А) и показва правните задължения, за които все още не са поети бюджетни задължения, и за информация — максималните задължения спрямо таваните, предвидени в МФР за периода 2014—2020 г., функции 1Б, 2 и 3. Следователно тези правни задължения представляват неплатените суми, за които ЕС ще поеме бюджетно задължение и след това ще плати след 31 декември 2017 г. Колона Б показва правните задължения, поети от Комисията, към края на годината, а колона В показва поетите бюджетни задължения във връзка с тези правни задължения към края на годината. Към 31 декември 2017 г. няма отменени бюджетни задължения (колона Г).</w:t>
      </w:r>
    </w:p>
    <w:p>
      <w:pPr>
        <w:pStyle w:val="HEADER2NOTES"/>
        <w:spacing w:before="240" w:after="120"/>
        <w:rPr>
          <w:noProof/>
        </w:rPr>
      </w:pPr>
      <w:r>
        <w:rPr>
          <w:noProof/>
        </w:rPr>
        <w:t>СЪЩЕСТВЕНИ ПРАВНИ ЗАДЪЛЖЕНИЯ В ДРУГИ ОБЛАСТИ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0" w:name="DOC_TBL00076_1_1"/>
            <w:bookmarkEnd w:id="17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Механизъм за свързване на Европа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13 799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„Коперник“</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1 841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2 393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1 496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1 891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„Галилео“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Споразумения в областта на рибарството</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247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Задължения по оперативен лизинг</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2 419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Други договорни задължения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1 054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1 003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20 030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22 275</w:t>
            </w:r>
          </w:p>
        </w:tc>
      </w:tr>
    </w:tbl>
    <w:p>
      <w:pPr>
        <w:pStyle w:val="DGTextstand-alone"/>
      </w:pPr>
      <w:r>
        <w:t xml:space="preserve">Тези суми отразяват дългосрочните правни задължения, които все още не са били покрити от бюджетни кредити за поети задължения към края на годината. Тези обвързващи задължения ще бъдат отразени в бюджета под формата годишни траншове през бъдещи години и ще бъдат платени. </w:t>
      </w:r>
    </w:p>
    <w:p>
      <w:pPr>
        <w:pStyle w:val="DGTextstand-alone"/>
        <w:rPr>
          <w:spacing w:val="-4"/>
        </w:rPr>
      </w:pPr>
      <w:r>
        <w:rPr>
          <w:spacing w:val="-4"/>
        </w:rPr>
        <w:t>Някои важни програми (вж. по-долу) могат да бъдат изпълнени чрез годишни траншове съгласно член 85, параграф 4 от Финансовия регламент. Това позволява на ЕС да поема правни задължения (да подписва споразумения за предоставяне на безвъзмездни средства, споразумения за делегиране и договори за възлагане на поръчки), които надвишават наличните бюджетни кредити за поети задължения за дадена година. Поради това може вече да са поети задължения за значителна част от общата отпусната сума за настоящата МФР. Това важи по-специално за програмите, описани по-долу:</w:t>
      </w:r>
    </w:p>
    <w:p>
      <w:pPr>
        <w:pStyle w:val="HEADER5"/>
        <w:rPr>
          <w:noProof/>
        </w:rPr>
      </w:pPr>
      <w:r>
        <w:rPr>
          <w:noProof/>
        </w:rPr>
        <w:t>Механизъм за свързване на Европа (МСЕ)</w:t>
      </w:r>
    </w:p>
    <w:p>
      <w:pPr>
        <w:pStyle w:val="DGTextstand-alone"/>
      </w:pPr>
      <w:r>
        <w:t>МСЕ предоставя финансова помощ за трансевропейските мрежи, за да се подпомогнат проекти от общ интерес в секторите на транспортните, телекомуникационните и енергийните инфраструктури. Правните задължения по линия на програмата МСЕ обхващат периода от 2014 г. до 2020 г. за направлението „транспорт“ на МСЕ и до 2021 г. за направлението „енергетика“ на МСЕ. Правното основание за тези задължения е Регламент (ЕС) № 1316/2013 на Европейския парламент и на Съвета от 11 декември 2013 г. за създаване на Механизъм за свързване на Европа, за изменение на Регламент (ЕС) № 913/2010 и за отмяна на регламенти (ЕО) № 680/2007 и (ЕО) № 67/2010 (текст от значение за ЕИП) (ОВ L 348, 20 декември 2013 г.), в чийто член 19 се предвижда използването на годишни траншове.</w:t>
      </w:r>
    </w:p>
    <w:p>
      <w:pPr>
        <w:pStyle w:val="HEADER5"/>
        <w:rPr>
          <w:noProof/>
        </w:rPr>
      </w:pPr>
      <w:r>
        <w:rPr>
          <w:noProof/>
        </w:rPr>
        <w:t>„Коперник“</w:t>
      </w:r>
    </w:p>
    <w:p>
      <w:pPr>
        <w:pStyle w:val="DGTextstand-alone"/>
      </w:pPr>
      <w:r>
        <w:t>„Коперник“ е европейската програма за наблюдение на Земята (вж. също бележка </w:t>
      </w:r>
      <w:r>
        <w:rPr>
          <w:b/>
        </w:rPr>
        <w:t>2.2</w:t>
      </w:r>
      <w:r>
        <w:t>). Тези задължения са поети за периода до 2020 г. Въз основа на Регламент (ЕС) № 377/2014 на Европейския парламент и на Съвета от 3 април 2014 г. (ОВ L 122, 24 април 2014 г., стр. 44) Комисията подписа споразумения за делегиране с Европейската космическа агенция (ЕКА), EUMETSAT и Европейския център за средносрочна прогноза за времето. Член 8 от Регламент № 377/2014 разрешава използването на годишни траншове.</w:t>
      </w:r>
    </w:p>
    <w:p>
      <w:pPr>
        <w:pStyle w:val="HEADER5"/>
        <w:rPr>
          <w:noProof/>
        </w:rPr>
      </w:pPr>
      <w:r>
        <w:rPr>
          <w:noProof/>
        </w:rPr>
        <w:t>ITER — международен експериментален термоядрен реактор</w:t>
      </w:r>
    </w:p>
    <w:p>
      <w:pPr>
        <w:pStyle w:val="DGTextstand-alone"/>
      </w:pPr>
      <w:r>
        <w:t xml:space="preserve">Тези задължения са предназначени за покриване на бъдещи нужди от финансиране на съоръженията на ITER до 2021 г. Финансовият принос от ЕС (Евратом) за Международната организация ITER се предоставя чрез Агенцията за термоядрен синтез за енергия и включва и финансовия принос на държавите членки и на Швейцария. Тези задължения са поети въз основа на Решение 2013/791/Евратом на Съвета от 13 декември 2013 г. за изменение на Решение 2007/198/Евратом за създаване на Европейско съвместно предприятие за „ITER“ и развитието на термоядрената енергия, което разрешава използването на годишни траншове. ITER бе създадено, за да управлява и насърчава експлоатацията на съоръженията на ITER, за да насърчава общественото разбиране и приемане на термоядрената енергия и за да извършва всякакви други дейности, необходими за постигането на неговата цел. В ITER участват ЕС, Китай, Индия, Русия, Южна Корея, Япония и САЩ. </w:t>
      </w:r>
    </w:p>
    <w:p>
      <w:pPr>
        <w:pStyle w:val="HEADER5"/>
        <w:rPr>
          <w:noProof/>
        </w:rPr>
      </w:pPr>
      <w:r>
        <w:rPr>
          <w:noProof/>
        </w:rPr>
        <w:t>„Галилео“</w:t>
      </w:r>
    </w:p>
    <w:p>
      <w:pPr>
        <w:pStyle w:val="DGTextstand-alone"/>
      </w:pPr>
      <w:r>
        <w:t>Тези суми са заделени за програмата „Галилео“ за разработване на европейска глобална навигационна спътникова система (вж. също бележка </w:t>
      </w:r>
      <w:r>
        <w:rPr>
          <w:b/>
        </w:rPr>
        <w:t>2.2</w:t>
      </w:r>
      <w:r>
        <w:t>). Тези задължения са поети за периода до 2020 г. Въз основа на Регламент (ЕС) № 1285/2013 на Европейския парламент и на Съвета от 11 декември 2013 г. (ОВ L 347, 20 декември 2013 г., стр. 1) Комисията подписа споразумение за делегиране с ЕКА. Член 9 от Регламент (ЕС) № 1285/2013 разрешава използването на годишни траншове.</w:t>
      </w:r>
    </w:p>
    <w:p>
      <w:pPr>
        <w:pStyle w:val="HEADER5"/>
        <w:rPr>
          <w:noProof/>
        </w:rPr>
      </w:pPr>
      <w:r>
        <w:rPr>
          <w:noProof/>
        </w:rPr>
        <w:t>Споразумения в областта на рибарството</w:t>
      </w:r>
    </w:p>
    <w:p>
      <w:pPr>
        <w:pStyle w:val="DGTextstand-alone"/>
      </w:pPr>
      <w:r>
        <w:t xml:space="preserve">Това са задължения, поети до 2020 г. с трети държави, за операции по международни споразумения в областта на рибарството. Тези задължения са поети въз основа на решения на Съвета за всяка трета държава (напр. Решение (ЕС) 2015/1894 на Съвета от </w:t>
      </w:r>
      <w:hyperlink r:id="rId321">
        <w:r>
          <w:t>5 октомври 2015 г. за сключване на Протокола между Европейския съюз и Република Кабо Верде за определяне на възможностите за риболов и финансовото участие, предвидени в Споразумението за партньорство в областта на рибарството между Европейската общност и Република Кабо Верде</w:t>
        </w:r>
      </w:hyperlink>
      <w:r>
        <w:t xml:space="preserve"> (ОВ L 277, 22 октомври 2015 г.). Това са специфични международни договори, които предполагат наличието на многогодишни права и многогодишни задължения.</w:t>
      </w:r>
    </w:p>
    <w:p>
      <w:pPr>
        <w:pStyle w:val="HEADER5"/>
        <w:rPr>
          <w:noProof/>
        </w:rPr>
      </w:pPr>
      <w:r>
        <w:rPr>
          <w:noProof/>
        </w:rPr>
        <w:t>Задължения по оперативен лизинг</w:t>
      </w:r>
    </w:p>
    <w:p>
      <w:pPr>
        <w:pStyle w:val="DGTextstand-alone"/>
      </w:pPr>
      <w:r>
        <w:t>Минималните суми, за които е поето задължение за плащане съгласно съответните договори през оставащия срок на тези лизингови договори, са,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1" w:name="DOC_TBL00077_1_1"/>
            <w:bookmarkEnd w:id="171"/>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Минимални лизингови плащания</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&lt; 1 година</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1—5 години</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&gt; 5 години</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Общо</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cs="Verdana"/>
              </w:rPr>
            </w:pPr>
            <w:r>
              <w:t>Сгради</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374</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1 106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cs="Verdana"/>
              </w:rPr>
            </w:pPr>
            <w:r>
              <w:t>1 078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2 558</w:t>
            </w:r>
          </w:p>
        </w:tc>
      </w:tr>
      <w:tr>
        <w:tc>
          <w:tcPr>
            <w:tcW w:w="3510" w:type="dxa"/>
            <w:tcBorders>
              <w:top w:val="nil"/>
              <w:left w:val="nil"/>
              <w:bottom w:val="single" w:sz="4" w:space="0" w:color="FFFFFF"/>
              <w:right w:val="nil"/>
            </w:tcBorders>
            <w:tcMar>
              <w:top w:w="0" w:type="dxa"/>
              <w:left w:w="108" w:type="dxa"/>
              <w:bottom w:w="0" w:type="dxa"/>
              <w:right w:w="108" w:type="dxa"/>
            </w:tcMar>
          </w:tcPr>
          <w:p>
            <w:pPr>
              <w:pStyle w:val="Text9pItalicLeft"/>
              <w:rPr>
                <w:rFonts w:cs="Verdana"/>
              </w:rPr>
            </w:pPr>
            <w:r>
              <w:t>Материали, свързани с ИТ, и друго оборудване</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13</w:t>
            </w:r>
          </w:p>
        </w:tc>
        <w:tc>
          <w:tcPr>
            <w:tcW w:w="1560"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0</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21</w:t>
            </w:r>
          </w:p>
        </w:tc>
      </w:tr>
      <w:tr>
        <w:tc>
          <w:tcPr>
            <w:tcW w:w="3510"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Общо</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1 120</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1 078</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2 577</w:t>
            </w:r>
          </w:p>
        </w:tc>
      </w:tr>
    </w:tbl>
    <w:p>
      <w:pPr>
        <w:pStyle w:val="Heading7pNormalCentered"/>
      </w:pPr>
    </w:p>
    <w:p>
      <w:pPr>
        <w:pStyle w:val="HEADER5"/>
        <w:rPr>
          <w:noProof/>
        </w:rPr>
      </w:pPr>
      <w:r>
        <w:rPr>
          <w:noProof/>
        </w:rPr>
        <w:t>Други договорни задължения</w:t>
      </w:r>
    </w:p>
    <w:p>
      <w:pPr>
        <w:pStyle w:val="DGTextstand-alone"/>
      </w:pPr>
      <w:r>
        <w:t>Включените в тази позиция суми съответстват на сумите, за които е поето задължение за изплащане по време на срока на договорите. Най-съществената сума, включена тук, е свързана с договорите за строителни работи на Европейския парламент (175 милиона евро).</w:t>
      </w:r>
    </w:p>
    <w:p>
      <w:pPr>
        <w:pStyle w:val="DGTextstand-alone"/>
        <w:spacing w:before="0"/>
        <w:sectPr>
          <w:headerReference w:type="even" r:id="rId322"/>
          <w:headerReference w:type="default" r:id="rId323"/>
          <w:footerReference w:type="even" r:id="rId324"/>
          <w:footerReference w:type="default" r:id="rId325"/>
          <w:headerReference w:type="first" r:id="rId326"/>
          <w:footerReference w:type="first" r:id="rId327"/>
          <w:type w:val="continuous"/>
          <w:pgSz w:w="11906" w:h="16838"/>
          <w:pgMar w:top="1134" w:right="1134" w:bottom="1134" w:left="1134" w:header="709" w:footer="709" w:gutter="0"/>
          <w:cols w:space="708"/>
          <w:docGrid w:linePitch="360"/>
        </w:sectPr>
      </w:pPr>
      <w:r>
        <w:t xml:space="preserve"> </w:t>
      </w:r>
      <w:bookmarkEnd w:id="165"/>
    </w:p>
    <w:p>
      <w:pPr>
        <w:pStyle w:val="HEADER1NOTES"/>
        <w:rPr>
          <w:noProof/>
        </w:rPr>
      </w:pPr>
      <w:bookmarkStart w:id="172" w:name="_Toc517433959"/>
      <w:bookmarkStart w:id="173" w:name="_Toc522890242"/>
      <w:bookmarkStart w:id="174" w:name="_DMBM_11306"/>
      <w:r>
        <w:rPr>
          <w:noProof/>
        </w:rPr>
        <w:t>УПРАВЛЕНИЕ НА ФИНАНСОВИЯ РИСК</w:t>
      </w:r>
      <w:bookmarkEnd w:id="172"/>
      <w:bookmarkEnd w:id="173"/>
    </w:p>
    <w:p>
      <w:pPr>
        <w:pStyle w:val="DGTextstand-alone"/>
      </w:pPr>
      <w:r>
        <w:t>Следната оповестена информация във връзка с управлението на финансовия риск на ЕС се отнася до:</w:t>
      </w:r>
    </w:p>
    <w:p>
      <w:pPr>
        <w:pStyle w:val="DGTextstand-alone"/>
        <w:numPr>
          <w:ilvl w:val="0"/>
          <w:numId w:val="30"/>
        </w:numPr>
      </w:pPr>
      <w:r>
        <w:t xml:space="preserve">Дейностите по получаване и отпускане на заеми за финансова помощ, оказвана от Комисията посредством: ЕМФС, ПБ, МФП и действия на Евратом и за заеми от заемни средства на ЕОВС в ликвидация; </w:t>
      </w:r>
    </w:p>
    <w:p>
      <w:pPr>
        <w:pStyle w:val="DGTextstand-alone"/>
        <w:numPr>
          <w:ilvl w:val="0"/>
          <w:numId w:val="30"/>
        </w:numPr>
      </w:pPr>
      <w:r>
        <w:t xml:space="preserve">касовите операции, които Комисията извършва с цел изпълняване на бюджета на ЕС, включително получаването на глоби; </w:t>
      </w:r>
    </w:p>
    <w:p>
      <w:pPr>
        <w:pStyle w:val="DGTextstand-alone"/>
        <w:numPr>
          <w:ilvl w:val="0"/>
          <w:numId w:val="30"/>
        </w:numPr>
      </w:pPr>
      <w:r>
        <w:t>активите, държани във фондове за бюджетни гаранции: Гаранционният фонд за външни дейности и Гаранционният фонд на ЕФСИ; и</w:t>
      </w:r>
    </w:p>
    <w:p>
      <w:pPr>
        <w:pStyle w:val="DGTextstand-alone"/>
        <w:numPr>
          <w:ilvl w:val="0"/>
          <w:numId w:val="30"/>
        </w:numPr>
      </w:pPr>
      <w:r>
        <w:t>финансовите инструменти, финансирани от бюджета на ЕС.</w:t>
      </w:r>
    </w:p>
    <w:p>
      <w:pPr>
        <w:pStyle w:val="HEADER2NOTES"/>
        <w:rPr>
          <w:noProof/>
        </w:rPr>
      </w:pPr>
      <w:r>
        <w:rPr>
          <w:noProof/>
        </w:rPr>
        <w:t>ВИДОВЕ РИСК</w:t>
      </w:r>
    </w:p>
    <w:p>
      <w:pPr>
        <w:pStyle w:val="DGTextstand-alone"/>
      </w:pPr>
      <w:r>
        <w:rPr>
          <w:b/>
        </w:rPr>
        <w:t>Пазарният риск</w:t>
      </w:r>
      <w:r>
        <w:t xml:space="preserve"> е рискът от колебание на справедливата стойност или бъдещите парични потоци на финансов инструмент поради промени в пазарните цени. Пазарният риск обхваща не само потенциала за загуба, но и потенциала за печалба. Той включва </w:t>
      </w:r>
      <w:r>
        <w:rPr>
          <w:i/>
        </w:rPr>
        <w:t>валутния риск, лихвения риск и други ценови рискове</w:t>
      </w:r>
      <w:r>
        <w:t xml:space="preserve"> (за ЕС няма други значителни ценови рискове).</w:t>
      </w:r>
    </w:p>
    <w:p>
      <w:pPr>
        <w:pStyle w:val="DGTextstand-alone"/>
        <w:numPr>
          <w:ilvl w:val="0"/>
          <w:numId w:val="31"/>
        </w:numPr>
      </w:pPr>
      <w:r>
        <w:rPr>
          <w:i/>
        </w:rPr>
        <w:t>Валутният риск</w:t>
      </w:r>
      <w:r>
        <w:t xml:space="preserve"> е рискът, че операциите на ЕС или стойността на неговите инвестиции ще бъдат засегнати от промени в обменните курсове. Този риск възниква от промяната в цената на една валута спрямо друга. </w:t>
      </w:r>
    </w:p>
    <w:p>
      <w:pPr>
        <w:pStyle w:val="DGTextstand-alone"/>
        <w:numPr>
          <w:ilvl w:val="0"/>
          <w:numId w:val="31"/>
        </w:numPr>
      </w:pPr>
      <w:r>
        <w:rPr>
          <w:i/>
        </w:rPr>
        <w:t>Лихвеният риск</w:t>
      </w:r>
      <w:r>
        <w:t xml:space="preserve"> е възможността да намалее стойността на ценна книга, особено на облигация, в резултат на повишение на лихвените проценти. Като цяло по-високите лихвени проценти водят до по-ниски цени на облигациите с фиксиран лихвен процент, и обратно.</w:t>
      </w:r>
    </w:p>
    <w:p>
      <w:pPr>
        <w:pStyle w:val="DGTextstand-alone"/>
      </w:pPr>
      <w:r>
        <w:rPr>
          <w:b/>
        </w:rPr>
        <w:t>Кредитният риск</w:t>
      </w:r>
      <w:r>
        <w:t xml:space="preserve"> е рискът от загуба поради неизплащане от страна на длъжник/заемополучател на заем или друга кредитна линия (било то главницата или лихвата или и двете) или поради друго неизпълнение от негова страна на договорно задължение. Събитията, с които се нарушават поети задължения, включват закъсняване с плащането на вноските, преструктуриране на вноските на заемополучателя и фалит.</w:t>
      </w:r>
    </w:p>
    <w:p>
      <w:pPr>
        <w:pStyle w:val="DGTextstand-alone"/>
      </w:pPr>
      <w:r>
        <w:rPr>
          <w:b/>
        </w:rPr>
        <w:t>Ликвидният риск</w:t>
      </w:r>
      <w:r>
        <w:t xml:space="preserve"> е рискът, произтичащ от трудното продаване на даден актив. Например рискът, че дадена ценна книга или актив не могат да бъдат продадени достатъчно бързо на пазара, за да се предотврати загуба или изпълни задължение.</w:t>
      </w:r>
    </w:p>
    <w:p>
      <w:pPr>
        <w:pStyle w:val="HEADER2NOTES"/>
        <w:rPr>
          <w:noProof/>
        </w:rPr>
      </w:pPr>
      <w:r>
        <w:rPr>
          <w:noProof/>
        </w:rPr>
        <w:t xml:space="preserve">ПОЛИТИКИ ЗА УПРАВЛЕНИЕ НА РИСКА </w:t>
      </w:r>
    </w:p>
    <w:p>
      <w:pPr>
        <w:pStyle w:val="DGTextstand-alone"/>
      </w:pPr>
      <w:r>
        <w:t>Изпълнението на бюджета на ЕС разчита все повече на използването на финансови инструменти на оперативните програми. Основната идея зад този подход, за разлика от традиционния метод на изпълнение на бюджета чрез предоставяне на безвъзмездни средства и субсидии, е, че за всяко евро, похарчено от бюджета чрез финансови инструменти, крайният бенефициер получава над 1 EUR финансова подкрепа благодарение на лостовия ефект. Този начин на усвояване на бюджета на ЕС максимизира въздействието на наличните средства. За повече информация за съответните суми вж. бележка </w:t>
      </w:r>
      <w:r>
        <w:rPr>
          <w:b/>
        </w:rPr>
        <w:t>2.4.1</w:t>
      </w:r>
      <w:r>
        <w:t>.</w:t>
      </w:r>
    </w:p>
    <w:p>
      <w:pPr>
        <w:pStyle w:val="DGTextstand-alone"/>
      </w:pPr>
      <w:r>
        <w:t>За повечето финансови инструменти важи фактът, че изпълнението се делегира или на групата на ЕИБ (включително ЕИФ), или на други финансови институции въз основа на споразумение между Комисията и финансовата институция. Споразуменията, подписани с тези финансови институции, включват строги условия и задължения за посредниците, за да се гарантира, че средствата на ЕС се управляват правилно и че за тях се докладва правилно. Когато бъде поето задължение за финансов принос в полза на един от инструментите, средствата се прехвърлят в специално създадена за целта банкова сметка на финансовата институция (т.е. доверителна сметка). Финансовата институция може, в зависимост от въпросния инструмент, да използва средствата по тази доверителна сметка, за да отпуска заеми, да емитира дългови инструменти, да инвестира в капиталови инструменти или да покрива задействаните гаранции. Приходите от финансовите инструменти по правило трябва да се връщат на бюджета на ЕС.</w:t>
      </w:r>
    </w:p>
    <w:p>
      <w:pPr>
        <w:pStyle w:val="DGTextstand-alone"/>
      </w:pPr>
      <w:r>
        <w:t>Рискът по отношение на тези финансови инструменти е ограничен до таван, посочен в съответните споразумения, който представлява предвидените в бюджета средства за инструмента. Тъй като Комисията често поема „първата загуба“ и тъй като инструментите са предназначени за финансиране на по-рискови бенефициери (които се изправят пред трудности при получаването на финансиране от търговски заемодатели), може да се очаква, че бюджетът на ЕС ще понесе известни загуби.</w:t>
      </w:r>
    </w:p>
    <w:p>
      <w:pPr>
        <w:pStyle w:val="HEADER5"/>
        <w:rPr>
          <w:noProof/>
        </w:rPr>
      </w:pPr>
      <w:r>
        <w:rPr>
          <w:noProof/>
        </w:rPr>
        <w:t>Оценяване на финансовите инструменти</w:t>
      </w:r>
    </w:p>
    <w:p>
      <w:pPr>
        <w:pStyle w:val="DGTextstand-alone"/>
      </w:pPr>
      <w:r>
        <w:t>Следните класове финансови активи и пасиви не се оценяват по справедлива стойност: пари и парични еквиваленти, отпуснати заеми, вземания по операции с размяна и средства, подлежащи на събиране, по операции без размяна, получени заеми и други финансови пасиви, оценени по амортизирана стойност. Балансовата стойност на тези финансови активи и пасиви се счита за разумно приближение до справедливата им стойност.</w:t>
      </w:r>
    </w:p>
    <w:p>
      <w:pPr>
        <w:pStyle w:val="HEADER5"/>
        <w:rPr>
          <w:noProof/>
        </w:rPr>
      </w:pPr>
      <w:r>
        <w:rPr>
          <w:noProof/>
        </w:rPr>
        <w:t>Дейности по получаване и отпускане на заеми за финансова помощ</w:t>
      </w:r>
    </w:p>
    <w:p>
      <w:pPr>
        <w:pStyle w:val="DGTextstand-alone"/>
      </w:pPr>
      <w:r>
        <w:t>Операциите по получаване и отпускане на заеми, както и свързаното с тях управление на касата, се извършват от ЕС съгласно съответния Регламент на Съвета и на ЕП, съответните решения на Съвета и ако са приложими, съответните вътрешни насоки. Изготвени са писмени наръчници за процедурите, обхващащи конкретни области, като получените заеми, отпуснатите заеми и управлението на касата, които се използват от съответните оперативни отдели. По правило не се извършват дейности за компенсиране на промените в лихвените проценти или промените в чуждестранните валути (дейности по хеджиране), тъй като операциите по отпускане на заеми по принцип се финансират чрез „бек-ту-бек“ получени заеми, които следователно не генерират открити лихвени или валутни позиции. Прилагането на принципа „бек-ту-бек“ се проверява редовно.</w:t>
      </w:r>
    </w:p>
    <w:p>
      <w:pPr>
        <w:pStyle w:val="HEADER5"/>
        <w:rPr>
          <w:noProof/>
        </w:rPr>
      </w:pPr>
      <w:r>
        <w:rPr>
          <w:noProof/>
        </w:rPr>
        <w:t>Каса</w:t>
      </w:r>
    </w:p>
    <w:p>
      <w:pPr>
        <w:pStyle w:val="DGTextstand-alone"/>
      </w:pPr>
      <w:r>
        <w:t>Правилата и принципите за управлението на касовите операции на Комисията са посочени в Регламент № 609/2014 на Съвета (изменен с Регламент 2016/804 на Съвета) и във Финансовия регламент и правилата за неговото прилагане.</w:t>
      </w:r>
    </w:p>
    <w:p>
      <w:pPr>
        <w:pStyle w:val="DGTextstand-alone"/>
      </w:pPr>
      <w:r>
        <w:t>В резултат на посочените по-горе регламенти се прилагат следните основни принципи:</w:t>
      </w:r>
    </w:p>
    <w:p>
      <w:pPr>
        <w:pStyle w:val="DGTextstand-alone"/>
        <w:numPr>
          <w:ilvl w:val="0"/>
          <w:numId w:val="32"/>
        </w:numPr>
      </w:pPr>
      <w:r>
        <w:t>Собствените ресурси се внасят от държавите членки в сметки, открити за тази цел на името на Комисията към министерството на финансите или националната централна банка. Комисията може да тегли от посочените по-горе сметки само за да покрие нуждите си от парични средства.</w:t>
      </w:r>
    </w:p>
    <w:p>
      <w:pPr>
        <w:pStyle w:val="DGTextstand-alone"/>
        <w:numPr>
          <w:ilvl w:val="0"/>
          <w:numId w:val="32"/>
        </w:numPr>
      </w:pPr>
      <w:r>
        <w:t>Собствените ресурси се плащат от държавите членки в националната им валута, докато плащанията на Комисията са предимно в евро.</w:t>
      </w:r>
    </w:p>
    <w:p>
      <w:pPr>
        <w:pStyle w:val="DGTextstand-alone"/>
        <w:numPr>
          <w:ilvl w:val="0"/>
          <w:numId w:val="32"/>
        </w:numPr>
      </w:pPr>
      <w:r>
        <w:t>Не може по банковите сметки, открити на името на Комисията, да се теглят суми, надвишаващи наличните. Това ограничение не важи за сметките за собствените ресурси на Комисията в случай на неизпълнение на задълженията по заеми, сключени или гарантирани по силата на регламенти и решения на Съвета на ЕС, и при определени условия, ако нуждите от средства надвишават наличностите по сметките.</w:t>
      </w:r>
    </w:p>
    <w:p>
      <w:pPr>
        <w:pStyle w:val="DGTextstand-alone"/>
        <w:numPr>
          <w:ilvl w:val="0"/>
          <w:numId w:val="32"/>
        </w:numPr>
      </w:pPr>
      <w:r>
        <w:t>Средствата в банкови сметки във валути, различни от еврото, се използват за плащания в тези валути или периодично се конвертират в евро.</w:t>
      </w:r>
    </w:p>
    <w:p>
      <w:pPr>
        <w:pStyle w:val="DGTextstand-alone"/>
      </w:pPr>
      <w:r>
        <w:t xml:space="preserve">Освен сметките за собствените ресурси Комисията открива и други банкови сметки към централните банки и търговските банки с цел извършване на плащания и получаване на приходи, различни от вноските на държавите членки в бюджета. </w:t>
      </w:r>
    </w:p>
    <w:p>
      <w:pPr>
        <w:pStyle w:val="DGTextstand-alone"/>
      </w:pPr>
      <w: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pPr>
        <w:pStyle w:val="DGTextstand-alone"/>
      </w:pPr>
      <w:r>
        <w:t xml:space="preserve">Набор от писмени насоки и процедури уреждат управлението на касовите и платежните операции на Комисията с цел ограничаване на оперативния и финансовия риск и осигуряване на подходяща степен на контрол. Те обхващат различни области на дейност (напр.: извършването на плащанията и управлението на паричните средства, прогнозирането на паричните потоци, непрекъснатостта на дейността и т.н.) и спазването на насоките и на процедурите се проверява редовно. Освен това между ГД „Бюджет“ и ГД „Икономически и финансови въпроси“ се обменя информация относно управлението на риска и най-добрите практики. </w:t>
      </w:r>
    </w:p>
    <w:p>
      <w:pPr>
        <w:pStyle w:val="HEADER5"/>
        <w:rPr>
          <w:noProof/>
        </w:rPr>
      </w:pPr>
      <w:r>
        <w:rPr>
          <w:noProof/>
        </w:rPr>
        <w:t>Глоби</w:t>
      </w:r>
    </w:p>
    <w:p>
      <w:pPr>
        <w:pStyle w:val="Textstand-alone"/>
        <w:rPr>
          <w:i/>
        </w:rPr>
      </w:pPr>
      <w:r>
        <w:rPr>
          <w:i/>
        </w:rPr>
        <w:t>Условно платени глоби: депозити</w:t>
      </w:r>
    </w:p>
    <w:p>
      <w:pPr>
        <w:pStyle w:val="DGTextstand-alone"/>
      </w:pPr>
      <w:r>
        <w:t>Сумите, получени преди 2010 г., остават в банкови сметки в банки, които са специално избрани за депозиране на условно платени глоби. Подборът на банки се извършва съгласно тръжните процедури, определени във Финансовия регламент. Влагането на средства в конкретни банки се определя от вътрешната политика за управление на риска, в която са посочени изискванията по отношение на кредитния рейтинг и размерът на средствата, които могат да бъдат вложени, в зависимост от капитала на контрагента. Идентифицират се и се оценяват финансовият и оперативният риск и редовно се проверява съблюдаването на вътрешните политики и процедури.</w:t>
      </w:r>
    </w:p>
    <w:p>
      <w:pPr>
        <w:pStyle w:val="Textstand-alone"/>
        <w:rPr>
          <w:i/>
        </w:rPr>
      </w:pPr>
      <w:r>
        <w:rPr>
          <w:i/>
        </w:rPr>
        <w:t>Условно платени глоби: портфейл BUFI</w:t>
      </w:r>
    </w:p>
    <w:p>
      <w:pPr>
        <w:pStyle w:val="DGTextstand-alone"/>
      </w:pPr>
      <w:r>
        <w:t>Глобите, които са наложени и са платени условно от 2010 г. нататък, се инвестират в специално създаден за целта портфейл — BUFI. Основните цели на портфейла са намаляване на рисковете, свързани с финансовите пазари, и равно третиране на всички глобени субекти чрез предлагане на гарантирана възвръщаемост, изчислена на една и съща база. Управлението на активите за условно платените глоби се извършва от Комисията в съответствие с вътрешните насоки за управление на активите. Изготвени са процедурни наръчници, обхващащи конкретни области, като управлението на касата, които се използват от съответните оперативни отдели. Идентифицират се и се оценяват финансовият и оперативният риск и редовно се проверява съблюдаването на вътрешните насоки и процедури.</w:t>
      </w:r>
    </w:p>
    <w:p>
      <w:pPr>
        <w:pStyle w:val="DGTextstand-alone"/>
      </w:pPr>
      <w:r>
        <w:t>Целите на дейностите по управление на активите са условно платените на Комисията глоби да се инвестират по начин, по който:</w:t>
      </w:r>
    </w:p>
    <w:p>
      <w:pPr>
        <w:pStyle w:val="DGTextstand-alone"/>
        <w:numPr>
          <w:ilvl w:val="0"/>
          <w:numId w:val="33"/>
        </w:numPr>
      </w:pPr>
      <w:r>
        <w:t>се гарантира, че средствата са лесно достъпни, когато са нужни, като същевременно</w:t>
      </w:r>
    </w:p>
    <w:p>
      <w:pPr>
        <w:pStyle w:val="DGTextstand-alone"/>
        <w:numPr>
          <w:ilvl w:val="0"/>
          <w:numId w:val="33"/>
        </w:numPr>
      </w:pPr>
      <w:r>
        <w:t>се цели постигане, при нормални обстоятелства, на възвръщаемост, която средно съответства на референтната възвръщаемост от BUFI след приспадане на направените разходи, като се запазва номиналният размер на глобите.</w:t>
      </w:r>
    </w:p>
    <w:p>
      <w:pPr>
        <w:pStyle w:val="DGTextstand-alone"/>
      </w:pPr>
      <w:r>
        <w:t>В основата си инвестициите се ограничават до следните категории: срочни депозити в централните банки на държавите членки, в агенции за държавния дълг, в изцяло държавни или гарантирани от държавата банки или в наднационални институции и в облигации, менителници и депозитни сертификати, издадени от суверенни или наднационални институции.</w:t>
      </w:r>
    </w:p>
    <w:p>
      <w:pPr>
        <w:pStyle w:val="Textstand-alone"/>
        <w:rPr>
          <w:i/>
        </w:rPr>
      </w:pPr>
      <w:r>
        <w:rPr>
          <w:i/>
        </w:rPr>
        <w:t>Финансови гаранции</w:t>
      </w:r>
    </w:p>
    <w:p>
      <w:pPr>
        <w:pStyle w:val="DGTextstand-alone"/>
      </w:pPr>
      <w:r>
        <w:t>Гаранции със значителна стойност, издадени от финансови институции, се държат от Комисията във връзка с глобите, които тя налага на предприятията, нарушаващи правилата за конкуренция на ЕС (вж. бележка </w:t>
      </w:r>
      <w:r>
        <w:rPr>
          <w:b/>
        </w:rPr>
        <w:t>2.6.1.2</w:t>
      </w:r>
      <w:r>
        <w:t>). Тези гаранции се предоставят от глобените предприятия като алтернатива на условните плащания. Гаранциите се управляват в съответствие с вътрешната политика за управление на риска. Идентифицират се и се оценяват финансовият и оперативният риск и редовно се проверява съблюдаването на вътрешните политики и процедури.</w:t>
      </w:r>
    </w:p>
    <w:p>
      <w:pPr>
        <w:pStyle w:val="HEADER5"/>
        <w:rPr>
          <w:b/>
          <w:noProof/>
        </w:rPr>
      </w:pPr>
      <w:r>
        <w:rPr>
          <w:noProof/>
        </w:rPr>
        <w:t>Гаранционен фонд за външни дейности</w:t>
      </w:r>
    </w:p>
    <w:p>
      <w:pPr>
        <w:pStyle w:val="DGTextstand-alone"/>
      </w:pPr>
      <w:r>
        <w:t>Правилата и принципите за управлението на активите на Гаранционния фонд са изложени в Конвенцията между Комисията и ЕИБ от 25 ноември 1994 г. и в нейните изменения от 17/23 септември 1996 г., 8 май 2002 г., 25 февруари 2008 г. и 9 ноември 2010 г. Този гаранционен фонд работи само в евро. Той инвестира само в тази валута, за да бъде избегнат всякакъв валутен риск. Управлението на активите се основава на традиционните правила за предпазливост, съблюдавани при финансовите дейности. То трябва да обръща специално внимание на намаляването на рисковете и на това да се гарантира, че управляваните активи могат да бъдат продадени или прехвърлени без значително забавяне, отчитайки обхванатите поети задължения.</w:t>
      </w:r>
    </w:p>
    <w:p>
      <w:pPr>
        <w:pStyle w:val="HEADER5"/>
        <w:rPr>
          <w:noProof/>
        </w:rPr>
      </w:pPr>
      <w:r>
        <w:rPr>
          <w:noProof/>
        </w:rPr>
        <w:t>Гаранционен фонд на ЕФСИ</w:t>
      </w:r>
    </w:p>
    <w:p>
      <w:pPr>
        <w:pStyle w:val="DGTextstand-alone"/>
      </w:pPr>
      <w:r>
        <w:t>Гаранционният фонд на ЕФСИ бе създаден с Регламент (ЕС) 2015/1017 на ЕП и на Съвета от 25 юни 2015 г. (изменен с Регламент (ЕС) 2017/2396 от 13 декември 2017 г.). Правилата и принципите за управлението на активите на Фонда са посочени в Решение C(2016) 165 на Комисията от 21 януари 2016 г. Управляваните активи трябва да осигуряват достатъчна ликвидност по отношение на потенциалните задействания на гаранции, като същевременно имат за цел да се оптимизират възвръщаемостта и рискът, които са съвместими с поддържането на висока сигурност и стабилност.</w:t>
      </w:r>
    </w:p>
    <w:p>
      <w:pPr>
        <w:pStyle w:val="DGTextstand-alone"/>
        <w:sectPr>
          <w:headerReference w:type="even" r:id="rId328"/>
          <w:headerReference w:type="default" r:id="rId329"/>
          <w:footerReference w:type="even" r:id="rId330"/>
          <w:footerReference w:type="default" r:id="rId331"/>
          <w:headerReference w:type="first" r:id="rId332"/>
          <w:footerReference w:type="first" r:id="rId333"/>
          <w:pgSz w:w="11906" w:h="16838"/>
          <w:pgMar w:top="1134" w:right="1134" w:bottom="1134" w:left="1134" w:header="709" w:footer="709" w:gutter="0"/>
          <w:cols w:space="708"/>
          <w:docGrid w:linePitch="360"/>
        </w:sectPr>
      </w:pPr>
      <w:r>
        <w:t xml:space="preserve"> </w:t>
      </w:r>
      <w:bookmarkEnd w:id="174"/>
    </w:p>
    <w:p>
      <w:pPr>
        <w:pStyle w:val="HEADER2NOTES"/>
        <w:spacing w:after="120"/>
        <w:rPr>
          <w:noProof/>
        </w:rPr>
      </w:pPr>
      <w:bookmarkStart w:id="175" w:name="_DMBM_11339"/>
      <w:r>
        <w:rPr>
          <w:noProof/>
        </w:rPr>
        <w:t>ВАЛУТЕН РИСК</w:t>
      </w:r>
    </w:p>
    <w:p>
      <w:pPr>
        <w:pStyle w:val="HEADER5"/>
        <w:rPr>
          <w:noProof/>
        </w:rPr>
      </w:pPr>
      <w:r>
        <w:rPr>
          <w:noProof/>
        </w:rPr>
        <w:t>Експозиция на ЕС, свързана с финансовите инструменти, по отношение на валутния риск към края на годината — нетна позиция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76" w:name="DOC_TBL00078_1_1"/>
            <w:bookmarkEnd w:id="176"/>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милиони евро</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Други</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Общо</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Финансови активи</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Финансови активи, обявени за продажба</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12 806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Финансови активи по справедлива стойност чрез излишъка или дефицита</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655</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Заеми*</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Вземания и средства, подлежащи на събиране</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11 591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Пари и парични еквиваленти</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18 468</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1 694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43 642</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1 779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Финансови пасиви</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Финансови пасиви по справедлива стойност чрез излишъка или дефицита</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Задължения</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(39 029)</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(39 029)</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(14)</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Общо</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4 613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1 765</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11 218</w:t>
            </w:r>
          </w:p>
        </w:tc>
      </w:tr>
    </w:tbl>
    <w:p>
      <w:pPr>
        <w:pStyle w:val="Textstand-alone"/>
        <w:spacing w:before="6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77" w:name="DOC_TBL00079_1_1"/>
            <w:bookmarkEnd w:id="177"/>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милиони евро</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Други</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Общо</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Финансови активи</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Финансови активи, обявени за продажба</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58</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10 080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10 442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Финансови активи по справедлива стойност чрез излишъка или дефицита</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Заеми*</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329</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Вземания и средства, подлежащи на събиране</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593</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51</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10 888</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11 622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Пари и парични еквиваленти</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2 394</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428</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1 220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22 387</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2 117</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28 585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222</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43 734</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2 156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50 993</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Финансови пасиви</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Финансови пасиви по справедлива стойност чрез излишъка или дефицита</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Задължения</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(39 983)</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(39 883)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Общо</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121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3 040</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3 851</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2 140</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10 987</w:t>
            </w:r>
          </w:p>
        </w:tc>
      </w:tr>
    </w:tbl>
    <w:p>
      <w:pPr>
        <w:pStyle w:val="Textstand-alone"/>
        <w:spacing w:before="60" w:after="0"/>
        <w:rPr>
          <w:i/>
          <w:sz w:val="14"/>
        </w:rPr>
      </w:pPr>
      <w:r>
        <w:rPr>
          <w:i/>
          <w:sz w:val="14"/>
        </w:rPr>
        <w:t>* Без заемите „бек-ту-бек“ за финансова помощ.</w:t>
      </w:r>
    </w:p>
    <w:p>
      <w:pPr>
        <w:pStyle w:val="DGTextstand-alone"/>
        <w:spacing w:before="0" w:after="0"/>
        <w:sectPr>
          <w:headerReference w:type="even" r:id="rId334"/>
          <w:headerReference w:type="default" r:id="rId335"/>
          <w:footerReference w:type="even" r:id="rId336"/>
          <w:footerReference w:type="default" r:id="rId337"/>
          <w:headerReference w:type="first" r:id="rId338"/>
          <w:footerReference w:type="first" r:id="rId339"/>
          <w:pgSz w:w="11906" w:h="16838"/>
          <w:pgMar w:top="1134" w:right="1134" w:bottom="1134" w:left="1134" w:header="709" w:footer="709" w:gutter="0"/>
          <w:cols w:space="708"/>
          <w:docGrid w:linePitch="360"/>
        </w:sectPr>
      </w:pPr>
      <w:r>
        <w:t xml:space="preserve"> </w:t>
      </w:r>
      <w:bookmarkEnd w:id="175"/>
    </w:p>
    <w:p>
      <w:pPr>
        <w:pStyle w:val="DGTextstand-alone"/>
        <w:spacing w:before="120" w:after="120"/>
      </w:pPr>
      <w:bookmarkStart w:id="178" w:name="_DMBM_11438"/>
      <w:r>
        <w:t>Ако еврото беше поскъпнало с 10 % спрямо другите валути, ефектът от това щеше да е следният: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9" w:name="DOC_TBL00080_1_1"/>
            <w:bookmarkEnd w:id="179"/>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Финансов резултат</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0" w:name="DOC_TBL00081_1_1"/>
            <w:bookmarkEnd w:id="180"/>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Нетни активи</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bl>
    <w:p>
      <w:pPr>
        <w:pStyle w:val="DGTextstand-alone"/>
        <w:spacing w:before="0" w:after="0"/>
      </w:pPr>
    </w:p>
    <w:p>
      <w:pPr>
        <w:pStyle w:val="DGTextstand-alone"/>
      </w:pPr>
      <w:r>
        <w:br w:type="page"/>
      </w:r>
    </w:p>
    <w:p>
      <w:pPr>
        <w:pStyle w:val="Textstand-alone"/>
      </w:pPr>
      <w:r>
        <w:t>Ако еврото се беше обезценило с 10 % спрямо тези валути, ефектът от това щеше да е следният: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1" w:name="DOC_TBL00082_1_1"/>
            <w:bookmarkEnd w:id="181"/>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Финансов резултат</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145</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2" w:name="DOC_TBL00083_1_1"/>
            <w:bookmarkEnd w:id="182"/>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Нетни активи</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bl>
    <w:p>
      <w:pPr>
        <w:pStyle w:val="HEADER5"/>
        <w:rPr>
          <w:noProof/>
        </w:rPr>
      </w:pPr>
    </w:p>
    <w:p>
      <w:pPr>
        <w:pStyle w:val="HEADER5"/>
        <w:rPr>
          <w:noProof/>
        </w:rPr>
      </w:pPr>
      <w:r>
        <w:rPr>
          <w:noProof/>
        </w:rPr>
        <w:t>Дейности по получаване и отпускане на заеми за финансова помощ</w:t>
      </w:r>
    </w:p>
    <w:p>
      <w:pPr>
        <w:pStyle w:val="Textstand-alone"/>
      </w:pPr>
      <w:r>
        <w:t xml:space="preserve">Повечето финансови активи и пасиви са в евро, поради което в тези случаи за ЕС няма валутен риск. Чрез финансовия инструмент Евратом ЕС отпуска обаче заеми в щатски долари, финансирани с получени заеми с равностоен размер в щатски долари (операция от вида „бек-ту-бек“ (back-to-back). Към датата на счетоводния баланс за ЕС няма валутен риск по отношение на Евратом. </w:t>
      </w:r>
    </w:p>
    <w:p>
      <w:pPr>
        <w:pStyle w:val="HEADER5"/>
        <w:rPr>
          <w:noProof/>
        </w:rPr>
      </w:pPr>
      <w:r>
        <w:rPr>
          <w:noProof/>
        </w:rPr>
        <w:t>Каса</w:t>
      </w:r>
    </w:p>
    <w:p>
      <w:pPr>
        <w:pStyle w:val="Textstand-alone"/>
      </w:pPr>
      <w:r>
        <w:t>Собствените ресурси, плащани от държавите членки във валути, различни от еврото, се държат в сметките за собствени ресурси в съответствие с Регламент № 609/2014 на Съвета (изменен с Регламент 2016/804 на Съвета). Те се конвертират в евро, когато са необходими за обезпечаване на плащания. Процедурите, които се прилагат за управлението на тези средства, са определени в гореупоменатия регламент. В неголям брой случаи тези средства се използват директно за плащания, които трябва да бъдат извършени в същите валути.</w:t>
      </w:r>
    </w:p>
    <w:p>
      <w:pPr>
        <w:pStyle w:val="Textstand-alone"/>
      </w:pPr>
      <w:r>
        <w:t>Комисията има в търговски банки няколко сметки във валути на ЕС, различни от еврото, и в щатски долари и швейцарски франкове с цел извършване на плащания в същите тези валути. Тези сметки се захранват в зависимост от размера на плащанията, които трябва да бъдат извършени, поради което наличностите по тях не водят до излагане на валутен риск.</w:t>
      </w:r>
    </w:p>
    <w:p>
      <w:pPr>
        <w:pStyle w:val="Textstand-alone"/>
      </w:pPr>
      <w:r>
        <w:t>При получаване на различни приходи (различни от собствените ресурси) във валути, различни от еврото, те или се прехвърлят в сметки на Комисията в същите валути, ако са необходими за обезпечаване на плащания, или се конвертират в евро и се прехвърлят в сметки в евро. Сметките за авансови средства във валути, различни от еврото, се захранват в зависимост от очакваните краткосрочни местни платежни нужди в същите валути. Наличностите по тези сметки се поддържат в рамките на съответните тавани.</w:t>
      </w:r>
    </w:p>
    <w:p>
      <w:pPr>
        <w:pStyle w:val="HEADER5"/>
        <w:rPr>
          <w:noProof/>
        </w:rPr>
      </w:pPr>
      <w:r>
        <w:rPr>
          <w:noProof/>
        </w:rPr>
        <w:t>Глоби</w:t>
      </w:r>
    </w:p>
    <w:p>
      <w:pPr>
        <w:pStyle w:val="Textstand-alone"/>
        <w:rPr>
          <w:i/>
        </w:rPr>
      </w:pPr>
      <w:r>
        <w:rPr>
          <w:i/>
        </w:rPr>
        <w:t>Условно платени глоби (депозити и портфейл BUFI) и банкови гаранции</w:t>
      </w:r>
    </w:p>
    <w:p>
      <w:pPr>
        <w:pStyle w:val="Textstand-alone"/>
      </w:pPr>
      <w:r>
        <w:t>Тъй като всички глоби се налагат и плащат в евро, не съществува валутен риск.</w:t>
      </w:r>
    </w:p>
    <w:p>
      <w:pPr>
        <w:pStyle w:val="HEADER5"/>
        <w:rPr>
          <w:noProof/>
        </w:rPr>
      </w:pPr>
      <w:r>
        <w:rPr>
          <w:noProof/>
        </w:rPr>
        <w:t>Гаранционен фонд за външни дейности</w:t>
      </w:r>
    </w:p>
    <w:p>
      <w:pPr>
        <w:pStyle w:val="Textstand-alone"/>
      </w:pPr>
      <w:r>
        <w:t>Финансовите активи на този фонд са в евро, поради което не съществува валутен риск. Заемите, суброгирани на ЕС в резултат на искове, предявени към Фонда поради просрочени от бенефициер на заем плащания, се извършват в първоначалната им валута, поради което излагат ЕС на валутен риск. Поради несигурността, свързана с графика за погасяване на заемите, не се извършват дейности за компенсиране на промените в чуждестранните валути (дейности по хеджиране).</w:t>
      </w:r>
    </w:p>
    <w:p>
      <w:pPr>
        <w:pStyle w:val="HEADER5"/>
        <w:rPr>
          <w:noProof/>
        </w:rPr>
      </w:pPr>
      <w:r>
        <w:rPr>
          <w:noProof/>
        </w:rPr>
        <w:t>Гаранционен фонд на ЕФСИ</w:t>
      </w:r>
    </w:p>
    <w:p>
      <w:pPr>
        <w:pStyle w:val="Textstand-alone"/>
      </w:pPr>
      <w:r>
        <w:t>Понастоящем Гаранционният фонд на ЕФСИ работи както в евро, така и в щатски долари. През декември 2016 г. бяха направени първите инвестиции в дългови ценни книжа с фиксиран лихвен процент в щатски долари (държавни облигации на САЩ) с цел подобряване на възвръщаемостта и диверсифициране на пазарния риск чрез излагане на пазара на САЩ. Валутният риск се управлява чрез сключване на деривативни договори (валутни форуърдни договори) за хеджиране на пазарната стойност на портфейла с инвестиции в щатски долари. Ограничението за максимална нехеджирана валутна експозиция е 1 % от общата стойност на портфейла в рамките на референтната стойност и годишните стратегически средства. По този начин движенията нагоре или надолу на пазарната стойност на инвестициите в щатски долари над или под пределната стойност от 1 % ще доведат до търговия за възстановяване на баланса (нов форуърден договор със същата или обратна посока), която ще коригира или ще обърне хеджираната позиция по съответния начин. Повторно коригиране на хеджинга може също да бъде предизвикано от движения на обменния курс евро/щатски долар.</w:t>
      </w:r>
    </w:p>
    <w:p>
      <w:pPr>
        <w:pStyle w:val="Textstand-alone"/>
        <w:sectPr>
          <w:headerReference w:type="even" r:id="rId340"/>
          <w:headerReference w:type="default" r:id="rId341"/>
          <w:footerReference w:type="even" r:id="rId342"/>
          <w:footerReference w:type="default" r:id="rId343"/>
          <w:headerReference w:type="first" r:id="rId344"/>
          <w:footerReference w:type="first" r:id="rId345"/>
          <w:type w:val="continuous"/>
          <w:pgSz w:w="11906" w:h="16838"/>
          <w:pgMar w:top="1134" w:right="1134" w:bottom="1134" w:left="1134" w:header="709" w:footer="709" w:gutter="0"/>
          <w:cols w:space="708"/>
          <w:docGrid w:linePitch="360"/>
        </w:sectPr>
      </w:pPr>
      <w:r>
        <w:t xml:space="preserve"> </w:t>
      </w:r>
      <w:bookmarkEnd w:id="178"/>
    </w:p>
    <w:p>
      <w:pPr>
        <w:pStyle w:val="HEADER2NOTES"/>
        <w:rPr>
          <w:noProof/>
        </w:rPr>
      </w:pPr>
      <w:bookmarkStart w:id="183" w:name="_DMBM_11251"/>
      <w:r>
        <w:rPr>
          <w:noProof/>
        </w:rPr>
        <w:t>ЛИХВЕН РИСК</w:t>
      </w:r>
    </w:p>
    <w:p>
      <w:pPr>
        <w:pStyle w:val="DGTextstand-alone"/>
      </w:pPr>
      <w:r>
        <w:t>Следната таблица показва чувствителността на финансовите активи, обявени за продажба, по отношение на лихвения процент, като се допусне, че лихвените проценти се променят с приблизително 100 базисни пункта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4" w:name="DOC_TBL00084_1_1"/>
            <w:bookmarkEnd w:id="18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Увеличение (+)/намаление (-) в базисни пунктове</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Ефект върху нетните активи</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 Финансови активи, обявени за продажба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31.12.2016: Финансови активи, обявени за продажба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313</w:t>
            </w:r>
          </w:p>
        </w:tc>
      </w:tr>
    </w:tbl>
    <w:p>
      <w:pPr>
        <w:pStyle w:val="HEADER5"/>
        <w:rPr>
          <w:noProof/>
        </w:rPr>
      </w:pPr>
      <w:r>
        <w:rPr>
          <w:noProof/>
        </w:rPr>
        <w:t>Дейности по получаване и отпускане на заеми за финансова помощ</w:t>
      </w:r>
    </w:p>
    <w:p>
      <w:pPr>
        <w:pStyle w:val="DGTextstand-alone"/>
      </w:pPr>
      <w:r>
        <w:t xml:space="preserve">Поради естеството на дейностите си по получаване и отпускане на заеми ЕС има значителни лихвоносни активи и пасиви. Лихвените рискове, възникващи от получените заеми, обаче се компенсират от заеми, отпуснати при еквивалентни срокове и условия („бек-ту-бек“). </w:t>
      </w:r>
    </w:p>
    <w:p>
      <w:pPr>
        <w:pStyle w:val="HEADER5"/>
        <w:rPr>
          <w:noProof/>
        </w:rPr>
      </w:pPr>
      <w:r>
        <w:rPr>
          <w:noProof/>
        </w:rPr>
        <w:t>Каса</w:t>
      </w:r>
    </w:p>
    <w:p>
      <w:pPr>
        <w:pStyle w:val="DGTextstand-alone"/>
      </w:pPr>
      <w:r>
        <w:t xml:space="preserve">Касата на Комисията не взема средства назаем. Поради това тя не е изложена на лихвен риск. Лихви обаче се начисляват върху наличностите в различните банкови сметки. Поради това Комисията е въвела мерки, с които да се гарантира, че лихвите, които се начисляват по нейните банкови сметки, редовно отразяват пазарните лихвени проценти, както и тяхното евентуално колебание. </w:t>
      </w:r>
    </w:p>
    <w:p>
      <w:pPr>
        <w:pStyle w:val="DGTextstand-alone"/>
      </w:pPr>
      <w:r>
        <w:t>Сметките, открити към министерствата на финансите на държавите членки за постъпленията от собствени ресурси, не носят лихва и по тях не се начисляват такси. Сметките в националните централни банки могат да генерират доход по официалните ставки, прилагани от всяка институция. Тъй като някои от плащанията, които се прилагат по отношение на тези сметки, могат понастоящем да са отрицателни, са въведени процедури за управление на средствата с цел свеждане до минимум на наличностите по тези сметки.</w:t>
      </w:r>
    </w:p>
    <w:p>
      <w:pPr>
        <w:pStyle w:val="DGTextstand-alone"/>
      </w:pPr>
      <w:r>
        <w:t>Освен това сметките за собствените ресурси са защитени от последиците от отрицателни лихвени проценти в съответствие с Регламент № 609/2014 на Съвета, изменен с Регламент 2016/804 на Съвета.</w:t>
      </w:r>
    </w:p>
    <w:p>
      <w:pPr>
        <w:pStyle w:val="DGTextstand-alone"/>
      </w:pPr>
      <w:r>
        <w:t xml:space="preserve">Върху овърнайт наличностите в сметки в търговски банки лихва се начислява всеки ден. Тази лихва се основава на променливи пазарни лихвени проценти, за които се прилага договорен марж (положителен или отрицателен). По принцип прилаганите от търговските банки лихвени проценти са определени в договорите на нулево равнище. Поради това не съществува риск Комисията да печели лихви при лихвени проценти, които са по-ниски от пазарните. </w:t>
      </w:r>
    </w:p>
    <w:p>
      <w:pPr>
        <w:pStyle w:val="HEADER5"/>
        <w:rPr>
          <w:noProof/>
        </w:rPr>
      </w:pPr>
      <w:r>
        <w:rPr>
          <w:noProof/>
        </w:rPr>
        <w:t>Глоби</w:t>
      </w:r>
    </w:p>
    <w:p>
      <w:pPr>
        <w:pStyle w:val="Textstand-alone"/>
        <w:rPr>
          <w:i/>
        </w:rPr>
      </w:pPr>
      <w:r>
        <w:rPr>
          <w:i/>
        </w:rPr>
        <w:t>Условно платени глоби (депозити, портфейл BUFI) и банкови гаранции</w:t>
      </w:r>
    </w:p>
    <w:p>
      <w:pPr>
        <w:pStyle w:val="DGTextstand-alone"/>
      </w:pPr>
      <w:r>
        <w:t xml:space="preserve">Условно платените глоби се инвестират в портфейл с инструменти на паричния пазар и дългосрочни облигации със среден срок от 2,6 години. </w:t>
      </w:r>
    </w:p>
    <w:p>
      <w:pPr>
        <w:pStyle w:val="HEADER5"/>
        <w:rPr>
          <w:noProof/>
        </w:rPr>
      </w:pPr>
      <w:r>
        <w:rPr>
          <w:noProof/>
        </w:rPr>
        <w:t>Гаранционен фонд за външни дейности</w:t>
      </w:r>
    </w:p>
    <w:p>
      <w:pPr>
        <w:pStyle w:val="DGTextstand-alone"/>
      </w:pPr>
      <w:r>
        <w:t xml:space="preserve">Предвиденият за Гаранционния фонд бюджет се инвестира в портфейл с инструменти на паричния пазар и дългосрочни облигации, като общият срок на портфейла е средно 2,93 години. </w:t>
      </w:r>
    </w:p>
    <w:p>
      <w:pPr>
        <w:pStyle w:val="HEADER5"/>
        <w:rPr>
          <w:noProof/>
        </w:rPr>
      </w:pPr>
      <w:r>
        <w:rPr>
          <w:noProof/>
        </w:rPr>
        <w:t>Гаранционен фонд на ЕФСИ</w:t>
      </w:r>
    </w:p>
    <w:p>
      <w:pPr>
        <w:pStyle w:val="DGTextstand-alone"/>
      </w:pPr>
      <w:r>
        <w:t>Предвиденият за Гаранционния фонд на ЕФСИ бюджет е инвестиран в портфейл с инструменти на паричния пазар и дългосрочни облигации, като общият срок на портфейла е средно 3,5 години.</w:t>
      </w:r>
    </w:p>
    <w:p>
      <w:pPr>
        <w:pStyle w:val="DGTextstand-alone"/>
        <w:sectPr>
          <w:headerReference w:type="even" r:id="rId346"/>
          <w:headerReference w:type="default" r:id="rId347"/>
          <w:footerReference w:type="even" r:id="rId348"/>
          <w:footerReference w:type="default" r:id="rId349"/>
          <w:headerReference w:type="first" r:id="rId350"/>
          <w:footerReference w:type="first" r:id="rId351"/>
          <w:type w:val="continuous"/>
          <w:pgSz w:w="11906" w:h="16838"/>
          <w:pgMar w:top="1134" w:right="1134" w:bottom="1134" w:left="1134" w:header="709" w:footer="709" w:gutter="0"/>
          <w:cols w:space="708"/>
          <w:docGrid w:linePitch="360"/>
        </w:sectPr>
      </w:pPr>
      <w:r>
        <w:t xml:space="preserve"> </w:t>
      </w:r>
      <w:bookmarkEnd w:id="183"/>
    </w:p>
    <w:p>
      <w:pPr>
        <w:pStyle w:val="HEADER2NOTES"/>
        <w:rPr>
          <w:noProof/>
        </w:rPr>
      </w:pPr>
      <w:bookmarkStart w:id="185" w:name="_DMBM_11349"/>
      <w:r>
        <w:rPr>
          <w:noProof/>
        </w:rPr>
        <w:t>КРЕДИТЕН РИСК</w:t>
      </w:r>
    </w:p>
    <w:p>
      <w:pPr>
        <w:pStyle w:val="DGTextstand-alone"/>
      </w:pPr>
      <w:r>
        <w:t>Сумите, които представляват експозицията на ЕС на кредитен риск в края на отчетния период, са балансовите стойности на финансовите инструменти, оповестени в бележка </w:t>
      </w:r>
      <w:r>
        <w:rPr>
          <w:b/>
        </w:rPr>
        <w:t>2</w:t>
      </w:r>
      <w:r>
        <w:t>.</w:t>
      </w:r>
    </w:p>
    <w:p>
      <w:pPr>
        <w:pStyle w:val="HEADER5"/>
        <w:rPr>
          <w:noProof/>
        </w:rPr>
      </w:pPr>
      <w:r>
        <w:rPr>
          <w:noProof/>
        </w:rPr>
        <w:t>Анализ на възрастта на финансовите активи, които не са обезценени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1361"/>
        <w:gridCol w:w="1559"/>
        <w:gridCol w:w="1233"/>
        <w:gridCol w:w="1240"/>
        <w:gridCol w:w="1238"/>
      </w:tblGrid>
      <w:t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6" w:name="DOC_TBL00085_1_1"/>
            <w:bookmarkEnd w:id="186"/>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Общо</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Непросрочени и необезценени</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Просрочени, но необезценени</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&lt; 1 година</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1—5 години</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&gt; 5 години</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Заеми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и средства, подлежащи на събиране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12 366</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8 905</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2 894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Финансови активи по справедлива стойност чрез излишъка или дефицита</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към 31.12.2017 г.</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67 369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63 908</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2 894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359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208</w:t>
            </w:r>
          </w:p>
        </w:tc>
      </w:tr>
      <w:t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Заеми</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55 477</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55 476</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и средства, подлежащи на събиране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11 622</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10 310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273</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Финансови активи по справедлива стойност чрез излишъка или дефицита</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към 31.12.2016 г.</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67 099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909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273</w:t>
            </w:r>
          </w:p>
        </w:tc>
      </w:tr>
    </w:tbl>
    <w:p>
      <w:pPr>
        <w:pStyle w:val="DGTextstand-alone"/>
      </w:pPr>
      <w:r>
        <w:t>Вземанията и средствата, подлежащи на събиране, със срок между 1 и 5 години включват подлежащи на събиране средства, свързани с глоби в областта на конкуренцията, в размер на 278 милиона евро (2016 г.: 870 милиона евро), които са до голяма степен покрити от банкови гаранции, поради което кредитният риск, на който е изложена Комисията, е нисък. Тези гаранции се предоставят от глобените предприятия като алтернатива на условните плащания.</w:t>
      </w:r>
    </w:p>
    <w:p>
      <w:pPr>
        <w:pStyle w:val="HEADER5"/>
        <w:rPr>
          <w:noProof/>
        </w:rPr>
      </w:pPr>
      <w:r>
        <w:rPr>
          <w:noProof/>
        </w:rPr>
        <w:t>Кредитно качество на финансовите активи, които не са просрочени и не са обезценени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1188"/>
        <w:gridCol w:w="1502"/>
        <w:gridCol w:w="1582"/>
        <w:gridCol w:w="1069"/>
        <w:gridCol w:w="1462"/>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7" w:name="DOC_TBL00086_1_1"/>
            <w:bookmarkEnd w:id="187"/>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31.12.2017</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ОЗП*</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Фин. активи по справ. ст-ст чрез излишъка или дефицита**</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Заеми и вземания***</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Пари в брой</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Общо</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Контрагенти с външен кредитен рейтинг</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Нискорисков и висок рейтинг</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8 068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19 261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30 477</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Горен среден рейтинг</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1 794</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23 879</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3 977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29 650</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Долен среден рейтинг</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2 186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28 041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30 691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Неинвестиционен рейтинг</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4 087</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4 476</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59 139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24 090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95 293</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Контрагенти без външен кредитен рейтинг</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Група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4 745</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Група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4 746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4 773</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63 885</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24 111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100 067</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1188"/>
        <w:gridCol w:w="1502"/>
        <w:gridCol w:w="1582"/>
        <w:gridCol w:w="1069"/>
        <w:gridCol w:w="1462"/>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8" w:name="DOC_TBL00087_1_1"/>
            <w:bookmarkEnd w:id="188"/>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31.12.2016</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ОЗП*</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Фин. активи по справ. ст-ст чрез излишъка или дефицита**</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Заеми и вземания***</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Пари в брой</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Общо</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Контрагенти с външен кредитен рейтинг</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Нискорисков и висок рейтинг</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3 386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21 990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31 828</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Горен среден рейтинг</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1 412</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23 826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5 325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30 563</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Долен среден рейтинг</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1 056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6 081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Неинвестиционен рейтинг</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27 724</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28 468</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59 469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28 552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96 941</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Контрагенти без външен кредитен рейтинг</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Група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6 238</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Група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6 317</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33</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6 351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28 585</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103 292</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Textstand-alone"/>
        <w:tabs>
          <w:tab w:val="left" w:pos="284"/>
        </w:tabs>
        <w:spacing w:before="60" w:after="0"/>
        <w:rPr>
          <w:i/>
          <w:sz w:val="14"/>
        </w:rPr>
      </w:pPr>
      <w:r>
        <w:rPr>
          <w:i/>
          <w:sz w:val="14"/>
        </w:rPr>
        <w:t xml:space="preserve">* </w:t>
      </w:r>
      <w:r>
        <w:tab/>
      </w:r>
      <w:r>
        <w:rPr>
          <w:i/>
          <w:sz w:val="14"/>
        </w:rPr>
        <w:t>Финансови активи, обявени за продажба (без капиталовите инструменти и Унитарния фонд).</w:t>
      </w:r>
    </w:p>
    <w:p>
      <w:pPr>
        <w:pStyle w:val="Textstand-alone"/>
        <w:tabs>
          <w:tab w:val="left" w:pos="284"/>
        </w:tabs>
        <w:spacing w:before="0" w:after="0"/>
        <w:rPr>
          <w:i/>
          <w:sz w:val="14"/>
        </w:rPr>
      </w:pPr>
      <w:r>
        <w:rPr>
          <w:i/>
          <w:sz w:val="14"/>
        </w:rPr>
        <w:t>**</w:t>
      </w:r>
      <w:r>
        <w:tab/>
      </w:r>
      <w:r>
        <w:rPr>
          <w:i/>
          <w:sz w:val="14"/>
        </w:rPr>
        <w:t>Финансови активи по справедлива стойност чрез излишъка или дефицита.</w:t>
      </w:r>
    </w:p>
    <w:p>
      <w:pPr>
        <w:pStyle w:val="Textstand-alone"/>
        <w:tabs>
          <w:tab w:val="left" w:pos="284"/>
        </w:tabs>
        <w:spacing w:before="0"/>
        <w:rPr>
          <w:i/>
          <w:sz w:val="14"/>
        </w:rPr>
      </w:pPr>
      <w:r>
        <w:rPr>
          <w:i/>
          <w:sz w:val="14"/>
        </w:rPr>
        <w:t>*** Заемите и вземанията включват средствата, подлежащи на събиране.</w:t>
      </w:r>
    </w:p>
    <w:p>
      <w:pPr>
        <w:pStyle w:val="DGTextstand-alone"/>
      </w:pPr>
      <w:r>
        <w:t>В таблицата по-горе не са включени финансовите активи, обявени за продажба, под формата на капиталови инструменти без външен кредитен рейтинг. Четирите рискови категории, посочени по-горе, по принцип се основават на рейтинговите категории на външни агенции за кредитен рейтинг и съответстват на:</w:t>
      </w:r>
    </w:p>
    <w:p>
      <w:pPr>
        <w:pStyle w:val="DGTextstand-alone"/>
        <w:numPr>
          <w:ilvl w:val="0"/>
          <w:numId w:val="34"/>
        </w:numPr>
      </w:pPr>
      <w:r>
        <w:t>Нискорисков и висок рейтинг: Moody P-1, Aaa – Aa3; S&amp;P A-1+, A-1, AAA – AA -; Fitch F1+, F1, AAA – AA- и еквивалентен на него</w:t>
      </w:r>
    </w:p>
    <w:p>
      <w:pPr>
        <w:pStyle w:val="DGTextstand-alone"/>
        <w:numPr>
          <w:ilvl w:val="0"/>
          <w:numId w:val="34"/>
        </w:numPr>
      </w:pPr>
      <w:r>
        <w:t>Горен среден рейтинг: Moody P-2, A1 – A3; S&amp;P A-2, A+ - A-; Fitch F2, A+ - A- и еквивалентен на него</w:t>
      </w:r>
    </w:p>
    <w:p>
      <w:pPr>
        <w:pStyle w:val="DGTextstand-alone"/>
        <w:numPr>
          <w:ilvl w:val="0"/>
          <w:numId w:val="34"/>
        </w:numPr>
      </w:pPr>
      <w:r>
        <w:t>Долен среден рейтинг: Moody P-3, Baa1 – Baa3, S&amp;P A-3, BBB+ - BBB-; Fitch F-3, BBBB+ - BBB- и еквивалентен на него</w:t>
      </w:r>
    </w:p>
    <w:p>
      <w:pPr>
        <w:pStyle w:val="DGTextstand-alone"/>
        <w:numPr>
          <w:ilvl w:val="0"/>
          <w:numId w:val="34"/>
        </w:numPr>
      </w:pPr>
      <w:r>
        <w:t>Неинвестиционен рейтинг: Moody не нискорисков, Ba1 – C; S&amp;P B, C, BB+ - D; Fitch B, C, BB+ - D и еквивалентен на него</w:t>
      </w:r>
    </w:p>
    <w:p>
      <w:pPr>
        <w:pStyle w:val="DGTextstand-alone"/>
      </w:pPr>
      <w:r>
        <w:t>ЕС използва тези рейтингови категории на външни агенции като отправна точка по-специално за финансовите инструменти и за търговските банки, но може, след като направи собствен анализ на отделните случаи, да държи средства в една от горепосочените рискови категории, въпреки че една или повече от горепосочените агенции за кредитен рейтинг може да са понижили кредитния рейтинг на съответния контрагент. Що се отнася до контрагентите без рейтинг, група 1 се отнася до длъжниците без неизпълнени задължения в миналото, а група 2 се отнася до длъжниците с неизпълнени задължения в миналото.</w:t>
      </w:r>
    </w:p>
    <w:p>
      <w:pPr>
        <w:pStyle w:val="DGTextstand-alone"/>
        <w:rPr>
          <w:spacing w:val="4"/>
        </w:rPr>
      </w:pPr>
      <w:r>
        <w:rPr>
          <w:spacing w:val="4"/>
        </w:rPr>
        <w:t>Сумите, показани по-горе в позицията за заемите и вземанията, получили неинвестиционен рейтинг, са свързани предимно със заеми за финансова подкрепа, отпуснати от Комисията на държави членки, изпитващи финансови трудности, и със средства, които подлежат на събиране от определени държави членки въз основа на нормативната уредба в областта на собствените ресурси или друго правно основание. Сумата в позицията за парите в брой се отнася до банковите сметки за собствените ресурси, открити към министерството на финансите или в централните банки на държавите членки с цел съхраняване в тях на вноските собствени ресурси съгласно предвиденото в нормативната уредба, посочена по-горе. Комисията може да тегли средства от тези сметки само за да покрие нуждите от парични средства, произтичащи от изпълнението на бюджета.</w:t>
      </w:r>
    </w:p>
    <w:p>
      <w:pPr>
        <w:pStyle w:val="HEADER5"/>
        <w:rPr>
          <w:noProof/>
        </w:rPr>
      </w:pPr>
      <w:r>
        <w:rPr>
          <w:noProof/>
        </w:rPr>
        <w:t>Дейности по получаване и отпускане на заеми за финансова помощ</w:t>
      </w:r>
    </w:p>
    <w:p>
      <w:pPr>
        <w:pStyle w:val="DGTextstand-alone"/>
      </w:pPr>
      <w:r>
        <w:t>Излагането на кредитен риск се управлява, първо, чрез получаване на гаранции от съответната държава в случая на Евратом, на второ място, чрез Гаранционния фонд за външни дейности (МФП и Евратом), на трето място, чрез възможността за теглене на необходимите средства от сметките на Комисията за собствените ресурси в държавите членки и на последно място, чрез бюджета на ЕС.</w:t>
      </w:r>
    </w:p>
    <w:p>
      <w:pPr>
        <w:pStyle w:val="DGTextstand-alone"/>
      </w:pPr>
      <w:r>
        <w:t>Съгласно законодателството в областта на собствените ресурси таванът за плащанията на собствени ресурси възлиза на 1,20 % от БНД на държавите членки и през 2017 г. реално за покриване на бюджетните кредити за плащания бяха използвани 0,76 %. Това означава, че към 31 декември 2017 г. имаше наличен марж от 0,44 % за покриване на тези гаранции. Във връзка с това ЕС има право да поиска от всички държави членки да направят необходимото за спазване на правното задължение на ЕС към неговите заемодатели.</w:t>
      </w:r>
    </w:p>
    <w:p>
      <w:pPr>
        <w:pStyle w:val="HEADER5"/>
        <w:rPr>
          <w:noProof/>
        </w:rPr>
      </w:pPr>
      <w:r>
        <w:rPr>
          <w:noProof/>
        </w:rPr>
        <w:t>Каса</w:t>
      </w:r>
    </w:p>
    <w:p>
      <w:pPr>
        <w:pStyle w:val="DGTextstand-alone"/>
      </w:pPr>
      <w:r>
        <w:t>В съответствие с Регламент № 609/2014 на Съвета за собствените ресурси (изменен с Регламент 2016/804 на Съвета) по-голямата част от касовите ресурси на Комисията се държат в сметките, открити от държавите членки за плащане на техните вноски (собствени ресурси). Всички такива сметки са към министерствата на финансите на държавите членки или в националните централни банки. Тези институции носят най-ниския кредитен риск (или риск на контрагента) за Комисията, тъй като рискът е поет от държавите членки. За частта от касовите ресурси на Комисията, които се държат в търговски банки с цел обезпечаване на плащанията, захранването на тези сметки се извършва съгласно принципа „точно навреме“ и се управлява автоматично от системата за управление на касата. Във всяка сметка се държат минимални наличности, съобразени със средния размер на ежедневните плащания, извършвани от нея. Вследствие на това общата наличност по тези сметки в края на деня остава постоянно малка (като цяло средно под 80 милиона евро, разпределени в над 21 сметки) и по този начин рискът, на който е изложена Комисията, е ограничен. Тези суми следва да се разглеждат с оглед на дневните цялостни парични наличности, които през 2017 г. варираха между 4 милиарда евро и 40 милиарда евро, и с оглед на общия размер на плащанията, извършени през 2017 г. от сметките на Комисията, който възлиза на над 134 милиарда евро.</w:t>
      </w:r>
      <w:r>
        <w:tab/>
      </w:r>
    </w:p>
    <w:p>
      <w:pPr>
        <w:pStyle w:val="DGTextstand-alone"/>
      </w:pPr>
      <w:r>
        <w:t>Освен това за подбора на търговски банки се прилагат специални насоки с цел допълнително минимизиране на риска на контрагента, на който е изложена Комисията:</w:t>
      </w:r>
    </w:p>
    <w:p>
      <w:pPr>
        <w:pStyle w:val="DGTextstand-alone"/>
        <w:numPr>
          <w:ilvl w:val="0"/>
          <w:numId w:val="35"/>
        </w:numPr>
      </w:pPr>
      <w:r>
        <w:t>Всички търговски банки се подбират чрез покана за участие в търг. Минималният краткосрочен кредитен рейтинг, който се изисква за допускане до тръжната процедура, е Moody's P-1 или негов еквивалент. При специални и надлежно обосновани обстоятелства може да бъде прието по-ниско равнище.</w:t>
      </w:r>
    </w:p>
    <w:p>
      <w:pPr>
        <w:pStyle w:val="DGTextstand-alone"/>
        <w:numPr>
          <w:ilvl w:val="0"/>
          <w:numId w:val="35"/>
        </w:numPr>
      </w:pPr>
      <w:r>
        <w:t xml:space="preserve">Кредитните рейтинги на търговските банки, в които Комисията има сметки, се следят ежедневно. </w:t>
      </w:r>
    </w:p>
    <w:p>
      <w:pPr>
        <w:pStyle w:val="DGTextstand-alone"/>
        <w:numPr>
          <w:ilvl w:val="0"/>
          <w:numId w:val="35"/>
        </w:numPr>
      </w:pPr>
      <w:r>
        <w:t>В делегациите извън ЕС сметките за авансови средства се държат в местни банки, подбрани чрез опростена тръжна процедура. Изискванията във връзка с рейтинга зависят от местната ситуация и могат да се различават значително между различните държави. За да се ограничи излагането на риск, наличностите по тези сметки са възможно най-малки (като се отчитат оперативните нужди). Сметките се захранват редовно, а прилаганите тавани се преразглеждат ежегодно.</w:t>
      </w:r>
    </w:p>
    <w:p>
      <w:pPr>
        <w:pStyle w:val="HEADER5"/>
        <w:rPr>
          <w:noProof/>
        </w:rPr>
      </w:pPr>
      <w:r>
        <w:rPr>
          <w:noProof/>
        </w:rPr>
        <w:t>Глоби</w:t>
      </w:r>
    </w:p>
    <w:p>
      <w:pPr>
        <w:pStyle w:val="Textstand-alone"/>
        <w:rPr>
          <w:i/>
        </w:rPr>
      </w:pPr>
      <w:r>
        <w:rPr>
          <w:i/>
        </w:rPr>
        <w:t>Условно платени глоби: депозити</w:t>
      </w:r>
    </w:p>
    <w:p>
      <w:pPr>
        <w:pStyle w:val="DGTextstand-alone"/>
      </w:pPr>
      <w:r>
        <w:t>Банките, които държат депозити за глобите, платени условно преди 2010 г., се подбират чрез тръжна процедура в съответствие с политиката за управление на риска, в която са определени изискванията по отношение на кредитния рейтинг и размерът на средствата, които могат да бъдат вложени, в зависимост от капитала на контрагента.</w:t>
      </w:r>
    </w:p>
    <w:p>
      <w:pPr>
        <w:pStyle w:val="DGTextstand-alone"/>
      </w:pPr>
      <w:r>
        <w:t>За търговските банки, избрани специално за депозиране на условно платени глоби, по правило се изискват минимален дългосрочен рейтинг А (S&amp;P или негов еквивалент) и минимален краткосрочен рейтинг А-1 (S&amp;P или негов еквивалент). Ако рейтингът на банките в тази група бъде понижен, се прилагат специални мерки. Освен това вложените във всяка банка средства са ограничени до определен процент от нейните собствени средства, който процент варира в зависимост от рейтинга на всяка институция. При изчисляването на тези граници се отчита и стойността на гаранциите с неизтекъл срок, предоставени на Комисията от същата институция. Редовно се проверява дали депозитите отговарят на приложимите изисквания на политиката.</w:t>
      </w:r>
    </w:p>
    <w:p>
      <w:pPr>
        <w:pStyle w:val="Textstand-alone"/>
        <w:rPr>
          <w:i/>
        </w:rPr>
      </w:pPr>
      <w:r>
        <w:rPr>
          <w:i/>
        </w:rPr>
        <w:t>Условно платени глоби: портфейл BUFI</w:t>
      </w:r>
    </w:p>
    <w:p>
      <w:pPr>
        <w:pStyle w:val="DGTextstand-alone"/>
      </w:pPr>
      <w:r>
        <w:t>Що се отнася до инвестициите в държавен дълг от условно платени глоби, наложени от 2010 г. насам, кредитният риск се носи от Комисията. Най-концентрираният риск е по отношение на Франция, която представлява 26 % от портфейла. Петте държави с най-висока експозиция (Франция, Италия, Испания, Германия и Белгия) представляват общо 72 % от инвестиционния портфейл. Среднопретегленият кредитен рейтинг на портфейла е А- (S&amp;P или негов еквивалент).</w:t>
      </w:r>
    </w:p>
    <w:p>
      <w:pPr>
        <w:pStyle w:val="Textstand-alone"/>
        <w:rPr>
          <w:i/>
        </w:rPr>
      </w:pPr>
      <w:r>
        <w:rPr>
          <w:i/>
        </w:rPr>
        <w:t>Финансови гаранции</w:t>
      </w:r>
    </w:p>
    <w:p>
      <w:pPr>
        <w:pStyle w:val="DGTextstand-alone"/>
      </w:pPr>
      <w:r>
        <w:t>Политиката за управление на риска, която се прилага за приемането на такива гаранции, гарантира високо качество на кредитите за Комисията. Редовно се проверява дали получените гаранции са в съответствие с приложимите изисквания на политиката.</w:t>
      </w:r>
    </w:p>
    <w:p>
      <w:pPr>
        <w:pStyle w:val="DGTextstand-alone"/>
      </w:pPr>
    </w:p>
    <w:p>
      <w:pPr>
        <w:pStyle w:val="HEADER5"/>
        <w:rPr>
          <w:noProof/>
        </w:rPr>
      </w:pPr>
      <w:r>
        <w:rPr>
          <w:noProof/>
        </w:rPr>
        <w:t>Гаранционен фонд за външни дейности</w:t>
      </w:r>
    </w:p>
    <w:p>
      <w:pPr>
        <w:pStyle w:val="DGTextstand-alone"/>
      </w:pPr>
      <w:r>
        <w:t>Договорените насоки за управлението на активите на портфейла на касата и/или инвестиционната стратегия за този портфейл определят някои лимити и ограничения, чиято цел е да се ограничи излагането на портфейла на кредитен риск. Тези лимити и ограничения включват критерии за допустимост, абсолютни кредитни лимити в номинално изражение в зависимост от категорията на емитента, лимити на относителната концентрация в зависимост от категорията на емитента и лимити на концентрацията за всяка емисия. Всички инвестиции се оценяват като имащи поне инвестиционен рейтинг.</w:t>
      </w:r>
    </w:p>
    <w:p>
      <w:pPr>
        <w:pStyle w:val="HEADER5"/>
        <w:rPr>
          <w:noProof/>
        </w:rPr>
      </w:pPr>
      <w:r>
        <w:rPr>
          <w:noProof/>
        </w:rPr>
        <w:t>Гаранционен фонд на ЕФСИ</w:t>
      </w:r>
    </w:p>
    <w:p>
      <w:pPr>
        <w:pStyle w:val="DGTextstand-alone"/>
      </w:pPr>
      <w:r>
        <w:t>В насоките за управлението на активите, в стратегията за риска и в инвестиционната стратегия се определят някои лимити и ограничения, за да се ограничи излагането на кредитен риск на портфейла, който по принцип е ограничен до инвестиционен рейтинг. Среднопретегленият кредитен рейтинг на портфейла е А- (S&amp;P или негов еквивалент).</w:t>
      </w:r>
    </w:p>
    <w:p>
      <w:pPr>
        <w:pStyle w:val="DGTextstand-alone"/>
        <w:spacing w:after="0"/>
      </w:pPr>
      <w:r>
        <w:t>Тъй като единственият контрагент за всички неприключени валутни форуърди към 31 декември 2017 г. е Банката за международни разплащания (БМР), от тази дата не са използвани кредитни подобрения, като например обезпечения, споразумения за нетиране или гаранции. Максималното излагане на кредитен риск за валутните деривативи, които имат положителна справедлива стойност към края на отчетния период, е равно на сумата, посочена в счетоводния баланс.</w:t>
      </w:r>
    </w:p>
    <w:p>
      <w:pPr>
        <w:rPr>
          <w:rFonts w:ascii="Verdana" w:eastAsia="Calibri" w:hAnsi="Verdana" w:cs="Times New Roman"/>
          <w:noProof/>
          <w:sz w:val="18"/>
          <w:szCs w:val="18"/>
          <w:bdr w:val="nil"/>
        </w:rPr>
      </w:pPr>
      <w:r>
        <w:rPr>
          <w:noProof/>
        </w:rPr>
        <w:br w:type="page"/>
      </w:r>
    </w:p>
    <w:bookmarkEnd w:id="185"/>
    <w:p>
      <w:pPr>
        <w:pStyle w:val="DGTextstand-alone"/>
        <w:spacing w:before="0" w:after="0"/>
        <w:sectPr>
          <w:headerReference w:type="even" r:id="rId352"/>
          <w:headerReference w:type="default" r:id="rId353"/>
          <w:footerReference w:type="even" r:id="rId354"/>
          <w:footerReference w:type="default" r:id="rId355"/>
          <w:headerReference w:type="first" r:id="rId356"/>
          <w:footerReference w:type="first" r:id="rId357"/>
          <w:type w:val="continuous"/>
          <w:pgSz w:w="11906" w:h="16838"/>
          <w:pgMar w:top="1134" w:right="1134" w:bottom="1134" w:left="1134" w:header="709" w:footer="709" w:gutter="0"/>
          <w:cols w:space="708"/>
          <w:docGrid w:linePitch="360"/>
        </w:sectPr>
      </w:pPr>
    </w:p>
    <w:p>
      <w:pPr>
        <w:pStyle w:val="HEADER2NOTES"/>
        <w:rPr>
          <w:noProof/>
        </w:rPr>
      </w:pPr>
      <w:bookmarkStart w:id="189" w:name="_DMBM_11315"/>
      <w:r>
        <w:rPr>
          <w:noProof/>
        </w:rPr>
        <w:t>ЛИКВИДЕН РИСК</w:t>
      </w:r>
    </w:p>
    <w:p>
      <w:pPr>
        <w:pStyle w:val="HEADER5"/>
        <w:rPr>
          <w:noProof/>
        </w:rPr>
      </w:pPr>
      <w:r>
        <w:rPr>
          <w:noProof/>
        </w:rPr>
        <w:t>Анализ на срока на финансовите пасиви по оставащия срок по договора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90" w:name="DOC_TBL00088_1_1"/>
            <w:bookmarkEnd w:id="190"/>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година</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години</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години</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Общо</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Получени заеми</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(6 700)</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(14 862)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(33 279)</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(54 841)</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Задължения</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Други</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(150)</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(665)</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(1 255)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(2 070)</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Общо към 31.12.2017 г.</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(45 898)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(15 527)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(34 534)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(95 959)</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Получени заеми</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(2 094)</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(18 084)</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(34 950)</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(55 128)</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Задължения</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Други</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(189)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(637)</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(1 397)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(2 222)</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Общо към 31.12.2016 г.</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(18 721)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(36 346)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(97 355)</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pPr>
    </w:p>
    <w:p>
      <w:pPr>
        <w:pStyle w:val="HEADER5"/>
        <w:rPr>
          <w:noProof/>
        </w:rPr>
      </w:pPr>
      <w:r>
        <w:rPr>
          <w:noProof/>
        </w:rPr>
        <w:t xml:space="preserve">Финансови пасиви по справедлива стойност чрез излишъка или дефицита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91" w:name="DOC_TBL00089_1_1"/>
            <w:bookmarkEnd w:id="191"/>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година</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години</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години</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Общо</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Деривативна операция за плащане</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(634)</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(635)</w:t>
            </w:r>
          </w:p>
        </w:tc>
      </w:tr>
      <w:tr>
        <w:tc>
          <w:tcPr>
            <w:tcW w:w="3794" w:type="dxa"/>
            <w:tcBorders>
              <w:top w:val="nil"/>
              <w:left w:val="nil"/>
              <w:bottom w:val="single" w:sz="4" w:space="0" w:color="FFFFFF"/>
              <w:right w:val="nil"/>
            </w:tcBorders>
            <w:tcMar>
              <w:top w:w="0" w:type="dxa"/>
              <w:left w:w="108" w:type="dxa"/>
              <w:bottom w:w="0" w:type="dxa"/>
              <w:right w:w="108" w:type="dxa"/>
            </w:tcMar>
          </w:tcPr>
          <w:p>
            <w:pPr>
              <w:pStyle w:val="Text9pNormalLeft"/>
              <w:rPr>
                <w:rFonts w:cs="Verdana"/>
                <w:i/>
              </w:rPr>
            </w:pPr>
            <w:r>
              <w:rPr>
                <w:i/>
              </w:rPr>
              <w:t>Деривативна операция за получаване</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Нетни парични потоци към 31.12.2017 г.</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Деривативна операция за плащане</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r>
      <w:t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Деривативна операция за получаване</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Нетни парични потоци към 31.12.2016 г.</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pPr>
    </w:p>
    <w:p>
      <w:pPr>
        <w:pStyle w:val="HEADER5"/>
        <w:rPr>
          <w:noProof/>
        </w:rPr>
      </w:pPr>
      <w:r>
        <w:rPr>
          <w:noProof/>
        </w:rPr>
        <w:t>Дейности по получаване и отпускане на заеми за финансова помощ</w:t>
      </w:r>
    </w:p>
    <w:p>
      <w:pPr>
        <w:pStyle w:val="DGTextstand-alone"/>
        <w:rPr>
          <w:spacing w:val="2"/>
        </w:rPr>
      </w:pPr>
      <w:r>
        <w:rPr>
          <w:spacing w:val="2"/>
        </w:rPr>
        <w:t>Ликвидният риск, възникващ от получените заеми, обикновено се компенсира от заеми, отпуснати при еквивалентни срокове и условия (операции „бек-ту-бек“). По отношение на МФП и Евратом Гаранционният фонд за външни дейности служи за резерв за ликвидност (или „спасителна мрежа“) в случай на неизпълнение на задължение за плащане и на просрочени плащания на заемополучатели. За ПБ в Регламент № 431/2009 на Съвета е предвидена процедура, предоставяща достатъчно време за мобилизиране на средства чрез сметките за собствените ресурси на Комисията в държавите членки. За ЕМФС в Регламент № 407/2010 на Съвета е предвидена сходна процедура.</w:t>
      </w:r>
    </w:p>
    <w:p>
      <w:pPr>
        <w:pStyle w:val="HEADER5"/>
        <w:rPr>
          <w:noProof/>
        </w:rPr>
      </w:pPr>
      <w:r>
        <w:rPr>
          <w:noProof/>
        </w:rPr>
        <w:t>Каса</w:t>
      </w:r>
    </w:p>
    <w:p>
      <w:pPr>
        <w:pStyle w:val="DGTextstand-alone"/>
        <w:rPr>
          <w:spacing w:val="4"/>
        </w:rPr>
      </w:pPr>
      <w:r>
        <w:rPr>
          <w:spacing w:val="4"/>
        </w:rPr>
        <w:t xml:space="preserve">Принципите на бюджета на ЕС гарантират, че общите парични наличности за дадена година са винаги достатъчни за извършването на всички плащания. Всъщност общият размер на вноските на държавите членки е равен на размера на бюджетните кредити за плащания за бюджетната година. Вноските на държавите членки обаче се получават под формата на дванадесет месечни вноски през цялата година, докато плащанията се характеризират с известна сезонност. Освен това, в съответствие с Регламент № 609/2014 на Съвета (относно методите и процедурата за предоставяне на собствените ресурси, изменен с Регламент 2016/804 на Съвета), вноските на държавите членки във връзка с (коригиращите) бюджети, одобрени след 16–то число на даден месец (N), стават налични едва през месец N+2, докато свързаните с тях бюджетни кредити за плащания са налични незабавно. За да се гарантира, че наличните касови ресурси винаги са достатъчни за покриване на плащанията, които трябва да бъдат извършени през даден месец, са въведени процедури за редовно прогнозиране на паричните средства, и ако е необходимо, от държавите членки могат да бъдат изискани предварително собствени ресурси или допълнителни средства в определени граници и при определени условия. Сезонността на разходите и общите бюджетни ограничения през последните години доведоха до необходимостта от по-силен мониторинг на ритъма на плащанията в хода на годината. Освен това в контекста на ежедневните касови операции на Комисията автоматизирани инструменти за управление на паричните средства ежедневно гарантират, че във всяка от банковите сметки на Комисията има достатъчни парични наличности. </w:t>
      </w:r>
    </w:p>
    <w:p>
      <w:pPr>
        <w:pStyle w:val="HEADER5"/>
        <w:rPr>
          <w:noProof/>
        </w:rPr>
      </w:pPr>
      <w:r>
        <w:rPr>
          <w:noProof/>
        </w:rPr>
        <w:t>Глоби</w:t>
      </w:r>
    </w:p>
    <w:p>
      <w:pPr>
        <w:pStyle w:val="DGTextstand-alone"/>
        <w:rPr>
          <w:i/>
        </w:rPr>
      </w:pPr>
      <w:r>
        <w:rPr>
          <w:i/>
        </w:rPr>
        <w:t>Условно платени глоби: портфейл BUFI</w:t>
      </w:r>
    </w:p>
    <w:p>
      <w:pPr>
        <w:pStyle w:val="DGTextstand-alone"/>
      </w:pPr>
      <w:r>
        <w:t>Фондът се управлява съгласно принципа, че активите трябва да имат достатъчна степен на ликвидност и на мобилизация във връзка със съответните задължения. Портфейлът е съставен предимно от високоликвидни ценни книжа, които могат да бъдат продадени с цел финансиране на неочаквани изходящи парични потоци. Освен това делът на депозитите, на ценните книжа, чийто падеж настъпва в срок от 1 година, и на облигациите с плаващ лихвен процент е 38 %.</w:t>
      </w:r>
    </w:p>
    <w:p>
      <w:pPr>
        <w:pStyle w:val="HEADER5"/>
        <w:rPr>
          <w:noProof/>
        </w:rPr>
      </w:pPr>
      <w:r>
        <w:rPr>
          <w:noProof/>
        </w:rPr>
        <w:t>Гаранционен фонд за външни дейности</w:t>
      </w:r>
    </w:p>
    <w:p>
      <w:pPr>
        <w:pStyle w:val="DGTextstand-alone"/>
      </w:pPr>
      <w:r>
        <w:t>Фондът се управлява съгласно принципа, че активите трябва да имат достатъчна степен на ликвидност и на мобилизация във връзка със съответните задължения. Фондът трябва да поддържа поне 100 милиона евро в краткосрочен портфейл (със срок под дванадесет месеца), които трябва да бъдат инвестирани в парични инструменти. Към 31 декември 2017 г. тези инвестиции, които включват и пари в брой, възлизаха на 244 милиона евро. Освен това поне 20 % от номиналната стойност на Фонда трябва да се състои от парични инструменти, облигации с фиксиран лихвен процент с оставащ срок от не повече от една година и облигации с плаващ лихвен процент. Към 31 декември 2017 г. това съотношение бе 23 %.</w:t>
      </w:r>
    </w:p>
    <w:p>
      <w:pPr>
        <w:pStyle w:val="HEADER5"/>
        <w:rPr>
          <w:noProof/>
        </w:rPr>
      </w:pPr>
      <w:r>
        <w:rPr>
          <w:noProof/>
        </w:rPr>
        <w:t>Гаранционен фонд на ЕФСИ</w:t>
      </w:r>
    </w:p>
    <w:p>
      <w:pPr>
        <w:pStyle w:val="DGTextstand-alone"/>
      </w:pPr>
      <w:r>
        <w:t xml:space="preserve">Гаранционният фонд се управлява съгласно принципа, че активите трябва да имат достатъчна степен на ликвидност и на мобилизация във връзка със съответните задължения. Портфейлът е съставен от високоликвидни активи, които могат да бъдат продадени с цел посрещане на неочаквани изходящи парични потоци, включително най-ликвидните ценни книжа в щатски долари (държавни облигации на САЩ), които към отчетната дата представляваха 16 % от общия инвестиционен портфейл. </w:t>
      </w:r>
    </w:p>
    <w:p>
      <w:pPr>
        <w:pStyle w:val="DGTextstand-alone"/>
      </w:pPr>
      <w:r>
        <w:t>Сетълментът на деривативните договори е брутен и се базира на техния предвиден в договора срок. Задълженията се изпълняват чрез продажбата на активи в щатски долари и/или суапова сделка, при които е възможно да възникне изходящ паричен поток вследствие на валутни разлики.</w:t>
      </w:r>
    </w:p>
    <w:p>
      <w:pPr>
        <w:pStyle w:val="DGTextstand-alone"/>
      </w:pPr>
      <w:r>
        <w:t>Не е необходимо управление на ликвидността във връзка с изискванията за обезпечение/марж, тъй като настоящият хеджиращ контрагент приема да работи с Комисията без никакви изисквания по отношение на плащанията по линия на обезпеченията/маржа).</w:t>
      </w:r>
    </w:p>
    <w:p>
      <w:pPr>
        <w:pStyle w:val="HEADER5"/>
        <w:rPr>
          <w:noProof/>
        </w:rPr>
      </w:pPr>
      <w:r>
        <w:rPr>
          <w:noProof/>
        </w:rPr>
        <w:t>Други финансови инструменти — валутна опция</w:t>
      </w:r>
    </w:p>
    <w:p>
      <w:pPr>
        <w:pStyle w:val="DGTextstand-alone"/>
      </w:pPr>
      <w:r>
        <w:t xml:space="preserve">През 2017 г. ЕС сключи деривативен договор (валутна опция), покриващ обезценката на чуждестранна валута, свързана със заеми, отпуснати от финансови институции (вж. бележка </w:t>
      </w:r>
      <w:r>
        <w:rPr>
          <w:b/>
        </w:rPr>
        <w:t>2.11.2</w:t>
      </w:r>
      <w:r>
        <w:t>). Що се отнася до другите финансови инструменти, финансирани от бюджета на ЕС, сумата, за която ЕС носи отговорност по тази опция, не може да надхвърля сумата, за която е поето задължение — така се намалява ликвидният риск.</w:t>
      </w:r>
    </w:p>
    <w:p>
      <w:pPr>
        <w:pStyle w:val="DGTextstand-alone"/>
        <w:sectPr>
          <w:headerReference w:type="even" r:id="rId358"/>
          <w:headerReference w:type="default" r:id="rId359"/>
          <w:footerReference w:type="even" r:id="rId360"/>
          <w:footerReference w:type="default" r:id="rId361"/>
          <w:headerReference w:type="first" r:id="rId362"/>
          <w:footerReference w:type="first" r:id="rId363"/>
          <w:type w:val="continuous"/>
          <w:pgSz w:w="11906" w:h="16838"/>
          <w:pgMar w:top="1134" w:right="1134" w:bottom="1134" w:left="1134" w:header="709" w:footer="709" w:gutter="0"/>
          <w:cols w:space="708"/>
          <w:docGrid w:linePitch="360"/>
        </w:sectPr>
      </w:pPr>
      <w:r>
        <w:t xml:space="preserve"> </w:t>
      </w:r>
      <w:bookmarkEnd w:id="189"/>
    </w:p>
    <w:p>
      <w:pPr>
        <w:pStyle w:val="HEADER1NOTES"/>
        <w:rPr>
          <w:noProof/>
        </w:rPr>
      </w:pPr>
      <w:bookmarkStart w:id="192" w:name="_Toc517433960"/>
      <w:bookmarkStart w:id="193" w:name="_Toc522890243"/>
      <w:bookmarkStart w:id="194" w:name="_DMBM_11335"/>
      <w:r>
        <w:rPr>
          <w:noProof/>
        </w:rPr>
        <w:t>ОПОВЕСТЯВАНЕ НА СВЪРЗАНИ ЛИЦА</w:t>
      </w:r>
      <w:bookmarkEnd w:id="192"/>
      <w:bookmarkEnd w:id="193"/>
    </w:p>
    <w:p>
      <w:pPr>
        <w:pStyle w:val="HEADER2NOTES"/>
        <w:rPr>
          <w:noProof/>
        </w:rPr>
      </w:pPr>
      <w:r>
        <w:rPr>
          <w:noProof/>
        </w:rPr>
        <w:t>СВЪРЗАНИ ЛИЦА</w:t>
      </w:r>
    </w:p>
    <w:p>
      <w:pPr>
        <w:pStyle w:val="DGTextstand-alone"/>
      </w:pPr>
      <w:r>
        <w:t>Свързаните лица на ЕС са консолидираните субекти на ЕС, асоциираните предприятия и ключовият управленски персонал на тези субекти. Операциите между тези субекти се осъществяват като част от обичайните операции на ЕС и тъй като случаят е такъв, не са необходими специални изисквания от гледна точка на оповестяването за тези операции в съответствие със счетоводните правила на ЕС.</w:t>
      </w:r>
    </w:p>
    <w:p>
      <w:pPr>
        <w:pStyle w:val="HEADER2NOTES"/>
        <w:rPr>
          <w:noProof/>
        </w:rPr>
      </w:pPr>
      <w:r>
        <w:rPr>
          <w:noProof/>
        </w:rPr>
        <w:t>ФИНАНСОВИ ПРАВА НА СЛУЖИТЕЛИТЕ НА КЛЮЧОВА РЪКОВОДНА ДЛЪЖНОСТ</w:t>
      </w:r>
    </w:p>
    <w:p>
      <w:pPr>
        <w:pStyle w:val="DGTextstand-alone"/>
      </w:pPr>
      <w:r>
        <w:t>За целите на представянето на информация за операциите на свързани лица във връзка с ключовото ръководство на ЕС, тук тези лица са показани в пет категории:</w:t>
      </w:r>
    </w:p>
    <w:p>
      <w:pPr>
        <w:pStyle w:val="Textstand-alone"/>
      </w:pPr>
      <w:r>
        <w:rPr>
          <w:color w:val="016794"/>
        </w:rPr>
        <w:t>Категория 1:</w:t>
      </w:r>
      <w:r>
        <w:t xml:space="preserve"> </w:t>
      </w:r>
      <w:r>
        <w:rPr>
          <w:rStyle w:val="DGTextstand-aloneChar"/>
        </w:rPr>
        <w:t>председателите на Европейския съвет, на Комисията и на Съда на Европейския съюз</w:t>
      </w:r>
    </w:p>
    <w:p>
      <w:pPr>
        <w:pStyle w:val="Textstand-alone"/>
      </w:pPr>
      <w:r>
        <w:rPr>
          <w:color w:val="016794"/>
        </w:rPr>
        <w:t>Категория 2:</w:t>
      </w:r>
      <w:r>
        <w:rPr>
          <w:rStyle w:val="DGTextstand-aloneChar"/>
        </w:rPr>
        <w:t xml:space="preserve"> заместник-председателят на Комисията и върховен представител на ЕС по въпросите на външните работи и политиката на сигурност и другите заместник-председатели на Комисията</w:t>
      </w:r>
    </w:p>
    <w:p>
      <w:pPr>
        <w:pStyle w:val="Textstand-alone"/>
      </w:pPr>
      <w:r>
        <w:rPr>
          <w:color w:val="016794"/>
        </w:rPr>
        <w:t>Категория 3:</w:t>
      </w:r>
      <w:r>
        <w:t xml:space="preserve"> </w:t>
      </w:r>
      <w:r>
        <w:rPr>
          <w:rStyle w:val="DGTextstand-aloneChar"/>
        </w:rPr>
        <w:t>генералният секретар на Съвета, членовете на Комисията, съдиите и генералните адвокати на Съда на Европейския съюз, председателят и членовете на Общия съд, председателят и членовете на Съда на публичната служба на Европейския съюз, Омбудсманът и Европейският надзорен орган по защита на данните</w:t>
      </w:r>
    </w:p>
    <w:p>
      <w:pPr>
        <w:pStyle w:val="DGTextstand-alone"/>
      </w:pPr>
      <w:r>
        <w:rPr>
          <w:color w:val="016794"/>
        </w:rPr>
        <w:t>Категория 4:</w:t>
      </w:r>
      <w:r>
        <w:t xml:space="preserve"> председателят и членовете на Европейската сметна палата</w:t>
      </w:r>
    </w:p>
    <w:p>
      <w:pPr>
        <w:pStyle w:val="DGTextstand-alone"/>
      </w:pPr>
      <w:r>
        <w:rPr>
          <w:color w:val="016794"/>
        </w:rPr>
        <w:t>Категория 5:</w:t>
      </w:r>
      <w:r>
        <w:t xml:space="preserve"> най-висшестоящите служители в институциите и агенциите</w:t>
      </w:r>
    </w:p>
    <w:p>
      <w:pPr>
        <w:pStyle w:val="DGTextstand-alone"/>
      </w:pPr>
      <w:r>
        <w:t>Техните финансови права са обобщени по-долу, а допълнителна информация може да бъде намерена в Правилника за персонала, публикуван на уебсайта Europa и представляващ официалният документ, в който са описани правата и задълженията на всички служители на ЕС. Служителите на ключова ръководна длъжност не са получавали никакви заеми при преференциални условия от ЕС.</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ФИНАНСОВИ ПРАВА НА СЛУЖИТЕЛИТЕ НА КЛЮЧОВА РЪКОВОДНА ДЛЪЖНОСТ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576"/>
        <w:gridCol w:w="1576"/>
        <w:gridCol w:w="1576"/>
        <w:gridCol w:w="1576"/>
        <w:gridCol w:w="1576"/>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5" w:name="DOC_TBL00090_1_1"/>
            <w:bookmarkEnd w:id="195"/>
          </w:p>
        </w:tc>
        <w:tc>
          <w:tcPr>
            <w:tcW w:w="127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283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евро</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rPr>
            </w:pPr>
            <w:r>
              <w:rPr>
                <w:noProof/>
              </w:rPr>
              <w:t>Финансово право (на служител)</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Категория 1</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Категория 2</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Категория 3</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Категория 4</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Категория 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Основна заплата (на месец)</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27 436</w:t>
            </w:r>
            <w:r>
              <w:rPr>
                <w:lang w:val="en-GB"/>
              </w:rPr>
              <w:t>,</w:t>
            </w:r>
            <w:r>
              <w:t>90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24 852</w:t>
            </w:r>
            <w:r>
              <w:rPr>
                <w:lang w:val="en-GB"/>
              </w:rPr>
              <w:t>,</w:t>
            </w:r>
            <w:r>
              <w:t>26 -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w:t>
            </w:r>
            <w:r>
              <w:rPr>
                <w:lang w:val="en-GB"/>
              </w:rPr>
              <w:t>,</w:t>
            </w:r>
            <w:r>
              <w:t>81 -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21 472</w:t>
            </w:r>
            <w:r>
              <w:rPr>
                <w:lang w:val="en-GB"/>
              </w:rPr>
              <w:t>,</w:t>
            </w:r>
            <w:r>
              <w:t>36 -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12 641</w:t>
            </w:r>
            <w:r>
              <w:rPr>
                <w:lang w:val="en-GB"/>
              </w:rPr>
              <w:t>,</w:t>
            </w:r>
            <w:r>
              <w:t>93 -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25 846</w:t>
            </w:r>
            <w:r>
              <w:rPr>
                <w:lang w:val="en-GB"/>
              </w:rPr>
              <w:t>,</w:t>
            </w:r>
            <w:r>
              <w:t>36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22 367</w:t>
            </w:r>
            <w:r>
              <w:rPr>
                <w:lang w:val="en-GB"/>
              </w:rPr>
              <w:t>,</w:t>
            </w:r>
            <w:r>
              <w:t>04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22 864</w:t>
            </w:r>
            <w:r>
              <w:rPr>
                <w:lang w:val="en-GB"/>
              </w:rPr>
              <w:t>,</w:t>
            </w:r>
            <w:r>
              <w:t>09</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w:t>
            </w:r>
            <w:r>
              <w:rPr>
                <w:lang w:val="en-GB"/>
              </w:rPr>
              <w:t>,</w:t>
            </w:r>
            <w:r>
              <w:t>81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Квартирна надбавка/Надбавка за експатриране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0-4 %-16 %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Семейни надбавки:</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Домакинство (% от заплатата)</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w:t>
            </w:r>
            <w:r>
              <w:rPr>
                <w:lang w:val="en-GB"/>
              </w:rPr>
              <w:t> </w:t>
            </w:r>
            <w:r>
              <w:t>% + 184</w:t>
            </w:r>
            <w:r>
              <w:rPr>
                <w:lang w:val="en-GB"/>
              </w:rPr>
              <w:t>,</w:t>
            </w:r>
            <w:r>
              <w:t>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w:t>
            </w:r>
            <w:r>
              <w:rPr>
                <w:lang w:val="en-GB"/>
              </w:rPr>
              <w:t> </w:t>
            </w:r>
            <w:r>
              <w:t>% + 184</w:t>
            </w:r>
            <w:r>
              <w:rPr>
                <w:lang w:val="en-GB"/>
              </w:rPr>
              <w:t>,</w:t>
            </w:r>
            <w:r>
              <w:t>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w:t>
            </w:r>
            <w:r>
              <w:rPr>
                <w:lang w:val="en-GB"/>
              </w:rPr>
              <w:t> </w:t>
            </w:r>
            <w:r>
              <w:t>% + 184</w:t>
            </w:r>
            <w:r>
              <w:rPr>
                <w:lang w:val="en-GB"/>
              </w:rPr>
              <w:t>,</w:t>
            </w:r>
            <w:r>
              <w:t>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w:t>
            </w:r>
            <w:r>
              <w:rPr>
                <w:lang w:val="en-GB"/>
              </w:rPr>
              <w:t> </w:t>
            </w:r>
            <w:r>
              <w:t>% + 184</w:t>
            </w:r>
            <w:r>
              <w:rPr>
                <w:lang w:val="en-GB"/>
              </w:rPr>
              <w:t>,</w:t>
            </w:r>
            <w:r>
              <w:t>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w:t>
            </w:r>
            <w:r>
              <w:rPr>
                <w:lang w:val="en-GB"/>
              </w:rPr>
              <w:t> </w:t>
            </w:r>
            <w:r>
              <w:t>% + 184</w:t>
            </w:r>
            <w:r>
              <w:rPr>
                <w:lang w:val="en-GB"/>
              </w:rPr>
              <w:t>,</w:t>
            </w:r>
            <w:r>
              <w:t>55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Дете на издръжка</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w:t>
            </w:r>
            <w:r>
              <w:rPr>
                <w:lang w:val="en-GB"/>
              </w:rPr>
              <w:t>,</w:t>
            </w:r>
            <w:r>
              <w:t>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w:t>
            </w:r>
            <w:r>
              <w:rPr>
                <w:lang w:val="en-GB"/>
              </w:rPr>
              <w:t>,</w:t>
            </w:r>
            <w:r>
              <w:t>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w:t>
            </w:r>
            <w:r>
              <w:rPr>
                <w:lang w:val="en-GB"/>
              </w:rPr>
              <w:t>,</w:t>
            </w:r>
            <w:r>
              <w:t>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w:t>
            </w:r>
            <w:r>
              <w:rPr>
                <w:lang w:val="en-GB"/>
              </w:rPr>
              <w:t>,</w:t>
            </w:r>
            <w:r>
              <w:t>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w:t>
            </w:r>
            <w:r>
              <w:rPr>
                <w:lang w:val="en-GB"/>
              </w:rPr>
              <w:t>,</w:t>
            </w:r>
            <w:r>
              <w:t>25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Предучилищно образование</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w:t>
            </w:r>
            <w:r>
              <w:rPr>
                <w:lang w:val="en-GB"/>
              </w:rPr>
              <w:t>,</w:t>
            </w:r>
            <w:r>
              <w:t>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w:t>
            </w:r>
            <w:r>
              <w:rPr>
                <w:lang w:val="en-GB"/>
              </w:rPr>
              <w:t>,</w:t>
            </w:r>
            <w:r>
              <w:t>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w:t>
            </w:r>
            <w:r>
              <w:rPr>
                <w:lang w:val="en-GB"/>
              </w:rPr>
              <w:t>,</w:t>
            </w:r>
            <w:r>
              <w:t>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w:t>
            </w:r>
            <w:r>
              <w:rPr>
                <w:lang w:val="en-GB"/>
              </w:rPr>
              <w:t>,</w:t>
            </w:r>
            <w:r>
              <w:t>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w:t>
            </w:r>
            <w:r>
              <w:rPr>
                <w:lang w:val="en-GB"/>
              </w:rPr>
              <w:t>,</w:t>
            </w:r>
            <w:r>
              <w:t>51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Образование или</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w:t>
            </w:r>
            <w:r>
              <w:rPr>
                <w:lang w:val="en-GB"/>
              </w:rPr>
              <w:t>,</w:t>
            </w:r>
            <w:r>
              <w:t>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w:t>
            </w:r>
            <w:r>
              <w:rPr>
                <w:lang w:val="en-GB"/>
              </w:rPr>
              <w:t>,</w:t>
            </w:r>
            <w:r>
              <w:t>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w:t>
            </w:r>
            <w:r>
              <w:rPr>
                <w:lang w:val="en-GB"/>
              </w:rPr>
              <w:t>,</w:t>
            </w:r>
            <w:r>
              <w:t>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w:t>
            </w:r>
            <w:r>
              <w:rPr>
                <w:lang w:val="en-GB"/>
              </w:rPr>
              <w:t>,</w:t>
            </w:r>
            <w:r>
              <w:t>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w:t>
            </w:r>
            <w:r>
              <w:rPr>
                <w:lang w:val="en-GB"/>
              </w:rPr>
              <w:t>,</w:t>
            </w:r>
            <w:r>
              <w:t>6</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образование извън мястото на работа</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w:t>
            </w:r>
            <w:r>
              <w:rPr>
                <w:lang w:val="en-GB"/>
              </w:rPr>
              <w:t>,</w:t>
            </w:r>
            <w:r>
              <w:t>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w:t>
            </w:r>
            <w:r>
              <w:rPr>
                <w:lang w:val="en-GB"/>
              </w:rPr>
              <w:t>,</w:t>
            </w:r>
            <w:r>
              <w:t>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w:t>
            </w:r>
            <w:r>
              <w:rPr>
                <w:lang w:val="en-GB"/>
              </w:rPr>
              <w:t>,</w:t>
            </w:r>
            <w:r>
              <w:t>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w:t>
            </w:r>
            <w:r>
              <w:rPr>
                <w:lang w:val="en-GB"/>
              </w:rPr>
              <w:t>,</w:t>
            </w:r>
            <w:r>
              <w:t>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w:t>
            </w:r>
            <w:r>
              <w:rPr>
                <w:lang w:val="en-GB"/>
              </w:rPr>
              <w:t>,</w:t>
            </w:r>
            <w:r>
              <w:t>2</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Надбавка за председателстващи съдии</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Надбавка за представителство</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1 486</w:t>
            </w:r>
            <w:r>
              <w:rPr>
                <w:lang w:val="en-GB"/>
              </w:rPr>
              <w:t>,</w:t>
            </w:r>
            <w:r>
              <w:t>84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955</w:t>
            </w:r>
            <w:r>
              <w:rPr>
                <w:lang w:val="en-GB"/>
              </w:rPr>
              <w:t>,</w:t>
            </w:r>
            <w:r>
              <w:t>58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Годишни пътни разноски</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Трансфери към държава членка:</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Надбавка за образование*</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Да</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Да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Да</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Да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Да</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от заплатата*</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от заплатата без кк</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Макс.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Макс.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Макс.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Макс.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Макс. 25 %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Представителни разходи</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Възстановяват се</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Възстановяват се</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Възстановяват се</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При встъпване в длъжност:</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Разходи за настаняване</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54 873</w:t>
            </w:r>
            <w:r>
              <w:rPr>
                <w:lang w:val="en-GB"/>
              </w:rPr>
              <w:t>,</w:t>
            </w:r>
            <w:r>
              <w:t>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48 969</w:t>
            </w:r>
            <w:r>
              <w:rPr>
                <w:lang w:val="en-GB"/>
              </w:rPr>
              <w:t>,</w:t>
            </w:r>
            <w:r>
              <w:t>98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39 763</w:t>
            </w:r>
            <w:r>
              <w:rPr>
                <w:lang w:val="en-GB"/>
              </w:rPr>
              <w:t>,</w:t>
            </w:r>
            <w:r>
              <w:t>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42 944</w:t>
            </w:r>
            <w:r>
              <w:rPr>
                <w:lang w:val="en-GB"/>
              </w:rPr>
              <w:t>,</w:t>
            </w:r>
            <w:r>
              <w:t>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- 50 928</w:t>
            </w:r>
            <w:r>
              <w:rPr>
                <w:lang w:val="en-GB"/>
              </w:rPr>
              <w:t>,</w:t>
            </w:r>
            <w:r>
              <w:t>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- 44 734</w:t>
            </w:r>
            <w:r>
              <w:rPr>
                <w:lang w:val="en-GB"/>
              </w:rPr>
              <w:t>,</w:t>
            </w:r>
            <w:r>
              <w:t>07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- 45 728</w:t>
            </w:r>
            <w:r>
              <w:rPr>
                <w:lang w:val="en-GB"/>
              </w:rPr>
              <w:t>,</w:t>
            </w:r>
            <w:r>
              <w:t>19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Семейни пътни разноски</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Разходи за преместване</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При напускане на длъжността:</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Разходи за пренастаняване</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27 436</w:t>
            </w:r>
            <w:r>
              <w:rPr>
                <w:lang w:val="en-GB"/>
              </w:rPr>
              <w:t>,</w:t>
            </w:r>
            <w:r>
              <w:t>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24 852</w:t>
            </w:r>
            <w:r>
              <w:rPr>
                <w:lang w:val="en-GB"/>
              </w:rPr>
              <w:t>,</w:t>
            </w:r>
            <w:r>
              <w:t>26 -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19 881</w:t>
            </w:r>
            <w:r>
              <w:rPr>
                <w:lang w:val="en-GB"/>
              </w:rPr>
              <w:t>,</w:t>
            </w:r>
            <w:r>
              <w:t>81 -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21 472</w:t>
            </w:r>
            <w:r>
              <w:rPr>
                <w:lang w:val="en-GB"/>
              </w:rPr>
              <w:t>,</w:t>
            </w:r>
            <w:r>
              <w:t>36 -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25 846</w:t>
            </w:r>
            <w:r>
              <w:rPr>
                <w:lang w:val="en-GB"/>
              </w:rPr>
              <w:t>,</w:t>
            </w:r>
            <w:r>
              <w:t>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22 367</w:t>
            </w:r>
            <w:r>
              <w:rPr>
                <w:lang w:val="en-GB"/>
              </w:rPr>
              <w:t>,</w:t>
            </w:r>
            <w:r>
              <w:t>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22 864</w:t>
            </w:r>
            <w:r>
              <w:rPr>
                <w:lang w:val="en-GB"/>
              </w:rPr>
              <w:t>,</w:t>
            </w:r>
            <w:r>
              <w:t>09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Семейни пътни разноски</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Разходи за преместване</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Възстановяват се</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Преход (% от заплатата)**</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Здравно осигуряване</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Покриват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Покриват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Покриват се</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Покриват се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Покриват се</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Пенсия (% от заплатата, преди облагане с данък)</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Макс.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Макс.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Макс.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Макс.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Макс. 70 %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Удръжки:</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Данък върху заплатата</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Здравно осигуряване (% от заплатата)</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Специален налог върху заплатата</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6-7 %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Удръжка за пенсия</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Брой лица към края на годината</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93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112</w:t>
            </w:r>
          </w:p>
        </w:tc>
      </w:tr>
    </w:tbl>
    <w:p>
      <w:pPr>
        <w:pStyle w:val="Textstand-alone"/>
        <w:spacing w:before="60" w:after="0"/>
        <w:rPr>
          <w:i/>
          <w:sz w:val="14"/>
        </w:rPr>
      </w:pPr>
      <w:r>
        <w:rPr>
          <w:i/>
          <w:sz w:val="14"/>
        </w:rPr>
        <w:t>* С приложен корекционен коефициент (кк).</w:t>
      </w:r>
    </w:p>
    <w:p>
      <w:pPr>
        <w:pStyle w:val="Textstand-alone"/>
        <w:spacing w:before="60" w:after="0"/>
        <w:rPr>
          <w:i/>
          <w:sz w:val="14"/>
        </w:rPr>
      </w:pPr>
      <w:r>
        <w:rPr>
          <w:i/>
          <w:sz w:val="14"/>
        </w:rPr>
        <w:t>** Изплащат се в продължение на първите 3 години след напускане.</w:t>
      </w:r>
    </w:p>
    <w:p>
      <w:pPr>
        <w:pStyle w:val="DGTextstand-alone"/>
        <w:sectPr>
          <w:headerReference w:type="even" r:id="rId364"/>
          <w:headerReference w:type="default" r:id="rId365"/>
          <w:footerReference w:type="even" r:id="rId366"/>
          <w:footerReference w:type="default" r:id="rId367"/>
          <w:headerReference w:type="first" r:id="rId368"/>
          <w:footerReference w:type="first" r:id="rId369"/>
          <w:pgSz w:w="11906" w:h="16838"/>
          <w:pgMar w:top="1134" w:right="1134" w:bottom="1134" w:left="1134" w:header="709" w:footer="709" w:gutter="0"/>
          <w:cols w:space="708"/>
          <w:docGrid w:linePitch="360"/>
        </w:sectPr>
      </w:pPr>
      <w:r>
        <w:t xml:space="preserve"> </w:t>
      </w:r>
      <w:bookmarkEnd w:id="194"/>
    </w:p>
    <w:p>
      <w:pPr>
        <w:pStyle w:val="HEADER1NOTES"/>
        <w:rPr>
          <w:rFonts w:eastAsia="Calibri"/>
          <w:noProof/>
        </w:rPr>
      </w:pPr>
      <w:bookmarkStart w:id="196" w:name="_Toc517433961"/>
      <w:bookmarkStart w:id="197" w:name="_Toc522890244"/>
      <w:bookmarkStart w:id="198" w:name="_DMBM_11258"/>
      <w:r>
        <w:rPr>
          <w:noProof/>
        </w:rPr>
        <w:t>СЪБИТИЯ СЛЕД ДАТАТА НА СЧЕТОВОДНИЯ БАЛАНС</w:t>
      </w:r>
      <w:bookmarkEnd w:id="196"/>
      <w:bookmarkEnd w:id="197"/>
    </w:p>
    <w:p>
      <w:pPr>
        <w:pStyle w:val="DGTextstand-alone"/>
      </w:pPr>
      <w:r>
        <w:t xml:space="preserve">Към датата на подписване на настоящите отчети счетоводителят на Комисията не беше забелязал и не му бяха съобщени съществени въпроси, които да се нуждаят от отделно оповестяване в този раздел. Както е обяснено в бележка </w:t>
      </w:r>
      <w:r>
        <w:rPr>
          <w:b/>
        </w:rPr>
        <w:t>4.1.1</w:t>
      </w:r>
      <w:r>
        <w:t>, Споразумението за ЕФСИ бе изменено през март 2018 г. съгласно изменения Регламент (ЕС) 2017/2396.</w:t>
      </w:r>
    </w:p>
    <w:p>
      <w:pPr>
        <w:pStyle w:val="DGTextstand-alone"/>
      </w:pPr>
      <w:r>
        <w:t>Отчетите и свързаните с тях бележки бяха изготвени с помощта на последната налична информация и това е отразено в представената информация.</w:t>
      </w:r>
    </w:p>
    <w:p>
      <w:pPr>
        <w:pStyle w:val="DGTextstand-alone"/>
        <w:sectPr>
          <w:headerReference w:type="even" r:id="rId370"/>
          <w:headerReference w:type="default" r:id="rId371"/>
          <w:footerReference w:type="even" r:id="rId372"/>
          <w:footerReference w:type="default" r:id="rId373"/>
          <w:headerReference w:type="first" r:id="rId374"/>
          <w:footerReference w:type="first" r:id="rId375"/>
          <w:pgSz w:w="11906" w:h="16838"/>
          <w:pgMar w:top="1134" w:right="1134" w:bottom="1134" w:left="1134" w:header="709" w:footer="709" w:gutter="0"/>
          <w:cols w:space="708"/>
          <w:docGrid w:linePitch="360"/>
        </w:sectPr>
      </w:pPr>
      <w:r>
        <w:t xml:space="preserve"> </w:t>
      </w:r>
      <w:bookmarkEnd w:id="198"/>
    </w:p>
    <w:p>
      <w:pPr>
        <w:pStyle w:val="HEADER1NOTES"/>
        <w:spacing w:after="120"/>
        <w:rPr>
          <w:noProof/>
        </w:rPr>
      </w:pPr>
      <w:bookmarkStart w:id="199" w:name="_Toc517433962"/>
      <w:bookmarkStart w:id="200" w:name="_Toc522890245"/>
      <w:bookmarkStart w:id="201" w:name="_DMBM_11296"/>
      <w:r>
        <w:rPr>
          <w:noProof/>
        </w:rPr>
        <w:t>ОБХВАТ НА КОНСОЛИДАЦИЯТА</w:t>
      </w:r>
      <w:bookmarkEnd w:id="199"/>
      <w:bookmarkEnd w:id="20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202" w:name="DOC_TBL00091_1_1"/>
            <w:bookmarkEnd w:id="202"/>
            <w:r>
              <w:t>А. КОНТРОЛИРАНИ СУБЕКТИ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1. Институции и консултативни органи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парламент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spacing w:val="-6"/>
              </w:rPr>
            </w:pPr>
            <w:r>
              <w:rPr>
                <w:spacing w:val="-6"/>
              </w:rPr>
              <w:t>Европейски надзорен орган по защита на данните</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съвет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Европейски икономически и социален комитет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комисия</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Европейски омбудсман</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сметна палата</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Комитет на регионите</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Съд на Европейския съюз</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Съвет на Европейския съюз</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служба за външна дейност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2. Агенции на ЕС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2.1. Изпълнителни агенции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Изпълнителна агенция за образование, аудио-визия и култура</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Изпълнителна агенция за малките и средните предприятия</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pacing w:val="-6"/>
              </w:rPr>
            </w:pPr>
            <w:r>
              <w:rPr>
                <w:spacing w:val="-6"/>
              </w:rPr>
              <w:t>Изпълнителна агенция за потребителите, здравеопазването, селското стопанство и храните</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Изпълнителна агенция за иновации и мрежи</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Изпълнителна агенция за научни изследвания</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Изпълнителна агенция на Европейския научноизследователски съвет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2.2. Децентрализирани агенции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по морска безопасност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Европейски орган за безопасност на храните</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по лекарствата</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Европейска железопътна агенция</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надзорен орган за ГНСС</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Служба на Общността за сортовете растения</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по химикали</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Европейска агенция за контрол на рибарството</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Термоядрен синтез за енергия (европейско съвместно предприятие за ITER и развитие на термоядрената енергетика)</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Европейски център за мониторинг на наркотици и наркомании</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Евроюст</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Служба на Европейския съюз за интелектуална собственост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институт за равенство между половете</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Европейска полицейска служба (Европол)</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безопасност и здраве при работа</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Европейска агенция за авиационна безопасност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център за профилактика и контрол върху заболяванията</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Европейска агенция за мрежова и информационна сигурност</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околната среда</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Агенция на Европейския съюз за основните права</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център за развитие на професионалното обучение</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Европейски орган за застраховане и професионално пенсионно осигуряване</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сътрудничество между регулаторите на енергия</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Център за преводи за органите на Европейския съюз</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банков орган</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Европейски орган за ценни книжа и пазари</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служба за подкрепа в областта на убежището</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Европейска фондация за обучение</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Служба на Органа на европейските регулатори в областта на електронните съобщения</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Европейска фондация за подобряване на условията на живот и труд</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гранична и брегова охрана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Агенция на Европейския съюз за обучение в областта на правоприлагането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EU-LISA (Европейска агенция за оперативното управление на широкомащабни информационни системи в пространството на свобода, сигурност и правосъдие)</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3. Други контролирани субекти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общност за въглища и стомана (в ликвидация)</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Европейски институт за иновации и технологии</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Б. АСОЦИИРАНИ ПРЕДПРИЯТИЯ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Европейски инвестиционен фонд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bl>
    <w:p>
      <w:pPr>
        <w:pStyle w:val="DGTextstand-alone"/>
      </w:pPr>
      <w:r>
        <w:br w:type="page"/>
      </w:r>
    </w:p>
    <w:p>
      <w:pPr>
        <w:pStyle w:val="HEADER5"/>
        <w:rPr>
          <w:noProof/>
        </w:rPr>
      </w:pPr>
      <w:r>
        <w:rPr>
          <w:noProof/>
        </w:rPr>
        <w:t>НЕСЪЩЕСТВЕНИ СУБЕКТИ</w:t>
      </w:r>
    </w:p>
    <w:p>
      <w:pPr>
        <w:pStyle w:val="DGTextstand-alone"/>
      </w:pPr>
      <w:r>
        <w:t>Посочените по-долу субекти не са консолидирани посредством метода на собствения капитал в консолидираните финансови отчети на ЕС за 2017 г., тъй като са несъществени:</w:t>
      </w:r>
    </w:p>
    <w:p>
      <w:pPr>
        <w:pStyle w:val="HEADER5"/>
        <w:rPr>
          <w:noProof/>
        </w:rPr>
      </w:pPr>
      <w:r>
        <w:rPr>
          <w:noProof/>
        </w:rPr>
        <w:t xml:space="preserve">Съвместно предприятие „Биотехнологични производства“ </w:t>
      </w:r>
    </w:p>
    <w:p>
      <w:pPr>
        <w:pStyle w:val="DGTextstand-alone"/>
      </w:pPr>
      <w:r>
        <w:t>Съвместното предприятие „Биотехнологични производства“ (БТП) е публично-частно партньорство (ПЧП) между ЕС и консорциума за биотехнологични производства (КБТП). БТП има за цел да се реализира потенциалът за европейска биоикономика, като биологичните остатъци и отпадъци се превръщат в по-екологични продукти за ежедневно ползване посредством новаторски технологии и биорафинерии, които стоят в основата на биоикономиката.</w:t>
      </w:r>
    </w:p>
    <w:p>
      <w:pPr>
        <w:pStyle w:val="HEADER5"/>
        <w:rPr>
          <w:noProof/>
        </w:rPr>
      </w:pPr>
      <w:r>
        <w:rPr>
          <w:noProof/>
        </w:rPr>
        <w:t>Съвместно предприятие „Чисто небе“</w:t>
      </w:r>
    </w:p>
    <w:p>
      <w:pPr>
        <w:pStyle w:val="DGTextstand-alone"/>
      </w:pPr>
      <w:r>
        <w:t>„Чисто небе“ е най-голямата европейска научноизследователска програма за разработване на новаторски и авангардни технологии, имащи за цел намаляване на емисиите на CO2, на газовите емисии и на нивата на шум, произведен от въздухоплавателните средства. „Чисто небе“ се финансира от програмата „Хоризонт 2020“ на ЕС и допринася за укрепването на сътрудничеството в областта на въздухоплавателната промишленост, глобалното лидерство и конкурентоспособността на ЕС.</w:t>
      </w:r>
    </w:p>
    <w:p>
      <w:pPr>
        <w:pStyle w:val="HEADER5"/>
        <w:rPr>
          <w:noProof/>
        </w:rPr>
      </w:pPr>
      <w:r>
        <w:rPr>
          <w:noProof/>
        </w:rPr>
        <w:t>Съвместно предприятие на инициативата за иновативни лекарства (IMI)</w:t>
      </w:r>
    </w:p>
    <w:p>
      <w:pPr>
        <w:pStyle w:val="DGTextstand-alone"/>
      </w:pPr>
      <w:r>
        <w:t>IMI е най-голямата европейска публично-частна инициатива, насочена към ускоряване на разработването на по-добри и по-безопасни лекарства за пациентите. IMI е съвместно предприятие между Европейския съюз и асоциация на представители на фармацевтичната промишленост.</w:t>
      </w:r>
    </w:p>
    <w:p>
      <w:pPr>
        <w:pStyle w:val="HEADER5"/>
        <w:rPr>
          <w:noProof/>
        </w:rPr>
      </w:pPr>
      <w:r>
        <w:rPr>
          <w:noProof/>
        </w:rPr>
        <w:t xml:space="preserve">Съвместно предприятие „Електронни компоненти и системи за водещи позиции на Европа“ (ECSEL) (обединяване на предишните СП ARTEMIS и ENIAC) </w:t>
      </w:r>
    </w:p>
    <w:p>
      <w:pPr>
        <w:pStyle w:val="DGTextstand-alone"/>
      </w:pPr>
      <w:r>
        <w:t>ECSEL е ПЧП в областта на електронните компоненти и системи, което служи за сближаване на научните изследвания и експлоатацията, за съгласуване на стратегиите за увеличаване на европейските и националните инвестиции и за изграждане на напреднала екосистема.</w:t>
      </w:r>
    </w:p>
    <w:p>
      <w:pPr>
        <w:pStyle w:val="HEADER5"/>
        <w:rPr>
          <w:noProof/>
        </w:rPr>
      </w:pPr>
      <w:r>
        <w:rPr>
          <w:noProof/>
        </w:rPr>
        <w:t>Съвместно предприятие „Горивни клетки и водород“ (ГКВ)</w:t>
      </w:r>
    </w:p>
    <w:p>
      <w:pPr>
        <w:pStyle w:val="DGTextstand-alone"/>
      </w:pPr>
      <w:r>
        <w:t>ГКВ е ПЧП, което подкрепя научните изследвания, технологичното развитие и демонстрациите в сферата на технологиите за енергия от горивни клетки и водород в Европа. Целта му е да се ускори пускането на пазара на тези технологии и да се реализира техният потенциал като инструмент за постигане на енергийна система с ниски въглеродни емисии.</w:t>
      </w:r>
    </w:p>
    <w:p>
      <w:pPr>
        <w:pStyle w:val="HEADER5"/>
        <w:rPr>
          <w:noProof/>
        </w:rPr>
      </w:pPr>
      <w:r>
        <w:rPr>
          <w:noProof/>
        </w:rPr>
        <w:t>Съвместно предприятие за изследване на управлението на въздушното движение в единното европейско небе (SESAR)</w:t>
      </w:r>
    </w:p>
    <w:p>
      <w:pPr>
        <w:pStyle w:val="DGTextstand-alone"/>
      </w:pPr>
      <w:r>
        <w:t>SESAR е ПЧП, което отговаря за модернизирането на Европейската система за управление на въздушното движение (УВД) чрез координиране и концентриране в ЕС на всички научноизследователски и иновационни усилия, свързани с УВД.</w:t>
      </w:r>
    </w:p>
    <w:p>
      <w:pPr>
        <w:pStyle w:val="HEADER5"/>
        <w:rPr>
          <w:noProof/>
        </w:rPr>
      </w:pPr>
      <w:r>
        <w:rPr>
          <w:noProof/>
        </w:rPr>
        <w:t>Съвместно предприятие Shift2Rail</w:t>
      </w:r>
    </w:p>
    <w:p>
      <w:pPr>
        <w:pStyle w:val="DGTextstand-alone"/>
      </w:pPr>
      <w:r>
        <w:t>Shift2Rail е първата съвместна технологична инициатива за европейска железопътна система, която търси целенасочени научноизследователски, иновационни и пазарноориентирани решения, като ускорява интегрирането на нови и съвременни технологии в новаторски решения за железопътни продукти. </w:t>
      </w:r>
    </w:p>
    <w:p>
      <w:pPr>
        <w:pStyle w:val="DGTextstand-alone"/>
      </w:pPr>
      <w:r>
        <w:t>Годишните отчети на горепосочените субекти са публично достъпни на техните уебсайтове.</w:t>
      </w:r>
    </w:p>
    <w:p>
      <w:pPr>
        <w:pStyle w:val="DGTextstand-alone"/>
        <w:sectPr>
          <w:headerReference w:type="even" r:id="rId376"/>
          <w:headerReference w:type="default" r:id="rId377"/>
          <w:footerReference w:type="even" r:id="rId378"/>
          <w:footerReference w:type="default" r:id="rId379"/>
          <w:headerReference w:type="first" r:id="rId380"/>
          <w:footerReference w:type="first" r:id="rId381"/>
          <w:pgSz w:w="11906" w:h="16838"/>
          <w:pgMar w:top="1134" w:right="1134" w:bottom="1134" w:left="1134" w:header="709" w:footer="709" w:gutter="0"/>
          <w:cols w:space="708"/>
          <w:docGrid w:linePitch="360"/>
        </w:sectPr>
      </w:pPr>
      <w:r>
        <w:t xml:space="preserve"> </w:t>
      </w:r>
      <w:bookmarkEnd w:id="201"/>
    </w:p>
    <w:p>
      <w:pPr>
        <w:rPr>
          <w:rFonts w:ascii="Verdana" w:hAnsi="Verdana"/>
          <w:noProof/>
          <w:sz w:val="18"/>
          <w:szCs w:val="18"/>
        </w:rPr>
      </w:pPr>
      <w:bookmarkStart w:id="203" w:name="_DMBM_11331"/>
      <w:r>
        <w:rPr>
          <w:noProof/>
        </w:rPr>
        <w:br w:type="page"/>
      </w:r>
    </w:p>
    <w:p>
      <w:pPr>
        <w:pStyle w:val="Textstand-alone"/>
      </w:pPr>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04" w:name="_Toc522890006"/>
      <w:r>
        <w:rPr>
          <w:noProof/>
        </w:rPr>
        <w:t>ОБСЪЖДАНЕ И АНАЛИЗ НА ФИНАНСОВИТЕ ОТЧЕТИ</w:t>
      </w:r>
      <w:bookmarkEnd w:id="204"/>
    </w:p>
    <w:p>
      <w:pPr>
        <w:pStyle w:val="Financialyear0"/>
        <w:rPr>
          <w:noProof/>
        </w:rPr>
      </w:pPr>
      <w:r>
        <w:rPr>
          <w:noProof/>
        </w:rPr>
        <w:t>2017 ФИНАНСОВА ГОДИНА</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Следва да се отбележи, че поради закръглянето на цифрите в милиони евро някои финансови данни в таблиците по-долу може да изглеждат грешни.</w:t>
      </w:r>
      <w:r>
        <w:rPr>
          <w:noProof/>
        </w:rPr>
        <w:br w:type="page"/>
      </w:r>
    </w:p>
    <w:p>
      <w:pPr>
        <w:rPr>
          <w:rFonts w:ascii="Verdana" w:hAnsi="Verdana"/>
          <w:b/>
          <w:noProof/>
          <w:color w:val="016794"/>
          <w:sz w:val="28"/>
          <w:szCs w:val="28"/>
        </w:rPr>
      </w:pPr>
      <w:r>
        <w:rPr>
          <w:noProof/>
        </w:rPr>
        <w:br w:type="page"/>
      </w:r>
    </w:p>
    <w:p>
      <w:pPr>
        <w:pStyle w:val="HEADERTABLE"/>
        <w:rPr>
          <w:noProof/>
        </w:rPr>
      </w:pPr>
      <w:r>
        <w:rPr>
          <w:noProof/>
        </w:rPr>
        <w:t>СЪДЪРЖАНИЕ</w:t>
      </w:r>
    </w:p>
    <w:sdt>
      <w:sdtPr>
        <w:rPr>
          <w:rFonts w:ascii="Times New Roman" w:eastAsia="Times New Roman" w:hAnsi="Times New Roman" w:cs="Times New Roman"/>
          <w:b w:val="0"/>
          <w:bCs w:val="0"/>
          <w:noProof/>
          <w:color w:val="auto"/>
          <w:sz w:val="24"/>
          <w:szCs w:val="24"/>
        </w:rPr>
        <w:id w:val="-428046295"/>
        <w:docPartObj>
          <w:docPartGallery w:val="Table of Contents"/>
          <w:docPartUnique/>
        </w:docPartObj>
      </w:sdtPr>
      <w:sdtEndPr>
        <w:rPr>
          <w:rFonts w:asciiTheme="minorHAnsi" w:eastAsiaTheme="minorHAnsi" w:hAnsiTheme="minorHAnsi" w:cstheme="minorBidi"/>
          <w:sz w:val="22"/>
          <w:szCs w:val="22"/>
        </w:rPr>
      </w:sdtEndPr>
      <w:sdtContent>
        <w:p>
          <w:pPr>
            <w:pStyle w:val="TOCHeading"/>
            <w:rPr>
              <w:noProof/>
            </w:rPr>
          </w:pPr>
        </w:p>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\o "1-3" \h \z \t "HEADER 1_Part 4;1;HEADER 2_Part 4;2" </w:instrText>
          </w:r>
          <w:r>
            <w:rPr>
              <w:noProof/>
            </w:rPr>
            <w:fldChar w:fldCharType="separate"/>
          </w:r>
          <w:hyperlink w:anchor="_Toc522890371" w:history="1">
            <w:r>
              <w:rPr>
                <w:rStyle w:val="Hyperlink"/>
                <w:noProof/>
              </w:rPr>
              <w:t>1.</w:t>
            </w:r>
            <w:r>
              <w:rPr>
                <w:rFonts w:asciiTheme="minorHAnsi" w:eastAsiaTheme="minorEastAsia" w:hAnsiTheme="minorHAnsi" w:cstheme="minorBidi"/>
                <w:noProof/>
                <w:color w:val="auto"/>
                <w:szCs w:val="22"/>
                <w:lang w:val="en-GB" w:eastAsia="en-GB" w:bidi="ar-SA"/>
              </w:rPr>
              <w:tab/>
            </w:r>
            <w:r>
              <w:rPr>
                <w:rStyle w:val="Hyperlink"/>
                <w:noProof/>
              </w:rPr>
              <w:t>КОНСОЛИДИРАНИ ФИНАНСОВИ ОТЧЕТИ НА ЕС: ФИНАНСОВО СЪСТОЯНИЕ ПРЕЗ 2017 Г.</w:t>
            </w:r>
            <w:r>
              <w:rPr>
                <w:noProof/>
                <w:webHidden/>
              </w:rPr>
              <w:tab/>
            </w:r>
            <w:r>
              <w:rPr>
                <w:noProof/>
                <w:webHidden/>
              </w:rPr>
              <w:fldChar w:fldCharType="begin"/>
            </w:r>
            <w:r>
              <w:rPr>
                <w:noProof/>
                <w:webHidden/>
              </w:rPr>
              <w:instrText xml:space="preserve"> PAGEREF _Toc522890371 \h </w:instrText>
            </w:r>
            <w:r>
              <w:rPr>
                <w:noProof/>
                <w:webHidden/>
              </w:rPr>
            </w:r>
            <w:r>
              <w:rPr>
                <w:noProof/>
                <w:webHidden/>
              </w:rPr>
              <w:fldChar w:fldCharType="separate"/>
            </w:r>
            <w:r>
              <w:rPr>
                <w:noProof/>
                <w:webHidden/>
              </w:rPr>
              <w:t>109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372" w:history="1">
            <w:r>
              <w:rPr>
                <w:rStyle w:val="Hyperlink"/>
                <w:noProof/>
              </w:rPr>
              <w:t>1.1.</w:t>
            </w:r>
            <w:r>
              <w:rPr>
                <w:rFonts w:asciiTheme="minorHAnsi" w:eastAsiaTheme="minorEastAsia" w:hAnsiTheme="minorHAnsi" w:cstheme="minorBidi"/>
                <w:noProof/>
                <w:color w:val="auto"/>
                <w:szCs w:val="22"/>
                <w:lang w:val="en-GB" w:eastAsia="en-GB" w:bidi="ar-SA"/>
              </w:rPr>
              <w:tab/>
            </w:r>
            <w:r>
              <w:rPr>
                <w:rStyle w:val="Hyperlink"/>
                <w:noProof/>
              </w:rPr>
              <w:t>ПРИХОДИ</w:t>
            </w:r>
            <w:r>
              <w:rPr>
                <w:noProof/>
                <w:webHidden/>
              </w:rPr>
              <w:tab/>
            </w:r>
            <w:r>
              <w:rPr>
                <w:noProof/>
                <w:webHidden/>
              </w:rPr>
              <w:fldChar w:fldCharType="begin"/>
            </w:r>
            <w:r>
              <w:rPr>
                <w:noProof/>
                <w:webHidden/>
              </w:rPr>
              <w:instrText xml:space="preserve"> PAGEREF _Toc522890372 \h </w:instrText>
            </w:r>
            <w:r>
              <w:rPr>
                <w:noProof/>
                <w:webHidden/>
              </w:rPr>
            </w:r>
            <w:r>
              <w:rPr>
                <w:noProof/>
                <w:webHidden/>
              </w:rPr>
              <w:fldChar w:fldCharType="separate"/>
            </w:r>
            <w:r>
              <w:rPr>
                <w:noProof/>
                <w:webHidden/>
              </w:rPr>
              <w:t>109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373" w:history="1">
            <w:r>
              <w:rPr>
                <w:rStyle w:val="Hyperlink"/>
                <w:noProof/>
              </w:rPr>
              <w:t>1.2.</w:t>
            </w:r>
            <w:r>
              <w:rPr>
                <w:rFonts w:asciiTheme="minorHAnsi" w:eastAsiaTheme="minorEastAsia" w:hAnsiTheme="minorHAnsi" w:cstheme="minorBidi"/>
                <w:noProof/>
                <w:color w:val="auto"/>
                <w:szCs w:val="22"/>
                <w:lang w:val="en-GB" w:eastAsia="en-GB" w:bidi="ar-SA"/>
              </w:rPr>
              <w:tab/>
            </w:r>
            <w:r>
              <w:rPr>
                <w:rStyle w:val="Hyperlink"/>
                <w:noProof/>
              </w:rPr>
              <w:t>РАЗХОДИ</w:t>
            </w:r>
            <w:r>
              <w:rPr>
                <w:noProof/>
                <w:webHidden/>
              </w:rPr>
              <w:tab/>
            </w:r>
            <w:r>
              <w:rPr>
                <w:noProof/>
                <w:webHidden/>
              </w:rPr>
              <w:fldChar w:fldCharType="begin"/>
            </w:r>
            <w:r>
              <w:rPr>
                <w:noProof/>
                <w:webHidden/>
              </w:rPr>
              <w:instrText xml:space="preserve"> PAGEREF _Toc522890373 \h </w:instrText>
            </w:r>
            <w:r>
              <w:rPr>
                <w:noProof/>
                <w:webHidden/>
              </w:rPr>
            </w:r>
            <w:r>
              <w:rPr>
                <w:noProof/>
                <w:webHidden/>
              </w:rPr>
              <w:fldChar w:fldCharType="separate"/>
            </w:r>
            <w:r>
              <w:rPr>
                <w:noProof/>
                <w:webHidden/>
              </w:rPr>
              <w:t>110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374" w:history="1">
            <w:r>
              <w:rPr>
                <w:rStyle w:val="Hyperlink"/>
                <w:noProof/>
              </w:rPr>
              <w:t>1.3.</w:t>
            </w:r>
            <w:r>
              <w:rPr>
                <w:rFonts w:asciiTheme="minorHAnsi" w:eastAsiaTheme="minorEastAsia" w:hAnsiTheme="minorHAnsi" w:cstheme="minorBidi"/>
                <w:noProof/>
                <w:color w:val="auto"/>
                <w:szCs w:val="22"/>
                <w:lang w:val="en-GB" w:eastAsia="en-GB" w:bidi="ar-SA"/>
              </w:rPr>
              <w:tab/>
            </w:r>
            <w:r>
              <w:rPr>
                <w:rStyle w:val="Hyperlink"/>
                <w:noProof/>
              </w:rPr>
              <w:t>АКТИВИ</w:t>
            </w:r>
            <w:r>
              <w:rPr>
                <w:noProof/>
                <w:webHidden/>
              </w:rPr>
              <w:tab/>
            </w:r>
            <w:r>
              <w:rPr>
                <w:noProof/>
                <w:webHidden/>
              </w:rPr>
              <w:fldChar w:fldCharType="begin"/>
            </w:r>
            <w:r>
              <w:rPr>
                <w:noProof/>
                <w:webHidden/>
              </w:rPr>
              <w:instrText xml:space="preserve"> PAGEREF _Toc522890374 \h </w:instrText>
            </w:r>
            <w:r>
              <w:rPr>
                <w:noProof/>
                <w:webHidden/>
              </w:rPr>
            </w:r>
            <w:r>
              <w:rPr>
                <w:noProof/>
                <w:webHidden/>
              </w:rPr>
              <w:fldChar w:fldCharType="separate"/>
            </w:r>
            <w:r>
              <w:rPr>
                <w:noProof/>
                <w:webHidden/>
              </w:rPr>
              <w:t>111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375" w:history="1">
            <w:r>
              <w:rPr>
                <w:rStyle w:val="Hyperlink"/>
                <w:noProof/>
              </w:rPr>
              <w:t>1.4.</w:t>
            </w:r>
            <w:r>
              <w:rPr>
                <w:rFonts w:asciiTheme="minorHAnsi" w:eastAsiaTheme="minorEastAsia" w:hAnsiTheme="minorHAnsi" w:cstheme="minorBidi"/>
                <w:noProof/>
                <w:color w:val="auto"/>
                <w:szCs w:val="22"/>
                <w:lang w:val="en-GB" w:eastAsia="en-GB" w:bidi="ar-SA"/>
              </w:rPr>
              <w:tab/>
            </w:r>
            <w:r>
              <w:rPr>
                <w:rStyle w:val="Hyperlink"/>
                <w:noProof/>
              </w:rPr>
              <w:t>ПАСИВИ</w:t>
            </w:r>
            <w:r>
              <w:rPr>
                <w:noProof/>
                <w:webHidden/>
              </w:rPr>
              <w:tab/>
            </w:r>
            <w:r>
              <w:rPr>
                <w:noProof/>
                <w:webHidden/>
              </w:rPr>
              <w:fldChar w:fldCharType="begin"/>
            </w:r>
            <w:r>
              <w:rPr>
                <w:noProof/>
                <w:webHidden/>
              </w:rPr>
              <w:instrText xml:space="preserve"> PAGEREF _Toc522890375 \h </w:instrText>
            </w:r>
            <w:r>
              <w:rPr>
                <w:noProof/>
                <w:webHidden/>
              </w:rPr>
            </w:r>
            <w:r>
              <w:rPr>
                <w:noProof/>
                <w:webHidden/>
              </w:rPr>
              <w:fldChar w:fldCharType="separate"/>
            </w:r>
            <w:r>
              <w:rPr>
                <w:noProof/>
                <w:webHidden/>
              </w:rPr>
              <w:t>118</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376" w:history="1">
            <w:r>
              <w:rPr>
                <w:rStyle w:val="Hyperlink"/>
                <w:noProof/>
              </w:rPr>
              <w:t>2.</w:t>
            </w:r>
            <w:r>
              <w:rPr>
                <w:rFonts w:asciiTheme="minorHAnsi" w:eastAsiaTheme="minorEastAsia" w:hAnsiTheme="minorHAnsi" w:cstheme="minorBidi"/>
                <w:noProof/>
                <w:color w:val="auto"/>
                <w:szCs w:val="22"/>
                <w:lang w:val="en-GB" w:eastAsia="en-GB" w:bidi="ar-SA"/>
              </w:rPr>
              <w:tab/>
            </w:r>
            <w:r>
              <w:rPr>
                <w:rStyle w:val="Hyperlink"/>
                <w:noProof/>
              </w:rPr>
              <w:t>ЗАЩИТА НА БЮДЖЕТА НА ЕС</w:t>
            </w:r>
            <w:r>
              <w:rPr>
                <w:noProof/>
                <w:webHidden/>
              </w:rPr>
              <w:tab/>
            </w:r>
            <w:r>
              <w:rPr>
                <w:noProof/>
                <w:webHidden/>
              </w:rPr>
              <w:fldChar w:fldCharType="begin"/>
            </w:r>
            <w:r>
              <w:rPr>
                <w:noProof/>
                <w:webHidden/>
              </w:rPr>
              <w:instrText xml:space="preserve"> PAGEREF _Toc522890376 \h </w:instrText>
            </w:r>
            <w:r>
              <w:rPr>
                <w:noProof/>
                <w:webHidden/>
              </w:rPr>
            </w:r>
            <w:r>
              <w:rPr>
                <w:noProof/>
                <w:webHidden/>
              </w:rPr>
              <w:fldChar w:fldCharType="separate"/>
            </w:r>
            <w:r>
              <w:rPr>
                <w:noProof/>
                <w:webHidden/>
              </w:rPr>
              <w:t>119</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377" w:history="1">
            <w:r>
              <w:rPr>
                <w:rStyle w:val="Hyperlink"/>
                <w:noProof/>
              </w:rPr>
              <w:t>3.</w:t>
            </w:r>
            <w:r>
              <w:rPr>
                <w:rFonts w:asciiTheme="minorHAnsi" w:eastAsiaTheme="minorEastAsia" w:hAnsiTheme="minorHAnsi" w:cstheme="minorBidi"/>
                <w:noProof/>
                <w:color w:val="auto"/>
                <w:szCs w:val="22"/>
                <w:lang w:val="en-GB" w:eastAsia="en-GB" w:bidi="ar-SA"/>
              </w:rPr>
              <w:tab/>
            </w:r>
            <w:r>
              <w:rPr>
                <w:rStyle w:val="Hyperlink"/>
                <w:noProof/>
              </w:rPr>
              <w:t>УПРАВЛЕНИЕ НА РИСКОВЕТЕ И НЕСИГУРНОСТТА, СВЪРЗАНИ С ИЗПЪЛНЕНИЕТО НА БЮДЖЕТА НА ЕС</w:t>
            </w:r>
            <w:r>
              <w:rPr>
                <w:noProof/>
                <w:webHidden/>
              </w:rPr>
              <w:tab/>
            </w:r>
            <w:r>
              <w:rPr>
                <w:noProof/>
                <w:webHidden/>
              </w:rPr>
              <w:fldChar w:fldCharType="begin"/>
            </w:r>
            <w:r>
              <w:rPr>
                <w:noProof/>
                <w:webHidden/>
              </w:rPr>
              <w:instrText xml:space="preserve"> PAGEREF _Toc522890377 \h </w:instrText>
            </w:r>
            <w:r>
              <w:rPr>
                <w:noProof/>
                <w:webHidden/>
              </w:rPr>
            </w:r>
            <w:r>
              <w:rPr>
                <w:noProof/>
                <w:webHidden/>
              </w:rPr>
              <w:fldChar w:fldCharType="separate"/>
            </w:r>
            <w:r>
              <w:rPr>
                <w:noProof/>
                <w:webHidden/>
              </w:rPr>
              <w:t>121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378" w:history="1">
            <w:r>
              <w:rPr>
                <w:rStyle w:val="Hyperlink"/>
                <w:noProof/>
              </w:rPr>
              <w:t>3.1.</w:t>
            </w:r>
            <w:r>
              <w:rPr>
                <w:rFonts w:asciiTheme="minorHAnsi" w:eastAsiaTheme="minorEastAsia" w:hAnsiTheme="minorHAnsi" w:cstheme="minorBidi"/>
                <w:noProof/>
                <w:color w:val="auto"/>
                <w:szCs w:val="22"/>
                <w:lang w:val="en-GB" w:eastAsia="en-GB" w:bidi="ar-SA"/>
              </w:rPr>
              <w:tab/>
            </w:r>
            <w:r>
              <w:rPr>
                <w:rStyle w:val="Hyperlink"/>
                <w:noProof/>
              </w:rPr>
              <w:t>МАКРОИКОНОМИЧЕСКА СРЕДА</w:t>
            </w:r>
            <w:r>
              <w:rPr>
                <w:noProof/>
                <w:webHidden/>
              </w:rPr>
              <w:tab/>
            </w:r>
            <w:r>
              <w:rPr>
                <w:noProof/>
                <w:webHidden/>
              </w:rPr>
              <w:fldChar w:fldCharType="begin"/>
            </w:r>
            <w:r>
              <w:rPr>
                <w:noProof/>
                <w:webHidden/>
              </w:rPr>
              <w:instrText xml:space="preserve"> PAGEREF _Toc522890378 \h </w:instrText>
            </w:r>
            <w:r>
              <w:rPr>
                <w:noProof/>
                <w:webHidden/>
              </w:rPr>
            </w:r>
            <w:r>
              <w:rPr>
                <w:noProof/>
                <w:webHidden/>
              </w:rPr>
              <w:fldChar w:fldCharType="separate"/>
            </w:r>
            <w:r>
              <w:rPr>
                <w:noProof/>
                <w:webHidden/>
              </w:rPr>
              <w:t>121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379" w:history="1">
            <w:r>
              <w:rPr>
                <w:rStyle w:val="Hyperlink"/>
                <w:noProof/>
              </w:rPr>
              <w:t>3.2.</w:t>
            </w:r>
            <w:r>
              <w:rPr>
                <w:rFonts w:asciiTheme="minorHAnsi" w:eastAsiaTheme="minorEastAsia" w:hAnsiTheme="minorHAnsi" w:cstheme="minorBidi"/>
                <w:noProof/>
                <w:color w:val="auto"/>
                <w:szCs w:val="22"/>
                <w:lang w:val="en-GB" w:eastAsia="en-GB" w:bidi="ar-SA"/>
              </w:rPr>
              <w:tab/>
            </w:r>
            <w:r>
              <w:rPr>
                <w:rStyle w:val="Hyperlink"/>
                <w:noProof/>
              </w:rPr>
              <w:t>БЮДЖЕТНИ УСЛОВНИ ПАСИВИ ЗА ФИНАНСОВА ПОМОЩ</w:t>
            </w:r>
            <w:r>
              <w:rPr>
                <w:noProof/>
                <w:webHidden/>
              </w:rPr>
              <w:tab/>
            </w:r>
            <w:r>
              <w:rPr>
                <w:noProof/>
                <w:webHidden/>
              </w:rPr>
              <w:fldChar w:fldCharType="begin"/>
            </w:r>
            <w:r>
              <w:rPr>
                <w:noProof/>
                <w:webHidden/>
              </w:rPr>
              <w:instrText xml:space="preserve"> PAGEREF _Toc522890379 \h </w:instrText>
            </w:r>
            <w:r>
              <w:rPr>
                <w:noProof/>
                <w:webHidden/>
              </w:rPr>
            </w:r>
            <w:r>
              <w:rPr>
                <w:noProof/>
                <w:webHidden/>
              </w:rPr>
              <w:fldChar w:fldCharType="separate"/>
            </w:r>
            <w:r>
              <w:rPr>
                <w:noProof/>
                <w:webHidden/>
              </w:rPr>
              <w:t>122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380" w:history="1">
            <w:r>
              <w:rPr>
                <w:rStyle w:val="Hyperlink"/>
                <w:noProof/>
              </w:rPr>
              <w:t>3.3.</w:t>
            </w:r>
            <w:r>
              <w:rPr>
                <w:rFonts w:asciiTheme="minorHAnsi" w:eastAsiaTheme="minorEastAsia" w:hAnsiTheme="minorHAnsi" w:cstheme="minorBidi"/>
                <w:noProof/>
                <w:color w:val="auto"/>
                <w:szCs w:val="22"/>
                <w:lang w:val="en-GB" w:eastAsia="en-GB" w:bidi="ar-SA"/>
              </w:rPr>
              <w:tab/>
            </w:r>
            <w:r>
              <w:rPr>
                <w:rStyle w:val="Hyperlink"/>
                <w:noProof/>
              </w:rPr>
              <w:t>УСЛОВНИ ПАСИВИ ВЪВ ВРЪЗКА С БЮДЖЕТНИ ГАРАНЦИИ</w:t>
            </w:r>
            <w:r>
              <w:rPr>
                <w:noProof/>
                <w:webHidden/>
              </w:rPr>
              <w:tab/>
            </w:r>
            <w:r>
              <w:rPr>
                <w:noProof/>
                <w:webHidden/>
              </w:rPr>
              <w:fldChar w:fldCharType="begin"/>
            </w:r>
            <w:r>
              <w:rPr>
                <w:noProof/>
                <w:webHidden/>
              </w:rPr>
              <w:instrText xml:space="preserve"> PAGEREF _Toc522890380 \h </w:instrText>
            </w:r>
            <w:r>
              <w:rPr>
                <w:noProof/>
                <w:webHidden/>
              </w:rPr>
            </w:r>
            <w:r>
              <w:rPr>
                <w:noProof/>
                <w:webHidden/>
              </w:rPr>
              <w:fldChar w:fldCharType="separate"/>
            </w:r>
            <w:r>
              <w:rPr>
                <w:noProof/>
                <w:webHidden/>
              </w:rPr>
              <w:t>123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381" w:history="1">
            <w:r>
              <w:rPr>
                <w:rStyle w:val="Hyperlink"/>
                <w:noProof/>
              </w:rPr>
              <w:t>3.4.</w:t>
            </w:r>
            <w:r>
              <w:rPr>
                <w:rFonts w:asciiTheme="minorHAnsi" w:eastAsiaTheme="minorEastAsia" w:hAnsiTheme="minorHAnsi" w:cstheme="minorBidi"/>
                <w:noProof/>
                <w:color w:val="auto"/>
                <w:szCs w:val="22"/>
                <w:lang w:val="en-GB" w:eastAsia="en-GB" w:bidi="ar-SA"/>
              </w:rPr>
              <w:tab/>
            </w:r>
            <w:r>
              <w:rPr>
                <w:rStyle w:val="Hyperlink"/>
                <w:noProof/>
              </w:rPr>
              <w:t>СТИМУЛ ЗА РАБОТНИТЕ МЕСТА, РАСТЕЖА И ИНВЕСТИЦИИТЕ</w:t>
            </w:r>
            <w:r>
              <w:rPr>
                <w:noProof/>
                <w:webHidden/>
              </w:rPr>
              <w:tab/>
            </w:r>
            <w:r>
              <w:rPr>
                <w:noProof/>
                <w:webHidden/>
              </w:rPr>
              <w:fldChar w:fldCharType="begin"/>
            </w:r>
            <w:r>
              <w:rPr>
                <w:noProof/>
                <w:webHidden/>
              </w:rPr>
              <w:instrText xml:space="preserve"> PAGEREF _Toc522890381 \h </w:instrText>
            </w:r>
            <w:r>
              <w:rPr>
                <w:noProof/>
                <w:webHidden/>
              </w:rPr>
            </w:r>
            <w:r>
              <w:rPr>
                <w:noProof/>
                <w:webHidden/>
              </w:rPr>
              <w:fldChar w:fldCharType="separate"/>
            </w:r>
            <w:r>
              <w:rPr>
                <w:noProof/>
                <w:webHidden/>
              </w:rPr>
              <w:t>124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382" w:history="1">
            <w:r>
              <w:rPr>
                <w:rStyle w:val="Hyperlink"/>
                <w:noProof/>
              </w:rPr>
              <w:t>3.5.</w:t>
            </w:r>
            <w:r>
              <w:rPr>
                <w:rFonts w:asciiTheme="minorHAnsi" w:eastAsiaTheme="minorEastAsia" w:hAnsiTheme="minorHAnsi" w:cstheme="minorBidi"/>
                <w:noProof/>
                <w:color w:val="auto"/>
                <w:szCs w:val="22"/>
                <w:lang w:val="en-GB" w:eastAsia="en-GB" w:bidi="ar-SA"/>
              </w:rPr>
              <w:tab/>
            </w:r>
            <w:r>
              <w:rPr>
                <w:rStyle w:val="Hyperlink"/>
                <w:noProof/>
              </w:rPr>
              <w:t>РЕЗЕРВ ЗА НОВИ УЧАСТНИЦИ (NER) 300</w:t>
            </w:r>
            <w:r>
              <w:rPr>
                <w:noProof/>
                <w:webHidden/>
              </w:rPr>
              <w:tab/>
            </w:r>
            <w:r>
              <w:rPr>
                <w:noProof/>
                <w:webHidden/>
              </w:rPr>
              <w:fldChar w:fldCharType="begin"/>
            </w:r>
            <w:r>
              <w:rPr>
                <w:noProof/>
                <w:webHidden/>
              </w:rPr>
              <w:instrText xml:space="preserve"> PAGEREF _Toc522890382 \h </w:instrText>
            </w:r>
            <w:r>
              <w:rPr>
                <w:noProof/>
                <w:webHidden/>
              </w:rPr>
            </w:r>
            <w:r>
              <w:rPr>
                <w:noProof/>
                <w:webHidden/>
              </w:rPr>
              <w:fldChar w:fldCharType="separate"/>
            </w:r>
            <w:r>
              <w:rPr>
                <w:noProof/>
                <w:webHidden/>
              </w:rPr>
              <w:t>125</w:t>
            </w:r>
            <w:r>
              <w:rPr>
                <w:noProof/>
                <w:webHidden/>
              </w:rPr>
              <w:fldChar w:fldCharType="end"/>
            </w:r>
          </w:hyperlink>
        </w:p>
        <w:p>
          <w:pPr>
            <w:pStyle w:val="TOC1"/>
            <w:rPr>
              <w:rFonts w:asciiTheme="minorHAnsi" w:eastAsiaTheme="minorEastAsia" w:hAnsiTheme="minorHAnsi" w:cstheme="minorBidi"/>
              <w:noProof/>
              <w:color w:val="auto"/>
              <w:szCs w:val="22"/>
            </w:rPr>
          </w:pPr>
          <w:r>
            <w:rPr>
              <w:rFonts w:asciiTheme="minorHAnsi" w:eastAsiaTheme="minorEastAsia" w:hAnsiTheme="minorHAnsi" w:cstheme="minorBidi"/>
              <w:noProof/>
              <w:color w:val="auto"/>
              <w:szCs w:val="22"/>
            </w:rPr>
            <w:fldChar w:fldCharType="end"/>
          </w:r>
        </w:p>
      </w:sdtContent>
    </w:sdt>
    <w:p>
      <w:pPr>
        <w:pStyle w:val="DGTextstand-alone"/>
      </w:pPr>
    </w:p>
    <w:p>
      <w:pPr>
        <w:rPr>
          <w:rFonts w:ascii="Verdana" w:hAnsi="Verdana"/>
          <w:noProof/>
          <w:sz w:val="18"/>
          <w:szCs w:val="18"/>
        </w:rPr>
      </w:pPr>
      <w:r>
        <w:rPr>
          <w:noProof/>
        </w:rPr>
        <w:br w:type="page"/>
      </w:r>
    </w:p>
    <w:p>
      <w:pPr>
        <w:pStyle w:val="DGTextstand-alone"/>
      </w:pPr>
      <w:r>
        <w:t>Целта на настоящото обсъждане и анализ на финансовите отчети (ОАФО) е да помогне на читателите да разберат финансовото състояние, финансовите резултати и паричните потоци, представени в консолидираните финансови отчети на ЕС. Информацията, представена в ОАФО, не е била одитирана.</w:t>
      </w:r>
    </w:p>
    <w:p>
      <w:pPr>
        <w:pStyle w:val="HEADER1Part4"/>
        <w:rPr>
          <w:noProof/>
        </w:rPr>
      </w:pPr>
      <w:bookmarkStart w:id="205" w:name="_Toc491880233"/>
      <w:bookmarkStart w:id="206" w:name="_Toc517190619"/>
      <w:bookmarkStart w:id="207" w:name="_Toc517434267"/>
      <w:bookmarkStart w:id="208" w:name="_Toc522890371"/>
      <w:r>
        <w:rPr>
          <w:noProof/>
        </w:rPr>
        <w:t>КОНСОЛИДИРАНИ ФИНАНСОВИ ОТЧЕТИ НА ЕС: ФИНАНСОВО СЪСТОЯНИЕ ПРЕЗ 2017 Г.</w:t>
      </w:r>
      <w:bookmarkEnd w:id="205"/>
      <w:bookmarkEnd w:id="206"/>
      <w:bookmarkEnd w:id="207"/>
      <w:bookmarkEnd w:id="208"/>
    </w:p>
    <w:p>
      <w:pPr>
        <w:pStyle w:val="HEADER2Part4"/>
      </w:pPr>
      <w:bookmarkStart w:id="209" w:name="_Toc491880234"/>
      <w:bookmarkStart w:id="210" w:name="_Toc517190620"/>
      <w:bookmarkStart w:id="211" w:name="_Toc517434268"/>
      <w:bookmarkStart w:id="212" w:name="_Toc522890372"/>
      <w:r>
        <w:t>ПРИХОДИ</w:t>
      </w:r>
      <w:bookmarkEnd w:id="209"/>
      <w:bookmarkEnd w:id="210"/>
      <w:bookmarkEnd w:id="211"/>
      <w:bookmarkEnd w:id="212"/>
    </w:p>
    <w:p>
      <w:pPr>
        <w:pStyle w:val="DGTextstand-alone"/>
      </w:pPr>
      <w:r>
        <w:t>Консолидираните приходи на ЕС включват сумите, свързани с операции с размяна и операции без размяна, като операциите без размяна са най-съществени.</w:t>
      </w:r>
    </w:p>
    <w:p>
      <w:pPr>
        <w:pStyle w:val="DGTextstand-alone"/>
      </w:pPr>
      <w:r>
        <w:t>Таблицата по-долу съдържа преглед на основните категории операции без размяна.</w:t>
      </w:r>
    </w:p>
    <w:p>
      <w:pPr>
        <w:pStyle w:val="HEADER5"/>
        <w:rPr>
          <w:b/>
          <w:noProof/>
        </w:rPr>
      </w:pPr>
      <w:r>
        <w:rPr>
          <w:noProof/>
        </w:rPr>
        <w:t>Петгодишна тенденция на приходите от операции без размяна (в милиони евро)</w:t>
      </w:r>
    </w:p>
    <w:p>
      <w:pPr>
        <w:pStyle w:val="Textstand-alone"/>
        <w:jc w:val="center"/>
      </w:pPr>
      <w:r>
        <w:rPr>
          <w:lang w:val="en-US" w:eastAsia="en-US" w:bidi="ar-SA"/>
        </w:rPr>
        <w:drawing>
          <wp:inline distT="0" distB="0" distL="0" distR="0">
            <wp:extent cx="4743450" cy="3141298"/>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4743450" cy="3141298"/>
                    </a:xfrm>
                    <a:prstGeom prst="rect">
                      <a:avLst/>
                    </a:prstGeom>
                  </pic:spPr>
                </pic:pic>
              </a:graphicData>
            </a:graphic>
          </wp:inline>
        </w:drawing>
      </w:r>
    </w:p>
    <w:p>
      <w:pPr>
        <w:pStyle w:val="DGTextstand-alone"/>
      </w:pPr>
      <w:r>
        <w:t>През 2017 г. консолидираните приходи намаляха със 7 % — на 136,2 милиарда евро — в сравнение с предходната година главно поради следното:</w:t>
      </w:r>
    </w:p>
    <w:p>
      <w:pPr>
        <w:pStyle w:val="DGTextstand-alone"/>
        <w:numPr>
          <w:ilvl w:val="0"/>
          <w:numId w:val="36"/>
        </w:numPr>
      </w:pPr>
      <w:r>
        <w:t>намаление със 17 милиарда евро на ресурса от БНД, или 18 % в сравнение с предходната година. Този ефект може да се види в таблицата по-горе. Той отразява предимно отражението на намалението на бюджетните кредити за плащания за бюджета за 2017 г. Ресурсът от БНД се използва за финансиране на тази част от бюджета, която не е покрита от никакъв друг източник на приходи; и</w:t>
      </w:r>
    </w:p>
    <w:p>
      <w:pPr>
        <w:pStyle w:val="DGTextstand-alone"/>
        <w:numPr>
          <w:ilvl w:val="0"/>
          <w:numId w:val="36"/>
        </w:numPr>
      </w:pPr>
      <w:r>
        <w:t xml:space="preserve">намалението по-горе бе частично компенсирано от другите приходи за операциите без размяна, което включва отражението на бюджетния излишък от 2016 г., посочено в реда за бюджетната корекция, в размер на 6,4 милиарда евро. Този бюджетен излишък бе голям поради непълното изпълнение на програмите през 2016 г., както е обяснено в бележка 2.2 от доклада за изпълнението на бюджета от 2016 г. Това е механизъм, който връща по косвен начин средства на държавите членки, тъй като приспада сумата от собствените ресурси за следващата година (в този случай намалението е за 2017 финансова година). По тази причина бюджетният излишък се признава като приход. </w:t>
      </w:r>
    </w:p>
    <w:p>
      <w:pPr>
        <w:pStyle w:val="DGTextstand-alone"/>
      </w:pPr>
    </w:p>
    <w:p>
      <w:pPr>
        <w:rPr>
          <w:rFonts w:ascii="Verdana" w:hAnsi="Verdana"/>
          <w:b/>
          <w:noProof/>
          <w:color w:val="016794"/>
          <w:sz w:val="28"/>
          <w:szCs w:val="30"/>
        </w:rPr>
      </w:pPr>
      <w:bookmarkStart w:id="213" w:name="_Toc491880235"/>
      <w:r>
        <w:rPr>
          <w:noProof/>
        </w:rPr>
        <w:br w:type="page"/>
      </w:r>
    </w:p>
    <w:p>
      <w:pPr>
        <w:pStyle w:val="HEADER2Part4"/>
      </w:pPr>
      <w:bookmarkStart w:id="214" w:name="_Toc517190621"/>
      <w:bookmarkStart w:id="215" w:name="_Toc517434269"/>
      <w:bookmarkStart w:id="216" w:name="_Toc522890373"/>
      <w:r>
        <w:t>РАЗХОДИ</w:t>
      </w:r>
      <w:bookmarkEnd w:id="213"/>
      <w:bookmarkEnd w:id="214"/>
      <w:bookmarkEnd w:id="215"/>
      <w:bookmarkEnd w:id="216"/>
    </w:p>
    <w:p>
      <w:pPr>
        <w:pStyle w:val="DGTextstand-alone"/>
        <w:rPr>
          <w:spacing w:val="-6"/>
        </w:rPr>
      </w:pPr>
      <w:r>
        <w:rPr>
          <w:spacing w:val="-6"/>
        </w:rPr>
        <w:t xml:space="preserve">Основният компонент на разходите, признати в консолидираните финансови отчети, са трансферните плащания в рамките на споделеното управление, като засегнати са следните фондове: i) Европейският фонд за гарантиране на земеделието (ЕФГЗ); ii) ЕЗФРСР и други инструменти за развитие на селските райони; iii) ЕФРР и КФ; и iv) Европейският социален фонд (ЕСФ). </w:t>
      </w:r>
    </w:p>
    <w:p>
      <w:pPr>
        <w:pStyle w:val="DGTextstand-alone"/>
      </w:pPr>
      <w:r>
        <w:t>Тези фондове съставляваха почти 63 % от общите разходи в края на годината — 31 декември 2017 г. — разпределението им се съдържа в графиката по-долу.</w:t>
      </w:r>
    </w:p>
    <w:p>
      <w:pPr>
        <w:pStyle w:val="HEADER5"/>
        <w:rPr>
          <w:b/>
          <w:noProof/>
          <w:spacing w:val="-6"/>
        </w:rPr>
      </w:pPr>
      <w:r>
        <w:rPr>
          <w:noProof/>
          <w:spacing w:val="-6"/>
        </w:rPr>
        <w:t>Относително тегло на основните разходи, изпълнени от държавите членки, за 2017 финансова година</w:t>
      </w:r>
    </w:p>
    <w:p>
      <w:pPr>
        <w:pStyle w:val="DGTextstand-alone"/>
        <w:spacing w:before="0" w:after="0"/>
      </w:pPr>
      <w:r>
        <w:t xml:space="preserve"> </w:t>
      </w:r>
    </w:p>
    <w:p>
      <w:pPr>
        <w:pStyle w:val="Textstand-alone"/>
        <w:jc w:val="center"/>
      </w:pPr>
      <w:r>
        <w:rPr>
          <w:lang w:val="en-US" w:eastAsia="en-US" w:bidi="ar-SA"/>
        </w:rPr>
        <w:drawing>
          <wp:inline distT="0" distB="0" distL="0" distR="0">
            <wp:extent cx="4848225" cy="289446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4848225" cy="2894463"/>
                    </a:xfrm>
                    <a:prstGeom prst="rect">
                      <a:avLst/>
                    </a:prstGeom>
                  </pic:spPr>
                </pic:pic>
              </a:graphicData>
            </a:graphic>
          </wp:inline>
        </w:drawing>
      </w:r>
    </w:p>
    <w:p>
      <w:pPr>
        <w:pStyle w:val="DGTextstand-alone"/>
      </w:pPr>
      <w:r>
        <w:t xml:space="preserve">Разходите, направени при прякото управление, представляват изпълнението на бюджета от Комисията, изпълнителните агенции и доверителните фондове. При непрякото управление бюджетът се изпълнява от агенции на ЕС, органи на ЕС, трети държави, международни организации и други субекти. </w:t>
      </w:r>
    </w:p>
    <w:p>
      <w:pPr>
        <w:pStyle w:val="DGTextstand-alone"/>
        <w:rPr>
          <w:spacing w:val="-6"/>
        </w:rPr>
      </w:pPr>
      <w:r>
        <w:rPr>
          <w:spacing w:val="-6"/>
        </w:rPr>
        <w:t>Като цяло разходите, направени при прякото и непрякото управление, представляваха около 19 % от общите разходи (24 милиарда евро) и останаха стабилни в сравнение с предходната финансова година.</w:t>
      </w:r>
    </w:p>
    <w:p>
      <w:pPr>
        <w:pStyle w:val="DGTextstand-alone"/>
      </w:pPr>
      <w:r>
        <w:t>ЕС признава бъдещите задължения за плащане като разходи, дори когато все още не са отразени в бюджетните сметки на касова основа. Важните суми са посочени при задълженията и начислените разходи за земеделието и развитието на селските райони и при задълженията, свързани с пенсиите и доходите на наети лица, във връзка с пенсионните права, придобити от членовете на Комисията, членовете на ЕП и персонала.</w:t>
      </w:r>
    </w:p>
    <w:p>
      <w:pPr>
        <w:pStyle w:val="DGTextstand-alone"/>
      </w:pPr>
      <w:r>
        <w:t>Размерът на консолидираните разходи намаля с 11 % — на 128,1 милиарда евро — в сравнение с 2016 г., което е следствие предимно от следното:</w:t>
      </w:r>
    </w:p>
    <w:p>
      <w:pPr>
        <w:pStyle w:val="DGTextstand-alone"/>
        <w:numPr>
          <w:ilvl w:val="0"/>
          <w:numId w:val="37"/>
        </w:numPr>
      </w:pPr>
      <w:r>
        <w:t>разходите по ЕФРР и КФ намаляха с приблизително 50 %, или със 17,4 милиарда евро, поради по-малките разходи, направени във връзка с предходния период на програмиране (2007—2013 г.); и</w:t>
      </w:r>
    </w:p>
    <w:p>
      <w:pPr>
        <w:pStyle w:val="DGTextstand-alone"/>
        <w:numPr>
          <w:ilvl w:val="0"/>
          <w:numId w:val="37"/>
        </w:numPr>
      </w:pPr>
      <w:r>
        <w:t>по същата причина разходите по Европейския земеделски фонд за развитие на селските райони (ЕЗФРСР) и по други инструменти за развитие на селските райони също намаляха — с 1,2 милиарда евро.</w:t>
      </w:r>
    </w:p>
    <w:p>
      <w:pPr>
        <w:pStyle w:val="DGTextstand-alone"/>
        <w:spacing w:before="0" w:after="0"/>
      </w:pPr>
    </w:p>
    <w:p>
      <w:pPr>
        <w:rPr>
          <w:rFonts w:ascii="Verdana" w:hAnsi="Verdana"/>
          <w:b/>
          <w:noProof/>
          <w:color w:val="016794"/>
          <w:sz w:val="28"/>
          <w:szCs w:val="30"/>
        </w:rPr>
      </w:pPr>
      <w:bookmarkStart w:id="217" w:name="_Toc491880236"/>
      <w:r>
        <w:rPr>
          <w:noProof/>
        </w:rPr>
        <w:br w:type="page"/>
      </w:r>
    </w:p>
    <w:p>
      <w:pPr>
        <w:pStyle w:val="HEADER2Part4"/>
        <w:spacing w:after="120"/>
      </w:pPr>
      <w:bookmarkStart w:id="218" w:name="_Toc517190622"/>
      <w:bookmarkStart w:id="219" w:name="_Toc517434270"/>
      <w:bookmarkStart w:id="220" w:name="_Toc522890374"/>
      <w:r>
        <w:t>АКТИВИ</w:t>
      </w:r>
      <w:bookmarkEnd w:id="217"/>
      <w:bookmarkEnd w:id="218"/>
      <w:bookmarkEnd w:id="219"/>
      <w:bookmarkEnd w:id="220"/>
    </w:p>
    <w:p>
      <w:pPr>
        <w:pStyle w:val="DGTextstand-alone"/>
      </w:pPr>
      <w:r>
        <w:t>Най-съществените позиции от страната на активите на счетоводния баланс са свързани с финансовите активи (заеми, финансови активи, обявени за продажба, пари в брой) и сумите по предварително финансиране, които представляват приблизително 85 % от активите на ЕС.</w:t>
      </w:r>
    </w:p>
    <w:p>
      <w:pPr>
        <w:pStyle w:val="HEADER5"/>
        <w:rPr>
          <w:noProof/>
        </w:rPr>
      </w:pPr>
      <w:r>
        <w:rPr>
          <w:noProof/>
        </w:rPr>
        <w:t>Състав на консолидираните активи на ЕС</w:t>
      </w:r>
    </w:p>
    <w:p>
      <w:pPr>
        <w:pStyle w:val="HEADER5"/>
        <w:jc w:val="center"/>
        <w:rPr>
          <w:noProof/>
        </w:rPr>
      </w:pPr>
      <w:r>
        <w:rPr>
          <w:noProof/>
          <w:lang w:val="en-US" w:eastAsia="en-US" w:bidi="ar-SA"/>
        </w:rPr>
        <w:drawing>
          <wp:inline distT="0" distB="0" distL="0" distR="0">
            <wp:extent cx="5019675" cy="329014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5021316" cy="3291215"/>
                    </a:xfrm>
                    <a:prstGeom prst="rect">
                      <a:avLst/>
                    </a:prstGeom>
                  </pic:spPr>
                </pic:pic>
              </a:graphicData>
            </a:graphic>
          </wp:inline>
        </w:drawing>
      </w:r>
    </w:p>
    <w:p>
      <w:pPr>
        <w:pStyle w:val="DGTextstand-alone"/>
      </w:pPr>
      <w:r>
        <w:t>Към 31 декември 2017 г. общият размер на активите възлизаше на 166,2 милиарда евро, което отразява увеличение с приблизително 2 %. Основните промени бяха:</w:t>
      </w:r>
    </w:p>
    <w:p>
      <w:pPr>
        <w:pStyle w:val="DGTextstand-alone"/>
        <w:numPr>
          <w:ilvl w:val="0"/>
          <w:numId w:val="38"/>
        </w:numPr>
      </w:pPr>
      <w:r>
        <w:t>увеличение с 3,6 милиарда евро на предварителното финансиране вследствие на малки увеличения в повечето области на политиката;</w:t>
      </w:r>
    </w:p>
    <w:p>
      <w:pPr>
        <w:pStyle w:val="DGTextstand-alone"/>
        <w:numPr>
          <w:ilvl w:val="0"/>
          <w:numId w:val="39"/>
        </w:numPr>
      </w:pPr>
      <w:r>
        <w:t>увеличение с 2,5 милиарда евро на финансовите инструменти във връзка с обезпечаването на операциите на Гаранционния фонд на ЕФСИ. Този фонд бе създаден, за да се осигури ликвиден буфер срещу потенциалните загуби, понесени от ЕИБ във връзка с нейните операции по финансиране и инвестиране, които отговарят на условията за гаранцията от ЕС по линия на ЕФСИ съгласно Споразумението за ЕФСИ. Той ще бъде захранван постепенно и постепенно ще достигне 9,1 милиарда евро, предназначени за покриване на 35 % от общите бъдещи задължения, свързани с гаранцията от ЕС по линия на ЕФСИ; и</w:t>
      </w:r>
    </w:p>
    <w:p>
      <w:pPr>
        <w:pStyle w:val="DGTextstand-alone"/>
        <w:numPr>
          <w:ilvl w:val="0"/>
          <w:numId w:val="39"/>
        </w:numPr>
      </w:pPr>
      <w:r>
        <w:t>увеличение с 0,7 милиона евро на имотите, машините и съоръженията, свързано с бъдещите разработки на космическите активи („Галилео“ и „Коперник“).</w:t>
      </w:r>
    </w:p>
    <w:p>
      <w:pPr>
        <w:pStyle w:val="DGTextstand-alone"/>
      </w:pPr>
      <w:r>
        <w:t>Като цяло институциите и органите на ЕС се стремят да задържат парите и паричните еквиваленти на ниско равнище. Паричната наличност от 24,1 милиарда евро към края на годината е по-ниска от тази за 2016 г. и включва следните основни елементи:</w:t>
      </w:r>
    </w:p>
    <w:p>
      <w:pPr>
        <w:pStyle w:val="DGTextstand-alone"/>
        <w:numPr>
          <w:ilvl w:val="0"/>
          <w:numId w:val="38"/>
        </w:numPr>
      </w:pPr>
      <w:r>
        <w:t>собствени ресурси; салдото към края на годината включва обща нетна сума от 8,9 милиарда евро, която трябва да бъде върната на държавите членки в началото на 2018 г. вследствие на коригиращи бюджети, приети в края на 2017 г.;</w:t>
      </w:r>
    </w:p>
    <w:p>
      <w:pPr>
        <w:pStyle w:val="DGTextstand-alone"/>
        <w:numPr>
          <w:ilvl w:val="0"/>
          <w:numId w:val="38"/>
        </w:numPr>
      </w:pPr>
      <w:r>
        <w:t>глобите, наложени от Комисията за нарушаване на правилата за конкуренция, в размер на 0,5 милиарда евро, окончателно платени в края на 2017 г., също са част от касовите наличности към края на годината; и</w:t>
      </w:r>
    </w:p>
    <w:p>
      <w:pPr>
        <w:pStyle w:val="DGTextstand-alone"/>
        <w:numPr>
          <w:ilvl w:val="0"/>
          <w:numId w:val="38"/>
        </w:numPr>
      </w:pPr>
      <w:r>
        <w:t>касовите наличности включват също така целевите приходи и бюджетните кредити за плащания в размер на 8,4 милиарда евро.</w:t>
      </w:r>
    </w:p>
    <w:p>
      <w:pPr>
        <w:rPr>
          <w:rFonts w:ascii="Verdana" w:hAnsi="Verdana"/>
          <w:noProof/>
          <w:color w:val="016794"/>
          <w:sz w:val="18"/>
          <w:szCs w:val="18"/>
        </w:rPr>
      </w:pPr>
      <w:r>
        <w:rPr>
          <w:noProof/>
        </w:rPr>
        <w:br w:type="page"/>
      </w:r>
    </w:p>
    <w:p>
      <w:pPr>
        <w:pStyle w:val="HEADER5"/>
        <w:rPr>
          <w:noProof/>
        </w:rPr>
      </w:pPr>
      <w:r>
        <w:rPr>
          <w:noProof/>
        </w:rPr>
        <w:t>Предварително финансиране</w:t>
      </w:r>
    </w:p>
    <w:p>
      <w:pPr>
        <w:pStyle w:val="DGTextstand-alone"/>
        <w:spacing w:before="120" w:after="120"/>
      </w:pPr>
      <w:r>
        <w:t>Следва да се отбележи, че равнището на предварителното финансиране се влияе значително от цикъла на МФР — например в началото на даден период на МФР може да се очакват големи авансови плащания към държавите членки в рамките на политиката на сближаване. Комисията прави всичко възможно, за да гарантира, че нивата на предварителното финансиране се поддържат на подходящо равнище. Трябва да бъде постигнат баланс между осигуряването на достатъчно финансиране за проектите и своевременното признаване на разходите.</w:t>
      </w:r>
    </w:p>
    <w:p>
      <w:pPr>
        <w:pStyle w:val="DGTextstand-alone"/>
        <w:spacing w:before="120" w:after="120"/>
      </w:pPr>
      <w:r>
        <w:t>Общият размер на предварителното финансиране (без другите авансови плащания към държавите членки и средствата, предоставени на доверителния фонд „Беку“ и доверителния фонд за Африка) в счетоводния баланс на ЕС възлиза на 44,3 милиарда евро (2016 г.: 41,6 милиарда евро), почти всички от които са свързани с дейности на Комисията. Около 61 % от предварителното финансиране от Комисията се отнасят до споделеното управление, което означава, че изпълнението на бюджета се делегира на държавите членки (Комисията има надзорна функция).</w:t>
      </w:r>
    </w:p>
    <w:p>
      <w:pPr>
        <w:pStyle w:val="HEADER5"/>
        <w:rPr>
          <w:noProof/>
        </w:rPr>
      </w:pPr>
      <w:r>
        <w:rPr>
          <w:noProof/>
        </w:rPr>
        <w:t>Предварително финансиране от Комисията по режими на управление</w:t>
      </w:r>
    </w:p>
    <w:p>
      <w:pPr>
        <w:pStyle w:val="Textstand-alone"/>
        <w:jc w:val="center"/>
      </w:pPr>
      <w:r>
        <w:rPr>
          <w:lang w:val="en-US" w:eastAsia="en-US" w:bidi="ar-SA"/>
        </w:rPr>
        <w:drawing>
          <wp:inline distT="0" distB="0" distL="0" distR="0">
            <wp:extent cx="3943350" cy="265824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3943350" cy="2658240"/>
                    </a:xfrm>
                    <a:prstGeom prst="rect">
                      <a:avLst/>
                    </a:prstGeom>
                  </pic:spPr>
                </pic:pic>
              </a:graphicData>
            </a:graphic>
          </wp:inline>
        </w:drawing>
      </w:r>
    </w:p>
    <w:p>
      <w:pPr>
        <w:pStyle w:val="DGTextstand-alone"/>
      </w:pPr>
      <w:r>
        <w:t>Най-значителната сума предварително финансиране в рамките на споделеното управление се отнася до ЕФРР и Кохезионния фонд (14,9 милиарда евро).</w:t>
      </w:r>
    </w:p>
    <w:p>
      <w:pPr>
        <w:pStyle w:val="HEADER5"/>
        <w:rPr>
          <w:noProof/>
        </w:rPr>
      </w:pPr>
      <w:r>
        <w:rPr>
          <w:noProof/>
        </w:rPr>
        <w:t>ФИНАНСОВИ ИНСТРУМЕНТИ</w:t>
      </w:r>
    </w:p>
    <w:p>
      <w:pPr>
        <w:pStyle w:val="DGTextstand-alone"/>
        <w:spacing w:before="120" w:after="120"/>
      </w:pPr>
      <w:r>
        <w:t>В консолидираните финансови отчети на ЕС следните елементи са посочени в счетоводен аспект като финансови инструменти:</w:t>
      </w:r>
    </w:p>
    <w:p>
      <w:pPr>
        <w:pStyle w:val="DGTextstand-alone"/>
        <w:numPr>
          <w:ilvl w:val="0"/>
          <w:numId w:val="40"/>
        </w:numPr>
        <w:spacing w:before="120" w:after="120"/>
        <w:rPr>
          <w:spacing w:val="-6"/>
        </w:rPr>
      </w:pPr>
      <w:r>
        <w:rPr>
          <w:spacing w:val="-6"/>
        </w:rPr>
        <w:t>Финансови инструменти, финансирани от бюджета на ЕС: при този вид изпълнение на бюджета средствата или вече са прехвърлени в доверителните сметки, управлявани от оправомощените субекти, и могат да се ползват (като пари и парични еквиваленти и дългови ценни книжа) за покриване на бъдещи задействани гаранции, или са инвестирани в капиталови инструменти;</w:t>
      </w:r>
    </w:p>
    <w:p>
      <w:pPr>
        <w:pStyle w:val="DGTextstand-alone"/>
        <w:numPr>
          <w:ilvl w:val="0"/>
          <w:numId w:val="40"/>
        </w:numPr>
        <w:spacing w:before="120" w:after="120"/>
        <w:rPr>
          <w:spacing w:val="-6"/>
        </w:rPr>
      </w:pPr>
      <w:r>
        <w:rPr>
          <w:spacing w:val="-6"/>
        </w:rPr>
        <w:t xml:space="preserve">Финансови активи, държани в гаранционни фондове за бюджетни гаранции: при този вид изпълнение на бюджета ЕС предоставя гаранции на оправомощените субекти, финансирането за които е само частично обезпечено чрез гаранционни фондове, създадени от Комисията, и по този начин се създават условни задължения за бюджета на ЕС (вж. бележка </w:t>
      </w:r>
      <w:r>
        <w:rPr>
          <w:b/>
          <w:spacing w:val="-6"/>
        </w:rPr>
        <w:t>3.3</w:t>
      </w:r>
      <w:r>
        <w:rPr>
          <w:spacing w:val="-6"/>
        </w:rPr>
        <w:t>); и</w:t>
      </w:r>
    </w:p>
    <w:p>
      <w:pPr>
        <w:pStyle w:val="DGTextstand-alone"/>
        <w:numPr>
          <w:ilvl w:val="0"/>
          <w:numId w:val="40"/>
        </w:numPr>
      </w:pPr>
      <w:r>
        <w:t>отпуснатите заеми и свързаните с тях получени заеми за програми за финансова помощ.</w:t>
      </w:r>
    </w:p>
    <w:p>
      <w:pPr>
        <w:pStyle w:val="HEADER5"/>
        <w:rPr>
          <w:noProof/>
        </w:rPr>
      </w:pPr>
      <w:r>
        <w:rPr>
          <w:noProof/>
        </w:rPr>
        <w:t>Финансови инструменти, финансирани от бюджета на ЕС</w:t>
      </w:r>
    </w:p>
    <w:p>
      <w:pPr>
        <w:pStyle w:val="DGTextstand-alone"/>
        <w:spacing w:before="120" w:after="120"/>
      </w:pPr>
      <w:r>
        <w:t>Значението и обемът на финансовите инструменти, финансирани от бюджета на ЕС, в рамките на прякото и непрякото управление нараства всяка следваща година. Основната идея зад този подход, за разлика от традиционния метод на изпълнение на бюджета чрез предоставяне на безвъзмездни средства и субсидии, е, че за всяко евро, похарчено от бюджета чрез финансови инструменти, крайният бенефициер получава над 1 EUR финансова подкрепа благодарение на лостовия ефект. Това усвояване на бюджета на ЕС има за цел да се максимизира въздействието на наличните средства. Финансовите инструменти, финансирани от бюджета на ЕС, съществуват под формата на гаранционни инструменти, капиталови инструменти и инструменти за отпускане на заеми (вж. прегледа от МФР по-долу). Активите, държани в тези инструменти, се държат в пари и парични еквиваленти или се инвестират в капиталови инструменти и дългови ценни книжа, които се посочват като финансови активи, обявени за продажба, в консолидираните финансови отчети на ЕС.</w:t>
      </w:r>
    </w:p>
    <w:p>
      <w:pPr>
        <w:pStyle w:val="DGTextstand-alone"/>
        <w:spacing w:before="120" w:after="0"/>
        <w:rPr>
          <w:b/>
          <w:color w:val="000000" w:themeColor="text1"/>
        </w:rPr>
      </w:pPr>
      <w:r>
        <w:rPr>
          <w:color w:val="000000" w:themeColor="text1"/>
        </w:rPr>
        <w:t>Финансови активи, обявени за продажба, на финансовите инструменти, финансирани от бюджета на ЕС (стойност към края на годината)</w:t>
      </w:r>
    </w:p>
    <w:p>
      <w:pPr>
        <w:pStyle w:val="Textstand-alone"/>
        <w:spacing w:before="0"/>
        <w:jc w:val="center"/>
      </w:pPr>
      <w:r>
        <w:rPr>
          <w:lang w:val="en-US" w:eastAsia="en-US" w:bidi="ar-SA"/>
        </w:rPr>
        <w:drawing>
          <wp:inline distT="0" distB="0" distL="0" distR="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p>
      <w:pPr>
        <w:pStyle w:val="DGTextstand-alone"/>
        <w:spacing w:before="120" w:after="0"/>
        <w:rPr>
          <w:b/>
        </w:rPr>
      </w:pPr>
      <w:r>
        <w:t>Таблиците по-долу съдържат преглед на финансовите инструменти, финансирани от бюджета на ЕС, за всяка МФР и техните стойности към 31 декември 2017 г.:</w:t>
      </w:r>
    </w:p>
    <w:tbl>
      <w:tblPr>
        <w:tblW w:w="10073" w:type="dxa"/>
        <w:tblInd w:w="108" w:type="dxa"/>
        <w:tblLook w:val="0480" w:firstRow="0" w:lastRow="0" w:firstColumn="1" w:lastColumn="0" w:noHBand="0" w:noVBand="1"/>
      </w:tblPr>
      <w:tblGrid>
        <w:gridCol w:w="5948"/>
        <w:gridCol w:w="1188"/>
        <w:gridCol w:w="1348"/>
        <w:gridCol w:w="1589"/>
      </w:tblGrid>
      <w:tr>
        <w:trPr>
          <w:trHeight w:val="315"/>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pPr>
              <w:rPr>
                <w:rFonts w:ascii="Verdana" w:hAnsi="Verdana"/>
                <w:i/>
                <w:noProof/>
                <w:color w:val="000000"/>
                <w:sz w:val="16"/>
                <w:szCs w:val="18"/>
              </w:rPr>
            </w:pPr>
            <w:r>
              <w:rPr>
                <w:rFonts w:ascii="Verdana" w:hAnsi="Verdana"/>
                <w:i/>
                <w:noProof/>
                <w:color w:val="000000"/>
                <w:sz w:val="16"/>
              </w:rPr>
              <w:t>милиони евро</w:t>
            </w: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Свързани с повече от една МФР</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Активи*</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Пасиви**</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Гаранции***</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Инструменти за гаранции и за споделяне на риска:</w:t>
            </w:r>
          </w:p>
        </w:tc>
        <w:tc>
          <w:tcPr>
            <w:tcW w:w="118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47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Механизъм за гарантиране по Инструмента за развитие на предприятията и иновациите за Западните Балкани (EDIF)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Капиталови инструменти:</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bookmarkStart w:id="221" w:name="OLE_LINK3"/>
            <w:r>
              <w:rPr>
                <w:rFonts w:ascii="Verdana" w:hAnsi="Verdana"/>
                <w:noProof/>
                <w:color w:val="000000"/>
                <w:sz w:val="16"/>
              </w:rPr>
              <w:t xml:space="preserve">Европейски фонд за Югоизточна Европа (ЕФЮЕ)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119</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Фонд „Екология за растеж“ за региона на източните съседни държави</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Фонд за иновации в предприятията (ENIF)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Фонд за БИСА за микро-, малките и средните предприятия (SANAD)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Фонд за разширяване на предприятията (ENEF)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2"/>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pacing w:val="-6"/>
                <w:sz w:val="16"/>
                <w:szCs w:val="16"/>
              </w:rPr>
            </w:pPr>
            <w:r>
              <w:rPr>
                <w:rFonts w:ascii="Verdana" w:hAnsi="Verdana"/>
                <w:noProof/>
                <w:color w:val="000000"/>
                <w:spacing w:val="-6"/>
                <w:sz w:val="16"/>
              </w:rPr>
              <w:t>Инициатива за микрофинансиране за Фонда за азиатския дълг (MIFA)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21"/>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245</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Общо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273</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170"/>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МФР 2014—2020 г.</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Активи</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Пасиви</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Гаранции</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Инструменти за гаранции и за споделяне на риска:</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22" w:name="OLE_LINK4"/>
            <w:r>
              <w:rPr>
                <w:rFonts w:ascii="Verdana" w:hAnsi="Verdana"/>
                <w:noProof/>
                <w:color w:val="000000"/>
                <w:sz w:val="16"/>
              </w:rPr>
              <w:t>„Хоризонт 2020“ — услуга за заеми и гаранции по InnovFin за научни изследвания и иновации</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941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(813)</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„Хоризонт 2020“ — гаранция за МСП по InnovFin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694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(484)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Дългов инструмент на Механизма за свързване на Европа (ДИ на МСЕ)</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(490)</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COSME — механизъм за гарантиране на заеми</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(331)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Механизъм за гарантиране на заетостта и социалните иновации (ЗиСИ)</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sz w:val="16"/>
                <w:szCs w:val="16"/>
              </w:rPr>
            </w:pPr>
            <w:r>
              <w:rPr>
                <w:rFonts w:ascii="Verdana" w:hAnsi="Verdana"/>
                <w:noProof/>
                <w:sz w:val="16"/>
              </w:rPr>
              <w:t>Инструмент за частно финансиране за енергийна ефективност (PF4EE)</w:t>
            </w:r>
          </w:p>
        </w:tc>
        <w:tc>
          <w:tcPr>
            <w:tcW w:w="118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31</w:t>
            </w:r>
          </w:p>
        </w:tc>
        <w:tc>
          <w:tcPr>
            <w:tcW w:w="134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Механизъм за гарантиране за секторите на културата и творчеството</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Механизъм за гарантиране на студентски заеми</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Програма за финансово приобщаване на ММСП в ЮИС</w:t>
            </w:r>
          </w:p>
        </w:tc>
        <w:tc>
          <w:tcPr>
            <w:tcW w:w="118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r>
      <w:tr>
        <w:trPr>
          <w:trHeight w:hRule="exact" w:val="284"/>
        </w:trPr>
        <w:tc>
          <w:tcPr>
            <w:tcW w:w="5948"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Инструмент за финансиране на природен капитал</w:t>
            </w:r>
          </w:p>
        </w:tc>
        <w:tc>
          <w:tcPr>
            <w:tcW w:w="118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r>
      <w:tr>
        <w:trPr>
          <w:trHeight w:hRule="exact" w:val="284"/>
        </w:trPr>
        <w:tc>
          <w:tcPr>
            <w:tcW w:w="5948" w:type="dxa"/>
            <w:tcBorders>
              <w:top w:val="single" w:sz="8" w:space="0" w:color="auto"/>
              <w:right w:val="nil"/>
            </w:tcBorders>
            <w:shd w:val="clear" w:color="auto" w:fill="auto"/>
            <w:vAlign w:val="center"/>
          </w:tcPr>
          <w:p>
            <w:pPr>
              <w:rPr>
                <w:rFonts w:ascii="Verdana" w:hAnsi="Verdana"/>
                <w:noProof/>
                <w:color w:val="000000"/>
                <w:sz w:val="16"/>
                <w:szCs w:val="16"/>
              </w:rPr>
            </w:pPr>
          </w:p>
          <w:p>
            <w:pPr>
              <w:rPr>
                <w:rFonts w:ascii="Verdana" w:hAnsi="Verdana"/>
                <w:noProof/>
                <w:color w:val="000000"/>
                <w:sz w:val="16"/>
                <w:szCs w:val="16"/>
              </w:rPr>
            </w:pPr>
          </w:p>
        </w:tc>
        <w:tc>
          <w:tcPr>
            <w:tcW w:w="118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single" w:sz="8" w:space="0" w:color="auto"/>
              <w:left w:val="nil"/>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bottom w:val="nil"/>
              <w:right w:val="nil"/>
            </w:tcBorders>
            <w:shd w:val="clear" w:color="auto" w:fill="auto"/>
            <w:vAlign w:val="center"/>
          </w:tcPr>
          <w:p>
            <w:pPr>
              <w:rPr>
                <w:rFonts w:ascii="Verdana" w:hAnsi="Verdana"/>
                <w:noProof/>
                <w:color w:val="000000"/>
                <w:sz w:val="16"/>
                <w:szCs w:val="16"/>
              </w:rPr>
            </w:pPr>
          </w:p>
        </w:tc>
        <w:tc>
          <w:tcPr>
            <w:tcW w:w="118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left w:val="nil"/>
              <w:bottom w:val="nil"/>
            </w:tcBorders>
            <w:shd w:val="clear" w:color="auto" w:fill="auto"/>
            <w:noWrap/>
            <w:vAlign w:val="center"/>
          </w:tcPr>
          <w:p>
            <w:pPr>
              <w:jc w:val="right"/>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МФР 2014—2020 г.</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Активи</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Пасиви</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Гаранции</w:t>
            </w:r>
          </w:p>
        </w:tc>
      </w:tr>
      <w:tr>
        <w:trPr>
          <w:trHeight w:hRule="exact" w:val="284"/>
        </w:trPr>
        <w:tc>
          <w:tcPr>
            <w:tcW w:w="5948"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rPr>
              <w:t>(продължение от предишната страница)</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Механизъм за финансиране на МСП в Източното партньорство</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Програма „Жените в бизнеса“ в Източното партньорство</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Подкрепа за икономическото диверсифициране на Монголия</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22"/>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2 538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(604)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(1 802)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Капиталови инструменти:</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23" w:name="OLE_LINK5"/>
            <w:r>
              <w:rPr>
                <w:rFonts w:ascii="Verdana" w:hAnsi="Verdana"/>
                <w:noProof/>
                <w:color w:val="000000"/>
                <w:sz w:val="16"/>
              </w:rPr>
              <w:t>„Хоризонт 2020“ — капиталов механизъм по InnovFin за научни изследвания и иновации</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COSME — капиталов механизъм за растеж</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Инструмент за рисков капитал за южните съседни държави</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Climate Investor One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Механизъм за инвестиции в Латинска Америка</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2"/>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pacing w:val="-6"/>
                <w:sz w:val="16"/>
                <w:szCs w:val="16"/>
              </w:rPr>
            </w:pPr>
            <w:r>
              <w:rPr>
                <w:rFonts w:ascii="Verdana" w:hAnsi="Verdana"/>
                <w:noProof/>
                <w:color w:val="000000"/>
                <w:spacing w:val="-6"/>
                <w:sz w:val="16"/>
              </w:rPr>
              <w:t>Инвестиционен фонд за селското стопанство и търговията в Африка</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23"/>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416</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(12)</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Смесени инструменти:</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24" w:name="OLE_LINK6"/>
            <w:r>
              <w:rPr>
                <w:rFonts w:ascii="Verdana" w:hAnsi="Verdana"/>
                <w:noProof/>
                <w:color w:val="000000"/>
                <w:sz w:val="16"/>
              </w:rPr>
              <w:t>Механизъм на ЕС за задълбочена и всеобхватна зона за свободна търговия</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ElectriFI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24"/>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102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(18)</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Общо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3 056</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(615)</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(1 820)</w:t>
            </w:r>
          </w:p>
        </w:tc>
      </w:tr>
      <w:tr>
        <w:trPr>
          <w:trHeight w:hRule="exact" w:val="57"/>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МФР преди 2014 г.</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Активи</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Пасиви</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Гаранции</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Инструменти за гаранции и за споделяне на риска:</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25" w:name="OLE_LINK7"/>
            <w:r>
              <w:rPr>
                <w:rFonts w:ascii="Verdana" w:hAnsi="Verdana"/>
                <w:noProof/>
                <w:color w:val="000000"/>
                <w:sz w:val="16"/>
              </w:rPr>
              <w:t>Механизъм за финансиране с поделяне на риска (МФПР)</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763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(654)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Механизъм за гарантиране по отношение на МСП в рамките на CIP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(167)</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Многогодишна програма (МП) за предприятията</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Механизъм за гарантиране по отношение на МСП</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Европейски мандат за микрофинансиране „Прогрес“</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25"/>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904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(279)</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noProof/>
                <w:sz w:val="16"/>
              </w:rPr>
              <w:t>(654)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 xml:space="preserve">Капиталови инструменти: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26" w:name="OLE_LINK8"/>
            <w:r>
              <w:rPr>
                <w:rFonts w:ascii="Verdana" w:hAnsi="Verdana"/>
                <w:noProof/>
                <w:color w:val="000000"/>
                <w:sz w:val="16"/>
              </w:rPr>
              <w:t>Инструмент за висок растеж и иновационни МСП в рамките на CIP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Капиталов механизъм по многогодишната рамкова програма</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Европейски фонд за енергийна ефективност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Фонд Marguerite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Световен фонд за енергийна ефективност и възобновяема енергия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Европейски механизъм за микрофинансиране „Прогрес“ за Програмата на Европейския съюз за заетост и социални иновации</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Схема за подкрепа на стартиращи предприятия по Европейския механизъм за технологии 1998 (ETF Start-up)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Пилотни проекти за трансфер на технологии</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26"/>
      <w:tr>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974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Смесени инструменти:</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27" w:name="OLE_LINK9"/>
            <w:r>
              <w:rPr>
                <w:rFonts w:ascii="Verdana" w:hAnsi="Verdana"/>
                <w:noProof/>
                <w:color w:val="000000"/>
                <w:sz w:val="16"/>
              </w:rPr>
              <w:t>Инструмент за икономическо и финансово сътрудничество MEDA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Европейски инструмент за съседство и партньорство (ЕИСП)</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Заем за подкрепа на МСП</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27"/>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320</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(5)</w:t>
            </w:r>
          </w:p>
        </w:tc>
        <w:tc>
          <w:tcPr>
            <w:tcW w:w="1589" w:type="dxa"/>
            <w:tcBorders>
              <w:top w:val="nil"/>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 xml:space="preserve">Общо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2 198</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(288)</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(654)</w:t>
            </w:r>
          </w:p>
        </w:tc>
      </w:tr>
      <w:tr>
        <w:trPr>
          <w:trHeight w:hRule="exact" w:val="57"/>
        </w:trPr>
        <w:tc>
          <w:tcPr>
            <w:tcW w:w="59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Общо всичко</w:t>
            </w:r>
          </w:p>
        </w:tc>
        <w:tc>
          <w:tcPr>
            <w:tcW w:w="118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5 526</w:t>
            </w:r>
          </w:p>
        </w:tc>
        <w:tc>
          <w:tcPr>
            <w:tcW w:w="134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(930)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(2 473)</w:t>
            </w:r>
          </w:p>
        </w:tc>
      </w:tr>
      <w:tr>
        <w:trPr>
          <w:trHeight w:val="300"/>
        </w:trPr>
        <w:tc>
          <w:tcPr>
            <w:tcW w:w="10073" w:type="dxa"/>
            <w:gridSpan w:val="4"/>
            <w:tcBorders>
              <w:top w:val="single" w:sz="12" w:space="0" w:color="auto"/>
              <w:left w:val="nil"/>
              <w:bottom w:val="nil"/>
              <w:right w:val="nil"/>
            </w:tcBorders>
            <w:shd w:val="clear" w:color="auto" w:fill="auto"/>
            <w:noWrap/>
            <w:vAlign w:val="center"/>
            <w:hideMark/>
          </w:tcPr>
          <w:p>
            <w:pPr>
              <w:pStyle w:val="Asterix"/>
            </w:pPr>
            <w:r>
              <w:rPr>
                <w:i w:val="0"/>
              </w:rPr>
              <w:t xml:space="preserve">*    </w:t>
            </w:r>
            <w:r>
              <w:t>Активите, представени в тази таблица, включват няколко елемента от финансовите отчети („обявени за продажба“ на стойност 4 014 милиона евро (от които 1 145 милиона евро са капиталови инструменти); пари и парични еквиваленти на стойност 1 325 милиона евро; Заеми в размер на 93 милиона евро и други елементи в размер на 94 милиона евро).</w:t>
            </w:r>
          </w:p>
          <w:p>
            <w:pPr>
              <w:pStyle w:val="Asterix"/>
              <w:spacing w:before="120"/>
            </w:pPr>
            <w:r>
              <w:t>**   Пасивите, представени в тази таблица, включват няколко елемента от финансовите отчети (провизии на стойност 857 милиона евро; задължения в размер на 66 милиона евро и други елементи в размер на 7 милиона евро).</w:t>
            </w:r>
          </w:p>
          <w:p>
            <w:pPr>
              <w:pStyle w:val="Asterix"/>
              <w:spacing w:before="120"/>
            </w:pPr>
            <w:r>
              <w:t xml:space="preserve">*** За някои гаранции поетият от ЕС риск е изцяло покрит от осигурените провизии. </w:t>
            </w:r>
            <w:r>
              <w:br/>
            </w:r>
          </w:p>
        </w:tc>
      </w:tr>
    </w:tbl>
    <w:p>
      <w:pPr>
        <w:rPr>
          <w:rFonts w:ascii="Verdana" w:hAnsi="Verdana"/>
          <w:noProof/>
          <w:color w:val="016794"/>
          <w:sz w:val="18"/>
          <w:szCs w:val="18"/>
        </w:rPr>
      </w:pPr>
      <w:r>
        <w:rPr>
          <w:noProof/>
        </w:rPr>
        <w:br w:type="page"/>
      </w:r>
    </w:p>
    <w:p>
      <w:pPr>
        <w:pStyle w:val="HEADER5"/>
        <w:rPr>
          <w:noProof/>
        </w:rPr>
      </w:pPr>
      <w:r>
        <w:rPr>
          <w:noProof/>
        </w:rPr>
        <w:t>Финансови активи, държани в гаранционни фондове за бюджетни гаранции</w:t>
      </w:r>
    </w:p>
    <w:p>
      <w:pPr>
        <w:pStyle w:val="DGTextstand-alone"/>
      </w:pPr>
      <w:r>
        <w:t xml:space="preserve">Комисията създаде гаранционни фондове за покриване на бюджетните гаранции (вж. бележка </w:t>
      </w:r>
      <w:r>
        <w:rPr>
          <w:b/>
        </w:rPr>
        <w:t>4.1.1</w:t>
      </w:r>
      <w:r>
        <w:t xml:space="preserve"> от консолидираните финансови отчети), предоставени на групата на ЕИБ. Тези гаранционни фондове се захранват със средства чрез плащания от бюджета на ЕС, за да се осигури ликвиден буфер срещу потенциални загуби от гарантираните операции. Плащанията към гаранционните фондове се инвестират във финансови инструменти, включително дългови ценни книжа, пари в брой и срочни депозити. Към 31 декември 2017 г. Комисията притежава финансови активи в:</w:t>
      </w:r>
    </w:p>
    <w:p>
      <w:pPr>
        <w:pStyle w:val="DGTextstand-alone"/>
        <w:numPr>
          <w:ilvl w:val="0"/>
          <w:numId w:val="41"/>
        </w:numPr>
      </w:pPr>
      <w:r>
        <w:t>Гаранционния фонд за външни дейности — 2,4 милиарда евро; и</w:t>
      </w:r>
    </w:p>
    <w:p>
      <w:pPr>
        <w:pStyle w:val="DGTextstand-alone"/>
        <w:numPr>
          <w:ilvl w:val="0"/>
          <w:numId w:val="41"/>
        </w:numPr>
      </w:pPr>
      <w:r>
        <w:t>Гаранционния фонд на ЕФСИ — 3,5 милиарда евро.</w:t>
      </w:r>
    </w:p>
    <w:p>
      <w:pPr>
        <w:pStyle w:val="HEADER5"/>
        <w:rPr>
          <w:noProof/>
        </w:rPr>
      </w:pPr>
    </w:p>
    <w:p>
      <w:pPr>
        <w:pStyle w:val="HEADER5"/>
        <w:rPr>
          <w:noProof/>
        </w:rPr>
      </w:pPr>
      <w:r>
        <w:rPr>
          <w:noProof/>
        </w:rPr>
        <w:t>Отпуснати заеми и свързаните с тях получени заеми за програми за финансова помощ</w:t>
      </w:r>
    </w:p>
    <w:p>
      <w:pPr>
        <w:pStyle w:val="DGTextstand-alone"/>
      </w:pPr>
      <w:bookmarkStart w:id="228" w:name="_Toc491880237"/>
      <w:r>
        <w:t>Финансова подкрепа за държавите членки и за трети държави под формата на двустранни заеми, финансирани със средства от капиталовите пазари с гаранцията на бюджета на ЕС, се предоставя от Комисията по силата на решения на Европейския парламент и на Съвета.</w:t>
      </w:r>
    </w:p>
    <w:p>
      <w:pPr>
        <w:pStyle w:val="DGTextstand-alone"/>
      </w:pPr>
      <w:r>
        <w:t xml:space="preserve">Като действа от името на ЕС, понастоящем Комисията управлява три основни програми: </w:t>
      </w:r>
    </w:p>
    <w:p>
      <w:pPr>
        <w:pStyle w:val="DGTextstand-alone"/>
        <w:numPr>
          <w:ilvl w:val="0"/>
          <w:numId w:val="42"/>
        </w:numPr>
        <w:ind w:left="714" w:hanging="357"/>
        <w:contextualSpacing/>
      </w:pPr>
      <w:r>
        <w:t xml:space="preserve">Европейски механизъм за финансово стабилизиране (ЕМФС); </w:t>
      </w:r>
    </w:p>
    <w:p>
      <w:pPr>
        <w:pStyle w:val="DGTextstand-alone"/>
        <w:numPr>
          <w:ilvl w:val="0"/>
          <w:numId w:val="42"/>
        </w:numPr>
        <w:ind w:left="714" w:hanging="357"/>
        <w:contextualSpacing/>
      </w:pPr>
      <w:r>
        <w:t xml:space="preserve">подкрепа за платежния баланс (ПБ); и </w:t>
      </w:r>
    </w:p>
    <w:p>
      <w:pPr>
        <w:pStyle w:val="DGTextstand-alone"/>
        <w:numPr>
          <w:ilvl w:val="0"/>
          <w:numId w:val="42"/>
        </w:numPr>
      </w:pPr>
      <w:r>
        <w:t xml:space="preserve">макрофинансова помощ (МФП), по които може да отпуска заеми. </w:t>
      </w:r>
    </w:p>
    <w:p>
      <w:pPr>
        <w:pStyle w:val="DGTextstand-alone"/>
      </w:pPr>
      <w:r>
        <w:t xml:space="preserve">Капиталът, необходим за финансиране на дейностите на ЕС по отпускане на заеми, се взема от капиталовите пазари или от финансови институции. </w:t>
      </w:r>
    </w:p>
    <w:p>
      <w:pPr>
        <w:pStyle w:val="DGTextstand-alone"/>
        <w:spacing w:before="120" w:after="120"/>
      </w:pPr>
      <w:r>
        <w:t>Към 31 декември 2017 г. номиналният размер на заемите, отпуснати с цел предоставяне на финансова помощ, по линия на ЕМФС и ПБ бе:</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trPr>
          <w:trHeight w:val="300"/>
        </w:trPr>
        <w:tc>
          <w:tcPr>
            <w:tcW w:w="2977"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r>
              <w:rPr>
                <w:rFonts w:ascii="Verdana" w:hAnsi="Verdana"/>
                <w:i/>
                <w:noProof/>
                <w:color w:val="000000"/>
                <w:sz w:val="18"/>
              </w:rPr>
              <w:t>милиарди евро</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noProof/>
                <w:color w:val="FFFFFF"/>
                <w:sz w:val="18"/>
              </w:rPr>
              <w:t>ПБ</w:t>
            </w:r>
          </w:p>
        </w:tc>
        <w:tc>
          <w:tcPr>
            <w:tcW w:w="2928" w:type="dxa"/>
            <w:gridSpan w:val="5"/>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noProof/>
                <w:color w:val="FFFFFF"/>
                <w:sz w:val="18"/>
              </w:rPr>
              <w:t>ЕМФС*</w:t>
            </w:r>
          </w:p>
        </w:tc>
        <w:tc>
          <w:tcPr>
            <w:tcW w:w="1048"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noProof/>
                <w:color w:val="FFFFFF"/>
                <w:sz w:val="18"/>
              </w:rPr>
              <w:t>ОБЩО</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noProof/>
                <w:color w:val="4BACC6"/>
                <w:sz w:val="16"/>
              </w:rPr>
              <w:t>Латвия</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noProof/>
                <w:color w:val="4BACC6"/>
                <w:sz w:val="16"/>
              </w:rPr>
              <w:t>Румъния</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noProof/>
                <w:color w:val="4BACC6"/>
                <w:sz w:val="16"/>
              </w:rPr>
              <w:t>Общо</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noProof/>
                <w:color w:val="92D050"/>
                <w:sz w:val="16"/>
              </w:rPr>
              <w:t>Ирландия</w:t>
            </w:r>
          </w:p>
        </w:tc>
        <w:tc>
          <w:tcPr>
            <w:tcW w:w="1074" w:type="dxa"/>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noProof/>
                <w:color w:val="92D050"/>
                <w:sz w:val="16"/>
              </w:rPr>
              <w:t>Португалия</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noProof/>
                <w:color w:val="92D050"/>
                <w:sz w:val="16"/>
              </w:rPr>
              <w:t>Общо</w:t>
            </w:r>
          </w:p>
        </w:tc>
        <w:tc>
          <w:tcPr>
            <w:tcW w:w="1048"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Общо отпуснати заеми</w:t>
            </w: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3</w:t>
            </w:r>
            <w:r>
              <w:rPr>
                <w:rFonts w:ascii="Verdana" w:hAnsi="Verdana"/>
                <w:noProof/>
                <w:color w:val="000000"/>
                <w:sz w:val="18"/>
                <w:lang w:val="en-GB"/>
              </w:rPr>
              <w:t>,</w:t>
            </w:r>
            <w:r>
              <w:rPr>
                <w:rFonts w:ascii="Verdana" w:hAnsi="Verdana"/>
                <w:noProof/>
                <w:color w:val="000000"/>
                <w:sz w:val="18"/>
              </w:rPr>
              <w:t>1</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r>
              <w:rPr>
                <w:rFonts w:ascii="Verdana" w:hAnsi="Verdana"/>
                <w:noProof/>
                <w:color w:val="000000"/>
                <w:sz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8</w:t>
            </w:r>
            <w:r>
              <w:rPr>
                <w:rFonts w:ascii="Verdana" w:hAnsi="Verdana"/>
                <w:noProof/>
                <w:color w:val="000000"/>
                <w:sz w:val="18"/>
                <w:lang w:val="en-GB"/>
              </w:rPr>
              <w:t>,</w:t>
            </w:r>
            <w:r>
              <w:rPr>
                <w:rFonts w:ascii="Verdana" w:hAnsi="Verdana"/>
                <w:noProof/>
                <w:color w:val="000000"/>
                <w:sz w:val="18"/>
              </w:rPr>
              <w:t>1</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w:t>
            </w:r>
            <w:r>
              <w:rPr>
                <w:rFonts w:ascii="Verdana" w:hAnsi="Verdana"/>
                <w:noProof/>
                <w:color w:val="000000"/>
                <w:sz w:val="18"/>
                <w:lang w:val="en-GB"/>
              </w:rPr>
              <w:t>,</w:t>
            </w:r>
            <w:r>
              <w:rPr>
                <w:rFonts w:ascii="Verdana" w:hAnsi="Verdana"/>
                <w:noProof/>
                <w:color w:val="000000"/>
                <w:sz w:val="18"/>
              </w:rPr>
              <w:t>5</w:t>
            </w:r>
          </w:p>
        </w:tc>
        <w:tc>
          <w:tcPr>
            <w:tcW w:w="1074" w:type="dxa"/>
            <w:tcBorders>
              <w:top w:val="nil"/>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26,0</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48,5</w:t>
            </w:r>
          </w:p>
        </w:tc>
        <w:tc>
          <w:tcPr>
            <w:tcW w:w="1048" w:type="dxa"/>
            <w:tcBorders>
              <w:top w:val="nil"/>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56</w:t>
            </w:r>
            <w:r>
              <w:rPr>
                <w:rFonts w:ascii="Verdana" w:hAnsi="Verdana"/>
                <w:noProof/>
                <w:color w:val="000000"/>
                <w:sz w:val="18"/>
                <w:lang w:val="en-GB"/>
              </w:rPr>
              <w:t>,</w:t>
            </w:r>
            <w:r>
              <w:rPr>
                <w:rFonts w:ascii="Verdana" w:hAnsi="Verdana"/>
                <w:noProof/>
                <w:color w:val="000000"/>
                <w:sz w:val="18"/>
              </w:rPr>
              <w:t>6</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Общо преведени към 31.12.2017 г.</w:t>
            </w:r>
          </w:p>
        </w:tc>
        <w:tc>
          <w:tcPr>
            <w:tcW w:w="1073" w:type="dxa"/>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7</w:t>
            </w:r>
            <w:r>
              <w:rPr>
                <w:rFonts w:ascii="Verdana" w:hAnsi="Verdana"/>
                <w:noProof/>
                <w:color w:val="000000"/>
                <w:sz w:val="18"/>
                <w:lang w:val="en-GB"/>
              </w:rPr>
              <w:t>,</w:t>
            </w:r>
            <w:r>
              <w:rPr>
                <w:rFonts w:ascii="Verdana" w:hAnsi="Verdana"/>
                <w:noProof/>
                <w:color w:val="000000"/>
                <w:sz w:val="18"/>
              </w:rPr>
              <w:t>9</w:t>
            </w:r>
          </w:p>
        </w:tc>
        <w:tc>
          <w:tcPr>
            <w:tcW w:w="1073" w:type="dxa"/>
            <w:gridSpan w:val="3"/>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w:t>
            </w:r>
            <w:r>
              <w:rPr>
                <w:rFonts w:ascii="Verdana" w:hAnsi="Verdana"/>
                <w:noProof/>
                <w:color w:val="000000"/>
                <w:sz w:val="18"/>
                <w:lang w:val="en-GB"/>
              </w:rPr>
              <w:t>,</w:t>
            </w:r>
            <w:r>
              <w:rPr>
                <w:rFonts w:ascii="Verdana" w:hAnsi="Verdana"/>
                <w:noProof/>
                <w:color w:val="000000"/>
                <w:sz w:val="18"/>
              </w:rPr>
              <w:t>5</w:t>
            </w:r>
          </w:p>
        </w:tc>
        <w:tc>
          <w:tcPr>
            <w:tcW w:w="1074" w:type="dxa"/>
            <w:tcBorders>
              <w:top w:val="single" w:sz="4" w:space="0" w:color="auto"/>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54</w:t>
            </w:r>
            <w:r>
              <w:rPr>
                <w:rFonts w:ascii="Verdana" w:hAnsi="Verdana"/>
                <w:noProof/>
                <w:color w:val="000000"/>
                <w:sz w:val="18"/>
                <w:lang w:val="en-GB"/>
              </w:rPr>
              <w:t>,</w:t>
            </w:r>
            <w:r>
              <w:rPr>
                <w:rFonts w:ascii="Verdana" w:hAnsi="Verdana"/>
                <w:noProof/>
                <w:color w:val="000000"/>
                <w:sz w:val="18"/>
              </w:rPr>
              <w:t>7</w:t>
            </w:r>
          </w:p>
        </w:tc>
      </w:tr>
      <w:tr>
        <w:trPr>
          <w:trHeight w:val="300"/>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rPr>
              <w:t>Общо погасени към 31.12.2017 г.</w:t>
            </w:r>
          </w:p>
        </w:tc>
        <w:tc>
          <w:tcPr>
            <w:tcW w:w="1073" w:type="dxa"/>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1073" w:type="dxa"/>
            <w:gridSpan w:val="3"/>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7)</w:t>
            </w:r>
          </w:p>
        </w:tc>
        <w:tc>
          <w:tcPr>
            <w:tcW w:w="1073" w:type="dxa"/>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(4</w:t>
            </w:r>
            <w:r>
              <w:rPr>
                <w:rFonts w:ascii="Verdana" w:hAnsi="Verdana"/>
                <w:noProof/>
                <w:color w:val="000000"/>
                <w:sz w:val="18"/>
                <w:lang w:val="en-GB"/>
              </w:rPr>
              <w:t>,</w:t>
            </w:r>
            <w:r>
              <w:rPr>
                <w:rFonts w:ascii="Verdana" w:hAnsi="Verdana"/>
                <w:noProof/>
                <w:color w:val="000000"/>
                <w:sz w:val="18"/>
              </w:rPr>
              <w:t>9)</w:t>
            </w:r>
          </w:p>
        </w:tc>
        <w:tc>
          <w:tcPr>
            <w:tcW w:w="1073" w:type="dxa"/>
            <w:gridSpan w:val="3"/>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1074" w:type="dxa"/>
            <w:tcBorders>
              <w:top w:val="nil"/>
              <w:left w:val="nil"/>
              <w:bottom w:val="nil"/>
              <w:right w:val="nil"/>
            </w:tcBorders>
            <w:vAlign w:val="bottom"/>
          </w:tcPr>
          <w:p>
            <w:pPr>
              <w:jc w:val="right"/>
              <w:rPr>
                <w:rFonts w:ascii="Verdana" w:hAnsi="Verdana"/>
                <w:noProof/>
                <w:color w:val="000000"/>
                <w:sz w:val="18"/>
                <w:szCs w:val="18"/>
              </w:rPr>
            </w:pPr>
            <w:r>
              <w:rPr>
                <w:rFonts w:ascii="Verdana" w:hAnsi="Verdana"/>
                <w:noProof/>
                <w:color w:val="000000"/>
                <w:sz w:val="18"/>
              </w:rPr>
              <w:t>-</w:t>
            </w:r>
          </w:p>
        </w:tc>
        <w:tc>
          <w:tcPr>
            <w:tcW w:w="823" w:type="dxa"/>
            <w:gridSpan w:val="2"/>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1048" w:type="dxa"/>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w:t>
            </w:r>
            <w:r>
              <w:rPr>
                <w:rFonts w:ascii="Verdana" w:hAnsi="Verdana"/>
                <w:noProof/>
                <w:color w:val="000000"/>
                <w:sz w:val="18"/>
                <w:lang w:val="en-GB"/>
              </w:rPr>
              <w:t>,</w:t>
            </w:r>
            <w:r>
              <w:rPr>
                <w:rFonts w:ascii="Verdana" w:hAnsi="Verdana"/>
                <w:noProof/>
                <w:color w:val="000000"/>
                <w:sz w:val="18"/>
              </w:rPr>
              <w:t>9)</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noProof/>
                <w:color w:val="000000"/>
                <w:sz w:val="18"/>
              </w:rPr>
              <w:t>Непогасена сума към 31.12.2017 г.</w:t>
            </w:r>
          </w:p>
        </w:tc>
        <w:tc>
          <w:tcPr>
            <w:tcW w:w="1073" w:type="dxa"/>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0</w:t>
            </w:r>
            <w:r>
              <w:rPr>
                <w:rFonts w:ascii="Verdana" w:hAnsi="Verdana"/>
                <w:noProof/>
                <w:color w:val="000000"/>
                <w:sz w:val="18"/>
                <w:lang w:val="en-GB"/>
              </w:rPr>
              <w:t>,</w:t>
            </w:r>
            <w:r>
              <w:rPr>
                <w:rFonts w:ascii="Verdana" w:hAnsi="Verdana"/>
                <w:noProof/>
                <w:color w:val="000000"/>
                <w:sz w:val="18"/>
              </w:rPr>
              <w:t>7</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3</w:t>
            </w:r>
          </w:p>
        </w:tc>
        <w:tc>
          <w:tcPr>
            <w:tcW w:w="1073" w:type="dxa"/>
            <w:tcBorders>
              <w:top w:val="single" w:sz="4" w:space="0" w:color="auto"/>
              <w:left w:val="nil"/>
              <w:bottom w:val="single" w:sz="4" w:space="0" w:color="auto"/>
              <w:right w:val="nil"/>
            </w:tcBorders>
            <w:shd w:val="clear" w:color="000000" w:fill="DCE6F1"/>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3</w:t>
            </w:r>
            <w:r>
              <w:rPr>
                <w:rFonts w:ascii="Verdana" w:hAnsi="Verdana"/>
                <w:noProof/>
                <w:color w:val="000000"/>
                <w:sz w:val="18"/>
                <w:lang w:val="en-GB"/>
              </w:rPr>
              <w:t>,</w:t>
            </w:r>
            <w:r>
              <w:rPr>
                <w:rFonts w:ascii="Verdana" w:hAnsi="Verdana"/>
                <w:noProof/>
                <w:color w:val="000000"/>
                <w:sz w:val="18"/>
              </w:rPr>
              <w:t>0</w:t>
            </w:r>
          </w:p>
        </w:tc>
        <w:tc>
          <w:tcPr>
            <w:tcW w:w="1073" w:type="dxa"/>
            <w:gridSpan w:val="3"/>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22</w:t>
            </w:r>
            <w:r>
              <w:rPr>
                <w:rFonts w:ascii="Verdana" w:hAnsi="Verdana"/>
                <w:noProof/>
                <w:color w:val="000000"/>
                <w:sz w:val="18"/>
                <w:lang w:val="en-GB"/>
              </w:rPr>
              <w:t>,</w:t>
            </w:r>
            <w:r>
              <w:rPr>
                <w:rFonts w:ascii="Verdana" w:hAnsi="Verdana"/>
                <w:noProof/>
                <w:color w:val="000000"/>
                <w:sz w:val="18"/>
              </w:rPr>
              <w:t>5</w:t>
            </w:r>
          </w:p>
        </w:tc>
        <w:tc>
          <w:tcPr>
            <w:tcW w:w="1074" w:type="dxa"/>
            <w:tcBorders>
              <w:top w:val="single" w:sz="4" w:space="0" w:color="auto"/>
              <w:left w:val="nil"/>
              <w:bottom w:val="single" w:sz="4" w:space="0" w:color="auto"/>
              <w:right w:val="nil"/>
            </w:tcBorders>
            <w:vAlign w:val="bottom"/>
          </w:tcPr>
          <w:p>
            <w:pPr>
              <w:contextualSpacing/>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49</w:t>
            </w:r>
            <w:r>
              <w:rPr>
                <w:rFonts w:ascii="Verdana" w:hAnsi="Verdana"/>
                <w:noProof/>
                <w:color w:val="000000"/>
                <w:sz w:val="18"/>
                <w:lang w:val="en-GB"/>
              </w:rPr>
              <w:t>,</w:t>
            </w:r>
            <w:r>
              <w:rPr>
                <w:rFonts w:ascii="Verdana" w:hAnsi="Verdana"/>
                <w:noProof/>
                <w:color w:val="000000"/>
                <w:sz w:val="18"/>
              </w:rPr>
              <w:t>8</w:t>
            </w:r>
          </w:p>
        </w:tc>
      </w:tr>
    </w:tbl>
    <w:p>
      <w:pPr>
        <w:pStyle w:val="Asterix"/>
        <w:spacing w:before="120"/>
      </w:pPr>
      <w:r>
        <w:t xml:space="preserve">* </w:t>
      </w:r>
      <w:r>
        <w:tab/>
        <w:t xml:space="preserve">Без операциите по рефинансиране. </w:t>
      </w:r>
    </w:p>
    <w:p>
      <w:pPr>
        <w:pStyle w:val="Asterix"/>
      </w:pPr>
      <w:r>
        <w:t xml:space="preserve">** </w:t>
      </w:r>
      <w:r>
        <w:tab/>
        <w:t>Без превантивната помощ.</w:t>
      </w:r>
    </w:p>
    <w:p>
      <w:pPr>
        <w:pStyle w:val="DGTextstand-alone"/>
        <w:spacing w:before="0" w:after="0"/>
        <w:rPr>
          <w:i/>
        </w:rPr>
      </w:pPr>
    </w:p>
    <w:p>
      <w:pPr>
        <w:pStyle w:val="DGTextstand-alone"/>
        <w:spacing w:before="120" w:after="120"/>
        <w:rPr>
          <w:i/>
        </w:rPr>
      </w:pPr>
      <w:r>
        <w:rPr>
          <w:i/>
        </w:rPr>
        <w:t>ЕМФС</w:t>
      </w:r>
    </w:p>
    <w:p>
      <w:pPr>
        <w:pStyle w:val="DGTextstand-alone"/>
        <w:rPr>
          <w:spacing w:val="-6"/>
        </w:rPr>
      </w:pPr>
      <w:r>
        <w:rPr>
          <w:spacing w:val="-6"/>
        </w:rPr>
        <w:t>ЕМФС бе създаден с цел предоставяне на финансова помощ на всички държави членки, изпитващи или сериозно застрашени от тежки икономически и финансови сътресения, възникнали при изключителни обстоятелства извън техния контрол. ЕМФС бе използван за предоставяне на финансова помощ, обвързана с провеждането на реформи, на Ирландия и Португалия между 2011 г. и 2014 г.</w:t>
      </w:r>
    </w:p>
    <w:p>
      <w:pPr>
        <w:pStyle w:val="DGTextstand-alone"/>
      </w:pPr>
      <w:r>
        <w:t>Тази програма изтече и не могат да бъдат теглени допълнителни заеми, но тя продължава да съществува за специфични задачи, като например удължаване на сроковете на заемите, отпуснати на Ирландия и на Португалия, и отпускане на междинни заеми.</w:t>
      </w:r>
    </w:p>
    <w:p>
      <w:pPr>
        <w:rPr>
          <w:rFonts w:ascii="Verdana" w:eastAsia="Calibri" w:hAnsi="Verdana"/>
          <w:noProof/>
          <w:sz w:val="18"/>
          <w:szCs w:val="18"/>
        </w:rPr>
      </w:pPr>
      <w:r>
        <w:rPr>
          <w:noProof/>
        </w:rPr>
        <w:br w:type="page"/>
      </w:r>
    </w:p>
    <w:p>
      <w:pPr>
        <w:pStyle w:val="DGTextstand-alone"/>
      </w:pPr>
      <w:r>
        <w:t>Основните аспекти на програмата ЕМФС са следните:</w:t>
      </w:r>
    </w:p>
    <w:p>
      <w:pPr>
        <w:pStyle w:val="DGTextstand-alone"/>
        <w:spacing w:after="120"/>
        <w:rPr>
          <w:u w:val="single"/>
        </w:rPr>
      </w:pPr>
      <w:r>
        <w:rPr>
          <w:u w:val="single"/>
        </w:rPr>
        <w:t>Ирландия</w:t>
      </w:r>
    </w:p>
    <w:p>
      <w:pPr>
        <w:pStyle w:val="DGTextstand-alone"/>
        <w:numPr>
          <w:ilvl w:val="0"/>
          <w:numId w:val="43"/>
        </w:numPr>
        <w:spacing w:before="120" w:after="120"/>
      </w:pPr>
      <w:r>
        <w:t>Ирландия поиска цялата сума от 22,5 милиарда евро, отпусната по ЕМФС, през декември 2010 г. Тази сума бе преведена на осем транша между януари 2011 г. и март 2014 г.;</w:t>
      </w:r>
    </w:p>
    <w:p>
      <w:pPr>
        <w:pStyle w:val="DGTextstand-alone"/>
        <w:numPr>
          <w:ilvl w:val="0"/>
          <w:numId w:val="43"/>
        </w:numPr>
        <w:spacing w:before="120" w:after="120"/>
      </w:pPr>
      <w:r>
        <w:t>Ирландия има възможност да удължи срока на заемите по ЕМФС въз основа на удължаването на максималния среднопретеглен срок; и</w:t>
      </w:r>
    </w:p>
    <w:p>
      <w:pPr>
        <w:pStyle w:val="DGTextstand-alone"/>
        <w:numPr>
          <w:ilvl w:val="0"/>
          <w:numId w:val="43"/>
        </w:numPr>
        <w:spacing w:before="120"/>
      </w:pPr>
      <w:r>
        <w:t>предвидено бе първата погасителна вноска от 3,4 милиарда евро да бъде преведена през април 2018 г. Ирландия поиска обаче удължаване на срока, което беше одобрено, и сумата беше успешно взета назаем на пазарите през първото тримесечие на 2018 г., като погасяването ѝ бе разсрочено на два транша (2,4 милиарда евро и 1 милиард евро), които трябва да бъдат платени съответно през 2025 г. и 2033 г. Предвидено е втората погасителна вноска, която е в размер на 0,5 милиарда евро, да бъде преведена през октомври 2018 г., но отново с възможност за удължаване на срока.</w:t>
      </w:r>
    </w:p>
    <w:p>
      <w:pPr>
        <w:pStyle w:val="DGTextstand-alone"/>
        <w:keepNext/>
        <w:contextualSpacing/>
      </w:pPr>
      <w:r>
        <w:rPr>
          <w:u w:val="single"/>
        </w:rPr>
        <w:t>Португалия</w:t>
      </w:r>
    </w:p>
    <w:p>
      <w:pPr>
        <w:pStyle w:val="DGTextstand-alone"/>
        <w:numPr>
          <w:ilvl w:val="0"/>
          <w:numId w:val="44"/>
        </w:numPr>
        <w:spacing w:before="480" w:after="120"/>
      </w:pPr>
      <w:r>
        <w:t xml:space="preserve">Португалия поиска 24,3 милиарда евро от общо 26 милиарда евро, отпуснати по ЕМФС през май 2011 г. Тази сума бе преведена на седем транша между май 2011 г. и ноември 2014 г.; и </w:t>
      </w:r>
    </w:p>
    <w:p>
      <w:pPr>
        <w:pStyle w:val="DGTextstand-alone"/>
        <w:numPr>
          <w:ilvl w:val="0"/>
          <w:numId w:val="45"/>
        </w:numPr>
        <w:spacing w:before="120" w:after="120"/>
      </w:pPr>
      <w:r>
        <w:t>предвидено е първата погасителна вноска, която е в размер на 0,6 милиарда евро, да бъде преведена през октомври 2018 г., но както в случая с Ирландия, Португалия има възможност да удължи срока.</w:t>
      </w:r>
    </w:p>
    <w:p>
      <w:pPr>
        <w:pStyle w:val="DGTextstand-alone"/>
        <w:rPr>
          <w:i/>
        </w:rPr>
      </w:pPr>
      <w:r>
        <w:rPr>
          <w:i/>
        </w:rPr>
        <w:t>ПБ</w:t>
      </w:r>
    </w:p>
    <w:p>
      <w:pPr>
        <w:pStyle w:val="DGTextstand-alone"/>
      </w:pPr>
      <w:r>
        <w:t>ПБ е програма за подпомагане, предназначена за държави извън еврозоната, които изпитват или са застрашени от трудности по отношение на платежния си баланс. Подкрепата за ПБ се осъществява под формата на средносрочни заеми, обвързани с изпълнението на политики, целящи да се намери решение на съществуващите икономически проблеми. Обикновено подкрепата за платежния баланс от ЕС се предлага в сътрудничество с Международния валутен фонд (МВФ) и други международни институции или държави.</w:t>
      </w:r>
    </w:p>
    <w:p>
      <w:pPr>
        <w:pStyle w:val="DGTextstand-alone"/>
      </w:pPr>
      <w:r>
        <w:t xml:space="preserve">Средносрочната финансова подкрепа от ЕС по механизма за ПБ беше задействана през ноември 2008 г., за да се помогне на Унгария и впоследствие, през януари и май 2009 г., на Латвия и Румъния да възстановят доверието на пазарите, като общият размер на поетите задължения достигна 14,6 милиарда евро. Програмата за подпомагане на ПБ за Унгария изтече през 2010 г., а задълженията по нея бяха погасени изцяло през 2016 г. Двете програми за подпомагане — за Латвия и за Румъния, изтекоха през 2012 г., поради което не могат да бъдат превеждани допълнителни траншове. </w:t>
      </w:r>
    </w:p>
    <w:p>
      <w:pPr>
        <w:pStyle w:val="DGTextstand-alone"/>
      </w:pPr>
      <w:r>
        <w:t>Освен това двете програми за превантивна помощ за Румъния изтекоха съответно през 2013 г. и 2015 г., без средствата по тях да бъдат изцяло усвоени.</w:t>
      </w:r>
    </w:p>
    <w:p>
      <w:pPr>
        <w:pStyle w:val="DGTextstand-alone"/>
      </w:pPr>
      <w:r>
        <w:t>Основните аспекти са, както следва:</w:t>
      </w:r>
    </w:p>
    <w:p>
      <w:pPr>
        <w:pStyle w:val="DGTextstand-alone"/>
        <w:numPr>
          <w:ilvl w:val="0"/>
          <w:numId w:val="45"/>
        </w:numPr>
      </w:pPr>
      <w:r>
        <w:t>През 2017 г. държавите членки бенефициери по линия на ПБ погасиха своевременно и в пълен размер общо 1,3 милиарда евро, 1,2 милиарда евро от които са свързани с погасяването на главницата от Румъния, като останалата сума е свързана с лихвите; и</w:t>
      </w:r>
    </w:p>
    <w:p>
      <w:pPr>
        <w:pStyle w:val="DGTextstand-alone"/>
        <w:numPr>
          <w:ilvl w:val="0"/>
          <w:numId w:val="45"/>
        </w:numPr>
      </w:pPr>
      <w:r>
        <w:t xml:space="preserve">през април 2018 г. Румъния погаси 1,2 милиарда евро от главницата, като се очаква да погаси още 0,1 милиарда евро от нея през октомври 2018 г. </w:t>
      </w:r>
    </w:p>
    <w:p>
      <w:pPr>
        <w:pStyle w:val="DGTextstand-alone"/>
        <w:rPr>
          <w:i/>
        </w:rPr>
      </w:pPr>
      <w:r>
        <w:rPr>
          <w:i/>
        </w:rPr>
        <w:t>МФП</w:t>
      </w:r>
    </w:p>
    <w:p>
      <w:pPr>
        <w:pStyle w:val="DGTextstand-alone"/>
      </w:pPr>
      <w:r>
        <w:t>МФП е форма на финансова помощ, предоставяна от ЕС на партньорски държави извън ЕС, които изпитват криза с платежния си баланс. Тя се осъществява под формата на средносрочни/дългосрочни заеми или безвъзмездни средства, или на комбинация от тях, и се предоставя само на държави, включени в програма на МВФ, по която се предоставя помощ.</w:t>
      </w:r>
    </w:p>
    <w:p>
      <w:pPr>
        <w:pStyle w:val="DGTextstand-alone"/>
        <w:spacing w:after="0"/>
      </w:pPr>
      <w:r>
        <w:t xml:space="preserve">Непогасените заеми към 31 декември 2017 г. по програмата за МФП бяха 3,9 милиарда евро в номинално изражение. </w:t>
      </w:r>
    </w:p>
    <w:p>
      <w:pPr>
        <w:pStyle w:val="DGTextstand-alone"/>
      </w:pPr>
    </w:p>
    <w:p>
      <w:pPr>
        <w:pStyle w:val="HEADER2Part4"/>
      </w:pPr>
      <w:bookmarkStart w:id="229" w:name="_Toc517190623"/>
      <w:bookmarkStart w:id="230" w:name="_Toc517434271"/>
      <w:bookmarkStart w:id="231" w:name="_Toc522890375"/>
      <w:r>
        <w:t>ПАСИВИ</w:t>
      </w:r>
      <w:bookmarkEnd w:id="228"/>
      <w:bookmarkEnd w:id="229"/>
      <w:bookmarkEnd w:id="230"/>
      <w:bookmarkEnd w:id="231"/>
    </w:p>
    <w:p>
      <w:pPr>
        <w:pStyle w:val="DGTextstand-alone"/>
      </w:pPr>
      <w:r>
        <w:t>Най-съществените позиции от страната на пасивите на счетоводния баланс се състоят предимно от четири основни позиции: i) пенсионно задължение и задължения, свързани с другите доходи на наети лица; ii) взети заеми; iii) задължения към трети държави и iv) начислени разходи.</w:t>
      </w:r>
    </w:p>
    <w:p>
      <w:pPr>
        <w:pStyle w:val="HEADER5"/>
        <w:rPr>
          <w:b/>
          <w:noProof/>
        </w:rPr>
      </w:pPr>
      <w:r>
        <w:rPr>
          <w:noProof/>
        </w:rPr>
        <w:t>Състав на пасивите в консолидирания счетоводен баланс на ЕС</w:t>
      </w:r>
    </w:p>
    <w:p>
      <w:pPr>
        <w:pStyle w:val="HEADER5"/>
        <w:jc w:val="center"/>
        <w:rPr>
          <w:noProof/>
        </w:rPr>
      </w:pPr>
      <w:r>
        <w:rPr>
          <w:noProof/>
          <w:lang w:val="en-US" w:eastAsia="en-US" w:bidi="ar-SA"/>
        </w:rPr>
        <w:drawing>
          <wp:inline distT="0" distB="0" distL="0" distR="0">
            <wp:extent cx="5676900" cy="3257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5676900" cy="3257550"/>
                    </a:xfrm>
                    <a:prstGeom prst="rect">
                      <a:avLst/>
                    </a:prstGeom>
                  </pic:spPr>
                </pic:pic>
              </a:graphicData>
            </a:graphic>
          </wp:inline>
        </w:drawing>
      </w:r>
    </w:p>
    <w:p>
      <w:pPr>
        <w:pStyle w:val="DGTextstand-alone"/>
        <w:spacing w:before="120" w:after="120"/>
      </w:pPr>
      <w:r>
        <w:t xml:space="preserve">Към 31 декември 2017 г. общият размер на пасивите възлизаше на 236,5 милиарда евро, което отразява увеличение с приблизително 1 % в сравнение с предходната година. </w:t>
      </w:r>
    </w:p>
    <w:p>
      <w:pPr>
        <w:pStyle w:val="DGTextstand-alone"/>
        <w:spacing w:before="120" w:after="120"/>
      </w:pPr>
      <w:r>
        <w:t>Основните промени бяха свързани със следните последици:</w:t>
      </w:r>
    </w:p>
    <w:p>
      <w:pPr>
        <w:pStyle w:val="DGTextstand-alone"/>
        <w:numPr>
          <w:ilvl w:val="0"/>
          <w:numId w:val="46"/>
        </w:numPr>
      </w:pPr>
      <w:r>
        <w:t>увеличението с 5,9 милиарда евро на общия размер на задължението, свързано с доходите на наети лица, се дължи предимно на увеличение на нетното задължение на пенсионноосигурителната схема на европейските длъжностни лица.</w:t>
      </w:r>
    </w:p>
    <w:p>
      <w:pPr>
        <w:pStyle w:val="DGTextstand-alone"/>
        <w:numPr>
          <w:ilvl w:val="0"/>
          <w:numId w:val="46"/>
        </w:numPr>
        <w:spacing w:before="120" w:after="120"/>
      </w:pPr>
      <w:r>
        <w:t>провизиите нараснаха с 1 милиард евро вследствие на актуализирано проучване относно провизията за извеждане на JRC от експлоатация, което доведе до по-висока прогноза за задължението. Промяната се дължи на основния елемент на изчислението — времевия период — за който преди бе изчислено, че е приблизително 20 години, но сега се актуализира на 40 години; и</w:t>
      </w:r>
    </w:p>
    <w:p>
      <w:pPr>
        <w:pStyle w:val="DGTextstand-alone"/>
        <w:numPr>
          <w:ilvl w:val="0"/>
          <w:numId w:val="46"/>
        </w:numPr>
        <w:spacing w:before="120" w:after="120"/>
      </w:pPr>
      <w:r>
        <w:t>начислените разходи намаляха с 3,7 милиарда евро, което частично компенсира горепосочените ефекти. Това намаление на начислените разходи се дължи на факта, че програмите за сближаване от предходната МФР са в напреднал етап на приключването.</w:t>
      </w:r>
    </w:p>
    <w:p>
      <w:pPr>
        <w:pStyle w:val="DGTextstand-alone"/>
        <w:spacing w:before="120" w:after="120"/>
      </w:pPr>
    </w:p>
    <w:p>
      <w:pPr>
        <w:pStyle w:val="DGTextstand-alone"/>
        <w:spacing w:before="120" w:after="120"/>
      </w:pPr>
      <w:r>
        <w:t>Като цяло всички други елементи на пасива останаха стабилни. Важно е да се отбележи, че финансовите пасиви намаляха в дългосрочен план поради намалението на взетите заеми, съчетано с увеличение на краткосрочната част. Това въздействие се дължи на погасяванията по ПБ и по ЕМФС през 2018 г. от Румъния (1,35 милиарда евро), Ирландия (3,9 милиарда евро) и Португалия (0,6 милиарда евро), както се очакваше към датата на отчитане.</w:t>
      </w:r>
    </w:p>
    <w:p>
      <w:pPr>
        <w:rPr>
          <w:rFonts w:ascii="Verdana" w:hAnsi="Verdana"/>
          <w:noProof/>
          <w:color w:val="016794"/>
          <w:sz w:val="18"/>
          <w:szCs w:val="18"/>
        </w:rPr>
      </w:pPr>
      <w:r>
        <w:rPr>
          <w:noProof/>
        </w:rPr>
        <w:br w:type="page"/>
      </w:r>
    </w:p>
    <w:p>
      <w:pPr>
        <w:pStyle w:val="DGTextstand-alone"/>
        <w:rPr>
          <w:color w:val="016794"/>
        </w:rPr>
      </w:pPr>
      <w:r>
        <w:rPr>
          <w:color w:val="016794"/>
        </w:rPr>
        <w:t>Общо получени декларации за направени разходи и фактури, признати в позицията за задълженията в счетоводния баланс</w:t>
      </w:r>
    </w:p>
    <w:p>
      <w:pPr>
        <w:pStyle w:val="HEADER5"/>
        <w:jc w:val="center"/>
        <w:rPr>
          <w:noProof/>
        </w:rPr>
      </w:pPr>
      <w:r>
        <w:rPr>
          <w:noProof/>
          <w:lang w:val="en-US" w:eastAsia="en-US" w:bidi="ar-SA"/>
        </w:rPr>
        <w:drawing>
          <wp:inline distT="0" distB="0" distL="0" distR="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p>
      <w:pPr>
        <w:pStyle w:val="DGTextstand-alone"/>
        <w:rPr>
          <w:color w:val="016794"/>
        </w:rPr>
      </w:pPr>
      <w:r>
        <w:rPr>
          <w:color w:val="016794"/>
        </w:rPr>
        <w:t>Нетни активи</w:t>
      </w:r>
    </w:p>
    <w:p>
      <w:pPr>
        <w:pStyle w:val="DGTextstand-alone"/>
        <w:spacing w:after="120"/>
      </w:pPr>
      <w:bookmarkStart w:id="232" w:name="_Toc424652044"/>
      <w:r>
        <w:t>Това, че пасивите надвишават активите, не означава, че институциите и органите на ЕС са в затруднено финансово положение, а по-скоро, че някои задължения ще бъдат финансирани от бъдещи годишни бюджети. Много разходи са признати по правилата за счетоводна отчетност на базата на текущо начисляване през 2017 г., въпреки че може в действителност да бъдат платени през 2018 г. или по-късно и да бъдат финансирани от бъдещи бюджети, а съответните приходи ще бъдат отчетени едва през бъдещи периоди. Най-значителните суми, които трябва да бъдат изтъкнати, са дейностите по линия на ЕФГЗ (платени през 2018 г.) и задължениeтo, свързанo с доходите на наети лица (коeто предстои да бъдат платенo през следващите 30 и повече години).</w:t>
      </w:r>
    </w:p>
    <w:p>
      <w:pPr>
        <w:pStyle w:val="DGTextstand-alone"/>
        <w:spacing w:before="120" w:after="120"/>
      </w:pPr>
    </w:p>
    <w:p>
      <w:pPr>
        <w:pStyle w:val="HEADER1Part4"/>
        <w:rPr>
          <w:noProof/>
        </w:rPr>
      </w:pPr>
      <w:bookmarkStart w:id="233" w:name="_Toc517190624"/>
      <w:bookmarkStart w:id="234" w:name="_Toc517434272"/>
      <w:bookmarkStart w:id="235" w:name="_Toc522890376"/>
      <w:r>
        <w:rPr>
          <w:noProof/>
        </w:rPr>
        <w:t>ЗАЩИТА НА БЮДЖЕТА НА ЕС</w:t>
      </w:r>
      <w:bookmarkEnd w:id="232"/>
      <w:bookmarkEnd w:id="233"/>
      <w:bookmarkEnd w:id="234"/>
      <w:bookmarkEnd w:id="235"/>
    </w:p>
    <w:p>
      <w:pPr>
        <w:pStyle w:val="DGTextstand-alone"/>
        <w:rPr>
          <w:color w:val="016794"/>
        </w:rPr>
      </w:pPr>
      <w:r>
        <w:rPr>
          <w:color w:val="016794"/>
        </w:rPr>
        <w:t>Финансови корекции и събирания — преглед за 2017 г.</w:t>
      </w:r>
    </w:p>
    <w:p>
      <w:pPr>
        <w:pStyle w:val="Textstand-alone"/>
        <w:spacing w:after="200"/>
      </w:pPr>
      <w:r>
        <w:t xml:space="preserve">Важен аспект на изпълнението на бюджета на ЕС е необходимостта да се гарантират подобаващото предотвратяване или откриване и впоследствие поправяне на слабости на системите, водещи до грешки, нередности и измами. В годишния си доклад Сметната палата предоставя декларация за достоверност относно законосъобразността и редовността на свързаните с годишните отчети операции, както и нивото на същественост на грешките в плащанията. Декларацията за достоверност съпътства годишните отчети на ЕС при публикуването ѝ в </w:t>
      </w:r>
      <w:r>
        <w:rPr>
          <w:i/>
        </w:rPr>
        <w:t>Официален вестник</w:t>
      </w:r>
      <w:r>
        <w:t>.</w:t>
      </w:r>
    </w:p>
    <w:p>
      <w:pPr>
        <w:pStyle w:val="Textstand-alone"/>
        <w:spacing w:before="120" w:after="0"/>
        <w:rPr>
          <w:spacing w:val="-6"/>
        </w:rPr>
      </w:pPr>
      <w:r>
        <w:rPr>
          <w:spacing w:val="-6"/>
        </w:rPr>
        <w:t>Защитните действия на Комисията смекчават въздействието на тези грешки чрез два основни механизма:</w:t>
      </w:r>
    </w:p>
    <w:p>
      <w:pPr>
        <w:pStyle w:val="Textstand-alone"/>
        <w:tabs>
          <w:tab w:val="left" w:pos="993"/>
        </w:tabs>
        <w:spacing w:before="0" w:after="0"/>
        <w:ind w:left="993" w:hanging="426"/>
      </w:pPr>
      <w:r>
        <w:t xml:space="preserve">(1) </w:t>
      </w:r>
      <w:r>
        <w:tab/>
        <w:t>превантивни механизми (напр. предварителни проверки, прекъсвания и спирания на плащанията); и</w:t>
      </w:r>
    </w:p>
    <w:p>
      <w:pPr>
        <w:pStyle w:val="Textstand-alone"/>
        <w:tabs>
          <w:tab w:val="left" w:pos="993"/>
        </w:tabs>
        <w:spacing w:before="0" w:after="200"/>
        <w:ind w:left="992" w:hanging="425"/>
      </w:pPr>
      <w:r>
        <w:t xml:space="preserve">(2) </w:t>
      </w:r>
      <w:r>
        <w:tab/>
        <w:t>коригиращи механизми (предимно финансови корекции, наложени на държавите членки или договорени с тях, и събирания на вземания от получателите на плащания от ЕС).</w:t>
      </w:r>
    </w:p>
    <w:p>
      <w:pPr>
        <w:pStyle w:val="Textstand-alone"/>
        <w:spacing w:after="200"/>
      </w:pPr>
      <w:r>
        <w:t>При режим споделено управление (селскостопанските разходи и структурните дейности) държавите членки носят основната отговорност през целия цикъл на разходите за гарантирането на това, че изплащаните от бюджета на ЕС разходи са законосъобразни и редовни.</w:t>
      </w:r>
    </w:p>
    <w:p>
      <w:pPr>
        <w:pStyle w:val="Textstand-alone"/>
      </w:pPr>
      <w:r>
        <w:t xml:space="preserve">Защитните действия възникват вследствие на надзора и проверките, извършени както от Комисията, така и — при разходите със споделено управление — от държавите членки по отношение на допустимостта на разходите, финансирани от бюджета на ЕС. </w:t>
      </w:r>
      <w:r>
        <w:rPr>
          <w:color w:val="000000"/>
        </w:rPr>
        <w:t xml:space="preserve">Когато определя размера </w:t>
      </w:r>
      <w:r>
        <w:t xml:space="preserve">на </w:t>
      </w:r>
      <w:r>
        <w:rPr>
          <w:color w:val="000000"/>
        </w:rPr>
        <w:t xml:space="preserve">финансовата корекция или на събирането, Комисията взема предвид естеството и сериозността на нарушението на приложимото право и финансовите последици за бюджета на ЕС, включително случаите на недостатъци в системите за управление и контрол. </w:t>
      </w:r>
    </w:p>
    <w:p>
      <w:pPr>
        <w:rPr>
          <w:rFonts w:ascii="Verdana" w:hAnsi="Verdana"/>
          <w:noProof/>
          <w:color w:val="016794"/>
          <w:sz w:val="18"/>
          <w:szCs w:val="18"/>
        </w:rPr>
      </w:pPr>
      <w:r>
        <w:rPr>
          <w:noProof/>
        </w:rPr>
        <w:br w:type="page"/>
      </w:r>
    </w:p>
    <w:p>
      <w:pPr>
        <w:pStyle w:val="DGTextstand-alone"/>
        <w:spacing w:before="120" w:after="0"/>
        <w:rPr>
          <w:color w:val="016794"/>
        </w:rPr>
      </w:pPr>
      <w:r>
        <w:rPr>
          <w:color w:val="016794"/>
        </w:rPr>
        <w:t>Процес на коригиращите механизми:</w:t>
      </w:r>
    </w:p>
    <w:p>
      <w:pPr>
        <w:pStyle w:val="Textstand-alone"/>
        <w:tabs>
          <w:tab w:val="left" w:pos="993"/>
        </w:tabs>
        <w:spacing w:before="0" w:after="120"/>
        <w:ind w:left="993" w:hanging="426"/>
      </w:pPr>
      <w:r>
        <w:rPr>
          <w:lang w:val="en-US" w:eastAsia="en-US" w:bidi="ar-SA"/>
        </w:rPr>
        <w:drawing>
          <wp:inline distT="0" distB="0" distL="0" distR="0">
            <wp:extent cx="5658928" cy="388188"/>
            <wp:effectExtent l="19050" t="19050" r="37465" b="50165"/>
            <wp:docPr id="3521348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9" r:lo="rId390" r:qs="rId391" r:cs="rId392"/>
              </a:graphicData>
            </a:graphic>
          </wp:inline>
        </w:drawing>
      </w:r>
    </w:p>
    <w:p>
      <w:pPr>
        <w:pStyle w:val="Textstand-alone"/>
        <w:spacing w:before="0" w:after="120"/>
      </w:pPr>
      <w:r>
        <w:rPr>
          <w:color w:val="016794"/>
        </w:rPr>
        <w:t>Финансовите корекции и събиранията</w:t>
      </w:r>
      <w:r>
        <w:t xml:space="preserve"> се представят на два основни етапа от процеса. Двата етапа могат да бъдат проведени през една и съща година или през различни години:</w:t>
      </w:r>
    </w:p>
    <w:p>
      <w:pPr>
        <w:pStyle w:val="Textstand-alone"/>
        <w:spacing w:before="0" w:after="0"/>
        <w:ind w:left="567"/>
      </w:pPr>
      <w:r>
        <w:t xml:space="preserve">1) Финансови корекции и събирания на </w:t>
      </w:r>
      <w:r>
        <w:rPr>
          <w:color w:val="016794"/>
        </w:rPr>
        <w:t>етапа на потвърждение</w:t>
      </w:r>
      <w:r>
        <w:t xml:space="preserve">: тези суми са или одобрени от съответната държава членка, или приети с решение на Комисията. </w:t>
      </w:r>
      <w:r>
        <w:rPr>
          <w:color w:val="016794"/>
        </w:rPr>
        <w:t>През 2017 г.</w:t>
      </w:r>
      <w:r>
        <w:t xml:space="preserve"> </w:t>
      </w:r>
      <w:r>
        <w:rPr>
          <w:color w:val="016794"/>
        </w:rPr>
        <w:t>общият размер на потвърдените финансови корекции и събирания</w:t>
      </w:r>
      <w:r>
        <w:t xml:space="preserve"> бе </w:t>
      </w:r>
      <w:r>
        <w:rPr>
          <w:color w:val="016794"/>
        </w:rPr>
        <w:t xml:space="preserve">2 662 милиона евро </w:t>
      </w:r>
      <w:r>
        <w:t>(2016 г.: 3 777 милиона евро), от които 1 826 милиона евро са следствие от коригиращи действия.</w:t>
      </w:r>
    </w:p>
    <w:p>
      <w:pPr>
        <w:pStyle w:val="DGTextstand-alone"/>
        <w:rPr>
          <w:color w:val="016794"/>
        </w:rPr>
      </w:pPr>
      <w:r>
        <w:rPr>
          <w:color w:val="016794"/>
        </w:rPr>
        <w:t>Финансови корекции и събирания, потвърдени през 2017 г.</w:t>
      </w:r>
      <w:r>
        <w:rPr>
          <w:color w:val="016794"/>
          <w:sz w:val="16"/>
        </w:rPr>
        <w:t>*</w:t>
      </w:r>
      <w:r>
        <w:rPr>
          <w:color w:val="016794"/>
        </w:rPr>
        <w:t xml:space="preserve"> — разбивка по области на политиката</w:t>
      </w:r>
    </w:p>
    <w:p>
      <w:pPr>
        <w:pStyle w:val="Textstand-alone"/>
        <w:spacing w:after="200"/>
        <w:jc w:val="center"/>
      </w:pPr>
      <w:r>
        <w:rPr>
          <w:lang w:val="en-US" w:eastAsia="en-US" w:bidi="ar-SA"/>
        </w:rPr>
        <w:drawing>
          <wp:inline distT="0" distB="0" distL="0" distR="0">
            <wp:extent cx="4074502" cy="2407660"/>
            <wp:effectExtent l="0" t="0" r="2540" b="0"/>
            <wp:docPr id="481051456" name="Picture 48105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4077332" cy="2409332"/>
                    </a:xfrm>
                    <a:prstGeom prst="rect">
                      <a:avLst/>
                    </a:prstGeom>
                  </pic:spPr>
                </pic:pic>
              </a:graphicData>
            </a:graphic>
          </wp:inline>
        </w:drawing>
      </w:r>
    </w:p>
    <w:p>
      <w:pPr>
        <w:pStyle w:val="Textstand-alone"/>
        <w:spacing w:before="60" w:after="120"/>
        <w:ind w:left="567"/>
      </w:pPr>
      <w:r>
        <w:t xml:space="preserve">2) Финансови корекции и събирания на </w:t>
      </w:r>
      <w:r>
        <w:rPr>
          <w:color w:val="016794"/>
        </w:rPr>
        <w:t>етапа на извършване</w:t>
      </w:r>
      <w:r>
        <w:t xml:space="preserve">: тези суми са крайният етап от процеса, през който етап констатираната ситуация на недължимо платени разходи се поправя окончателно. В нормативната уредба за различните сектори са предвидени няколко механизма за извършване. </w:t>
      </w:r>
      <w:r>
        <w:rPr>
          <w:color w:val="016794"/>
        </w:rPr>
        <w:t>През 2017 г.</w:t>
      </w:r>
      <w:r>
        <w:t xml:space="preserve"> </w:t>
      </w:r>
      <w:r>
        <w:rPr>
          <w:color w:val="016794"/>
        </w:rPr>
        <w:t>общият размер на извършените финансови корекции и събирания</w:t>
      </w:r>
      <w:r>
        <w:t xml:space="preserve"> бе </w:t>
      </w:r>
      <w:r>
        <w:rPr>
          <w:color w:val="016794"/>
        </w:rPr>
        <w:t xml:space="preserve">2 845 милиона евро </w:t>
      </w:r>
      <w:r>
        <w:t xml:space="preserve">(2016 г.: 3 389 милиона евро), от които 1 949 милиона евро са следствие от коригиращи действия. Извършването на финансови корекции и на събирания може да отнеме няколко години главно поради решения за разсрочване или отсрочване, взети по искане на държавите членки в рамките на селскостопанската политика. В рамките на политиката на сближаване нормативната уредба предвижда извършването да бъде направено при приключването или след приключването на периода на програмиране. </w:t>
      </w:r>
    </w:p>
    <w:p>
      <w:pPr>
        <w:pStyle w:val="DGTextstand-alone"/>
        <w:spacing w:before="120" w:after="120"/>
      </w:pPr>
      <w:r>
        <w:rPr>
          <w:color w:val="016794"/>
        </w:rPr>
        <w:t>Финансови корекции и събирания, извършени през 2017 г.</w:t>
      </w:r>
      <w:r>
        <w:rPr>
          <w:color w:val="016794"/>
          <w:sz w:val="16"/>
        </w:rPr>
        <w:t>*</w:t>
      </w:r>
      <w:r>
        <w:rPr>
          <w:color w:val="016794"/>
        </w:rPr>
        <w:t xml:space="preserve"> — разбивка по области на политиката</w:t>
      </w:r>
    </w:p>
    <w:p>
      <w:pPr>
        <w:pStyle w:val="Textstand-alone"/>
        <w:tabs>
          <w:tab w:val="left" w:pos="1418"/>
        </w:tabs>
        <w:spacing w:before="60" w:after="120"/>
        <w:jc w:val="center"/>
      </w:pPr>
      <w:r>
        <w:rPr>
          <w:lang w:val="en-US" w:eastAsia="en-US" w:bidi="ar-SA"/>
        </w:rPr>
        <w:drawing>
          <wp:inline distT="0" distB="0" distL="0" distR="0">
            <wp:extent cx="4305300" cy="2532529"/>
            <wp:effectExtent l="0" t="0" r="0" b="1270"/>
            <wp:docPr id="481051457" name="Picture 48105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stretch>
                      <a:fillRect/>
                    </a:stretch>
                  </pic:blipFill>
                  <pic:spPr>
                    <a:xfrm>
                      <a:off x="0" y="0"/>
                      <a:ext cx="4312211" cy="2536594"/>
                    </a:xfrm>
                    <a:prstGeom prst="rect">
                      <a:avLst/>
                    </a:prstGeom>
                  </pic:spPr>
                </pic:pic>
              </a:graphicData>
            </a:graphic>
          </wp:inline>
        </w:drawing>
      </w:r>
    </w:p>
    <w:p>
      <w:pPr>
        <w:pStyle w:val="Textstand-alone"/>
        <w:spacing w:before="0" w:after="120"/>
        <w:rPr>
          <w:sz w:val="16"/>
        </w:rPr>
      </w:pPr>
      <w:r>
        <w:rPr>
          <w:sz w:val="16"/>
        </w:rPr>
        <w:t>* Посочените по-горе цифри отразяват финансовото въздействие както на превантивните, така и на коригиращите механизми. За повече подробности вж. годишния доклад за управлението и изпълнението на бюджета на ЕС за 2017 г., раздел 2.</w:t>
      </w:r>
    </w:p>
    <w:p>
      <w:pPr>
        <w:pStyle w:val="HEADER1Part4"/>
        <w:rPr>
          <w:noProof/>
          <w:spacing w:val="-6"/>
        </w:rPr>
      </w:pPr>
      <w:bookmarkStart w:id="236" w:name="_Toc517190625"/>
      <w:bookmarkStart w:id="237" w:name="_Toc517434273"/>
      <w:bookmarkStart w:id="238" w:name="_Toc522890377"/>
      <w:r>
        <w:rPr>
          <w:noProof/>
          <w:spacing w:val="-6"/>
        </w:rPr>
        <w:t>УПРАВЛЕНИЕ НА РИСКОВЕТЕ И НЕСИГУРНОСТТА, СВЪРЗАНИ С ИЗПЪЛНЕНИЕТО НА БЮДЖЕТА НА ЕС</w:t>
      </w:r>
      <w:bookmarkEnd w:id="236"/>
      <w:bookmarkEnd w:id="237"/>
      <w:bookmarkEnd w:id="238"/>
    </w:p>
    <w:p>
      <w:pPr>
        <w:pStyle w:val="HEADER2Part4"/>
      </w:pPr>
      <w:bookmarkStart w:id="239" w:name="_Toc491880238"/>
      <w:bookmarkStart w:id="240" w:name="_Toc517190626"/>
      <w:bookmarkStart w:id="241" w:name="_Toc517434274"/>
      <w:bookmarkStart w:id="242" w:name="_Toc522890378"/>
      <w:r>
        <w:t>МАКРОИКОНОМИЧЕСКА СРЕДА</w:t>
      </w:r>
      <w:bookmarkEnd w:id="239"/>
      <w:bookmarkEnd w:id="240"/>
      <w:bookmarkEnd w:id="241"/>
      <w:bookmarkEnd w:id="242"/>
    </w:p>
    <w:p>
      <w:pPr>
        <w:pStyle w:val="DGTextstand-alone"/>
      </w:pPr>
      <w:r>
        <w:t>Макроикономическата среда в ЕС</w:t>
      </w:r>
      <w:r>
        <w:rPr>
          <w:rStyle w:val="FootnoteReference"/>
        </w:rPr>
        <w:footnoteReference w:id="9"/>
      </w:r>
      <w:r>
        <w:t xml:space="preserve"> влияе на способността на държавите — членки на ЕС, да изпълняват задълженията си за финансиране към институциите и органите на ЕС, а следователно и на способността на ЕС да продължи да прилага политиките на ЕС. </w:t>
      </w:r>
    </w:p>
    <w:p>
      <w:pPr>
        <w:pStyle w:val="DGTextstand-alone"/>
      </w:pPr>
      <w:r>
        <w:t xml:space="preserve">Докато широкообхватното ускоряване на световната икономическа дейност и търговията през миналата година бе от полза за еврозоната, вътрешното търсене също се засили, подобрено от доверие на бизнеса и на потребителите над средното равнище, от продължаващата подкрепа за политиката и от подобряването на пазарите на труда. Поради това се очаква европейската икономика да продължи да нараства с устойчиви темпове. Очаква се активното разкриване на работни места да продължи да стимулира нарастването на потребителските разходи. В същото време се очаква инвестиционните условия да останат благоприятни, като се очаква вътрешното и външното търсене да се увеличат, а условията за финансиране — да останат гъвкави. Оставащият застой в икономиката следва да позволи на БВП да продължи да расте с темпове, които са по-високи от очаквания потенциален ръст (около 1,5 %) през целия период на прогнозата. Цикличната инерция в еврозоната обаче се очаква да намалее леко през 2018 г., тъй като ускореното нарастване на заетостта започва да намалява. </w:t>
      </w:r>
    </w:p>
    <w:p>
      <w:pPr>
        <w:pStyle w:val="DGTextstand-alone"/>
      </w:pPr>
      <w:r>
        <w:t>Счита се, че БВП на еврозоната и на ЕС са нараснали с 2,4 % през 2017 г., и се предвижда да нараснат с 2,3 % през 2018 г., преди да намалеят леко до 2,0 % през 2019 г.</w:t>
      </w:r>
    </w:p>
    <w:p>
      <w:pPr>
        <w:pStyle w:val="DGTextstand-alone"/>
      </w:pPr>
      <w:r>
        <w:t>Въпреки че условията на пазара на труда са се подобрили във всички държави членки, равнищата на безработица продължават да се различават значително. При все това прогнозата за растежа на БВП бе увеличена за голямо мнозинство от държавите членки от еврозоната за всяка от годините, обхванати от прогнозата, като се очаква темповете на растеж да се сближат допълнително. Поради оставащия застой на пазара на труда се очаква натискът за увеличаване на заплатите и същинската инфлация да нараснат само постепенно. Поради това временни фактори, свързани с цените на енергията, ще продължат да играят важна роля в развитието на инфлацията и ще поддържат номиналната инфлация по хармонизираните индекси на потребителските цени (ХИПЦ) над същинската инфлация през по-голямата част на 2018 г. След 1,5 % през 2017 г. инфлацията по ХИПЦ се очаква да бъде средно 1,5 % през 2018 г., преди да достигне 1,6 % през 2019 г.</w:t>
      </w:r>
    </w:p>
    <w:p>
      <w:pPr>
        <w:pStyle w:val="DGTextstand-alone"/>
      </w:pPr>
      <w:r>
        <w:t>Рисковете за прогнозите за БВП и инфлацията остават до голяма степен балансирани. Въпреки че изглежда, че съществува възможност растежът да надхвърли очакванията през следващите тримесечия, това може да доведе до по-ранно от очакваното задействане на ограничаващи растежа ограничения от гледна точка на предлагането. Същевременно положителните пазарни очаквания по отношение на оценките на цените на активите изглеждат уязвими в случай на промяна на нагласите и на основните фактори. Рисковете, свързани с решението на Обединеното кралство да се оттегли от ЕС, продължават да съществуват, както и рисковете от влошаване на ситуацията, свързани с геополитическото напрежение и с промяна към обърнати по-навътре и протекционистки политики.</w:t>
      </w:r>
    </w:p>
    <w:p>
      <w:pPr>
        <w:pStyle w:val="DGTextstand-alone"/>
        <w:spacing w:after="480"/>
        <w:rPr>
          <w:lang w:val="en-GB"/>
        </w:rPr>
      </w:pPr>
      <w:r>
        <w:t>Инерцията в световната икономика остава силна, тъй като широкообхватният цикличен подем продължава, стимулиран от възстановяването на инвестициите и търговията, от все още благоприятните финансови условия и от благоприятната комбинация от политики. По-високите цени на стоките също се оказват благоприятни за износителите на стоки. Прогнозите за близкото бъдеще са малко по-добри от тези от есента на 2017 г., като сега се очаква ръстът на световния БВП извън ЕС да бъде 4,1 % през 2018 г. и през 2019 г. в сравнение с 3,8 % през 2017 г.</w:t>
      </w:r>
    </w:p>
    <w:p>
      <w:pPr>
        <w:rPr>
          <w:rFonts w:ascii="Verdana" w:eastAsia="Calibri" w:hAnsi="Verdana" w:cs="Times New Roman"/>
          <w:noProof/>
          <w:sz w:val="18"/>
          <w:szCs w:val="18"/>
          <w:bdr w:val="nil"/>
          <w:lang w:val="en-GB"/>
        </w:rPr>
      </w:pPr>
      <w:r>
        <w:rPr>
          <w:noProof/>
          <w:lang w:val="en-GB"/>
        </w:rPr>
        <w:br w:type="page"/>
      </w:r>
    </w:p>
    <w:p>
      <w:pPr>
        <w:pStyle w:val="HEADER2Part4"/>
        <w:ind w:left="851" w:hanging="851"/>
      </w:pPr>
      <w:bookmarkStart w:id="243" w:name="_Toc491880239"/>
      <w:bookmarkStart w:id="244" w:name="_Toc517190627"/>
      <w:bookmarkStart w:id="245" w:name="_Toc517434275"/>
      <w:bookmarkStart w:id="246" w:name="_Toc522890379"/>
      <w:r>
        <w:t>БЮДЖЕТНИ УСЛОВНИ ПАСИВИ ЗА ФИНАНСОВА ПОМОЩ</w:t>
      </w:r>
      <w:bookmarkEnd w:id="243"/>
      <w:bookmarkEnd w:id="244"/>
      <w:bookmarkEnd w:id="245"/>
      <w:bookmarkEnd w:id="246"/>
    </w:p>
    <w:p>
      <w:pPr>
        <w:pStyle w:val="DGTextstand-alone"/>
      </w:pPr>
      <w:r>
        <w:t>Дейностите на ЕС по получаване и отпускане на заеми за програмите за финансова помощ представляват небюджетни операции. По принцип събраните средства след това се предоставят на държавата бенефициер „бек-ту-бек“, т.е. със същия купон, срок и размер. Независимо от метода „бек-ту-бек“, обслужването на дълга по инструментите за финансиране е правно задължение на ЕС, който ще направи необходимото всички плащания да се извършват в пълен размер и в срок. Комисията е въвела процедури, за да гарантира изплащането на взетите назаем средства, дори в случай на неизпълнение на задълженията по отпуснатите заеми.</w:t>
      </w:r>
    </w:p>
    <w:p>
      <w:pPr>
        <w:pStyle w:val="DGTextstand-alone"/>
      </w:pPr>
      <w:r>
        <w:t>Получените заеми на ЕС представляват преки и безусловни задължения на ЕС и се гарантират от държавите — членки на ЕС (бюджетни условни пасиви). Заемите, взети с цел финансиране на заеми за държави извън ЕС, попадат в обхвата на Гаранционния фонд за външни дейности. Ако държава членка бенефициер не изпълни задълженията си по заем, ако е възможно, дългът се изплаща от средствата, с които разполага Комисията. Ако това не е възможно, Комисията взема необходимите средства от държавите членки. Съгласно законодателството на ЕС за собствените ресурси (член 14 от Регламент № 609/2014 на Съвета) държавите — членки на ЕС, са правно задължени да осигуряват достатъчно средства за изпълняване на задълженията на ЕС. Поради това инвеститорите са изложени само на кредитния риск на ЕС, а не на този на бенефициера, на който са отпуснати финансираните заеми. Благодарение на отпускането на заеми „бек-ту-бек“ бюджетът на ЕС не поема никакъв лихвен или валутен риск.</w:t>
      </w:r>
    </w:p>
    <w:p>
      <w:pPr>
        <w:pStyle w:val="DGTextstand-alone"/>
      </w:pPr>
      <w:r>
        <w:t>За всяка програма за дадена държава в решенията на ЕП, на Съвета и на Комисията се определят общата отпусната сума, броя на частите от заема, които трябва да се платят, и максималния (среден) срок на пакета от заеми. Впоследствие Комисията и държавата бенефициер се договарят относно параметрите на заема/финансирането, и по-специално срока на частите от заема. Освен това всички части от заема освен първата зависят от спазването на условията на политиката в контекста на съвместна финансова помощ от ЕС и Международния валутен фонд (МВФ), което е друг фактор, влияещ на момента на извършване на операциите по финансиране. Това означава, че моментът на емитиране и сроковете зависят от съответните дейности на ЕС по отпускане на заеми. Финансирането се извършва само в евро, а сроковете варират от 3 до 30 години.</w:t>
      </w:r>
    </w:p>
    <w:p>
      <w:pPr>
        <w:pStyle w:val="DGTextstand-alone"/>
      </w:pPr>
      <w:r>
        <w:t>Следната таблица съдържа преглед на планирания график за изплащане, в номинално изражение, на непогасените суми от заемите по ЕМФС и по ПБ към 31 декември 2017 г.:</w:t>
      </w:r>
    </w:p>
    <w:tbl>
      <w:tblPr>
        <w:tblW w:w="5000" w:type="pct"/>
        <w:tblLook w:val="04A0" w:firstRow="1" w:lastRow="0" w:firstColumn="1" w:lastColumn="0" w:noHBand="0" w:noVBand="1"/>
      </w:tblPr>
      <w:tblGrid>
        <w:gridCol w:w="834"/>
        <w:gridCol w:w="1192"/>
        <w:gridCol w:w="1192"/>
        <w:gridCol w:w="1194"/>
        <w:gridCol w:w="1249"/>
        <w:gridCol w:w="1426"/>
        <w:gridCol w:w="1138"/>
        <w:gridCol w:w="1630"/>
      </w:tblGrid>
      <w:tr>
        <w:trPr>
          <w:trHeight w:val="300"/>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66" w:type="pct"/>
            <w:tcBorders>
              <w:top w:val="nil"/>
              <w:left w:val="nil"/>
              <w:bottom w:val="nil"/>
              <w:right w:val="nil"/>
            </w:tcBorders>
            <w:shd w:val="clear" w:color="auto" w:fill="auto"/>
            <w:noWrap/>
            <w:vAlign w:val="bottom"/>
            <w:hideMark/>
          </w:tcPr>
          <w:p>
            <w:pPr>
              <w:jc w:val="right"/>
              <w:rPr>
                <w:rFonts w:ascii="Verdana" w:hAnsi="Verdana"/>
                <w:i/>
                <w:iCs/>
                <w:noProof/>
                <w:color w:val="000000"/>
                <w:sz w:val="18"/>
                <w:szCs w:val="18"/>
              </w:rPr>
            </w:pPr>
            <w:r>
              <w:rPr>
                <w:rFonts w:ascii="Verdana" w:hAnsi="Verdana"/>
                <w:i/>
                <w:noProof/>
                <w:color w:val="000000"/>
                <w:sz w:val="18"/>
              </w:rPr>
              <w:t>милиарди евро</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noProof/>
                <w:color w:val="FFFFFF"/>
                <w:sz w:val="20"/>
              </w:rPr>
              <w:t>ПБ</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noProof/>
                <w:color w:val="FFFFFF"/>
                <w:sz w:val="20"/>
              </w:rPr>
              <w:t>ЕМФС</w:t>
            </w:r>
          </w:p>
        </w:tc>
        <w:tc>
          <w:tcPr>
            <w:tcW w:w="666"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noProof/>
                <w:color w:val="FFFFFF"/>
                <w:sz w:val="20"/>
              </w:rPr>
              <w:t>ОБЩО</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noProof/>
                <w:color w:val="4BACC6"/>
                <w:sz w:val="18"/>
              </w:rPr>
              <w:t>Латвия</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noProof/>
                <w:color w:val="4BACC6"/>
                <w:sz w:val="18"/>
              </w:rPr>
              <w:t>Румъния</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noProof/>
                <w:color w:val="4BACC6"/>
                <w:sz w:val="18"/>
              </w:rPr>
              <w:t>Общо</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Ирландия</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Португалия</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noProof/>
                <w:color w:val="92D050"/>
                <w:sz w:val="18"/>
              </w:rPr>
              <w:t>Общо</w:t>
            </w:r>
          </w:p>
        </w:tc>
        <w:tc>
          <w:tcPr>
            <w:tcW w:w="666" w:type="pct"/>
            <w:vMerge/>
            <w:tcBorders>
              <w:top w:val="nil"/>
              <w:left w:val="nil"/>
              <w:bottom w:val="single" w:sz="4" w:space="0" w:color="000000"/>
              <w:right w:val="nil"/>
            </w:tcBorders>
            <w:vAlign w:val="center"/>
            <w:hideMark/>
          </w:tcPr>
          <w:p>
            <w:pPr>
              <w:rPr>
                <w:rFonts w:ascii="Calibri" w:hAnsi="Calibri"/>
                <w:b/>
                <w:bCs/>
                <w:noProof/>
                <w:color w:val="FFFFFF"/>
                <w:sz w:val="28"/>
                <w:szCs w:val="28"/>
              </w:rPr>
            </w:pP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w:t>
            </w:r>
            <w:r>
              <w:rPr>
                <w:rFonts w:ascii="Verdana" w:hAnsi="Verdana"/>
                <w:noProof/>
                <w:color w:val="000000"/>
                <w:sz w:val="18"/>
                <w:lang w:val="en-GB"/>
              </w:rPr>
              <w:t>,</w:t>
            </w:r>
            <w:r>
              <w:rPr>
                <w:rFonts w:ascii="Verdana" w:hAnsi="Verdana"/>
                <w:noProof/>
                <w:color w:val="000000"/>
                <w:sz w:val="18"/>
              </w:rPr>
              <w:t>3*</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w:t>
            </w:r>
            <w:r>
              <w:rPr>
                <w:rFonts w:ascii="Verdana" w:hAnsi="Verdana"/>
                <w:noProof/>
                <w:color w:val="000000"/>
                <w:sz w:val="18"/>
                <w:lang w:val="en-GB"/>
              </w:rPr>
              <w:t>,</w:t>
            </w:r>
            <w:r>
              <w:rPr>
                <w:rFonts w:ascii="Verdana" w:hAnsi="Verdana"/>
                <w:noProof/>
                <w:color w:val="000000"/>
                <w:sz w:val="18"/>
              </w:rPr>
              <w:t>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w:t>
            </w:r>
            <w:r>
              <w:rPr>
                <w:rFonts w:ascii="Verdana" w:hAnsi="Verdana"/>
                <w:noProof/>
                <w:color w:val="000000"/>
                <w:sz w:val="18"/>
                <w:lang w:val="en-GB"/>
              </w:rPr>
              <w:t>,</w:t>
            </w:r>
            <w:r>
              <w:rPr>
                <w:rFonts w:ascii="Verdana" w:hAnsi="Verdana"/>
                <w:noProof/>
                <w:color w:val="000000"/>
                <w:sz w:val="18"/>
              </w:rPr>
              <w:t>9**</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5</w:t>
            </w:r>
            <w:r>
              <w:rPr>
                <w:rFonts w:ascii="Verdana" w:hAnsi="Verdana"/>
                <w:noProof/>
                <w:color w:val="000000"/>
                <w:sz w:val="18"/>
                <w:lang w:val="en-GB"/>
              </w:rPr>
              <w:t>,</w:t>
            </w:r>
            <w:r>
              <w:rPr>
                <w:rFonts w:ascii="Verdana" w:hAnsi="Verdana"/>
                <w:noProof/>
                <w:color w:val="000000"/>
                <w:sz w:val="18"/>
              </w:rPr>
              <w:t>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w:t>
            </w:r>
            <w:r>
              <w:rPr>
                <w:rFonts w:ascii="Verdana" w:hAnsi="Verdana"/>
                <w:noProof/>
                <w:color w:val="000000"/>
                <w:sz w:val="18"/>
                <w:lang w:val="en-GB"/>
              </w:rPr>
              <w:t>,</w:t>
            </w:r>
            <w:r>
              <w:rPr>
                <w:rFonts w:ascii="Verdana" w:hAnsi="Verdana"/>
                <w:noProof/>
                <w:color w:val="000000"/>
                <w:sz w:val="18"/>
              </w:rPr>
              <w:t>5</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w:t>
            </w:r>
            <w:r>
              <w:rPr>
                <w:rFonts w:ascii="Verdana" w:hAnsi="Verdana"/>
                <w:noProof/>
                <w:color w:val="000000"/>
                <w:sz w:val="18"/>
                <w:lang w:val="en-GB"/>
              </w:rPr>
              <w:t>,</w:t>
            </w:r>
            <w:r>
              <w:rPr>
                <w:rFonts w:ascii="Verdana" w:hAnsi="Verdana"/>
                <w:noProof/>
                <w:color w:val="000000"/>
                <w:sz w:val="18"/>
              </w:rPr>
              <w:t>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6</w:t>
            </w:r>
            <w:r>
              <w:rPr>
                <w:rFonts w:ascii="Verdana" w:hAnsi="Verdana"/>
                <w:noProof/>
                <w:color w:val="000000"/>
                <w:sz w:val="18"/>
                <w:lang w:val="en-GB"/>
              </w:rPr>
              <w:t>,</w:t>
            </w:r>
            <w:r>
              <w:rPr>
                <w:rFonts w:ascii="Verdana" w:hAnsi="Verdana"/>
                <w:noProof/>
                <w:color w:val="000000"/>
                <w:sz w:val="18"/>
              </w:rPr>
              <w:t>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9</w:t>
            </w:r>
            <w:r>
              <w:rPr>
                <w:rFonts w:ascii="Verdana" w:hAnsi="Verdana"/>
                <w:noProof/>
                <w:color w:val="000000"/>
                <w:sz w:val="18"/>
                <w:lang w:val="en-GB"/>
              </w:rPr>
              <w:t>,</w:t>
            </w:r>
            <w:r>
              <w:rPr>
                <w:rFonts w:ascii="Verdana" w:hAnsi="Verdana"/>
                <w:noProof/>
                <w:color w:val="000000"/>
                <w:sz w:val="18"/>
              </w:rPr>
              <w:t>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9</w:t>
            </w:r>
            <w:r>
              <w:rPr>
                <w:rFonts w:ascii="Verdana" w:hAnsi="Verdana"/>
                <w:noProof/>
                <w:color w:val="000000"/>
                <w:sz w:val="18"/>
                <w:lang w:val="en-GB"/>
              </w:rPr>
              <w:t>,</w:t>
            </w:r>
            <w:r>
              <w:rPr>
                <w:rFonts w:ascii="Verdana" w:hAnsi="Verdana"/>
                <w:noProof/>
                <w:color w:val="000000"/>
                <w:sz w:val="18"/>
              </w:rPr>
              <w:t>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2,7</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3,5</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2,6</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2,6</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0</w:t>
            </w:r>
            <w:r>
              <w:rPr>
                <w:rFonts w:ascii="Verdana" w:hAnsi="Verdana"/>
                <w:noProof/>
                <w:color w:val="000000"/>
                <w:sz w:val="18"/>
                <w:lang w:val="en-GB"/>
              </w:rPr>
              <w:t>,</w:t>
            </w:r>
            <w:r>
              <w:rPr>
                <w:rFonts w:ascii="Verdana" w:hAnsi="Verdana"/>
                <w:noProof/>
                <w:color w:val="000000"/>
                <w:sz w:val="18"/>
              </w:rPr>
              <w:t>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0</w:t>
            </w:r>
            <w:r>
              <w:rPr>
                <w:rFonts w:ascii="Verdana" w:hAnsi="Verdana"/>
                <w:noProof/>
                <w:color w:val="000000"/>
                <w:sz w:val="18"/>
                <w:lang w:val="en-GB"/>
              </w:rPr>
              <w:t>,</w:t>
            </w:r>
            <w:r>
              <w:rPr>
                <w:rFonts w:ascii="Verdana" w:hAnsi="Verdana"/>
                <w:noProof/>
                <w:color w:val="000000"/>
                <w:sz w:val="18"/>
              </w:rPr>
              <w:t>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w:t>
            </w:r>
            <w:r>
              <w:rPr>
                <w:rFonts w:ascii="Verdana" w:hAnsi="Verdana"/>
                <w:noProof/>
                <w:color w:val="000000"/>
                <w:sz w:val="18"/>
                <w:lang w:val="en-GB"/>
              </w:rPr>
              <w:t>,</w:t>
            </w:r>
            <w:r>
              <w:rPr>
                <w:rFonts w:ascii="Verdana" w:hAnsi="Verdana"/>
                <w:noProof/>
                <w:color w:val="000000"/>
                <w:sz w:val="18"/>
              </w:rPr>
              <w:t>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3</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2,3</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w:t>
            </w:r>
            <w:r>
              <w:rPr>
                <w:rFonts w:ascii="Verdana" w:hAnsi="Verdana"/>
                <w:noProof/>
                <w:color w:val="000000"/>
                <w:sz w:val="18"/>
                <w:lang w:val="en-GB"/>
              </w:rPr>
              <w:t>,</w:t>
            </w:r>
            <w:r>
              <w:rPr>
                <w:rFonts w:ascii="Verdana" w:hAnsi="Verdana"/>
                <w:noProof/>
                <w:color w:val="000000"/>
                <w:sz w:val="18"/>
              </w:rPr>
              <w:t>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1,4</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1,4</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2</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w:t>
            </w:r>
            <w:r>
              <w:rPr>
                <w:rFonts w:ascii="Verdana" w:hAnsi="Verdana"/>
                <w:noProof/>
                <w:color w:val="000000"/>
                <w:sz w:val="18"/>
                <w:lang w:val="en-GB"/>
              </w:rPr>
              <w:t>,</w:t>
            </w:r>
            <w:r>
              <w:rPr>
                <w:rFonts w:ascii="Verdana" w:hAnsi="Verdana"/>
                <w:noProof/>
                <w:color w:val="000000"/>
                <w:sz w:val="18"/>
              </w:rPr>
              <w:t>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w:t>
            </w:r>
            <w:r>
              <w:rPr>
                <w:rFonts w:ascii="Verdana" w:hAnsi="Verdana"/>
                <w:noProof/>
                <w:color w:val="000000"/>
                <w:sz w:val="18"/>
                <w:lang w:val="en-GB"/>
              </w:rPr>
              <w:t>,</w:t>
            </w:r>
            <w:r>
              <w:rPr>
                <w:rFonts w:ascii="Verdana" w:hAnsi="Verdana"/>
                <w:noProof/>
                <w:color w:val="000000"/>
                <w:sz w:val="18"/>
              </w:rPr>
              <w:t>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w:t>
            </w:r>
            <w:r>
              <w:rPr>
                <w:rFonts w:ascii="Verdana" w:hAnsi="Verdana"/>
                <w:noProof/>
                <w:color w:val="000000"/>
                <w:sz w:val="18"/>
                <w:lang w:val="en-GB"/>
              </w:rPr>
              <w:t>,</w:t>
            </w:r>
            <w:r>
              <w:rPr>
                <w:rFonts w:ascii="Verdana" w:hAnsi="Verdana"/>
                <w:noProof/>
                <w:color w:val="000000"/>
                <w:sz w:val="18"/>
              </w:rPr>
              <w:t>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2,0</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1</w:t>
            </w:r>
            <w:r>
              <w:rPr>
                <w:rFonts w:ascii="Verdana" w:hAnsi="Verdana"/>
                <w:noProof/>
                <w:color w:val="000000"/>
                <w:sz w:val="18"/>
                <w:lang w:val="en-GB"/>
              </w:rPr>
              <w:t>,</w:t>
            </w:r>
            <w:r>
              <w:rPr>
                <w:rFonts w:ascii="Verdana" w:hAnsi="Verdana"/>
                <w:noProof/>
                <w:color w:val="000000"/>
                <w:sz w:val="18"/>
              </w:rPr>
              <w:t>0</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1,0</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1,0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w:t>
            </w:r>
            <w:r>
              <w:rPr>
                <w:rFonts w:ascii="Verdana" w:hAnsi="Verdana"/>
                <w:noProof/>
                <w:color w:val="000000"/>
                <w:sz w:val="18"/>
                <w:lang w:val="en-GB"/>
              </w:rPr>
              <w:t>,</w:t>
            </w:r>
            <w:r>
              <w:rPr>
                <w:rFonts w:ascii="Verdana" w:hAnsi="Verdana"/>
                <w:noProof/>
                <w:color w:val="000000"/>
                <w:sz w:val="18"/>
              </w:rPr>
              <w:t>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1,8</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w:t>
            </w:r>
            <w:r>
              <w:rPr>
                <w:rFonts w:ascii="Verdana" w:hAnsi="Verdana"/>
                <w:noProof/>
                <w:color w:val="000000"/>
                <w:sz w:val="18"/>
                <w:lang w:val="en-GB"/>
              </w:rPr>
              <w:t>,</w:t>
            </w:r>
            <w:r>
              <w:rPr>
                <w:rFonts w:ascii="Verdana" w:hAnsi="Verdana"/>
                <w:noProof/>
                <w:color w:val="000000"/>
                <w:sz w:val="18"/>
              </w:rPr>
              <w:t>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Общо</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noProof/>
                <w:color w:val="000000"/>
                <w:sz w:val="18"/>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3,0</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46,8</w:t>
            </w:r>
          </w:p>
        </w:tc>
        <w:tc>
          <w:tcPr>
            <w:tcW w:w="666"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noProof/>
                <w:color w:val="000000"/>
                <w:sz w:val="18"/>
              </w:rPr>
              <w:t>49,8</w:t>
            </w:r>
          </w:p>
        </w:tc>
      </w:tr>
    </w:tbl>
    <w:p>
      <w:pPr>
        <w:pStyle w:val="DGTextstand-alone"/>
        <w:tabs>
          <w:tab w:val="left" w:pos="284"/>
        </w:tabs>
        <w:spacing w:before="0" w:after="0"/>
        <w:ind w:left="284" w:hanging="284"/>
        <w:rPr>
          <w:i/>
          <w:sz w:val="16"/>
        </w:rPr>
      </w:pPr>
      <w:r>
        <w:rPr>
          <w:i/>
          <w:sz w:val="16"/>
        </w:rPr>
        <w:t>*</w:t>
      </w:r>
      <w:r>
        <w:tab/>
      </w:r>
      <w:r>
        <w:rPr>
          <w:i/>
          <w:sz w:val="16"/>
        </w:rPr>
        <w:t>През април 2018 г. Румъния погаси 1,2 милиарда евро от главницата, като се очаква да погаси още 0,1 милиарда евро от нея през октомври 2018 г.</w:t>
      </w:r>
    </w:p>
    <w:p>
      <w:pPr>
        <w:pStyle w:val="DGTextstand-alone"/>
        <w:tabs>
          <w:tab w:val="left" w:pos="284"/>
        </w:tabs>
        <w:spacing w:before="0"/>
        <w:ind w:left="284" w:hanging="284"/>
        <w:rPr>
          <w:i/>
          <w:sz w:val="16"/>
        </w:rPr>
      </w:pPr>
      <w:r>
        <w:rPr>
          <w:i/>
          <w:sz w:val="16"/>
        </w:rPr>
        <w:t>**</w:t>
      </w:r>
      <w:r>
        <w:tab/>
      </w:r>
      <w:r>
        <w:rPr>
          <w:i/>
          <w:sz w:val="16"/>
        </w:rPr>
        <w:t>Ирландия поиска удължаване на срока на погасителен транш от 3,4 милиарда евро, което беше одобрено, и сумата беше успешно взета назаем на пазарите през първото тримесечие на 2018 г., като погасяването ѝ бе разсрочено на два транша (2,4 милиарда евро и 1 милиард евро), които трябва да бъдат платени съответно през 2025 г. и 2033 г.</w:t>
      </w:r>
    </w:p>
    <w:p>
      <w:pPr>
        <w:pStyle w:val="DGTextstand-alone"/>
      </w:pPr>
      <w:r>
        <w:t>Междуправителствените механизми за финансова стабилност — Европейският инструмент за финансова стабилност (ЕИФС) и Европейският механизъм за стабилност (ЕМС), не попадат в приложното поле на Договора за ЕС, поради което не са включени в консолидираните годишни отчети на ЕС.</w:t>
      </w:r>
    </w:p>
    <w:p>
      <w:pPr>
        <w:pStyle w:val="HEADER2Part4"/>
        <w:ind w:left="851" w:hanging="851"/>
      </w:pPr>
      <w:bookmarkStart w:id="247" w:name="_Toc491880240"/>
      <w:bookmarkStart w:id="248" w:name="_Toc517190628"/>
      <w:bookmarkStart w:id="249" w:name="_Toc517434276"/>
      <w:bookmarkStart w:id="250" w:name="_Toc522890380"/>
      <w:r>
        <w:t>УСЛОВНИ ПАСИВИ ВЪВ ВРЪЗКА С БЮДЖЕТНИ ГАРАНЦИИ</w:t>
      </w:r>
      <w:bookmarkEnd w:id="247"/>
      <w:bookmarkEnd w:id="248"/>
      <w:bookmarkEnd w:id="249"/>
      <w:bookmarkEnd w:id="250"/>
    </w:p>
    <w:p>
      <w:pPr>
        <w:pStyle w:val="DGTextstand-alone"/>
      </w:pPr>
      <w:r>
        <w:t>ЕС е предоставил гаранции на групата на ЕИБ по заемите, отпуснати извън ЕС, и по дълговите и капиталовите операции, покрити от гаранцията на ЕФСИ. Към 31 декември 2017 г. ЕС показва в бележките към консолидираните си финансови отчети (вж. бележка </w:t>
      </w:r>
      <w:r>
        <w:rPr>
          <w:b/>
        </w:rPr>
        <w:t>4.1.1</w:t>
      </w:r>
      <w:r>
        <w:t>) условни пасиви за двете гаранции. За да се намали рискът, който задействането на гаранциите от групата на ЕИБ може да породи за бюджета на ЕС, ЕС създаде специални гаранционни фондове — Гаранционния фонд за външни дейности и Гаранционния фонд на ЕФСИ.</w:t>
      </w:r>
    </w:p>
    <w:p>
      <w:pPr>
        <w:pStyle w:val="DGTextstand-alone"/>
      </w:pPr>
      <w:r>
        <w:t xml:space="preserve">Гаранционният фонд за външни дейности се захранва от бюджета на ЕС така, че да покрива 9 % от гарантираните заеми за дейности по мандата на ЕИБ за външно кредитиране на трети държави, които гарантирани заеми са непогасени към края на годината. Към 31 декември 2017 г. общата стойност на активите от 2,2 милиарда евро покрива експозиция от отпуснати средства в размер на 20 милиарда евро, подписани средства в размер на 28,9 милиарда евро и таван от 37,5 милиарда евро. </w:t>
      </w:r>
    </w:p>
    <w:p>
      <w:pPr>
        <w:pStyle w:val="DGTextstand-alone"/>
      </w:pPr>
      <w:r>
        <w:t>Гаранционният фонд на ЕФСИ започна дейност през 2016 г. и първоначално се очакваше да бъде финансиран до общо 50 % от максималната експозиция на ЕС, която възлиза на 16 милиарда евро, вследствие на което Фондът следва постепенно (до 2022 г.) да достигне 8 милиарда евро. През декември 2017 г. Регламентът за ЕФСИ бе изменен, вследствие на което максималният размер на гаранцията от ЕС по линия на ЕФСИ бе увеличен на 26 милиарда евро и таванът за гаранционния фонд бе намален на 35 %. Поради това въз основа на последиците от изменението се очаква Гаранционният фонд на ЕФСИ да достигне общо 9,1 милиарда евро.</w:t>
      </w:r>
    </w:p>
    <w:p>
      <w:pPr>
        <w:pStyle w:val="DGTextstand-alone"/>
        <w:rPr>
          <w:lang w:val="en-GB"/>
        </w:rPr>
      </w:pPr>
      <w:r>
        <w:t>Общият размер на активите, които съставляват Гаранционния фонд на ЕФСИ, е 3,5 милиона евро към 31 декември 2017 г. Тези средства покриват експозиция от отпуснати суми в размер на 10,1 милиарда евро и от подписани суми в размер на 13,5 милиарда евро (включително отпуснатите суми). Понастоящем Гаранционният фонд на ЕФСИ работи както в евро, така и в щатски долари.</w:t>
      </w:r>
    </w:p>
    <w:p>
      <w:pPr>
        <w:rPr>
          <w:rFonts w:ascii="Verdana" w:eastAsia="Calibri" w:hAnsi="Verdana" w:cs="Times New Roman"/>
          <w:noProof/>
          <w:sz w:val="18"/>
          <w:szCs w:val="18"/>
          <w:bdr w:val="nil"/>
          <w:lang w:val="en-GB"/>
        </w:rPr>
      </w:pPr>
      <w:r>
        <w:rPr>
          <w:noProof/>
          <w:lang w:val="en-GB"/>
        </w:rPr>
        <w:br w:type="page"/>
      </w:r>
    </w:p>
    <w:p>
      <w:pPr>
        <w:pStyle w:val="HEADER2Part4"/>
      </w:pPr>
      <w:bookmarkStart w:id="251" w:name="_Toc517190629"/>
      <w:bookmarkStart w:id="252" w:name="_Toc517434277"/>
      <w:bookmarkStart w:id="253" w:name="_Toc522890381"/>
      <w:r>
        <w:t>СТИМУЛ ЗА РАБОТНИТЕ МЕСТА, РАСТЕЖА И ИНВЕСТИЦИИТЕ</w:t>
      </w:r>
      <w:bookmarkEnd w:id="251"/>
      <w:bookmarkEnd w:id="252"/>
      <w:bookmarkEnd w:id="253"/>
    </w:p>
    <w:p>
      <w:pPr>
        <w:pStyle w:val="DGTextstand-alone"/>
        <w:rPr>
          <w:color w:val="016794"/>
        </w:rPr>
      </w:pPr>
      <w:r>
        <w:rPr>
          <w:color w:val="016794"/>
        </w:rPr>
        <w:t>План за инвестиции за Европа</w:t>
      </w:r>
    </w:p>
    <w:p>
      <w:pPr>
        <w:pStyle w:val="DGTextstand-alone"/>
      </w:pPr>
      <w:r>
        <w:t>През 2015 г. Комисията стартира заедно с ЕИБ Плана за инвестиции за Европа, включващ Европейския фонд за стратегически инвестиции (ЕФСИ), за който първоначално беше предвидено финансиране от ЕС в размер на 21 милиарда евро и чиято основна цел е да се привлекат частни инвестиции. Според прогнозите до 2020 г. ще бъдат създадени още 700 000 работни места, а брутният вътрешен продукт на ЕС ще нарасне с 0,7 % в резултат на одобрените през 2015 и 2016 г. инвестиции. Това показва,че стратегическите инвестиции стимулират работните места и растежа в целия ЕС, дори в секторите и регионите, които преди десет години бяха сериозно засегнати от кризата. След като през септември Европейският парламент и държавите членки постигнаха принципно съгласие, през декември Парламентът прие регламент за удължаване на срока на действие на Европейския фонд за стратегически инвестиции и за неговото усъвършенстване. Срокът на действие на новия и усъвършенстван ЕФСИ 2.0 бе удължен от средата на 2018 г. до края на 2020 г., а инвестиционната му цел бе увеличена от 315 милиарда евро на поне 500 милиарда евро.</w:t>
      </w:r>
    </w:p>
    <w:p>
      <w:pPr>
        <w:pStyle w:val="DGTextstand-alone"/>
      </w:pPr>
      <w:r>
        <w:t xml:space="preserve">През 2017 г. Фондът продължи стабилно да напредва към мобилизирането на поне 315 милиарда евро допълнителни инвестиции в реалната икономика до средата на 2018 г. Той действаше във всичките 28 държави членки и се очакваше до края на 2017 г. да мобилизира инвестиции на обща стойност около 256 милиарда евро. </w:t>
      </w:r>
    </w:p>
    <w:p>
      <w:pPr>
        <w:pStyle w:val="DGTextstand-alone"/>
      </w:pPr>
      <w:r>
        <w:t xml:space="preserve">До края на годината по линия на Фонда бяха одобрени общо 357 инфраструктурни и иновационни проекта, чието финансиране възлиза на 39,2 милиарда евро. Освен това бяха одобрени 347 споразумения за финансиране на малки и средни предприятия (МСП) на стойност 11,9 милиарда евро. Според прогнозите от тези споразумения би трябвало да извлекат ползи около 539 000 МСП. </w:t>
      </w:r>
    </w:p>
    <w:p>
      <w:pPr>
        <w:pStyle w:val="DGTextstand-alone"/>
      </w:pPr>
      <w:r>
        <w:t>Освен това беше отбелязан напредък в консултациите за разработването и подготвянето на проекти чрез Европейския консултантски център по инвестиционни въпроси, а търсещите финансиране проекти получиха необходимата видимост в Европейския портал за инвестиционни проекти.</w:t>
      </w:r>
    </w:p>
    <w:p>
      <w:pPr>
        <w:pStyle w:val="DGTextstand-alone"/>
      </w:pPr>
      <w:r>
        <w:t>Европейският фонд за стратегически инвестиции подкрепя инвестициите в сектори, които са от стратегическо значение за икономиката на ЕС, включително енергетиката, транспорта, цифровите технологии, научните изследвания, развойната дейност и иновациите, околната среда и ефективността на ресурсите, социалната инфраструктура и малките предприятия. Това включва инвестиране в предприемачеството, въздействието и иновациите в социалната сфера.</w:t>
      </w:r>
    </w:p>
    <w:p>
      <w:pPr>
        <w:rPr>
          <w:rFonts w:ascii="Verdana" w:eastAsia="Calibri" w:hAnsi="Verdana"/>
          <w:noProof/>
          <w:color w:val="016794"/>
          <w:sz w:val="18"/>
          <w:szCs w:val="18"/>
          <w:bdr w:val="nil"/>
        </w:rPr>
      </w:pPr>
      <w:r>
        <w:rPr>
          <w:noProof/>
        </w:rPr>
        <w:br w:type="page"/>
      </w:r>
    </w:p>
    <w:p>
      <w:pPr>
        <w:pStyle w:val="DGTextstand-alone"/>
        <w:rPr>
          <w:color w:val="016794"/>
        </w:rPr>
      </w:pPr>
      <w:r>
        <w:rPr>
          <w:color w:val="016794"/>
        </w:rPr>
        <w:t>Постоянна подкрепа за държавите — членки на ЕС</w:t>
      </w:r>
    </w:p>
    <w:p>
      <w:pPr>
        <w:pStyle w:val="DGTextstand-alone"/>
      </w:pPr>
      <w:r>
        <w:t xml:space="preserve">През май 2017 г. беше създадена Програмата за подкрепа на структурните реформи, която разполага с бюджет от 142,8 милиона евро за периода 2017—2020 г. По искане на държавите членки програмата финансира съобразена с конкретните нужди техническа подкрепа, която има за цел да им помогне в ключовите области, в които полагат усилия за реформи. Чрез нея Комисията предоставя целенасочена подкрепа, която укрепва капацитета на държавите членки за разработване и провеждане на реформите, които те считат за необходими, за да направят икономиките си по-конкурентоспособни и благоприятни за инвестиции. Тази техническа подкрепа обхваща реформите в областта на управлението и публичната администрация, управлението на публичните финанси, бизнес средата, пазарите на труда, образованието, здравеопазването и социалните услуги, финансовия сектор и достъпа до финансиране. Тя може да се ползва от всички държави — членки на ЕС, основава се на търсенето и не изисква съфинансиране. </w:t>
      </w:r>
    </w:p>
    <w:p>
      <w:pPr>
        <w:pStyle w:val="DGTextstand-alone"/>
      </w:pPr>
      <w:r>
        <w:t xml:space="preserve">Програмата се изпълнява от Службата на Комисията за подкрепа на структурните реформи в сътрудничество с други компетентни служби на Комисията. Досега Службата е работила с 15 държави членки за осъществяването на над 150 проекта за подкрепа. В рамките на проектния цикъл за 2018 г. тя е получила над 400 искания за подкрепа от над 20 държави членки, което е довело до търсене, надхвърлящо значително бюджета на програмата, който възлиза на 30,5 милиона евро годишно. </w:t>
      </w:r>
    </w:p>
    <w:p>
      <w:pPr>
        <w:pStyle w:val="DGTextstand-alone"/>
      </w:pPr>
      <w:r>
        <w:t xml:space="preserve">ЕС продължи да подкрепя Ирландия, Испания, Кипър, Португалия и Румъния след приключването на програмата. През годината отново беше постигнат добър напредък в изпълнението на програмата за Гърция, разработена с цел да се създадат условия за възвръщане на доверието и да се поставят основите за трайно икономическо възстановяване в Гърция. Вторият преглед приключи през юли и позволи да се разреши отпускането на третия транш от финансирането по линия на Европейския механизъм за стабилност в размер на 8,5 милиарда евро. През декември се извършваше третият преглед и в началото на месеца беше постигнато споразумение на работно равнище. Гърция продължи също да получава икономическа подкрепа по линия на Плана за инвестиции за Европа. </w:t>
      </w:r>
    </w:p>
    <w:p>
      <w:pPr>
        <w:pStyle w:val="DGTextstand-alone"/>
      </w:pPr>
      <w:r>
        <w:t>Службата за подкрепа на структурните реформи пое и специални задачи за подпомагане на координирането на действията в отговор на бежанската криза в Гърция и за изпълнение на програмата на ЕС за помощ за общността на кипърските турци.</w:t>
      </w:r>
    </w:p>
    <w:p>
      <w:pPr>
        <w:pStyle w:val="HEADER2Part4"/>
      </w:pPr>
      <w:bookmarkStart w:id="254" w:name="_Toc517190630"/>
      <w:bookmarkStart w:id="255" w:name="_Toc517434278"/>
      <w:bookmarkStart w:id="256" w:name="_Toc522890382"/>
      <w:r>
        <w:t>РЕЗЕРВ ЗА НОВИ УЧАСТНИЦИ (NER) 300</w:t>
      </w:r>
      <w:bookmarkEnd w:id="254"/>
      <w:bookmarkEnd w:id="255"/>
      <w:bookmarkEnd w:id="256"/>
    </w:p>
    <w:p>
      <w:pPr>
        <w:pStyle w:val="DGTextstand-alone"/>
      </w:pPr>
      <w:r>
        <w:t>Фондът NER 300 произхожда от продажбата на квоти по схемата за търговия с емисии и принадлежи на държавите членки, които използват парите за финансиране на иновационни нисковъглеродни демонстрационни проекти в областта на енергетиката. Комисията управлява програмата от името на държавите членки, а ЕИБ отговаря за управлението на активите на фонда NER 300 и действа като технически консултант, съгласно Споразумението за сътрудничество с Комисията. Тъй като нито приходите от квотите, нито разходите за финансираните проекти са част от бюджета на ЕС, тези суми не се включват в отчетите на ЕС.</w:t>
      </w:r>
    </w:p>
    <w:p>
      <w:pPr>
        <w:pStyle w:val="DGTextstand-alone"/>
        <w:sectPr>
          <w:headerReference w:type="even" r:id="rId396"/>
          <w:headerReference w:type="default" r:id="rId397"/>
          <w:footerReference w:type="even" r:id="rId398"/>
          <w:footerReference w:type="default" r:id="rId399"/>
          <w:headerReference w:type="first" r:id="rId400"/>
          <w:footerReference w:type="first" r:id="rId401"/>
          <w:pgSz w:w="11907" w:h="16840"/>
          <w:pgMar w:top="1134" w:right="1134" w:bottom="1134" w:left="1134" w:header="709" w:footer="709" w:gutter="0"/>
          <w:cols w:space="708"/>
          <w:docGrid w:linePitch="360"/>
        </w:sectPr>
      </w:pPr>
      <w:r>
        <w:t xml:space="preserve"> </w:t>
      </w:r>
      <w:bookmarkEnd w:id="203"/>
    </w:p>
    <w:p>
      <w:pPr>
        <w:pStyle w:val="FinancialYear"/>
        <w:rPr>
          <w:noProof/>
        </w:rPr>
      </w:pPr>
      <w:bookmarkStart w:id="257" w:name="_DMBM_11390"/>
      <w:r>
        <w:rPr>
          <w:noProof/>
        </w:rPr>
        <w:t>ЕВРОПЕЙСКИ СЪЮЗ</w:t>
      </w:r>
    </w:p>
    <w:p>
      <w:pPr>
        <w:pStyle w:val="FinancialYear"/>
        <w:rPr>
          <w:noProof/>
        </w:rPr>
      </w:pPr>
      <w:r>
        <w:rPr>
          <w:noProof/>
        </w:rPr>
        <w:t>2017 ФИНАНСОВА ГОДИНА</w:t>
      </w:r>
    </w:p>
    <w:p>
      <w:pPr>
        <w:pStyle w:val="FIRSTCHAPTERPAGE2"/>
      </w:pPr>
    </w:p>
    <w:p>
      <w:pPr>
        <w:pStyle w:val="FIRSTCHAPTERPAGE2"/>
      </w:pPr>
    </w:p>
    <w:p>
      <w:pPr>
        <w:pStyle w:val="FIRSTCHAPTERPAGE2"/>
      </w:pPr>
    </w:p>
    <w:p>
      <w:pPr>
        <w:pStyle w:val="FIRSTCHAPTERPAGE2"/>
      </w:pPr>
    </w:p>
    <w:p>
      <w:pPr>
        <w:pStyle w:val="FIRSTCHAPTERPAGE"/>
        <w:rPr>
          <w:noProof/>
        </w:rPr>
      </w:pPr>
      <w:bookmarkStart w:id="258" w:name="_Toc390968562"/>
      <w:bookmarkStart w:id="259" w:name="_Toc522890007"/>
      <w:r>
        <w:rPr>
          <w:noProof/>
        </w:rPr>
        <w:t>ДОКЛАДИ ЗА ИЗПЪЛНЕНИЕТО НА БЮДЖЕТА И ОБЯСНИТЕЛНИ БЕЛЕЖКИ</w:t>
      </w:r>
      <w:bookmarkEnd w:id="258"/>
      <w:bookmarkEnd w:id="259"/>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402"/>
          <w:headerReference w:type="default" r:id="rId403"/>
          <w:footerReference w:type="even" r:id="rId404"/>
          <w:footerReference w:type="default" r:id="rId405"/>
          <w:headerReference w:type="first" r:id="rId406"/>
          <w:footerReference w:type="first" r:id="rId407"/>
          <w:pgSz w:w="11907" w:h="16840" w:code="9"/>
          <w:pgMar w:top="1134" w:right="1134" w:bottom="1134" w:left="1134" w:header="709" w:footer="709" w:gutter="0"/>
          <w:cols w:space="708"/>
          <w:docGrid w:linePitch="360"/>
        </w:sectPr>
      </w:pPr>
      <w:r>
        <w:rPr>
          <w:noProof/>
        </w:rPr>
        <w:t>Следва да се отбележи, че поради закръглянето на цифрите в милиони евро някои финансови данни в таблиците по-долу може да изглеждат грешни.</w:t>
      </w:r>
      <w:bookmarkEnd w:id="257"/>
    </w:p>
    <w:p>
      <w:pPr>
        <w:rPr>
          <w:rFonts w:ascii="Verdana" w:hAnsi="Verdana"/>
          <w:b/>
          <w:noProof/>
          <w:color w:val="016794"/>
          <w:sz w:val="28"/>
          <w:szCs w:val="28"/>
        </w:rPr>
      </w:pPr>
      <w:bookmarkStart w:id="260" w:name="_DMBM_11354"/>
      <w:r>
        <w:rPr>
          <w:noProof/>
        </w:rPr>
        <w:br w:type="page"/>
      </w:r>
    </w:p>
    <w:p>
      <w:pPr>
        <w:pStyle w:val="HEADERTABLE"/>
        <w:rPr>
          <w:noProof/>
        </w:rPr>
      </w:pPr>
      <w:r>
        <w:rPr>
          <w:noProof/>
        </w:rPr>
        <w:t>СЪДЪРЖАНИЕ</w:t>
      </w:r>
    </w:p>
    <w:p>
      <w:pPr>
        <w:pStyle w:val="HEADERTABLE"/>
        <w:rPr>
          <w:noProof/>
          <w:lang w:val="en-GB"/>
        </w:rPr>
      </w:pPr>
    </w:p>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\o "1-3" \h \z \t "HEADER_TITLE_2;1;HEADER 1_Part BUDG;1;HEADER 2_Part BUDG;2" </w:instrText>
      </w:r>
      <w:r>
        <w:rPr>
          <w:noProof/>
        </w:rPr>
        <w:fldChar w:fldCharType="separate"/>
      </w:r>
      <w:hyperlink w:anchor="_Toc522890481" w:history="1">
        <w:r>
          <w:rPr>
            <w:rStyle w:val="Hyperlink"/>
            <w:noProof/>
          </w:rPr>
          <w:t>РЕЗУЛТАТ ОТ ИЗПЪЛНЕНИЕТО НА БЮДЖЕТА НА ЕС</w:t>
        </w:r>
        <w:r>
          <w:rPr>
            <w:noProof/>
            <w:webHidden/>
          </w:rPr>
          <w:tab/>
        </w:r>
        <w:r>
          <w:rPr>
            <w:noProof/>
            <w:webHidden/>
          </w:rPr>
          <w:fldChar w:fldCharType="begin"/>
        </w:r>
        <w:r>
          <w:rPr>
            <w:noProof/>
            <w:webHidden/>
          </w:rPr>
          <w:instrText xml:space="preserve"> PAGEREF _Toc522890481 \h </w:instrText>
        </w:r>
        <w:r>
          <w:rPr>
            <w:noProof/>
            <w:webHidden/>
          </w:rPr>
        </w:r>
        <w:r>
          <w:rPr>
            <w:noProof/>
            <w:webHidden/>
          </w:rPr>
          <w:fldChar w:fldCharType="separate"/>
        </w:r>
        <w:r>
          <w:rPr>
            <w:noProof/>
            <w:webHidden/>
          </w:rPr>
          <w:t>131</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482" w:history="1">
        <w:r>
          <w:rPr>
            <w:rStyle w:val="Hyperlink"/>
            <w:noProof/>
          </w:rPr>
          <w:t>СЪПОСТАВКИ НА БЮДЖЕТНИТЕ С РЕАЛНИТЕ СУМИ</w:t>
        </w:r>
        <w:r>
          <w:rPr>
            <w:noProof/>
            <w:webHidden/>
          </w:rPr>
          <w:tab/>
        </w:r>
        <w:r>
          <w:rPr>
            <w:noProof/>
            <w:webHidden/>
          </w:rPr>
          <w:fldChar w:fldCharType="begin"/>
        </w:r>
        <w:r>
          <w:rPr>
            <w:noProof/>
            <w:webHidden/>
          </w:rPr>
          <w:instrText xml:space="preserve"> PAGEREF _Toc522890482 \h </w:instrText>
        </w:r>
        <w:r>
          <w:rPr>
            <w:noProof/>
            <w:webHidden/>
          </w:rPr>
        </w:r>
        <w:r>
          <w:rPr>
            <w:noProof/>
            <w:webHidden/>
          </w:rPr>
          <w:fldChar w:fldCharType="separate"/>
        </w:r>
        <w:r>
          <w:rPr>
            <w:noProof/>
            <w:webHidden/>
          </w:rPr>
          <w:t>132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485" w:history="1">
        <w:r>
          <w:rPr>
            <w:rStyle w:val="Hyperlink"/>
            <w:noProof/>
          </w:rPr>
          <w:t>БЕЛЕЖКИ КЪМ ДОКЛАДИТЕ ЗА ИЗПЪЛНЕНИЕТО НА БЮДЖЕТА</w:t>
        </w:r>
        <w:r>
          <w:rPr>
            <w:noProof/>
            <w:webHidden/>
          </w:rPr>
          <w:tab/>
        </w:r>
        <w:r>
          <w:rPr>
            <w:noProof/>
            <w:webHidden/>
          </w:rPr>
          <w:fldChar w:fldCharType="begin"/>
        </w:r>
        <w:r>
          <w:rPr>
            <w:noProof/>
            <w:webHidden/>
          </w:rPr>
          <w:instrText xml:space="preserve"> PAGEREF _Toc522890485 \h </w:instrText>
        </w:r>
        <w:r>
          <w:rPr>
            <w:noProof/>
            <w:webHidden/>
          </w:rPr>
        </w:r>
        <w:r>
          <w:rPr>
            <w:noProof/>
            <w:webHidden/>
          </w:rPr>
          <w:fldChar w:fldCharType="separate"/>
        </w:r>
        <w:r>
          <w:rPr>
            <w:noProof/>
            <w:webHidden/>
          </w:rPr>
          <w:t>135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486"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val="en-GB" w:eastAsia="en-GB" w:bidi="ar-SA"/>
          </w:rPr>
          <w:tab/>
        </w:r>
        <w:r>
          <w:rPr>
            <w:rStyle w:val="Hyperlink"/>
            <w:noProof/>
          </w:rPr>
          <w:t>РАМКА НА БЮДЖЕТА НА ЕС</w:t>
        </w:r>
        <w:r>
          <w:rPr>
            <w:noProof/>
            <w:webHidden/>
          </w:rPr>
          <w:tab/>
        </w:r>
        <w:r>
          <w:rPr>
            <w:noProof/>
            <w:webHidden/>
          </w:rPr>
          <w:fldChar w:fldCharType="begin"/>
        </w:r>
        <w:r>
          <w:rPr>
            <w:noProof/>
            <w:webHidden/>
          </w:rPr>
          <w:instrText xml:space="preserve"> PAGEREF _Toc522890486 \h </w:instrText>
        </w:r>
        <w:r>
          <w:rPr>
            <w:noProof/>
            <w:webHidden/>
          </w:rPr>
        </w:r>
        <w:r>
          <w:rPr>
            <w:noProof/>
            <w:webHidden/>
          </w:rPr>
          <w:fldChar w:fldCharType="separate"/>
        </w:r>
        <w:r>
          <w:rPr>
            <w:noProof/>
            <w:webHidden/>
          </w:rPr>
          <w:t>135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87" w:history="1">
        <w:r>
          <w:rPr>
            <w:rStyle w:val="Hyperlink"/>
            <w:noProof/>
          </w:rPr>
          <w:t>1.1.</w:t>
        </w:r>
        <w:r>
          <w:rPr>
            <w:rFonts w:asciiTheme="minorHAnsi" w:eastAsiaTheme="minorEastAsia" w:hAnsiTheme="minorHAnsi" w:cstheme="minorBidi"/>
            <w:noProof/>
            <w:color w:val="auto"/>
            <w:szCs w:val="22"/>
            <w:lang w:val="en-GB" w:eastAsia="en-GB" w:bidi="ar-SA"/>
          </w:rPr>
          <w:tab/>
        </w:r>
        <w:r>
          <w:rPr>
            <w:rStyle w:val="Hyperlink"/>
            <w:noProof/>
          </w:rPr>
          <w:t>МНОГОГОДИШНА ФИНАНСОВА РАМКА ЗА 2014—2020 Г.</w:t>
        </w:r>
        <w:r>
          <w:rPr>
            <w:noProof/>
            <w:webHidden/>
          </w:rPr>
          <w:tab/>
        </w:r>
        <w:r>
          <w:rPr>
            <w:noProof/>
            <w:webHidden/>
          </w:rPr>
          <w:fldChar w:fldCharType="begin"/>
        </w:r>
        <w:r>
          <w:rPr>
            <w:noProof/>
            <w:webHidden/>
          </w:rPr>
          <w:instrText xml:space="preserve"> PAGEREF _Toc522890487 \h </w:instrText>
        </w:r>
        <w:r>
          <w:rPr>
            <w:noProof/>
            <w:webHidden/>
          </w:rPr>
        </w:r>
        <w:r>
          <w:rPr>
            <w:noProof/>
            <w:webHidden/>
          </w:rPr>
          <w:fldChar w:fldCharType="separate"/>
        </w:r>
        <w:r>
          <w:rPr>
            <w:noProof/>
            <w:webHidden/>
          </w:rPr>
          <w:t>135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88" w:history="1">
        <w:r>
          <w:rPr>
            <w:rStyle w:val="Hyperlink"/>
            <w:noProof/>
          </w:rPr>
          <w:t>1.2.</w:t>
        </w:r>
        <w:r>
          <w:rPr>
            <w:rFonts w:asciiTheme="minorHAnsi" w:eastAsiaTheme="minorEastAsia" w:hAnsiTheme="minorHAnsi" w:cstheme="minorBidi"/>
            <w:noProof/>
            <w:color w:val="auto"/>
            <w:szCs w:val="22"/>
            <w:lang w:val="en-GB" w:eastAsia="en-GB" w:bidi="ar-SA"/>
          </w:rPr>
          <w:tab/>
        </w:r>
        <w:r>
          <w:rPr>
            <w:rStyle w:val="Hyperlink"/>
            <w:noProof/>
          </w:rPr>
          <w:t>ПОДРОБНИ ФУНКЦИИ НА МФР (ПРОГРАМИ)</w:t>
        </w:r>
        <w:r>
          <w:rPr>
            <w:noProof/>
            <w:webHidden/>
          </w:rPr>
          <w:tab/>
        </w:r>
        <w:r>
          <w:rPr>
            <w:noProof/>
            <w:webHidden/>
          </w:rPr>
          <w:fldChar w:fldCharType="begin"/>
        </w:r>
        <w:r>
          <w:rPr>
            <w:noProof/>
            <w:webHidden/>
          </w:rPr>
          <w:instrText xml:space="preserve"> PAGEREF _Toc522890488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89" w:history="1">
        <w:r>
          <w:rPr>
            <w:rStyle w:val="Hyperlink"/>
            <w:noProof/>
          </w:rPr>
          <w:t>1.3.</w:t>
        </w:r>
        <w:r>
          <w:rPr>
            <w:rFonts w:asciiTheme="minorHAnsi" w:eastAsiaTheme="minorEastAsia" w:hAnsiTheme="minorHAnsi" w:cstheme="minorBidi"/>
            <w:noProof/>
            <w:color w:val="auto"/>
            <w:szCs w:val="22"/>
            <w:lang w:val="en-GB" w:eastAsia="en-GB" w:bidi="ar-SA"/>
          </w:rPr>
          <w:tab/>
        </w:r>
        <w:r>
          <w:rPr>
            <w:rStyle w:val="Hyperlink"/>
            <w:noProof/>
          </w:rPr>
          <w:t>ГОДИШЕН БЮДЖЕТ</w:t>
        </w:r>
        <w:r>
          <w:rPr>
            <w:noProof/>
            <w:webHidden/>
          </w:rPr>
          <w:tab/>
        </w:r>
        <w:r>
          <w:rPr>
            <w:noProof/>
            <w:webHidden/>
          </w:rPr>
          <w:fldChar w:fldCharType="begin"/>
        </w:r>
        <w:r>
          <w:rPr>
            <w:noProof/>
            <w:webHidden/>
          </w:rPr>
          <w:instrText xml:space="preserve"> PAGEREF _Toc522890489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90" w:history="1">
        <w:r>
          <w:rPr>
            <w:rStyle w:val="Hyperlink"/>
            <w:noProof/>
          </w:rPr>
          <w:t>1.4.</w:t>
        </w:r>
        <w:r>
          <w:rPr>
            <w:rFonts w:asciiTheme="minorHAnsi" w:eastAsiaTheme="minorEastAsia" w:hAnsiTheme="minorHAnsi" w:cstheme="minorBidi"/>
            <w:noProof/>
            <w:color w:val="auto"/>
            <w:szCs w:val="22"/>
            <w:lang w:val="en-GB" w:eastAsia="en-GB" w:bidi="ar-SA"/>
          </w:rPr>
          <w:tab/>
        </w:r>
        <w:r>
          <w:rPr>
            <w:rStyle w:val="Hyperlink"/>
            <w:noProof/>
          </w:rPr>
          <w:t>ПРИХОДИ</w:t>
        </w:r>
        <w:r>
          <w:rPr>
            <w:noProof/>
            <w:webHidden/>
          </w:rPr>
          <w:tab/>
        </w:r>
        <w:r>
          <w:rPr>
            <w:noProof/>
            <w:webHidden/>
          </w:rPr>
          <w:fldChar w:fldCharType="begin"/>
        </w:r>
        <w:r>
          <w:rPr>
            <w:noProof/>
            <w:webHidden/>
          </w:rPr>
          <w:instrText xml:space="preserve"> PAGEREF _Toc522890490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91" w:history="1">
        <w:r>
          <w:rPr>
            <w:rStyle w:val="Hyperlink"/>
            <w:noProof/>
          </w:rPr>
          <w:t>1.5.</w:t>
        </w:r>
        <w:r>
          <w:rPr>
            <w:rFonts w:asciiTheme="minorHAnsi" w:eastAsiaTheme="minorEastAsia" w:hAnsiTheme="minorHAnsi" w:cstheme="minorBidi"/>
            <w:noProof/>
            <w:color w:val="auto"/>
            <w:szCs w:val="22"/>
            <w:lang w:val="en-GB" w:eastAsia="en-GB" w:bidi="ar-SA"/>
          </w:rPr>
          <w:tab/>
        </w:r>
        <w:r>
          <w:rPr>
            <w:rStyle w:val="Hyperlink"/>
            <w:noProof/>
          </w:rPr>
          <w:t>ИЗЧИСЛЕНИЕ НА БЮДЖЕТНИЯ РЕЗУЛТАТ</w:t>
        </w:r>
        <w:r>
          <w:rPr>
            <w:noProof/>
            <w:webHidden/>
          </w:rPr>
          <w:tab/>
        </w:r>
        <w:r>
          <w:rPr>
            <w:noProof/>
            <w:webHidden/>
          </w:rPr>
          <w:fldChar w:fldCharType="begin"/>
        </w:r>
        <w:r>
          <w:rPr>
            <w:noProof/>
            <w:webHidden/>
          </w:rPr>
          <w:instrText xml:space="preserve"> PAGEREF _Toc522890491 \h </w:instrText>
        </w:r>
        <w:r>
          <w:rPr>
            <w:noProof/>
            <w:webHidden/>
          </w:rPr>
        </w:r>
        <w:r>
          <w:rPr>
            <w:noProof/>
            <w:webHidden/>
          </w:rPr>
          <w:fldChar w:fldCharType="separate"/>
        </w:r>
        <w:r>
          <w:rPr>
            <w:noProof/>
            <w:webHidden/>
          </w:rPr>
          <w:t>140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92" w:history="1">
        <w:r>
          <w:rPr>
            <w:rStyle w:val="Hyperlink"/>
            <w:noProof/>
          </w:rPr>
          <w:t>1.6.</w:t>
        </w:r>
        <w:r>
          <w:rPr>
            <w:rFonts w:asciiTheme="minorHAnsi" w:eastAsiaTheme="minorEastAsia" w:hAnsiTheme="minorHAnsi" w:cstheme="minorBidi"/>
            <w:noProof/>
            <w:color w:val="auto"/>
            <w:szCs w:val="22"/>
            <w:lang w:val="en-GB" w:eastAsia="en-GB" w:bidi="ar-SA"/>
          </w:rPr>
          <w:tab/>
        </w:r>
        <w:r>
          <w:rPr>
            <w:rStyle w:val="Hyperlink"/>
            <w:noProof/>
          </w:rPr>
          <w:t>РАВНЕНИЕ НА ФИНАНСОВИЯ РЕЗУЛТАТ С БЮДЖЕТНИЯ РЕЗУЛТАТ</w:t>
        </w:r>
        <w:r>
          <w:rPr>
            <w:noProof/>
            <w:webHidden/>
          </w:rPr>
          <w:tab/>
        </w:r>
        <w:r>
          <w:rPr>
            <w:noProof/>
            <w:webHidden/>
          </w:rPr>
          <w:fldChar w:fldCharType="begin"/>
        </w:r>
        <w:r>
          <w:rPr>
            <w:noProof/>
            <w:webHidden/>
          </w:rPr>
          <w:instrText xml:space="preserve"> PAGEREF _Toc522890492 \h </w:instrText>
        </w:r>
        <w:r>
          <w:rPr>
            <w:noProof/>
            <w:webHidden/>
          </w:rPr>
        </w:r>
        <w:r>
          <w:rPr>
            <w:noProof/>
            <w:webHidden/>
          </w:rPr>
          <w:fldChar w:fldCharType="separate"/>
        </w:r>
        <w:r>
          <w:rPr>
            <w:noProof/>
            <w:webHidden/>
          </w:rPr>
          <w:t>141</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493"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val="en-GB" w:eastAsia="en-GB" w:bidi="ar-SA"/>
          </w:rPr>
          <w:tab/>
        </w:r>
        <w:r>
          <w:rPr>
            <w:rStyle w:val="Hyperlink"/>
            <w:noProof/>
          </w:rPr>
          <w:t>ИЗПЪЛНЕНИЕ НА БЮДЖЕТА НА ЕС ЗА 2017 Г. — КОМЕНТАР</w:t>
        </w:r>
        <w:r>
          <w:rPr>
            <w:noProof/>
            <w:webHidden/>
          </w:rPr>
          <w:tab/>
        </w:r>
        <w:r>
          <w:rPr>
            <w:noProof/>
            <w:webHidden/>
          </w:rPr>
          <w:fldChar w:fldCharType="begin"/>
        </w:r>
        <w:r>
          <w:rPr>
            <w:noProof/>
            <w:webHidden/>
          </w:rPr>
          <w:instrText xml:space="preserve"> PAGEREF _Toc522890493 \h </w:instrText>
        </w:r>
        <w:r>
          <w:rPr>
            <w:noProof/>
            <w:webHidden/>
          </w:rPr>
        </w:r>
        <w:r>
          <w:rPr>
            <w:noProof/>
            <w:webHidden/>
          </w:rPr>
          <w:fldChar w:fldCharType="separate"/>
        </w:r>
        <w:r>
          <w:rPr>
            <w:noProof/>
            <w:webHidden/>
          </w:rPr>
          <w:t>142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94" w:history="1">
        <w:r>
          <w:rPr>
            <w:rStyle w:val="Hyperlink"/>
            <w:noProof/>
          </w:rPr>
          <w:t>2.1.</w:t>
        </w:r>
        <w:r>
          <w:rPr>
            <w:rFonts w:asciiTheme="minorHAnsi" w:eastAsiaTheme="minorEastAsia" w:hAnsiTheme="minorHAnsi" w:cstheme="minorBidi"/>
            <w:noProof/>
            <w:color w:val="auto"/>
            <w:szCs w:val="22"/>
            <w:lang w:val="en-GB" w:eastAsia="en-GB" w:bidi="ar-SA"/>
          </w:rPr>
          <w:tab/>
        </w:r>
        <w:r>
          <w:rPr>
            <w:rStyle w:val="Hyperlink"/>
            <w:noProof/>
          </w:rPr>
          <w:t>ПРИХОДИ</w:t>
        </w:r>
        <w:r>
          <w:rPr>
            <w:noProof/>
            <w:webHidden/>
          </w:rPr>
          <w:tab/>
        </w:r>
        <w:r>
          <w:rPr>
            <w:noProof/>
            <w:webHidden/>
          </w:rPr>
          <w:fldChar w:fldCharType="begin"/>
        </w:r>
        <w:r>
          <w:rPr>
            <w:noProof/>
            <w:webHidden/>
          </w:rPr>
          <w:instrText xml:space="preserve"> PAGEREF _Toc522890494 \h </w:instrText>
        </w:r>
        <w:r>
          <w:rPr>
            <w:noProof/>
            <w:webHidden/>
          </w:rPr>
        </w:r>
        <w:r>
          <w:rPr>
            <w:noProof/>
            <w:webHidden/>
          </w:rPr>
          <w:fldChar w:fldCharType="separate"/>
        </w:r>
        <w:r>
          <w:rPr>
            <w:noProof/>
            <w:webHidden/>
          </w:rPr>
          <w:t>142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95" w:history="1">
        <w:r>
          <w:rPr>
            <w:rStyle w:val="Hyperlink"/>
            <w:noProof/>
          </w:rPr>
          <w:t>2.2.</w:t>
        </w:r>
        <w:r>
          <w:rPr>
            <w:rFonts w:asciiTheme="minorHAnsi" w:eastAsiaTheme="minorEastAsia" w:hAnsiTheme="minorHAnsi" w:cstheme="minorBidi"/>
            <w:noProof/>
            <w:color w:val="auto"/>
            <w:szCs w:val="22"/>
            <w:lang w:val="en-GB" w:eastAsia="en-GB" w:bidi="ar-SA"/>
          </w:rPr>
          <w:tab/>
        </w:r>
        <w:r>
          <w:rPr>
            <w:rStyle w:val="Hyperlink"/>
            <w:noProof/>
          </w:rPr>
          <w:t>РАЗХОДИ</w:t>
        </w:r>
        <w:r>
          <w:rPr>
            <w:noProof/>
            <w:webHidden/>
          </w:rPr>
          <w:tab/>
        </w:r>
        <w:r>
          <w:rPr>
            <w:noProof/>
            <w:webHidden/>
          </w:rPr>
          <w:fldChar w:fldCharType="begin"/>
        </w:r>
        <w:r>
          <w:rPr>
            <w:noProof/>
            <w:webHidden/>
          </w:rPr>
          <w:instrText xml:space="preserve"> PAGEREF _Toc522890495 \h </w:instrText>
        </w:r>
        <w:r>
          <w:rPr>
            <w:noProof/>
            <w:webHidden/>
          </w:rPr>
        </w:r>
        <w:r>
          <w:rPr>
            <w:noProof/>
            <w:webHidden/>
          </w:rPr>
          <w:fldChar w:fldCharType="separate"/>
        </w:r>
        <w:r>
          <w:rPr>
            <w:noProof/>
            <w:webHidden/>
          </w:rPr>
          <w:t>143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496"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val="en-GB" w:eastAsia="en-GB" w:bidi="ar-SA"/>
          </w:rPr>
          <w:tab/>
        </w:r>
        <w:r>
          <w:rPr>
            <w:rStyle w:val="Hyperlink"/>
            <w:noProof/>
          </w:rPr>
          <w:t>ИЗПЪЛНЕНИЕ НА ПРИХОДИТЕ В БЮДЖЕТА НА ЕС</w:t>
        </w:r>
        <w:r>
          <w:rPr>
            <w:noProof/>
            <w:webHidden/>
          </w:rPr>
          <w:tab/>
        </w:r>
        <w:r>
          <w:rPr>
            <w:noProof/>
            <w:webHidden/>
          </w:rPr>
          <w:fldChar w:fldCharType="begin"/>
        </w:r>
        <w:r>
          <w:rPr>
            <w:noProof/>
            <w:webHidden/>
          </w:rPr>
          <w:instrText xml:space="preserve"> PAGEREF _Toc522890496 \h </w:instrText>
        </w:r>
        <w:r>
          <w:rPr>
            <w:noProof/>
            <w:webHidden/>
          </w:rPr>
        </w:r>
        <w:r>
          <w:rPr>
            <w:noProof/>
            <w:webHidden/>
          </w:rPr>
          <w:fldChar w:fldCharType="separate"/>
        </w:r>
        <w:r>
          <w:rPr>
            <w:noProof/>
            <w:webHidden/>
          </w:rPr>
          <w:t>145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97" w:history="1">
        <w:r>
          <w:rPr>
            <w:rStyle w:val="Hyperlink"/>
            <w:noProof/>
          </w:rPr>
          <w:t>3.1.</w:t>
        </w:r>
        <w:r>
          <w:rPr>
            <w:rFonts w:asciiTheme="minorHAnsi" w:eastAsiaTheme="minorEastAsia" w:hAnsiTheme="minorHAnsi" w:cstheme="minorBidi"/>
            <w:noProof/>
            <w:color w:val="auto"/>
            <w:szCs w:val="22"/>
            <w:lang w:val="en-GB" w:eastAsia="en-GB" w:bidi="ar-SA"/>
          </w:rPr>
          <w:tab/>
        </w:r>
        <w:r>
          <w:rPr>
            <w:rStyle w:val="Hyperlink"/>
            <w:noProof/>
          </w:rPr>
          <w:t>ОБОБЩЕНИЕ НА ИЗПЪЛНЕНИЕТО НА ПРИХОДИТЕ В БЮДЖЕТА НА ЕС</w:t>
        </w:r>
        <w:r>
          <w:rPr>
            <w:noProof/>
            <w:webHidden/>
          </w:rPr>
          <w:tab/>
        </w:r>
        <w:r>
          <w:rPr>
            <w:noProof/>
            <w:webHidden/>
          </w:rPr>
          <w:fldChar w:fldCharType="begin"/>
        </w:r>
        <w:r>
          <w:rPr>
            <w:noProof/>
            <w:webHidden/>
          </w:rPr>
          <w:instrText xml:space="preserve"> PAGEREF _Toc522890497 \h </w:instrText>
        </w:r>
        <w:r>
          <w:rPr>
            <w:noProof/>
            <w:webHidden/>
          </w:rPr>
        </w:r>
        <w:r>
          <w:rPr>
            <w:noProof/>
            <w:webHidden/>
          </w:rPr>
          <w:fldChar w:fldCharType="separate"/>
        </w:r>
        <w:r>
          <w:rPr>
            <w:noProof/>
            <w:webHidden/>
          </w:rPr>
          <w:t>145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498"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val="en-GB" w:eastAsia="en-GB" w:bidi="ar-SA"/>
          </w:rPr>
          <w:tab/>
        </w:r>
        <w:r>
          <w:rPr>
            <w:rStyle w:val="Hyperlink"/>
            <w:noProof/>
          </w:rPr>
          <w:t>ИЗПЪЛНЕНИЕ НА РАЗХОДИТЕ В БЮДЖЕТА НА ЕС</w:t>
        </w:r>
        <w:r>
          <w:rPr>
            <w:noProof/>
            <w:webHidden/>
          </w:rPr>
          <w:tab/>
        </w:r>
        <w:r>
          <w:rPr>
            <w:noProof/>
            <w:webHidden/>
          </w:rPr>
          <w:fldChar w:fldCharType="begin"/>
        </w:r>
        <w:r>
          <w:rPr>
            <w:noProof/>
            <w:webHidden/>
          </w:rPr>
          <w:instrText xml:space="preserve"> PAGEREF _Toc522890498 \h </w:instrText>
        </w:r>
        <w:r>
          <w:rPr>
            <w:noProof/>
            <w:webHidden/>
          </w:rPr>
        </w:r>
        <w:r>
          <w:rPr>
            <w:noProof/>
            <w:webHidden/>
          </w:rPr>
          <w:fldChar w:fldCharType="separate"/>
        </w:r>
        <w:r>
          <w:rPr>
            <w:noProof/>
            <w:webHidden/>
          </w:rPr>
          <w:t>146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499" w:history="1">
        <w:r>
          <w:rPr>
            <w:rStyle w:val="Hyperlink"/>
            <w:noProof/>
          </w:rPr>
          <w:t>4.1.</w:t>
        </w:r>
        <w:r>
          <w:rPr>
            <w:rFonts w:asciiTheme="minorHAnsi" w:eastAsiaTheme="minorEastAsia" w:hAnsiTheme="minorHAnsi" w:cstheme="minorBidi"/>
            <w:noProof/>
            <w:color w:val="auto"/>
            <w:szCs w:val="22"/>
            <w:lang w:val="en-GB" w:eastAsia="en-GB" w:bidi="ar-SA"/>
          </w:rPr>
          <w:tab/>
        </w:r>
        <w:r>
          <w:rPr>
            <w:rStyle w:val="Hyperlink"/>
            <w:noProof/>
          </w:rPr>
          <w:t>МФР: РАЗБИВКА И ПРОМЕНИ НА БЮДЖЕТНИТЕ КРЕДИТИ ЗА ПОЕТИ ЗАДЪЛЖЕНИЯ И ЗА ПЛАЩАНИЯ</w:t>
        </w:r>
        <w:r>
          <w:rPr>
            <w:noProof/>
            <w:webHidden/>
          </w:rPr>
          <w:tab/>
        </w:r>
        <w:r>
          <w:rPr>
            <w:noProof/>
            <w:webHidden/>
          </w:rPr>
          <w:fldChar w:fldCharType="begin"/>
        </w:r>
        <w:r>
          <w:rPr>
            <w:noProof/>
            <w:webHidden/>
          </w:rPr>
          <w:instrText xml:space="preserve"> PAGEREF _Toc522890499 \h </w:instrText>
        </w:r>
        <w:r>
          <w:rPr>
            <w:noProof/>
            <w:webHidden/>
          </w:rPr>
        </w:r>
        <w:r>
          <w:rPr>
            <w:noProof/>
            <w:webHidden/>
          </w:rPr>
          <w:fldChar w:fldCharType="separate"/>
        </w:r>
        <w:r>
          <w:rPr>
            <w:noProof/>
            <w:webHidden/>
          </w:rPr>
          <w:t>146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00" w:history="1">
        <w:r>
          <w:rPr>
            <w:rStyle w:val="Hyperlink"/>
            <w:noProof/>
          </w:rPr>
          <w:t>4.2.</w:t>
        </w:r>
        <w:r>
          <w:rPr>
            <w:rFonts w:asciiTheme="minorHAnsi" w:eastAsiaTheme="minorEastAsia" w:hAnsiTheme="minorHAnsi" w:cstheme="minorBidi"/>
            <w:noProof/>
            <w:color w:val="auto"/>
            <w:szCs w:val="22"/>
            <w:lang w:val="en-GB" w:eastAsia="en-GB" w:bidi="ar-SA"/>
          </w:rPr>
          <w:tab/>
        </w:r>
        <w:r>
          <w:rPr>
            <w:rStyle w:val="Hyperlink"/>
            <w:noProof/>
          </w:rPr>
          <w:t>МФР: ИЗПЪЛНЕНИЕ НА БЮДЖЕТНИТЕ КРЕДИТИ ЗА ПОЕТИ ЗАДЪЛЖЕНИЯ</w:t>
        </w:r>
        <w:r>
          <w:rPr>
            <w:noProof/>
            <w:webHidden/>
          </w:rPr>
          <w:tab/>
        </w:r>
        <w:r>
          <w:rPr>
            <w:noProof/>
            <w:webHidden/>
          </w:rPr>
          <w:fldChar w:fldCharType="begin"/>
        </w:r>
        <w:r>
          <w:rPr>
            <w:noProof/>
            <w:webHidden/>
          </w:rPr>
          <w:instrText xml:space="preserve"> PAGEREF _Toc522890500 \h </w:instrText>
        </w:r>
        <w:r>
          <w:rPr>
            <w:noProof/>
            <w:webHidden/>
          </w:rPr>
        </w:r>
        <w:r>
          <w:rPr>
            <w:noProof/>
            <w:webHidden/>
          </w:rPr>
          <w:fldChar w:fldCharType="separate"/>
        </w:r>
        <w:r>
          <w:rPr>
            <w:noProof/>
            <w:webHidden/>
          </w:rPr>
          <w:t>147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01" w:history="1">
        <w:r>
          <w:rPr>
            <w:rStyle w:val="Hyperlink"/>
            <w:noProof/>
          </w:rPr>
          <w:t>4.3.</w:t>
        </w:r>
        <w:r>
          <w:rPr>
            <w:rFonts w:asciiTheme="minorHAnsi" w:eastAsiaTheme="minorEastAsia" w:hAnsiTheme="minorHAnsi" w:cstheme="minorBidi"/>
            <w:noProof/>
            <w:color w:val="auto"/>
            <w:szCs w:val="22"/>
            <w:lang w:val="en-GB" w:eastAsia="en-GB" w:bidi="ar-SA"/>
          </w:rPr>
          <w:tab/>
        </w:r>
        <w:r>
          <w:rPr>
            <w:rStyle w:val="Hyperlink"/>
            <w:noProof/>
          </w:rPr>
          <w:t>МФР: ИЗПЪЛНЕНИЕ НА БЮДЖЕТНИТЕ КРЕДИТИ ЗА ПЛАЩАНИЯ</w:t>
        </w:r>
        <w:r>
          <w:rPr>
            <w:noProof/>
            <w:webHidden/>
          </w:rPr>
          <w:tab/>
        </w:r>
        <w:r>
          <w:rPr>
            <w:noProof/>
            <w:webHidden/>
          </w:rPr>
          <w:fldChar w:fldCharType="begin"/>
        </w:r>
        <w:r>
          <w:rPr>
            <w:noProof/>
            <w:webHidden/>
          </w:rPr>
          <w:instrText xml:space="preserve"> PAGEREF _Toc522890501 \h </w:instrText>
        </w:r>
        <w:r>
          <w:rPr>
            <w:noProof/>
            <w:webHidden/>
          </w:rPr>
        </w:r>
        <w:r>
          <w:rPr>
            <w:noProof/>
            <w:webHidden/>
          </w:rPr>
          <w:fldChar w:fldCharType="separate"/>
        </w:r>
        <w:r>
          <w:rPr>
            <w:noProof/>
            <w:webHidden/>
          </w:rPr>
          <w:t>148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02" w:history="1">
        <w:r>
          <w:rPr>
            <w:rStyle w:val="Hyperlink"/>
            <w:noProof/>
          </w:rPr>
          <w:t>4.4.</w:t>
        </w:r>
        <w:r>
          <w:rPr>
            <w:rFonts w:asciiTheme="minorHAnsi" w:eastAsiaTheme="minorEastAsia" w:hAnsiTheme="minorHAnsi" w:cstheme="minorBidi"/>
            <w:noProof/>
            <w:color w:val="auto"/>
            <w:szCs w:val="22"/>
            <w:lang w:val="en-GB" w:eastAsia="en-GB" w:bidi="ar-SA"/>
          </w:rPr>
          <w:tab/>
        </w:r>
        <w:r>
          <w:rPr>
            <w:rStyle w:val="Hyperlink"/>
            <w:noProof/>
          </w:rPr>
          <w:t>МФР: ДВИЖЕНИЯ НА НЕИЗПЪЛНЕНИТЕ ПОЕТИ ЗАДЪЛЖЕНИЯ (RAL)</w:t>
        </w:r>
        <w:r>
          <w:rPr>
            <w:noProof/>
            <w:webHidden/>
          </w:rPr>
          <w:tab/>
        </w:r>
        <w:r>
          <w:rPr>
            <w:noProof/>
            <w:webHidden/>
          </w:rPr>
          <w:fldChar w:fldCharType="begin"/>
        </w:r>
        <w:r>
          <w:rPr>
            <w:noProof/>
            <w:webHidden/>
          </w:rPr>
          <w:instrText xml:space="preserve"> PAGEREF _Toc522890502 \h </w:instrText>
        </w:r>
        <w:r>
          <w:rPr>
            <w:noProof/>
            <w:webHidden/>
          </w:rPr>
        </w:r>
        <w:r>
          <w:rPr>
            <w:noProof/>
            <w:webHidden/>
          </w:rPr>
          <w:fldChar w:fldCharType="separate"/>
        </w:r>
        <w:r>
          <w:rPr>
            <w:noProof/>
            <w:webHidden/>
          </w:rPr>
          <w:t>149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03" w:history="1">
        <w:r>
          <w:rPr>
            <w:rStyle w:val="Hyperlink"/>
            <w:noProof/>
          </w:rPr>
          <w:t>4.5.</w:t>
        </w:r>
        <w:r>
          <w:rPr>
            <w:rFonts w:asciiTheme="minorHAnsi" w:eastAsiaTheme="minorEastAsia" w:hAnsiTheme="minorHAnsi" w:cstheme="minorBidi"/>
            <w:noProof/>
            <w:color w:val="auto"/>
            <w:szCs w:val="22"/>
            <w:lang w:val="en-GB" w:eastAsia="en-GB" w:bidi="ar-SA"/>
          </w:rPr>
          <w:tab/>
        </w:r>
        <w:r>
          <w:rPr>
            <w:rStyle w:val="Hyperlink"/>
            <w:noProof/>
          </w:rPr>
          <w:t>МФР: НЕИЗПЪЛНЕНИ ПОЕТИ ЗАДЪЛЖЕНИЯ ПО ГОДИНИ НА ВЪЗНИКВАНЕ</w:t>
        </w:r>
        <w:r>
          <w:rPr>
            <w:noProof/>
            <w:webHidden/>
          </w:rPr>
          <w:tab/>
        </w:r>
        <w:r>
          <w:rPr>
            <w:noProof/>
            <w:webHidden/>
          </w:rPr>
          <w:fldChar w:fldCharType="begin"/>
        </w:r>
        <w:r>
          <w:rPr>
            <w:noProof/>
            <w:webHidden/>
          </w:rPr>
          <w:instrText xml:space="preserve"> PAGEREF _Toc522890503 \h </w:instrText>
        </w:r>
        <w:r>
          <w:rPr>
            <w:noProof/>
            <w:webHidden/>
          </w:rPr>
        </w:r>
        <w:r>
          <w:rPr>
            <w:noProof/>
            <w:webHidden/>
          </w:rPr>
          <w:fldChar w:fldCharType="separate"/>
        </w:r>
        <w:r>
          <w:rPr>
            <w:noProof/>
            <w:webHidden/>
          </w:rPr>
          <w:t>150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04" w:history="1">
        <w:r>
          <w:rPr>
            <w:rStyle w:val="Hyperlink"/>
            <w:noProof/>
          </w:rPr>
          <w:t>4.6.</w:t>
        </w:r>
        <w:r>
          <w:rPr>
            <w:rFonts w:asciiTheme="minorHAnsi" w:eastAsiaTheme="minorEastAsia" w:hAnsiTheme="minorHAnsi" w:cstheme="minorBidi"/>
            <w:noProof/>
            <w:color w:val="auto"/>
            <w:szCs w:val="22"/>
            <w:lang w:val="en-GB" w:eastAsia="en-GB" w:bidi="ar-SA"/>
          </w:rPr>
          <w:tab/>
        </w:r>
        <w:r>
          <w:rPr>
            <w:rStyle w:val="Hyperlink"/>
            <w:noProof/>
          </w:rPr>
          <w:t>ПОДРОБНА МФР: РАЗБИВКА И ПРОМЕНИ НА БЮДЖЕТНИТЕ КРЕДИТИ ЗА ПОЕТИ ЗАДЪЛЖЕНИЯ И ЗА ПЛАЩАНИЯ</w:t>
        </w:r>
        <w:r>
          <w:rPr>
            <w:noProof/>
            <w:webHidden/>
          </w:rPr>
          <w:tab/>
        </w:r>
        <w:r>
          <w:rPr>
            <w:noProof/>
            <w:webHidden/>
          </w:rPr>
          <w:fldChar w:fldCharType="begin"/>
        </w:r>
        <w:r>
          <w:rPr>
            <w:noProof/>
            <w:webHidden/>
          </w:rPr>
          <w:instrText xml:space="preserve"> PAGEREF _Toc522890504 \h </w:instrText>
        </w:r>
        <w:r>
          <w:rPr>
            <w:noProof/>
            <w:webHidden/>
          </w:rPr>
        </w:r>
        <w:r>
          <w:rPr>
            <w:noProof/>
            <w:webHidden/>
          </w:rPr>
          <w:fldChar w:fldCharType="separate"/>
        </w:r>
        <w:r>
          <w:rPr>
            <w:noProof/>
            <w:webHidden/>
          </w:rPr>
          <w:t>151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05" w:history="1">
        <w:r>
          <w:rPr>
            <w:rStyle w:val="Hyperlink"/>
            <w:noProof/>
          </w:rPr>
          <w:t>4.7.</w:t>
        </w:r>
        <w:r>
          <w:rPr>
            <w:rFonts w:asciiTheme="minorHAnsi" w:eastAsiaTheme="minorEastAsia" w:hAnsiTheme="minorHAnsi" w:cstheme="minorBidi"/>
            <w:noProof/>
            <w:color w:val="auto"/>
            <w:szCs w:val="22"/>
            <w:lang w:val="en-GB" w:eastAsia="en-GB" w:bidi="ar-SA"/>
          </w:rPr>
          <w:tab/>
        </w:r>
        <w:r>
          <w:rPr>
            <w:rStyle w:val="Hyperlink"/>
            <w:noProof/>
          </w:rPr>
          <w:t>ПОДРОБНА МФР: ИЗПЪЛНЕНИЕ НА БЮДЖЕТНИТЕ КРЕДИТИ ЗА ПОЕТИ ЗАДЪЛЖЕНИЯ</w:t>
        </w:r>
        <w:r>
          <w:rPr>
            <w:noProof/>
            <w:webHidden/>
          </w:rPr>
          <w:tab/>
        </w:r>
        <w:r>
          <w:rPr>
            <w:noProof/>
            <w:webHidden/>
          </w:rPr>
          <w:fldChar w:fldCharType="begin"/>
        </w:r>
        <w:r>
          <w:rPr>
            <w:noProof/>
            <w:webHidden/>
          </w:rPr>
          <w:instrText xml:space="preserve"> PAGEREF _Toc522890505 \h </w:instrText>
        </w:r>
        <w:r>
          <w:rPr>
            <w:noProof/>
            <w:webHidden/>
          </w:rPr>
        </w:r>
        <w:r>
          <w:rPr>
            <w:noProof/>
            <w:webHidden/>
          </w:rPr>
          <w:fldChar w:fldCharType="separate"/>
        </w:r>
        <w:r>
          <w:rPr>
            <w:noProof/>
            <w:webHidden/>
          </w:rPr>
          <w:t>155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06" w:history="1">
        <w:r>
          <w:rPr>
            <w:rStyle w:val="Hyperlink"/>
            <w:noProof/>
          </w:rPr>
          <w:t>4.8.</w:t>
        </w:r>
        <w:r>
          <w:rPr>
            <w:rFonts w:asciiTheme="minorHAnsi" w:eastAsiaTheme="minorEastAsia" w:hAnsiTheme="minorHAnsi" w:cstheme="minorBidi"/>
            <w:noProof/>
            <w:color w:val="auto"/>
            <w:szCs w:val="22"/>
            <w:lang w:val="en-GB" w:eastAsia="en-GB" w:bidi="ar-SA"/>
          </w:rPr>
          <w:tab/>
        </w:r>
        <w:r>
          <w:rPr>
            <w:rStyle w:val="Hyperlink"/>
            <w:noProof/>
          </w:rPr>
          <w:t>ПОДРОБНА МФР: ИЗПЪЛНЕНИЕ НА БЮДЖЕТНИТЕ КРЕДИТИ ЗА ПЛАЩАНИЯ</w:t>
        </w:r>
        <w:r>
          <w:rPr>
            <w:noProof/>
            <w:webHidden/>
          </w:rPr>
          <w:tab/>
        </w:r>
        <w:r>
          <w:rPr>
            <w:noProof/>
            <w:webHidden/>
          </w:rPr>
          <w:fldChar w:fldCharType="begin"/>
        </w:r>
        <w:r>
          <w:rPr>
            <w:noProof/>
            <w:webHidden/>
          </w:rPr>
          <w:instrText xml:space="preserve"> PAGEREF _Toc522890506 \h </w:instrText>
        </w:r>
        <w:r>
          <w:rPr>
            <w:noProof/>
            <w:webHidden/>
          </w:rPr>
        </w:r>
        <w:r>
          <w:rPr>
            <w:noProof/>
            <w:webHidden/>
          </w:rPr>
          <w:fldChar w:fldCharType="separate"/>
        </w:r>
        <w:r>
          <w:rPr>
            <w:noProof/>
            <w:webHidden/>
          </w:rPr>
          <w:t>159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07" w:history="1">
        <w:r>
          <w:rPr>
            <w:rStyle w:val="Hyperlink"/>
            <w:noProof/>
          </w:rPr>
          <w:t>4.9.</w:t>
        </w:r>
        <w:r>
          <w:rPr>
            <w:rFonts w:asciiTheme="minorHAnsi" w:eastAsiaTheme="minorEastAsia" w:hAnsiTheme="minorHAnsi" w:cstheme="minorBidi"/>
            <w:noProof/>
            <w:color w:val="auto"/>
            <w:szCs w:val="22"/>
            <w:lang w:val="en-GB" w:eastAsia="en-GB" w:bidi="ar-SA"/>
          </w:rPr>
          <w:tab/>
        </w:r>
        <w:r>
          <w:rPr>
            <w:rStyle w:val="Hyperlink"/>
            <w:noProof/>
          </w:rPr>
          <w:t>ПОДРОБНА МФР: ДВИЖЕНИЯ НА НЕИЗПЪЛНЕНИТЕ ПОЕТИ ЗАДЪЛЖЕНИЯ (RAL)</w:t>
        </w:r>
        <w:r>
          <w:rPr>
            <w:noProof/>
            <w:webHidden/>
          </w:rPr>
          <w:tab/>
        </w:r>
        <w:r>
          <w:rPr>
            <w:noProof/>
            <w:webHidden/>
          </w:rPr>
          <w:fldChar w:fldCharType="begin"/>
        </w:r>
        <w:r>
          <w:rPr>
            <w:noProof/>
            <w:webHidden/>
          </w:rPr>
          <w:instrText xml:space="preserve"> PAGEREF _Toc522890507 \h </w:instrText>
        </w:r>
        <w:r>
          <w:rPr>
            <w:noProof/>
            <w:webHidden/>
          </w:rPr>
        </w:r>
        <w:r>
          <w:rPr>
            <w:noProof/>
            <w:webHidden/>
          </w:rPr>
          <w:fldChar w:fldCharType="separate"/>
        </w:r>
        <w:r>
          <w:rPr>
            <w:noProof/>
            <w:webHidden/>
          </w:rPr>
          <w:t>164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08" w:history="1">
        <w:r>
          <w:rPr>
            <w:rStyle w:val="Hyperlink"/>
            <w:noProof/>
          </w:rPr>
          <w:t>4.10.</w:t>
        </w:r>
        <w:r>
          <w:rPr>
            <w:rFonts w:asciiTheme="minorHAnsi" w:eastAsiaTheme="minorEastAsia" w:hAnsiTheme="minorHAnsi" w:cstheme="minorBidi"/>
            <w:noProof/>
            <w:color w:val="auto"/>
            <w:szCs w:val="22"/>
            <w:lang w:val="en-GB" w:eastAsia="en-GB" w:bidi="ar-SA"/>
          </w:rPr>
          <w:tab/>
        </w:r>
        <w:r>
          <w:rPr>
            <w:rStyle w:val="Hyperlink"/>
            <w:noProof/>
          </w:rPr>
          <w:t>ПОДРОБНА МФР: НЕИЗПЪЛНЕНИ ПОЕТИ ЗАДЪЛЖЕНИЯ ПО ГОДИНИ НА ВЪЗНИКВАНЕ</w:t>
        </w:r>
        <w:r>
          <w:rPr>
            <w:noProof/>
            <w:webHidden/>
          </w:rPr>
          <w:tab/>
        </w:r>
        <w:r>
          <w:rPr>
            <w:noProof/>
            <w:webHidden/>
          </w:rPr>
          <w:fldChar w:fldCharType="begin"/>
        </w:r>
        <w:r>
          <w:rPr>
            <w:noProof/>
            <w:webHidden/>
          </w:rPr>
          <w:instrText xml:space="preserve"> PAGEREF _Toc522890508 \h </w:instrText>
        </w:r>
        <w:r>
          <w:rPr>
            <w:noProof/>
            <w:webHidden/>
          </w:rPr>
        </w:r>
        <w:r>
          <w:rPr>
            <w:noProof/>
            <w:webHidden/>
          </w:rPr>
          <w:fldChar w:fldCharType="separate"/>
        </w:r>
        <w:r>
          <w:rPr>
            <w:noProof/>
            <w:webHidden/>
          </w:rPr>
          <w:t>168</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509"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val="en-GB" w:eastAsia="en-GB" w:bidi="ar-SA"/>
          </w:rPr>
          <w:tab/>
        </w:r>
        <w:r>
          <w:rPr>
            <w:rStyle w:val="Hyperlink"/>
            <w:noProof/>
          </w:rPr>
          <w:t>ИЗПЪЛНЕНИЕ НА БЮДЖЕТА ПО ИНСТИТУЦИИ</w:t>
        </w:r>
        <w:r>
          <w:rPr>
            <w:noProof/>
            <w:webHidden/>
          </w:rPr>
          <w:tab/>
        </w:r>
        <w:r>
          <w:rPr>
            <w:noProof/>
            <w:webHidden/>
          </w:rPr>
          <w:fldChar w:fldCharType="begin"/>
        </w:r>
        <w:r>
          <w:rPr>
            <w:noProof/>
            <w:webHidden/>
          </w:rPr>
          <w:instrText xml:space="preserve"> PAGEREF _Toc522890509 \h </w:instrText>
        </w:r>
        <w:r>
          <w:rPr>
            <w:noProof/>
            <w:webHidden/>
          </w:rPr>
        </w:r>
        <w:r>
          <w:rPr>
            <w:noProof/>
            <w:webHidden/>
          </w:rPr>
          <w:fldChar w:fldCharType="separate"/>
        </w:r>
        <w:r>
          <w:rPr>
            <w:noProof/>
            <w:webHidden/>
          </w:rPr>
          <w:t>171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10" w:history="1">
        <w:r>
          <w:rPr>
            <w:rStyle w:val="Hyperlink"/>
            <w:noProof/>
          </w:rPr>
          <w:t>5.1.</w:t>
        </w:r>
        <w:r>
          <w:rPr>
            <w:rFonts w:asciiTheme="minorHAnsi" w:eastAsiaTheme="minorEastAsia" w:hAnsiTheme="minorHAnsi" w:cstheme="minorBidi"/>
            <w:noProof/>
            <w:color w:val="auto"/>
            <w:szCs w:val="22"/>
            <w:lang w:val="en-GB" w:eastAsia="en-GB" w:bidi="ar-SA"/>
          </w:rPr>
          <w:tab/>
        </w:r>
        <w:r>
          <w:rPr>
            <w:rStyle w:val="Hyperlink"/>
            <w:noProof/>
          </w:rPr>
          <w:t>ИЗПЪЛНЕНИЕ НА БЮДЖЕТНИТЕ ПРИХОДИ</w:t>
        </w:r>
        <w:r>
          <w:rPr>
            <w:noProof/>
            <w:webHidden/>
          </w:rPr>
          <w:tab/>
        </w:r>
        <w:r>
          <w:rPr>
            <w:noProof/>
            <w:webHidden/>
          </w:rPr>
          <w:fldChar w:fldCharType="begin"/>
        </w:r>
        <w:r>
          <w:rPr>
            <w:noProof/>
            <w:webHidden/>
          </w:rPr>
          <w:instrText xml:space="preserve"> PAGEREF _Toc522890510 \h </w:instrText>
        </w:r>
        <w:r>
          <w:rPr>
            <w:noProof/>
            <w:webHidden/>
          </w:rPr>
        </w:r>
        <w:r>
          <w:rPr>
            <w:noProof/>
            <w:webHidden/>
          </w:rPr>
          <w:fldChar w:fldCharType="separate"/>
        </w:r>
        <w:r>
          <w:rPr>
            <w:noProof/>
            <w:webHidden/>
          </w:rPr>
          <w:t>171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11" w:history="1">
        <w:r>
          <w:rPr>
            <w:rStyle w:val="Hyperlink"/>
            <w:noProof/>
          </w:rPr>
          <w:t>5.2.</w:t>
        </w:r>
        <w:r>
          <w:rPr>
            <w:rFonts w:asciiTheme="minorHAnsi" w:eastAsiaTheme="minorEastAsia" w:hAnsiTheme="minorHAnsi" w:cstheme="minorBidi"/>
            <w:noProof/>
            <w:color w:val="auto"/>
            <w:szCs w:val="22"/>
            <w:lang w:val="en-GB" w:eastAsia="en-GB" w:bidi="ar-SA"/>
          </w:rPr>
          <w:tab/>
        </w:r>
        <w:r>
          <w:rPr>
            <w:rStyle w:val="Hyperlink"/>
            <w:noProof/>
          </w:rPr>
          <w:t>ИЗПЪЛНЕНИЕ НА БЮДЖЕТНИТЕ КРЕДИТИ ЗА ПОЕТИ ЗАДЪЛЖЕНИЯ</w:t>
        </w:r>
        <w:r>
          <w:rPr>
            <w:noProof/>
            <w:webHidden/>
          </w:rPr>
          <w:tab/>
        </w:r>
        <w:r>
          <w:rPr>
            <w:noProof/>
            <w:webHidden/>
          </w:rPr>
          <w:fldChar w:fldCharType="begin"/>
        </w:r>
        <w:r>
          <w:rPr>
            <w:noProof/>
            <w:webHidden/>
          </w:rPr>
          <w:instrText xml:space="preserve"> PAGEREF _Toc522890511 \h </w:instrText>
        </w:r>
        <w:r>
          <w:rPr>
            <w:noProof/>
            <w:webHidden/>
          </w:rPr>
        </w:r>
        <w:r>
          <w:rPr>
            <w:noProof/>
            <w:webHidden/>
          </w:rPr>
          <w:fldChar w:fldCharType="separate"/>
        </w:r>
        <w:r>
          <w:rPr>
            <w:noProof/>
            <w:webHidden/>
          </w:rPr>
          <w:t>172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12" w:history="1">
        <w:r>
          <w:rPr>
            <w:rStyle w:val="Hyperlink"/>
            <w:noProof/>
          </w:rPr>
          <w:t>5.3.</w:t>
        </w:r>
        <w:r>
          <w:rPr>
            <w:rFonts w:asciiTheme="minorHAnsi" w:eastAsiaTheme="minorEastAsia" w:hAnsiTheme="minorHAnsi" w:cstheme="minorBidi"/>
            <w:noProof/>
            <w:color w:val="auto"/>
            <w:szCs w:val="22"/>
            <w:lang w:val="en-GB" w:eastAsia="en-GB" w:bidi="ar-SA"/>
          </w:rPr>
          <w:tab/>
        </w:r>
        <w:r>
          <w:rPr>
            <w:rStyle w:val="Hyperlink"/>
            <w:noProof/>
          </w:rPr>
          <w:t>ИЗПЪЛНЕНИЕ НА БЮДЖЕТНИТЕ КРЕДИТИ ЗА ПЛАЩАНИЯ</w:t>
        </w:r>
        <w:r>
          <w:rPr>
            <w:noProof/>
            <w:webHidden/>
          </w:rPr>
          <w:tab/>
        </w:r>
        <w:r>
          <w:rPr>
            <w:noProof/>
            <w:webHidden/>
          </w:rPr>
          <w:fldChar w:fldCharType="begin"/>
        </w:r>
        <w:r>
          <w:rPr>
            <w:noProof/>
            <w:webHidden/>
          </w:rPr>
          <w:instrText xml:space="preserve"> PAGEREF _Toc522890512 \h </w:instrText>
        </w:r>
        <w:r>
          <w:rPr>
            <w:noProof/>
            <w:webHidden/>
          </w:rPr>
        </w:r>
        <w:r>
          <w:rPr>
            <w:noProof/>
            <w:webHidden/>
          </w:rPr>
          <w:fldChar w:fldCharType="separate"/>
        </w:r>
        <w:r>
          <w:rPr>
            <w:noProof/>
            <w:webHidden/>
          </w:rPr>
          <w:t>173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2890513"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val="en-GB" w:eastAsia="en-GB" w:bidi="ar-SA"/>
          </w:rPr>
          <w:tab/>
        </w:r>
        <w:r>
          <w:rPr>
            <w:rStyle w:val="Hyperlink"/>
            <w:noProof/>
          </w:rPr>
          <w:t>ИЗПЪЛНЕНИЕ НА БЮДЖЕТА НА АГЕНЦИИТЕ</w:t>
        </w:r>
        <w:r>
          <w:rPr>
            <w:noProof/>
            <w:webHidden/>
          </w:rPr>
          <w:tab/>
        </w:r>
        <w:r>
          <w:rPr>
            <w:noProof/>
            <w:webHidden/>
          </w:rPr>
          <w:fldChar w:fldCharType="begin"/>
        </w:r>
        <w:r>
          <w:rPr>
            <w:noProof/>
            <w:webHidden/>
          </w:rPr>
          <w:instrText xml:space="preserve"> PAGEREF _Toc522890513 \h </w:instrText>
        </w:r>
        <w:r>
          <w:rPr>
            <w:noProof/>
            <w:webHidden/>
          </w:rPr>
        </w:r>
        <w:r>
          <w:rPr>
            <w:noProof/>
            <w:webHidden/>
          </w:rPr>
          <w:fldChar w:fldCharType="separate"/>
        </w:r>
        <w:r>
          <w:rPr>
            <w:noProof/>
            <w:webHidden/>
          </w:rPr>
          <w:t>174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14" w:history="1">
        <w:r>
          <w:rPr>
            <w:rStyle w:val="Hyperlink"/>
            <w:noProof/>
          </w:rPr>
          <w:t>6.1.</w:t>
        </w:r>
        <w:r>
          <w:rPr>
            <w:rFonts w:asciiTheme="minorHAnsi" w:eastAsiaTheme="minorEastAsia" w:hAnsiTheme="minorHAnsi" w:cstheme="minorBidi"/>
            <w:noProof/>
            <w:color w:val="auto"/>
            <w:szCs w:val="22"/>
            <w:lang w:val="en-GB" w:eastAsia="en-GB" w:bidi="ar-SA"/>
          </w:rPr>
          <w:tab/>
        </w:r>
        <w:r>
          <w:rPr>
            <w:rStyle w:val="Hyperlink"/>
            <w:noProof/>
          </w:rPr>
          <w:t>БЮДЖЕТНИ ПРИХОДИ</w:t>
        </w:r>
        <w:r>
          <w:rPr>
            <w:noProof/>
            <w:webHidden/>
          </w:rPr>
          <w:tab/>
        </w:r>
        <w:r>
          <w:rPr>
            <w:noProof/>
            <w:webHidden/>
          </w:rPr>
          <w:fldChar w:fldCharType="begin"/>
        </w:r>
        <w:r>
          <w:rPr>
            <w:noProof/>
            <w:webHidden/>
          </w:rPr>
          <w:instrText xml:space="preserve"> PAGEREF _Toc522890514 \h </w:instrText>
        </w:r>
        <w:r>
          <w:rPr>
            <w:noProof/>
            <w:webHidden/>
          </w:rPr>
        </w:r>
        <w:r>
          <w:rPr>
            <w:noProof/>
            <w:webHidden/>
          </w:rPr>
          <w:fldChar w:fldCharType="separate"/>
        </w:r>
        <w:r>
          <w:rPr>
            <w:noProof/>
            <w:webHidden/>
          </w:rPr>
          <w:t>174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2890515" w:history="1">
        <w:r>
          <w:rPr>
            <w:rStyle w:val="Hyperlink"/>
            <w:noProof/>
          </w:rPr>
          <w:t>6.2.</w:t>
        </w:r>
        <w:r>
          <w:rPr>
            <w:rFonts w:asciiTheme="minorHAnsi" w:eastAsiaTheme="minorEastAsia" w:hAnsiTheme="minorHAnsi" w:cstheme="minorBidi"/>
            <w:noProof/>
            <w:color w:val="auto"/>
            <w:szCs w:val="22"/>
            <w:lang w:val="en-GB" w:eastAsia="en-GB" w:bidi="ar-SA"/>
          </w:rPr>
          <w:tab/>
        </w:r>
        <w:r>
          <w:rPr>
            <w:rStyle w:val="Hyperlink"/>
            <w:noProof/>
          </w:rPr>
          <w:t>БЮДЖЕТНИ КРЕДИТИ ЗА ПОЕТИ ЗАДЪЛЖЕНИЯ И ЗА ПЛАЩАНИЯ ПО АГЕНЦИИ</w:t>
        </w:r>
        <w:r>
          <w:rPr>
            <w:noProof/>
            <w:webHidden/>
          </w:rPr>
          <w:tab/>
        </w:r>
        <w:r>
          <w:rPr>
            <w:noProof/>
            <w:webHidden/>
          </w:rPr>
          <w:fldChar w:fldCharType="begin"/>
        </w:r>
        <w:r>
          <w:rPr>
            <w:noProof/>
            <w:webHidden/>
          </w:rPr>
          <w:instrText xml:space="preserve"> PAGEREF _Toc522890515 \h </w:instrText>
        </w:r>
        <w:r>
          <w:rPr>
            <w:noProof/>
            <w:webHidden/>
          </w:rPr>
        </w:r>
        <w:r>
          <w:rPr>
            <w:noProof/>
            <w:webHidden/>
          </w:rPr>
          <w:fldChar w:fldCharType="separate"/>
        </w:r>
        <w:r>
          <w:rPr>
            <w:noProof/>
            <w:webHidden/>
          </w:rPr>
          <w:t>176</w:t>
        </w:r>
        <w:r>
          <w:rPr>
            <w:noProof/>
            <w:webHidden/>
          </w:rPr>
          <w:fldChar w:fldCharType="end"/>
        </w:r>
      </w:hyperlink>
    </w:p>
    <w:p>
      <w:pPr>
        <w:pStyle w:val="TOC2"/>
        <w:rPr>
          <w:noProof/>
          <w:lang w:val="en-GB"/>
        </w:rPr>
      </w:pPr>
      <w:r>
        <w:rPr>
          <w:caps/>
          <w:noProof/>
          <w:color w:val="016894"/>
          <w:sz w:val="20"/>
        </w:rPr>
        <w:fldChar w:fldCharType="end"/>
      </w:r>
    </w:p>
    <w:bookmarkEnd w:id="260"/>
    <w:p>
      <w:pPr>
        <w:pStyle w:val="Textstand-alone"/>
        <w:rPr>
          <w:rFonts w:asciiTheme="minorHAnsi" w:eastAsiaTheme="minorEastAsia" w:hAnsiTheme="minorHAnsi" w:cstheme="minorBidi"/>
          <w:szCs w:val="22"/>
          <w:lang w:val="en-GB"/>
        </w:rPr>
      </w:pPr>
    </w:p>
    <w:p>
      <w:pPr>
        <w:pStyle w:val="Textstand-alone"/>
        <w:rPr>
          <w:rFonts w:asciiTheme="minorHAnsi" w:eastAsiaTheme="minorEastAsia" w:hAnsiTheme="minorHAnsi" w:cstheme="minorBidi"/>
          <w:szCs w:val="22"/>
          <w:lang w:val="en-GB"/>
        </w:rPr>
        <w:sectPr>
          <w:headerReference w:type="even" r:id="rId408"/>
          <w:headerReference w:type="default" r:id="rId409"/>
          <w:footerReference w:type="even" r:id="rId410"/>
          <w:footerReference w:type="default" r:id="rId411"/>
          <w:headerReference w:type="first" r:id="rId412"/>
          <w:footerReference w:type="first" r:id="rId413"/>
          <w:pgSz w:w="11907" w:h="16840"/>
          <w:pgMar w:top="1134" w:right="1134" w:bottom="1134" w:left="1134" w:header="709" w:footer="709" w:gutter="0"/>
          <w:cols w:space="708"/>
          <w:docGrid w:linePitch="360"/>
        </w:sectPr>
      </w:pPr>
    </w:p>
    <w:p>
      <w:pPr>
        <w:rPr>
          <w:rFonts w:ascii="Verdana" w:eastAsia="Calibri" w:hAnsi="Verdana"/>
          <w:b/>
          <w:noProof/>
          <w:color w:val="016794"/>
          <w:sz w:val="28"/>
          <w:szCs w:val="18"/>
        </w:rPr>
      </w:pPr>
      <w:bookmarkStart w:id="261" w:name="_Toc517434318"/>
      <w:bookmarkStart w:id="262" w:name="_DMBM_11442"/>
      <w:r>
        <w:rPr>
          <w:noProof/>
        </w:rPr>
        <w:br w:type="page"/>
      </w:r>
    </w:p>
    <w:p>
      <w:pPr>
        <w:pStyle w:val="HEADERTITLE2"/>
        <w:rPr>
          <w:rFonts w:eastAsia="Calibri"/>
        </w:rPr>
      </w:pPr>
      <w:bookmarkStart w:id="263" w:name="_Toc522890481"/>
      <w:r>
        <w:t>РЕЗУЛТАТ ОТ ИЗПЪЛНЕНИЕТО НА БЮДЖЕТА НА ЕС</w:t>
      </w:r>
      <w:bookmarkEnd w:id="261"/>
      <w:bookmarkEnd w:id="263"/>
    </w:p>
    <w:p>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64" w:name="DOC_TBL00092_1_1"/>
            <w:bookmarkEnd w:id="26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за финансовата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139 691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144 717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Плащания спрямо бюджетните кредити за текущата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(135 764)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(135 180)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Бюджетни кредити за плащания, пренесени за година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Отмяна на неусвоени бюджетни кредити, пренесени от година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Промяна на целевите 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Курсови разлики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Бюджетен резултат</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6 405</w:t>
            </w:r>
          </w:p>
        </w:tc>
      </w:tr>
    </w:tbl>
    <w:p>
      <w:pPr>
        <w:pStyle w:val="Textstand-alone"/>
        <w:spacing w:before="60"/>
        <w:rPr>
          <w:i/>
          <w:sz w:val="14"/>
        </w:rPr>
        <w:sectPr>
          <w:headerReference w:type="even" r:id="rId414"/>
          <w:headerReference w:type="default" r:id="rId415"/>
          <w:footerReference w:type="even" r:id="rId416"/>
          <w:footerReference w:type="default" r:id="rId417"/>
          <w:headerReference w:type="first" r:id="rId418"/>
          <w:footerReference w:type="first" r:id="rId419"/>
          <w:pgSz w:w="11907" w:h="16840"/>
          <w:pgMar w:top="1134" w:right="1134" w:bottom="1134" w:left="1134" w:header="709" w:footer="709" w:gutter="0"/>
          <w:cols w:space="708"/>
          <w:docGrid w:linePitch="360"/>
        </w:sectPr>
      </w:pPr>
      <w:r>
        <w:rPr>
          <w:i/>
          <w:sz w:val="14"/>
        </w:rPr>
        <w:t xml:space="preserve"> </w:t>
      </w:r>
      <w:bookmarkEnd w:id="262"/>
    </w:p>
    <w:p>
      <w:pPr>
        <w:pStyle w:val="HEADERTITLE2"/>
      </w:pPr>
      <w:bookmarkStart w:id="265" w:name="_Toc517434319"/>
      <w:bookmarkStart w:id="266" w:name="_Toc522890482"/>
      <w:bookmarkStart w:id="267" w:name="_DMBM_11450"/>
      <w:r>
        <w:t>СЪПОСТАВКИ НА БЮДЖЕТНИТЕ С РЕАЛНИТЕ СУМИ</w:t>
      </w:r>
      <w:bookmarkEnd w:id="265"/>
      <w:bookmarkEnd w:id="266"/>
    </w:p>
    <w:p>
      <w:pPr>
        <w:pStyle w:val="HEADERTITLE3"/>
      </w:pPr>
      <w:r>
        <w:t>БЮДЖЕТНИ ПРИХОДИ</w:t>
      </w:r>
    </w:p>
    <w:p>
      <w:pPr>
        <w:autoSpaceDE w:val="0"/>
        <w:autoSpaceDN w:val="0"/>
        <w:adjustRightInd w:val="0"/>
        <w:spacing w:line="238" w:lineRule="auto"/>
        <w:ind w:right="-35"/>
        <w:rPr>
          <w:rFonts w:ascii="Verdana" w:hAnsi="Verdana"/>
          <w:noProof/>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68" w:name="DOC_TBL00093_1_1"/>
            <w:bookmarkEnd w:id="268"/>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Първоначален приет бюджет</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Окончателен приет бюджет</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Установени вземания</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Приходи</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Собствени ресурси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131 718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115 455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11 — Налози върху захарта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12 — Мита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20 374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20 364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20 325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13 — ДДС</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16 620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14 — БНД</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93 652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78 356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15 — Корекция на бюджетни дисбаланси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16 — Намаление на вноската на база БНД на Нидерландия и Швеция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Излишъци, салда и корекции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6 405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Приходи от лица, работещи към институциите и други органи на Съюза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Приходи от административната дейност на институциите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611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587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Вноски и възстановени средства във връзка със споразумения и програми на Съюза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12 504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12 179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7</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Лихви за забава и глоби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1 120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3 230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11 387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3 573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Операции по получаване и отпускане на заеми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Разни приходи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8</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Общо</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147 926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139 691</w:t>
            </w:r>
          </w:p>
        </w:tc>
      </w:tr>
      <w:bookmarkEnd w:id="267"/>
    </w:tbl>
    <w:p>
      <w:pPr>
        <w:pStyle w:val="Textstand-alone"/>
        <w:spacing w:before="60"/>
        <w:rPr>
          <w:i/>
          <w:sz w:val="14"/>
        </w:rPr>
        <w:sectPr>
          <w:headerReference w:type="even" r:id="rId420"/>
          <w:headerReference w:type="default" r:id="rId421"/>
          <w:footerReference w:type="even" r:id="rId422"/>
          <w:footerReference w:type="default" r:id="rId423"/>
          <w:headerReference w:type="first" r:id="rId424"/>
          <w:footerReference w:type="first" r:id="rId425"/>
          <w:pgSz w:w="11907" w:h="16840"/>
          <w:pgMar w:top="1134" w:right="1134" w:bottom="1134" w:left="1134" w:header="709" w:footer="709" w:gutter="0"/>
          <w:cols w:space="708"/>
          <w:docGrid w:linePitch="360"/>
        </w:sectPr>
      </w:pPr>
    </w:p>
    <w:p>
      <w:pPr>
        <w:pStyle w:val="HEADERTITLE2"/>
      </w:pPr>
      <w:bookmarkStart w:id="269" w:name="_Toc517434320"/>
      <w:bookmarkStart w:id="270" w:name="_Toc522890483"/>
      <w:bookmarkStart w:id="271" w:name="_DMBM_11440"/>
      <w:r>
        <w:t>БЮДЖЕТНИ РАЗХОДИ: ПОЕТИ ЗАДЪЛЖЕНИЯ ПО ФУНКЦИИ ОТ МНОГОГОДИШНАТА ФИНАНСОВА РАМКА (МФР)</w:t>
      </w:r>
      <w:bookmarkEnd w:id="269"/>
      <w:bookmarkEnd w:id="270"/>
    </w:p>
    <w:p>
      <w:pPr>
        <w:spacing w:before="10"/>
        <w:rPr>
          <w:rFonts w:ascii="Verdana" w:eastAsia="Verdana" w:hAnsi="Verdana" w:cs="Verdana"/>
          <w:i/>
          <w:noProof/>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8"/>
              </w:rPr>
            </w:pPr>
            <w:bookmarkStart w:id="272" w:name="DOC_TBL00094_1_1"/>
            <w:bookmarkEnd w:id="272"/>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zCs w:val="8"/>
              </w:rPr>
            </w:pPr>
            <w:r>
              <w:t>милиони евро</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szCs w:val="8"/>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szCs w:val="8"/>
              </w:rPr>
            </w:pPr>
            <w:r>
              <w:t>Функция от МФР</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Първоначален приет бюджет</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Окончателен приет бюджет</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Общо налични бюджетни кредити</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Поети задължения</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Интелигентен и приобщаващ растеж</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74 899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75 399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85 181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83 268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1a: Конкурентоспособност за растеж и работни места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24 508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22 654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1б: Икономическо, социално и териториално сближаване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53 587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54 087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60 673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Устойчив растеж: природни ресурси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58 569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62 806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60 859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от които: разходи, свързани с пазара, и преки плащания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45 830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44 759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Сигурност и гражданство</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4 472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4 124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Глобална Европа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10 713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12 382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11 814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Администрация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9 794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от които: административни разходи на институциите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4 344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4 142</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Компенсации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 xml:space="preserve">Отрицателен резерв и дефицит, пренесени от предходната финансова година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Специални инструменти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 xml:space="preserve"> 534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1 472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1 544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r>
              <w:t>Общо</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157 858</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159 831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176 576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171 150</w:t>
            </w:r>
          </w:p>
        </w:tc>
      </w:tr>
    </w:tbl>
    <w:p>
      <w:pPr>
        <w:spacing w:before="10"/>
        <w:rPr>
          <w:rFonts w:ascii="Verdana" w:eastAsia="Verdana" w:hAnsi="Verdana" w:cs="Verdana"/>
          <w:i/>
          <w:noProof/>
          <w:sz w:val="8"/>
          <w:szCs w:val="8"/>
        </w:rPr>
      </w:pPr>
    </w:p>
    <w:p>
      <w:pPr>
        <w:rPr>
          <w:rFonts w:ascii="Arial" w:eastAsia="Arial" w:hAnsi="Arial" w:cs="Arial"/>
          <w:noProof/>
          <w:sz w:val="12"/>
          <w:szCs w:val="12"/>
        </w:rPr>
      </w:pPr>
      <w:r>
        <w:rPr>
          <w:noProof/>
        </w:rPr>
        <w:br w:type="page"/>
      </w:r>
    </w:p>
    <w:p>
      <w:pPr>
        <w:pStyle w:val="HEADERTITLE2"/>
      </w:pPr>
      <w:bookmarkStart w:id="273" w:name="_Toc517434321"/>
      <w:bookmarkStart w:id="274" w:name="_Toc522890484"/>
      <w:r>
        <w:t>БЮДЖЕТНИ РАЗХОДИ: ПЛАЩАНИЯ ПО ФУНКЦИИ ОТ МНОГОГОДИШНАТА ФИНАНСОВА РАМКА (МФР)</w:t>
      </w:r>
      <w:bookmarkEnd w:id="273"/>
      <w:bookmarkEnd w:id="27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75" w:name="DOC_TBL00095_1_1"/>
            <w:bookmarkEnd w:id="275"/>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Функция от МФР</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Първоначален приет бюджет</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Окончателен приет бюджет</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Общо налични бюджетни кредити</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Извършени плащания</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Интелигентен и приобщаващ растеж</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56 522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49 840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61 168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57 030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1a: Конкурентоспособност за растеж и работни места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19 321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20 065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24 370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21 376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1б: Икономическо, социално и териториално сближаване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37 201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29 775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36 797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Устойчив растеж: природни ресурси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54 914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54 467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58 575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56 743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от които: разходи, свързани с пазара, и преки плащания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42 563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42 558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45 975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44 695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Сигурност и гражданство</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3 787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2 793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2 994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2 867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Глобална Европа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9 483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8 938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9 793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Администрация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10 977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9 656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от които: административни разходи на институциите</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4 841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4 085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Компенсации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 xml:space="preserve">Отрицателен резерв и дефицит, пренесени от предходната финансова година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Специални инструменти</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1 341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1 414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Общо</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146 071</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137 379</w:t>
            </w:r>
          </w:p>
        </w:tc>
      </w:tr>
    </w:tbl>
    <w:p>
      <w:pPr>
        <w:rPr>
          <w:noProof/>
        </w:rPr>
        <w:sectPr>
          <w:headerReference w:type="even" r:id="rId426"/>
          <w:headerReference w:type="default" r:id="rId427"/>
          <w:footerReference w:type="even" r:id="rId428"/>
          <w:footerReference w:type="default" r:id="rId429"/>
          <w:headerReference w:type="first" r:id="rId430"/>
          <w:footerReference w:type="first" r:id="rId431"/>
          <w:pgSz w:w="11900" w:h="16840"/>
          <w:pgMar w:top="1134" w:right="1134" w:bottom="1134" w:left="1134" w:header="709" w:footer="709" w:gutter="0"/>
          <w:cols w:space="720"/>
          <w:docGrid w:linePitch="299"/>
        </w:sectPr>
      </w:pPr>
      <w:r>
        <w:rPr>
          <w:noProof/>
        </w:rPr>
        <w:t xml:space="preserve"> </w:t>
      </w:r>
      <w:bookmarkEnd w:id="271"/>
    </w:p>
    <w:p>
      <w:pPr>
        <w:pStyle w:val="HEADERTITLE2"/>
      </w:pPr>
      <w:bookmarkStart w:id="276" w:name="_Toc517434322"/>
      <w:bookmarkStart w:id="277" w:name="_Toc522890485"/>
      <w:bookmarkStart w:id="278" w:name="_DMBM_11355"/>
      <w:r>
        <w:t>БЕЛЕЖКИ КЪМ ДОКЛАДИТЕ ЗА ИЗПЪЛНЕНИЕТО НА БЮДЖЕТА</w:t>
      </w:r>
      <w:bookmarkEnd w:id="276"/>
      <w:bookmarkEnd w:id="277"/>
      <w:r>
        <w:t xml:space="preserve"> </w:t>
      </w:r>
    </w:p>
    <w:p>
      <w:pPr>
        <w:pStyle w:val="HEADER1PartBUDG"/>
        <w:rPr>
          <w:noProof/>
        </w:rPr>
      </w:pPr>
      <w:r>
        <w:rPr>
          <w:noProof/>
        </w:rPr>
        <w:t xml:space="preserve"> </w:t>
      </w:r>
      <w:bookmarkStart w:id="279" w:name="_Toc517434323"/>
      <w:bookmarkStart w:id="280" w:name="_Toc522890486"/>
      <w:r>
        <w:rPr>
          <w:noProof/>
        </w:rPr>
        <w:t>РАМКА НА БЮДЖЕТА НА ЕС</w:t>
      </w:r>
      <w:bookmarkEnd w:id="279"/>
      <w:bookmarkEnd w:id="280"/>
    </w:p>
    <w:p>
      <w:pPr>
        <w:pStyle w:val="DGTextstand-alone"/>
      </w:pPr>
      <w:r>
        <w:t>Бюджетното счетоводство се води в съответствие с Финансовия регламент (ФР) и правилата за неговото прилагане. Общият бюджет е инструментът, чрез който се предвиждат и разрешават приходите и разходите на Съюза всяка година в рамките на таваните и другите разпоредби, определени в многогодишната финансова рамка в съответствие със законодателните актове във връзка с многогодишните програми, приемани съгласно тази рамка.</w:t>
      </w:r>
    </w:p>
    <w:p>
      <w:pPr>
        <w:pStyle w:val="HEADER2PartBUDG"/>
        <w:rPr>
          <w:noProof/>
          <w:spacing w:val="-6"/>
        </w:rPr>
      </w:pPr>
      <w:bookmarkStart w:id="281" w:name="_Toc517434324"/>
      <w:bookmarkStart w:id="282" w:name="_Toc522890487"/>
      <w:r>
        <w:rPr>
          <w:noProof/>
          <w:spacing w:val="-6"/>
        </w:rPr>
        <w:t>МНОГОГОДИШНА ФИНАНСОВА РАМКА ЗА 2014—2020 Г.</w:t>
      </w:r>
      <w:bookmarkEnd w:id="281"/>
      <w:bookmarkEnd w:id="282"/>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83" w:name="DOC_TBL00096_1_1"/>
            <w:bookmarkEnd w:id="283"/>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Общо</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1. Интелигентен и приобщаващ растеж</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1а. Конкурентоспособност за растеж и работни места</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1б. Икономическо, социално и териториално сближаване</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2. Устойчив растеж: природни ресурси</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от които: разходи, свързани с пазара, и преки плащания</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308 734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3. Сигурност и гражданство</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4. Глобална Европа</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5. Администрация</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от които: административни разходи на институциите</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6. Компенсации</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8. Отрицателен резерв</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9. Специални инструменти</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Бюджетни кредити за поети задължения</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Общ размер на бюджетните кредити за плащания</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1 026 287</w:t>
            </w:r>
          </w:p>
        </w:tc>
      </w:tr>
    </w:tbl>
    <w:p>
      <w:pPr>
        <w:pStyle w:val="DGTextstand-alone"/>
      </w:pPr>
      <w:r>
        <w:t>Таблицата по-горе показва таваните в многогодишната финансова рамка (МФР) по текущи цени. 2017 година бе четвъртата финансова година от МФР за периода 2014—2020 г. Общият таван за бюджетните кредити за поети задължения за 2017 г. бе 155 631 милиона евро, което се равнява на 1,04 % от БНД на ЕС, докато съответният таван за бюджетните кредити за плащания бе 142 906 милиона евро, или 0,95 % от БНД на ЕС, и важи за цялата 2017 бюджетна година.</w:t>
      </w:r>
    </w:p>
    <w:p>
      <w:pPr>
        <w:pStyle w:val="DGTextstand-alone"/>
        <w:rPr>
          <w:color w:val="1F497D"/>
        </w:rPr>
      </w:pPr>
      <w:r>
        <w:t>За МФР за периода 2014—2020 г. са договорени нови разпоредби за гъвкавост. Една от новите разпоредби е възможността за прехвърляне на неизразходените маржове под таваните на плащанията за следващите години — посредством общия марж за плащанията в рамките на техническата корекция на МФР за следващата година. По тази причина неизразходената сума от 2015 г. (1 288 милиона евро по текущи цени) и от 2016 г. (13 991 милиона евро по текущи цени) бе прехвърлена за годините 2018—2020 и таваните за 2015 г., 2016 г. и годините 2018—2020 бяха съответно коригирани — вж. гореупоменатата техническа корекция на МФР за 2017 г. и техническата корекция за 2018 г. (COM(2017) 220 от 24 май 2017 г.).</w:t>
      </w:r>
    </w:p>
    <w:p>
      <w:pPr>
        <w:pStyle w:val="DGTextstand-alone"/>
      </w:pPr>
      <w:r>
        <w:t>На 24 май 2017 г. Комисията прие Съобщение „Tехническа корекция на финансовата рамка за 2018 г. в съответствие с промените в БНД (ЕСС 2010)“ (COM(2017) 220 от 24 май 2017 г.). След влизането в сила на Регламент 2017/1123 на Съвета за изменение на Регламент № 1311/2013 за МФР (ОВ L 163, 24.6.2017 г.) вследствие на междинния преглед/междинното преразглеждане, цифрите, включени в Съобщението от 24 май 2017 г. по отношение на Резерва за спешна помощ и Инструмента за гъвкавост, бяха актуализирани и заменени в Съобщението от 15 септември 2017 г. (COM(2017) 473 final). Корекциите на цифрите в това съобщение са пряк резултат от изменението на Регламента за МФР с Регламент (ЕС, Евратом) 2017/1123 и не се отклоняват от разпоредбите на член 6, параграф 4 от Регламента за МФР, според които не се извършват допълнителни технически корекции, освен посочените в член 6, параграф 1, нито през годината, нито впоследствие. Нововъведената техническа корекция за Инструмента за гъвкавост съгласно член 6, параграф 1, буква е) се предвижда за първи път.</w:t>
      </w:r>
    </w:p>
    <w:p>
      <w:pPr>
        <w:pStyle w:val="DGTextstand-alone"/>
      </w:pPr>
      <w:r>
        <w:t>По-долу е дадено обяснение на различните функции на МФР:</w:t>
      </w:r>
    </w:p>
    <w:p>
      <w:pPr>
        <w:pStyle w:val="HEADER5"/>
        <w:rPr>
          <w:noProof/>
        </w:rPr>
      </w:pPr>
      <w:r>
        <w:rPr>
          <w:noProof/>
        </w:rPr>
        <w:t>Функция 1 — Интелигентен и приобщаващ растеж</w:t>
      </w:r>
    </w:p>
    <w:p>
      <w:pPr>
        <w:pStyle w:val="DGTextstand-alone"/>
      </w:pPr>
      <w:r>
        <w:t>Тази функция е разделена на два отделни, но взаимосвързани компонента:</w:t>
      </w:r>
    </w:p>
    <w:p>
      <w:pPr>
        <w:pStyle w:val="DGTextstand-alone"/>
        <w:tabs>
          <w:tab w:val="left" w:pos="426"/>
        </w:tabs>
        <w:ind w:left="426" w:hanging="426"/>
      </w:pPr>
      <w:r>
        <w:t>1a</w:t>
      </w:r>
      <w:r>
        <w:tab/>
        <w:t>„Конкурентоспособност за растеж и работни места“, обхващащ разходите за научни изследвания и иновации, образование и обучение, Механизма за свързване на Европа, социалната политика, вътрешния пазар и съпътстващите ги политики.</w:t>
      </w:r>
    </w:p>
    <w:p>
      <w:pPr>
        <w:pStyle w:val="DGTextstand-alone"/>
        <w:tabs>
          <w:tab w:val="left" w:pos="426"/>
        </w:tabs>
        <w:ind w:left="426" w:hanging="426"/>
      </w:pPr>
      <w:r>
        <w:t>1б</w:t>
      </w:r>
      <w:r>
        <w:tab/>
        <w:t>„Икономическо, социално и териториално сближаване“, предназначен за подобряване на сближаването на най-слабо развитите държави членки и региони, за допълване на стратегията на ЕС за устойчиво развитие извън по-бедните региони и за подкрепа на междурегионалното сътрудничество.</w:t>
      </w:r>
    </w:p>
    <w:p>
      <w:pPr>
        <w:pStyle w:val="HEADER5"/>
        <w:rPr>
          <w:noProof/>
        </w:rPr>
      </w:pPr>
      <w:r>
        <w:rPr>
          <w:noProof/>
        </w:rPr>
        <w:t>Функция 2 — Устойчив растеж: природни ресурси</w:t>
      </w:r>
    </w:p>
    <w:p>
      <w:pPr>
        <w:pStyle w:val="DGTextstand-alone"/>
      </w:pPr>
      <w:r>
        <w:t>Функция 2 включва общата селскостопанска политика, общата политика в областта на рибарството и мерките за околната среда, и по-специално програмата Life +.</w:t>
      </w:r>
    </w:p>
    <w:p>
      <w:pPr>
        <w:pStyle w:val="HEADER5"/>
        <w:rPr>
          <w:noProof/>
        </w:rPr>
      </w:pPr>
      <w:r>
        <w:rPr>
          <w:noProof/>
        </w:rPr>
        <w:t>Функция 3 — Сигурност и гражданство</w:t>
      </w:r>
    </w:p>
    <w:p>
      <w:pPr>
        <w:pStyle w:val="DGTextstand-alone"/>
      </w:pPr>
      <w:r>
        <w:t>Функция 3 (Сигурност и гражданство) отразява нарастващото значение, което се придава на някои сфери, в които на ЕС са възложени конкретни задачи — правосъдие и вътрешни работи, гранична защита, политика в областта на имиграцията и убежището, обществено здравеопазване и защита на потребителите, култура, младеж, информация и диалог с гражданите.</w:t>
      </w:r>
    </w:p>
    <w:p>
      <w:pPr>
        <w:pStyle w:val="HEADER5"/>
        <w:rPr>
          <w:noProof/>
        </w:rPr>
      </w:pPr>
      <w:r>
        <w:rPr>
          <w:noProof/>
        </w:rPr>
        <w:t>Функция 4 — Глобална Европа</w:t>
      </w:r>
    </w:p>
    <w:p>
      <w:pPr>
        <w:pStyle w:val="DGTextstand-alone"/>
      </w:pPr>
      <w:r>
        <w:t>Функция 4 обхваща всички външни действия, включително сътрудничеството за развитие, хуманитарната помощ, инструментите за предприсъединителна помощ и инструментите в областта на съседските отношения. ЕФР продължава да е извън обхвата на бюджета на ЕС и не е включен в МФР.</w:t>
      </w:r>
    </w:p>
    <w:p>
      <w:pPr>
        <w:pStyle w:val="HEADER5"/>
        <w:rPr>
          <w:noProof/>
        </w:rPr>
      </w:pPr>
      <w:r>
        <w:rPr>
          <w:noProof/>
        </w:rPr>
        <w:t>Функция 5 — Администрация</w:t>
      </w:r>
    </w:p>
    <w:p>
      <w:pPr>
        <w:pStyle w:val="DGTextstand-alone"/>
      </w:pPr>
      <w:r>
        <w:t>Тази функция обхваща административните разходи за всички институции, пенсиите и европейските училища. За институциите, различни от Комисията, тези разходи представляват всички техни разходи.</w:t>
      </w:r>
    </w:p>
    <w:p>
      <w:pPr>
        <w:pStyle w:val="HEADER5"/>
        <w:rPr>
          <w:noProof/>
        </w:rPr>
      </w:pPr>
      <w:r>
        <w:rPr>
          <w:noProof/>
        </w:rPr>
        <w:t>Функция 6 — Компенсации</w:t>
      </w:r>
    </w:p>
    <w:p>
      <w:pPr>
        <w:pStyle w:val="DGTextstand-alone"/>
      </w:pPr>
      <w:r>
        <w:t>В съответствие с политическото споразумение, според което в самото начало на своето членство новите държави членки не трябва да внасят в бюджета повече средства, отколкото получават от него, по тази функция беше предвидена компенсация. Тази сума им беше предоставяна като трансфери с цел изравняване на сумите, които получават от бюджета, и вноските им в него.</w:t>
      </w:r>
    </w:p>
    <w:p>
      <w:pPr>
        <w:pStyle w:val="HEADER5"/>
        <w:rPr>
          <w:noProof/>
        </w:rPr>
      </w:pPr>
      <w:r>
        <w:rPr>
          <w:noProof/>
        </w:rPr>
        <w:t>Функция 9 — Специални инструменти</w:t>
      </w:r>
    </w:p>
    <w:p>
      <w:pPr>
        <w:pStyle w:val="DGTextstand-alone"/>
      </w:pPr>
      <w:r>
        <w:t>Механизмите за гъвкавост дават възможност на ЕС да мобилизира необходимите средства, за да реагира на непредвидени събития, като кризисни и извънредни ситуации. Техният обхват, финансови средства и начини на функциониране са предвидени в Регламента за МФР и в Междуинституционалното споразумение. В настоящия контекст на намалени разходи те гарантират също така, че бюджетните ресурси могат да реагират на променящите се приоритети, за да се използва всяко евро там, където то е най-необходимо. Поради това повечето механизми за гъвкавост се оставят извън МФР и финансирането може да бъде мобилизирано над таваните на разходите.</w:t>
      </w:r>
    </w:p>
    <w:p>
      <w:pPr>
        <w:pStyle w:val="HEADER2PartBUDG"/>
        <w:rPr>
          <w:noProof/>
        </w:rPr>
      </w:pPr>
      <w:bookmarkStart w:id="284" w:name="_Toc517434325"/>
      <w:bookmarkStart w:id="285" w:name="_Toc522890488"/>
      <w:r>
        <w:rPr>
          <w:noProof/>
        </w:rPr>
        <w:t>ПОДРОБНИ ФУНКЦИИ НА МФР (ПРОГРАМИ)</w:t>
      </w:r>
      <w:bookmarkEnd w:id="284"/>
      <w:bookmarkEnd w:id="285"/>
    </w:p>
    <w:p>
      <w:pPr>
        <w:pStyle w:val="DGTextstand-alone"/>
      </w:pPr>
      <w:r>
        <w:t xml:space="preserve">Функциите в МФР са разбити допълнително на подробни подфункции, съответстващи на основните разходни програми (напр. „Хоризонт 2020“, „Еразъм+“ и т.н.). Съответните правни основания за изпълнението на бюджета се приемат на това равнище на програмите. Програмите са обичайно използваната структура за докладване за изпълнението и резултатите. По тази причина таблици по програми са включени и в докладите за изпълнението на бюджета (вж. таблици </w:t>
      </w:r>
      <w:r>
        <w:rPr>
          <w:b/>
        </w:rPr>
        <w:t>4.6—4.10</w:t>
      </w:r>
      <w:r>
        <w:t xml:space="preserve"> по-долу).</w:t>
      </w:r>
    </w:p>
    <w:p>
      <w:pPr>
        <w:pStyle w:val="HEADER2PartBUDG"/>
        <w:rPr>
          <w:noProof/>
        </w:rPr>
      </w:pPr>
      <w:bookmarkStart w:id="286" w:name="_Toc517434326"/>
      <w:bookmarkStart w:id="287" w:name="_Toc522890489"/>
      <w:r>
        <w:rPr>
          <w:noProof/>
        </w:rPr>
        <w:t>ГОДИШЕН БЮДЖЕТ</w:t>
      </w:r>
      <w:bookmarkEnd w:id="286"/>
      <w:bookmarkEnd w:id="287"/>
    </w:p>
    <w:p>
      <w:pPr>
        <w:pStyle w:val="DGTextstand-alone"/>
      </w:pPr>
      <w:r>
        <w:t>Всяка година Комисията оценява приходите и разходите на всички институции за годината и изготвя проектобюджет, който изпраща на бюджетния орган. Въз основа на този проектобюджет Съветът излиза с позиция, по която след това се провеждат преговори между двата клона на бюджетния орган. Председателят на ЕП обявява, че съвместният проект е окончателно приет, с което бюджетът влиза в сила. В хода на въпросната година се приемат коригиращи бюджети. Задачата за изпълнението на бюджета е основно отговорност на Комисията.</w:t>
      </w:r>
    </w:p>
    <w:p>
      <w:pPr>
        <w:pStyle w:val="DGTextstand-alone"/>
      </w:pPr>
      <w:r>
        <w:t>За Комисията бюджетната структура се състои от бюджетни кредити за административни разходи и от бюджетни кредити за оперативни разходи. Другите институции имат само бюджетни кредити за административни разходи. Освен това в бюджета се прави разграничение между два вида бюджетни кредити: едногодишни и многогодишни. Едногодишните бюджетни кредити се използват за финансиране на операции с годишен характер (които са в съответствие с принципа на ежегодност на бюджета). Многогодишните бюджетни кредити се използват, за да бъде съгласуван принципът на ежегодност с необходимостта от управление на многогодишни операции. Многогодишните бюджетни кредити се разделят на бюджетни кредити за поети задължения и бюджетни кредити за плащания:</w:t>
      </w:r>
    </w:p>
    <w:p>
      <w:pPr>
        <w:pStyle w:val="Textstand-aloneBulletpoint"/>
        <w:jc w:val="both"/>
        <w:rPr>
          <w:noProof/>
        </w:rPr>
      </w:pPr>
      <w:r>
        <w:rPr>
          <w:noProof/>
          <w:color w:val="016794"/>
        </w:rPr>
        <w:t>бюджетни кредити за поети задължения</w:t>
      </w:r>
      <w:r>
        <w:rPr>
          <w:noProof/>
        </w:rPr>
        <w:t>: обхващат всички разходи по правните задължения, поети за текущата финансова година за операции, протичащи в рамките на няколко години. Въпреки това бюджетните задължения за дейности, които надхвърлят една финансова година, могат да се разделят за няколко години под формата на годишни траншове, когато това е предвидено в основния акт.</w:t>
      </w:r>
    </w:p>
    <w:p>
      <w:pPr>
        <w:pStyle w:val="Textstand-aloneBulletpoint"/>
        <w:numPr>
          <w:ilvl w:val="0"/>
          <w:numId w:val="0"/>
        </w:numPr>
        <w:ind w:left="1080" w:hanging="360"/>
        <w:jc w:val="both"/>
        <w:rPr>
          <w:noProof/>
        </w:rPr>
      </w:pPr>
    </w:p>
    <w:p>
      <w:pPr>
        <w:pStyle w:val="Textstand-aloneBulletpoint"/>
        <w:jc w:val="both"/>
        <w:rPr>
          <w:noProof/>
        </w:rPr>
      </w:pPr>
      <w:r>
        <w:rPr>
          <w:noProof/>
          <w:color w:val="016794"/>
        </w:rPr>
        <w:t>бюджетни кредити за плащания</w:t>
      </w:r>
      <w:r>
        <w:rPr>
          <w:noProof/>
        </w:rPr>
        <w:t>: обхващат разходите, възникващи от задължения, поети през текущата финансова година и/или предходни финансови години.</w:t>
      </w:r>
    </w:p>
    <w:p>
      <w:pPr>
        <w:pStyle w:val="DGTextstand-alone"/>
      </w:pPr>
      <w:r>
        <w:t>В отчетите видовете финансиране са групирани в две основни позиции:</w:t>
      </w:r>
    </w:p>
    <w:p>
      <w:pPr>
        <w:numPr>
          <w:ilvl w:val="0"/>
          <w:numId w:val="47"/>
        </w:numPr>
        <w:spacing w:after="120" w:line="240" w:lineRule="auto"/>
        <w:ind w:left="357" w:hanging="73"/>
        <w:rPr>
          <w:rFonts w:ascii="Verdana" w:hAnsi="Verdana"/>
          <w:noProof/>
          <w:sz w:val="18"/>
          <w:szCs w:val="18"/>
        </w:rPr>
      </w:pPr>
      <w:r>
        <w:rPr>
          <w:rFonts w:ascii="Verdana" w:hAnsi="Verdana"/>
          <w:noProof/>
          <w:sz w:val="18"/>
        </w:rPr>
        <w:t>бюджетни кредити в окончателния приет бюджет; и</w:t>
      </w:r>
    </w:p>
    <w:p>
      <w:pPr>
        <w:numPr>
          <w:ilvl w:val="0"/>
          <w:numId w:val="47"/>
        </w:numPr>
        <w:spacing w:after="0" w:line="240" w:lineRule="auto"/>
        <w:ind w:left="357" w:hanging="73"/>
        <w:rPr>
          <w:rFonts w:ascii="Verdana" w:hAnsi="Verdana"/>
          <w:noProof/>
          <w:sz w:val="18"/>
          <w:szCs w:val="18"/>
        </w:rPr>
      </w:pPr>
      <w:r>
        <w:rPr>
          <w:rFonts w:ascii="Verdana" w:hAnsi="Verdana"/>
          <w:noProof/>
          <w:sz w:val="18"/>
        </w:rPr>
        <w:t>допълнителни бюджетни кредити, съдържащи:</w:t>
      </w:r>
    </w:p>
    <w:p>
      <w:pPr>
        <w:pStyle w:val="Textstand-alone"/>
        <w:numPr>
          <w:ilvl w:val="0"/>
          <w:numId w:val="48"/>
        </w:numPr>
        <w:tabs>
          <w:tab w:val="clear" w:pos="0"/>
        </w:tabs>
        <w:spacing w:before="120" w:after="0"/>
        <w:ind w:left="1134" w:hanging="425"/>
      </w:pPr>
      <w:r>
        <w:t>пренасяния от предходната година (Финансовият регламент допуска в ограничен брой случаи неизразходваните суми да се пренасят от предходната година за текущата година); и</w:t>
      </w:r>
    </w:p>
    <w:p>
      <w:pPr>
        <w:pStyle w:val="Textstand-alone"/>
        <w:numPr>
          <w:ilvl w:val="0"/>
          <w:numId w:val="48"/>
        </w:numPr>
        <w:tabs>
          <w:tab w:val="clear" w:pos="0"/>
        </w:tabs>
        <w:spacing w:before="0"/>
        <w:ind w:left="1134" w:hanging="425"/>
      </w:pPr>
      <w:r>
        <w:t>целевите приходи от възстановени средства, вноските на трети страни/държави за програмите на ЕС и работата, извършена за трети страни, се отнасят директно към съответните разходни бюджетни редове и представляват третият стълб на финансиране.</w:t>
      </w:r>
    </w:p>
    <w:p>
      <w:pPr>
        <w:pStyle w:val="DGTextstand-alone"/>
      </w:pPr>
      <w:r>
        <w:t>Заедно всички видове финансиране образуват наличните бюджетни кредити.</w:t>
      </w:r>
    </w:p>
    <w:p>
      <w:pPr>
        <w:pStyle w:val="HEADER2PartBUDG"/>
        <w:rPr>
          <w:noProof/>
        </w:rPr>
      </w:pPr>
      <w:bookmarkStart w:id="288" w:name="_Toc406426450"/>
      <w:bookmarkStart w:id="289" w:name="_Toc517434327"/>
      <w:bookmarkStart w:id="290" w:name="_Toc522890490"/>
      <w:bookmarkStart w:id="291" w:name="_DMBM_11449"/>
      <w:bookmarkEnd w:id="278"/>
      <w:r>
        <w:rPr>
          <w:noProof/>
        </w:rPr>
        <w:t>ПРИХОДИ</w:t>
      </w:r>
      <w:bookmarkEnd w:id="288"/>
      <w:bookmarkEnd w:id="289"/>
      <w:bookmarkEnd w:id="290"/>
    </w:p>
    <w:p>
      <w:pPr>
        <w:pStyle w:val="HEADER3PartBUGD"/>
        <w:rPr>
          <w:noProof/>
        </w:rPr>
      </w:pPr>
      <w:r>
        <w:rPr>
          <w:noProof/>
        </w:rPr>
        <w:t>Приходи от собствени ресурси</w:t>
      </w:r>
    </w:p>
    <w:p>
      <w:pPr>
        <w:pStyle w:val="DGTextstand-alone"/>
      </w:pPr>
      <w:r>
        <w:t xml:space="preserve">Основната част от приходите идват от собствени ресурси, които се състоят от следните категории: </w:t>
      </w:r>
    </w:p>
    <w:p>
      <w:pPr>
        <w:pStyle w:val="DGTextstand-alone"/>
        <w:tabs>
          <w:tab w:val="left" w:pos="709"/>
        </w:tabs>
      </w:pPr>
      <w:r>
        <w:t>(1)</w:t>
      </w:r>
      <w:r>
        <w:tab/>
        <w:t>Традиционни собствени ресурси (ТСР): обикновено представляват приблизително 15 % от приходите от собствени ресурси.</w:t>
      </w:r>
    </w:p>
    <w:p>
      <w:pPr>
        <w:pStyle w:val="DGTextstand-alone"/>
        <w:ind w:left="709" w:hanging="709"/>
      </w:pPr>
      <w:r>
        <w:t>(2)</w:t>
      </w:r>
      <w:r>
        <w:tab/>
        <w:t>Ресурс на база данъка върху добавената стойност (ДДС): обикновено представлява приблизително 13 % от приходите от собствени ресурси.</w:t>
      </w:r>
    </w:p>
    <w:p>
      <w:pPr>
        <w:pStyle w:val="DGTextstand-alone"/>
        <w:ind w:left="709" w:hanging="709"/>
      </w:pPr>
      <w:r>
        <w:t>(3)</w:t>
      </w:r>
      <w:r>
        <w:tab/>
        <w:t>Ресурс на база брутния национален доход (БНД): обикновено представлява приблизително 72 % от приходите от собствени ресурси.</w:t>
      </w:r>
    </w:p>
    <w:p>
      <w:pPr>
        <w:pStyle w:val="DGTextstand-alone"/>
      </w:pPr>
      <w:r>
        <w:t>Разпределянето на собствените ресурси се извършва в съответствие с правилата, залегнали в Решение 2014/335/ЕС, Евратом на Съвета от 26 май 2014 г. относно системата на собствените ресурси на ЕС (РСР 2014). Това решение влезе в сила на 1 октомври 2016 г. и се прилага със задна дата от 1 януари 2014 г. Последиците за 2014 г. и 2015 г. са взети под внимание през 2016 бюджетна година.</w:t>
      </w:r>
    </w:p>
    <w:p>
      <w:pPr>
        <w:pStyle w:val="DGTextstand-alone"/>
      </w:pPr>
      <w:r>
        <w:t>Общият размер на собствените ресурси, предоставени на Съюза за покриване на годишните бюджетни кредити за плащания, не може да превишава 1,20 % от сумата от БНД на всички държави членки.</w:t>
      </w:r>
    </w:p>
    <w:p>
      <w:pPr>
        <w:pStyle w:val="HEADER3PartBUGD"/>
        <w:rPr>
          <w:noProof/>
        </w:rPr>
      </w:pPr>
      <w:r>
        <w:rPr>
          <w:noProof/>
        </w:rPr>
        <w:t>Традиционни собствени ресурси (ТСР)</w:t>
      </w:r>
    </w:p>
    <w:p>
      <w:pPr>
        <w:pStyle w:val="DGTextstand-alone"/>
      </w:pPr>
      <w:r>
        <w:t>Традиционните собствени ресурси (ТСР) се състоят от мита (събирани при внос от трети държави) и налози върху захарта (плащани от производителите на захар за финансиране на разходите за общата организация на пазара в сектора на захарта), които се плащат от икономическите оператори и които държавите членки събират от името на ЕС. Държавите членки задържат обаче 20 % като компенсация за разходите си по събирането. Всички установени суми традиционни собствени ресурси трябва да бъдат записани в една или друга от сметките, водени от компетентните органи:</w:t>
      </w:r>
    </w:p>
    <w:p>
      <w:pPr>
        <w:pStyle w:val="Textstand-aloneBulletpoint"/>
        <w:jc w:val="both"/>
        <w:rPr>
          <w:noProof/>
        </w:rPr>
      </w:pPr>
      <w:r>
        <w:rPr>
          <w:noProof/>
        </w:rPr>
        <w:t>В обикновените сметки, предвидени в член 6, параграф 3 от Регламент № 609/2014: всички събрани или обезпечени суми.</w:t>
      </w:r>
    </w:p>
    <w:p>
      <w:pPr>
        <w:pStyle w:val="Textstand-aloneBulletpoint"/>
        <w:jc w:val="both"/>
        <w:rPr>
          <w:noProof/>
        </w:rPr>
      </w:pPr>
      <w:r>
        <w:rPr>
          <w:noProof/>
        </w:rPr>
        <w:t>В отделните сметки, също предвидени в горепосочения член: всички суми, които все още не са събрани и/или не са обезпечени; сумите, които са обезпечени, но са оспорени, също могат да бъдат записани в тази сметка.</w:t>
      </w:r>
    </w:p>
    <w:p>
      <w:pPr>
        <w:pStyle w:val="DGTextstand-alone"/>
      </w:pPr>
      <w:r>
        <w:t>Традиционните собствени ресурси трябва да бъдат записани от държавата членка в сметката на Комисията към министерството на финансите или националната централна банка най-късно на първия работен ден след 19-ия ден на втория месец след месеца, през който вземането е било установено (или в случая на отделната сметка — събрано).</w:t>
      </w:r>
    </w:p>
    <w:p>
      <w:pPr>
        <w:pStyle w:val="HEADER3PartBUGD"/>
        <w:rPr>
          <w:noProof/>
        </w:rPr>
      </w:pPr>
      <w:r>
        <w:rPr>
          <w:noProof/>
        </w:rPr>
        <w:t>Данък върху добавената стойност (ДДС)</w:t>
      </w:r>
    </w:p>
    <w:p>
      <w:pPr>
        <w:pStyle w:val="DGTextstand-alone"/>
      </w:pPr>
      <w:r>
        <w:t>Данъкът върху добавената стойност (ДДС) се събира от базите за ДДС на държавите членки, които се хармонизират за тази цел в съответствие с разпоредбите на ЕС. Базата за ДДС обаче е ограничена до 50 % от БНД на всяка държава членка. Унифицираната ставка за ДДС, която се прилага, е фиксирана на 0,30 %, освен за периода 2014—2020 г., през който изискуемата ставка за Германия, Нидерландия и Швеция беше 0,15 %.</w:t>
      </w:r>
    </w:p>
    <w:p>
      <w:pPr>
        <w:pStyle w:val="HEADER3PartBUGD"/>
        <w:rPr>
          <w:noProof/>
        </w:rPr>
      </w:pPr>
      <w:r>
        <w:rPr>
          <w:noProof/>
        </w:rPr>
        <w:t>Брутен национален доход (БНД)</w:t>
      </w:r>
    </w:p>
    <w:p>
      <w:pPr>
        <w:pStyle w:val="DGTextstand-alone"/>
      </w:pPr>
      <w:r>
        <w:t>Ресурсът на база брутен национален доход (БНД) се използва за финансиране на тази част от бюджета, която не е покрита от никакви други източници на приходи. Спрямо БНД на всяка държава членка се прилага един и същ процент, който се определя в съответствие с разпоредбите на ЕС.</w:t>
      </w:r>
    </w:p>
    <w:p>
      <w:pPr>
        <w:pStyle w:val="DGTextstand-alone"/>
      </w:pPr>
      <w:r>
        <w:t>Ресурсите на база ДДС и БНД се определят въз основа на прогнози за съответните бази, направени при изготвянето на проектобюджета. Тези прогнози впоследствие се преразглеждат и актуализират през въпросната бюджетна година посредством коригиращ бюджет. Комисията изисква от държавите членки за първия работен ден на месец юни на втората година, следваща въпросната бюджетна година, разликите, били те положителни или отрицателни, между дължимите от държавите членки суми въз основа на реалните бази и реално платените суми въз основа на (преразгледаните) прогнози.</w:t>
      </w:r>
      <w:r>
        <w:rPr>
          <w:rFonts w:ascii="Book Antiqua" w:hAnsi="Book Antiqua"/>
          <w:sz w:val="16"/>
        </w:rPr>
        <w:t xml:space="preserve"> </w:t>
      </w:r>
      <w:r>
        <w:t>Реалните бази за ДДС и за БНД могат да се коригират през следващите четири години, освен ако не бъде изразена резерва. Тези резерви трябва да бъдат разглеждани като потенциални искания към държавите членки за неопределени суми, тъй като финансовото им отражение не може да бъде оценено с точност. Когато е възможно да бъде определен точният размер, съответните ресурси на база ДДС и БНД се изискват или във връзка с процедурата за салдата по ДДС и по БНД, или посредством индивидуални покани за внасяне на средства.</w:t>
      </w:r>
    </w:p>
    <w:p>
      <w:pPr>
        <w:pStyle w:val="HEADER3PartBUGD"/>
        <w:rPr>
          <w:noProof/>
        </w:rPr>
      </w:pPr>
      <w:r>
        <w:rPr>
          <w:noProof/>
        </w:rPr>
        <w:t>Корекция за Обединеното кралство</w:t>
      </w:r>
    </w:p>
    <w:p>
      <w:pPr>
        <w:pStyle w:val="DGTextstand-alone"/>
      </w:pPr>
      <w:r>
        <w:t>Европейският съвет във Фонтенбло (юни 1984 г.) въведе механизъм за корекция на бюджетните дисбаланси в полза на Обединеното кралство (намаляване на плащанията на собствени ресурси на тази държава, като същевременно се увеличават плащанията на другите държави членки). Германия, Австрия, Швеция и Нидерландия се ползват от намалено финансиране на корекцията за Обединеното кралство (ограничено до една четвърт от обичайната им сума).</w:t>
      </w:r>
    </w:p>
    <w:p>
      <w:pPr>
        <w:pStyle w:val="HEADER3PartBUGD"/>
        <w:rPr>
          <w:noProof/>
        </w:rPr>
      </w:pPr>
      <w:r>
        <w:rPr>
          <w:noProof/>
        </w:rPr>
        <w:t>Брутно намаление</w:t>
      </w:r>
    </w:p>
    <w:p>
      <w:pPr>
        <w:pStyle w:val="DGTextstand-alone"/>
        <w:spacing w:after="0"/>
      </w:pPr>
      <w:r>
        <w:rPr>
          <w:color w:val="000000" w:themeColor="text1"/>
        </w:rPr>
        <w:t>На заседанието на Европейския съвет от 7 и 8 февруари 2013 г. бе заключено, че Дания, Нидерландия и Швеция следва да се ползват от брутни намаления на годишните си вноски на база БНД за периода 2014—2020 г. и че Австрия следва да се ползва от брутни намаления само за периода 2014—2016 г. Годишните намаления са, както следва: за Дания 130 милиона евро, за Нидерландия 695 милиона евро и за Швеция 185 милиона евро.</w:t>
      </w:r>
    </w:p>
    <w:p>
      <w:pPr>
        <w:rPr>
          <w:rFonts w:ascii="Verdana" w:eastAsia="Calibri" w:hAnsi="Verdana"/>
          <w:b/>
          <w:noProof/>
          <w:color w:val="016794"/>
          <w:sz w:val="28"/>
        </w:rPr>
      </w:pPr>
      <w:bookmarkStart w:id="292" w:name="_Toc517434328"/>
      <w:r>
        <w:rPr>
          <w:noProof/>
        </w:rPr>
        <w:br w:type="page"/>
      </w:r>
    </w:p>
    <w:p>
      <w:pPr>
        <w:pStyle w:val="HEADER2PartBUDG"/>
        <w:rPr>
          <w:noProof/>
        </w:rPr>
      </w:pPr>
      <w:bookmarkStart w:id="293" w:name="_Toc522890491"/>
      <w:r>
        <w:rPr>
          <w:noProof/>
        </w:rPr>
        <w:t>ИЗЧИСЛЕНИЕ НА БЮДЖЕТНИЯ РЕЗУЛТАТ</w:t>
      </w:r>
      <w:bookmarkEnd w:id="292"/>
      <w:bookmarkEnd w:id="293"/>
    </w:p>
    <w:p>
      <w:pPr>
        <w:pStyle w:val="DGTextstand-alone"/>
      </w:pPr>
      <w:r>
        <w:t>Бюджетният резултат на ЕС се връща на държавите членки през следващата година чрез приспадането му от дължимите от тях суми за тази година.</w:t>
      </w:r>
    </w:p>
    <w:p>
      <w:pPr>
        <w:pStyle w:val="DGTextstand-alone"/>
      </w:pPr>
      <w:r>
        <w:t>Сумите собствени ресурси, записани в отчетите, са сумите, кредитирани в течение на годината в сметките, открити на името на Комисията от правителствата на държавите членки. Приходите включват също, в случай на излишък, бюджетния резултат за предходната финансова година. Другите приходи, записани в отчетите, са действително получената в хода на годината сума.</w:t>
      </w:r>
    </w:p>
    <w:p>
      <w:pPr>
        <w:pStyle w:val="DGTextstand-alone"/>
      </w:pPr>
      <w:r>
        <w:t>За целите на изчисляването на бюджетния резултат за годината разходите се състоят от плащанията, направени спрямо бюджетните кредити за годината, плюс всички бюджетни кредити за тази година, които са пренесени за следващата година. Под плащания, извършени спрямо бюджетните кредити за годината, се разбира плащанията, които са извършени от счетоводителя до 31 декември на финансовата година. Що се отнася до ЕФГЗ, плащанията са тези плащания, които са извършени от държавите членки между 16 октомври на година N-1 и 15 октомври на година N, при условие че счетоводителят е бил уведомен за поетото задължение и за разрешението до 31 януари на година N+1. Разходите по ЕФГЗ могат да бъдат предмет на решение за съответствие след провеждането на проверки в държавите членки.</w:t>
      </w:r>
    </w:p>
    <w:p>
      <w:pPr>
        <w:pStyle w:val="DGTextstand-alone"/>
      </w:pPr>
      <w:r>
        <w:t>Бюджетният резултат се състои от два елемента: резултата на ЕС и резултата от участието на страните от ЕАСТ, които са част от Европейското икономическо пространство (ЕИП). В съответствие с член 1, параграф 1 от Регламент № 608/2014 за определяне на мерки за прилагане на системата на собствените ресурси този резултат представлява разликата между:</w:t>
      </w:r>
    </w:p>
    <w:p>
      <w:pPr>
        <w:pStyle w:val="Textstand-aloneBulletpoint"/>
        <w:spacing w:after="120"/>
        <w:jc w:val="both"/>
        <w:rPr>
          <w:noProof/>
        </w:rPr>
      </w:pPr>
      <w:r>
        <w:rPr>
          <w:noProof/>
        </w:rPr>
        <w:t>общия размер на приходите, получени за финансовата година; и</w:t>
      </w:r>
    </w:p>
    <w:p>
      <w:pPr>
        <w:pStyle w:val="Textstand-aloneBulletpoint"/>
        <w:numPr>
          <w:ilvl w:val="0"/>
          <w:numId w:val="0"/>
        </w:numPr>
        <w:spacing w:after="120"/>
        <w:ind w:left="1080"/>
        <w:jc w:val="both"/>
        <w:rPr>
          <w:noProof/>
        </w:rPr>
      </w:pPr>
    </w:p>
    <w:p>
      <w:pPr>
        <w:pStyle w:val="Textstand-aloneBulletpoint"/>
        <w:jc w:val="both"/>
        <w:rPr>
          <w:noProof/>
        </w:rPr>
      </w:pPr>
      <w:r>
        <w:rPr>
          <w:noProof/>
        </w:rPr>
        <w:t>общия размер на плащанията, извършени спрямо бюджетните кредити за текущата година, плюс общия размер на бюджетните кредити за тази година, пренесени за следващата година.</w:t>
      </w:r>
    </w:p>
    <w:p>
      <w:pPr>
        <w:pStyle w:val="DGTextstand-alone"/>
      </w:pPr>
      <w:r>
        <w:t>Към така получената цифра се добавя или от нея се приспада следното:</w:t>
      </w:r>
    </w:p>
    <w:p>
      <w:pPr>
        <w:pStyle w:val="Textstand-aloneBulletpoint"/>
        <w:jc w:val="both"/>
        <w:rPr>
          <w:noProof/>
        </w:rPr>
      </w:pPr>
      <w:r>
        <w:rPr>
          <w:noProof/>
        </w:rPr>
        <w:t xml:space="preserve">нетното салдо на отменените бюджетни кредити за плащания, пренесени от предходни години, и всички плащания, които поради колебанията на курса на еврото надвишават едногодишните бюджетни кредити, пренесени от предходната година; </w:t>
      </w:r>
    </w:p>
    <w:p>
      <w:pPr>
        <w:pStyle w:val="Textstand-aloneBulletpoint"/>
        <w:numPr>
          <w:ilvl w:val="0"/>
          <w:numId w:val="0"/>
        </w:numPr>
        <w:ind w:left="1080"/>
        <w:jc w:val="both"/>
        <w:rPr>
          <w:noProof/>
        </w:rPr>
      </w:pPr>
    </w:p>
    <w:p>
      <w:pPr>
        <w:pStyle w:val="Textstand-aloneBulletpoint"/>
        <w:jc w:val="both"/>
        <w:rPr>
          <w:noProof/>
        </w:rPr>
      </w:pPr>
      <w:r>
        <w:rPr>
          <w:noProof/>
        </w:rPr>
        <w:t>промяната на целевите приходи; и</w:t>
      </w:r>
    </w:p>
    <w:p>
      <w:pPr>
        <w:pStyle w:val="Textstand-aloneBulletpoint"/>
        <w:numPr>
          <w:ilvl w:val="0"/>
          <w:numId w:val="0"/>
        </w:numPr>
        <w:ind w:left="1080"/>
        <w:jc w:val="both"/>
        <w:rPr>
          <w:noProof/>
        </w:rPr>
      </w:pPr>
    </w:p>
    <w:p>
      <w:pPr>
        <w:pStyle w:val="Textstand-aloneBulletpoint"/>
        <w:jc w:val="both"/>
        <w:rPr>
          <w:noProof/>
        </w:rPr>
      </w:pPr>
      <w:r>
        <w:rPr>
          <w:noProof/>
        </w:rPr>
        <w:t>нетните печалби или загуби от валутния курс, записани през годината.</w:t>
      </w:r>
    </w:p>
    <w:p>
      <w:pPr>
        <w:pStyle w:val="DGTextstand-alone"/>
      </w:pPr>
      <w:r>
        <w:t>Бюджетните кредити, пренесени от предходната финансова година, във връзка с вноските от трети страни и работата за трети страни, които по дефиниция никога не губят сила, се включват като допълнителни бюджетни кредити за финансовата година. Това обяснява разликата между пренесените от предходната година суми в докладите за изпълнението на бюджета за година N и сумите, пренесени за следващата година, в докладите за изпълнението на бюджета за година N-1. При изчисляването на бюджетния резултат не се вземат предвид бюджетните кредити, отново предоставени след възстановяването на предплати.</w:t>
      </w:r>
    </w:p>
    <w:p>
      <w:pPr>
        <w:pStyle w:val="DGTextstand-alone"/>
      </w:pPr>
      <w:r>
        <w:t>Пренесените бюджетни кредити за плащания включват: автоматично пренесени суми и суми, пренесени с решение. Отмяната на неизползвани бюджетни кредити за плащания, пренесени от предходната година, показва отмените на бюджетни кредити, пренесени автоматично и с решение.</w:t>
      </w:r>
    </w:p>
    <w:p>
      <w:pPr>
        <w:pStyle w:val="DGTextstand-alone"/>
        <w:sectPr>
          <w:headerReference w:type="even" r:id="rId432"/>
          <w:headerReference w:type="default" r:id="rId433"/>
          <w:footerReference w:type="even" r:id="rId434"/>
          <w:footerReference w:type="default" r:id="rId435"/>
          <w:headerReference w:type="first" r:id="rId436"/>
          <w:footerReference w:type="first" r:id="rId437"/>
          <w:pgSz w:w="11907" w:h="16840" w:code="9"/>
          <w:pgMar w:top="1134" w:right="1134" w:bottom="1134" w:left="1134" w:header="709" w:footer="709" w:gutter="0"/>
          <w:cols w:space="708"/>
          <w:docGrid w:linePitch="360"/>
        </w:sectPr>
      </w:pPr>
      <w:r>
        <w:t xml:space="preserve"> </w:t>
      </w:r>
      <w:bookmarkEnd w:id="291"/>
    </w:p>
    <w:p>
      <w:pPr>
        <w:pStyle w:val="HEADER2PartBUDG"/>
        <w:ind w:left="709" w:hanging="709"/>
        <w:rPr>
          <w:noProof/>
        </w:rPr>
      </w:pPr>
      <w:bookmarkStart w:id="294" w:name="_Toc517434329"/>
      <w:bookmarkStart w:id="295" w:name="_Toc522890492"/>
      <w:bookmarkStart w:id="296" w:name="_DMBM_11447"/>
      <w:r>
        <w:rPr>
          <w:noProof/>
        </w:rPr>
        <w:t>РАВНЕНИЕ НА ФИНАНСОВИЯ РЕЗУЛТАТ С БЮДЖЕТНИЯ РЕЗУЛТАТ</w:t>
      </w:r>
      <w:bookmarkEnd w:id="294"/>
      <w:bookmarkEnd w:id="295"/>
      <w:r>
        <w:rPr>
          <w:noProof/>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97" w:name="DOC_TBL00097_1_1"/>
            <w:bookmarkEnd w:id="29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ФИНАНСОВ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8 082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Приходи</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Вземания, установени през текущата година, но все още несъбрани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(1 969)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Вземания, установени през предходни години и събрани през текущата година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10 739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3 363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Начислени приходи (нетни)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611</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Разходи</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Начислени разходи (нетни)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3 725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10 678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Разходи от предходната година, платени през текущата година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(7 656)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Нетен ефект от предварителното финансиране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(12 059)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Бюджетни кредити за плащания, пренесени за следващата година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(3 102)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Плащания, извършени с пренесени суми, и отмяна на неизползвани бюджетни кредити за плащания</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1 784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1 379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Движение на провизиите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6 752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3 962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Други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(2 142)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Финансов резултат на агенциите и ЕОВС</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БЮДЖЕТЕН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6 405</w:t>
            </w:r>
          </w:p>
        </w:tc>
      </w:tr>
    </w:tbl>
    <w:p>
      <w:pPr>
        <w:pStyle w:val="DGTextstand-alone"/>
      </w:pPr>
      <w:r>
        <w:t xml:space="preserve">В съответствие с Финансовия регламент финансовият резултат за годината се изчислява въз основа на принципите на счетоводната отчетност на базата на текущо начисляване, а бюджетният резултат се основава на модифицирани правила за касова отчетност. Тъй като финансовият и бюджетният резултат обхващат едни и същи операции, гарантирането на тяхната равняемост представлява полезна проверка. </w:t>
      </w:r>
    </w:p>
    <w:p>
      <w:pPr>
        <w:pStyle w:val="HEADER5"/>
        <w:rPr>
          <w:noProof/>
        </w:rPr>
      </w:pPr>
      <w:r>
        <w:rPr>
          <w:noProof/>
        </w:rPr>
        <w:t>Равняване на позиции — Приходи</w:t>
      </w:r>
    </w:p>
    <w:p>
      <w:pPr>
        <w:pStyle w:val="DGTextstand-alone"/>
        <w:rPr>
          <w:color w:val="000000"/>
        </w:rPr>
      </w:pPr>
      <w:r>
        <w:rPr>
          <w:color w:val="000000"/>
        </w:rPr>
        <w:t xml:space="preserve">Реалните бюджетни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 Поради това вземанията, установени през текущата година, но все още несъбрани, трябва да бъдат приспаднати от финансовия резултат за целите на равняването, тъй като не представляват част от бюджетните приходи. Обратно, вземанията, установени през предходни години и събрани през текущата година, трябва да бъдат добавени към финансовия резултат за целите на равняването. </w:t>
      </w:r>
    </w:p>
    <w:p>
      <w:pPr>
        <w:pStyle w:val="DGTextstand-alone"/>
        <w:rPr>
          <w:color w:val="000000"/>
        </w:rPr>
      </w:pPr>
      <w:r>
        <w:rPr>
          <w:color w:val="000000"/>
        </w:rPr>
        <w:t xml:space="preserve">Начислените приходи се състоят предимно от начислените приходи за селското стопанство, собствени ресурси, лихви и дивиденти. Взема се под внимание само нетният ефект, т.е. начислените приходи за текущата година минус сторнираните начислени приходи от предходната година. </w:t>
      </w:r>
    </w:p>
    <w:p>
      <w:pPr>
        <w:pStyle w:val="HEADER5"/>
        <w:rPr>
          <w:noProof/>
        </w:rPr>
      </w:pPr>
      <w:r>
        <w:rPr>
          <w:noProof/>
        </w:rPr>
        <w:t xml:space="preserve">Равняване на позиции — Разходи </w:t>
      </w:r>
    </w:p>
    <w:p>
      <w:pPr>
        <w:pStyle w:val="DGTextstand-alone"/>
        <w:rPr>
          <w:color w:val="000000"/>
        </w:rPr>
      </w:pPr>
      <w:r>
        <w:rPr>
          <w:color w:val="000000"/>
        </w:rPr>
        <w:t>Начислените разходи се състоят предимно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ЕС, но за които все още не е съобщено на Комисията. Взема се под внимание само нетният ефект, т.е. начислените разходи за текущата година минус сторнираните начислени разходи от предходната година. Плащанията, извършени през текущата година и свързани с фактури, регистрирани през предходни години, са част от бюджетните разходи за текущата година, поради което трябва да бъдат добавени към финансовия резултат за целите на равняването.</w:t>
      </w:r>
    </w:p>
    <w:p>
      <w:pPr>
        <w:pStyle w:val="DGTextstand-alone"/>
        <w:rPr>
          <w:color w:val="000000"/>
        </w:rPr>
      </w:pPr>
      <w:r>
        <w:rPr>
          <w:color w:val="000000"/>
        </w:rPr>
        <w:t xml:space="preserve">Нетният ефект от предварителното финансиране е комбинация от 1) новите суми по предварително финансиране, платени през текущата година и признати като бюджетни разходи за годината, и 2) изчистването на предварителното финансиране чрез допустимите разходи, приети през текущата година.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 </w:t>
      </w:r>
    </w:p>
    <w:p>
      <w:pPr>
        <w:pStyle w:val="DGTextstand-alone"/>
        <w:rPr>
          <w:color w:val="000000"/>
        </w:rPr>
      </w:pPr>
      <w:r>
        <w:rPr>
          <w:color w:val="000000"/>
        </w:rPr>
        <w:t>Както плащанията, извършени спрямо бюджетните кредити за годината, бюджетните кредити за тази година, които са пренесени за следващата година, също трябва да бъдат взети предвид при изчисляването на бюджетния резултат за годината (в съответствие с член 1, параграф 1 от Регламент № 608/2014). Същото важи и за бюджетните плащания, извършени през текущата година от пренесени суми от предходни години, и за отменените неизползвани бюджетни кредити за плащания.</w:t>
      </w:r>
    </w:p>
    <w:p>
      <w:pPr>
        <w:pStyle w:val="DGTextstand-alone"/>
        <w:rPr>
          <w:color w:val="000000"/>
        </w:rPr>
      </w:pPr>
      <w:r>
        <w:rPr>
          <w:color w:val="000000"/>
        </w:rPr>
        <w:t>Движението на провизиите е свързано с приблизителните оценки в края на годината, направени във финансовите отчети (основно на доходите на наети лица), които нямат отражение върху бюджетните сметки. Други равняващи се суми включват различни елементи, като амортизацията/обезценката на активи, придобиването на активи, плащанията по финансов лизинг и финансовите участия, за които бюджетното третиране и счетоводното отчитане на базата на текущо начисляване се различават.</w:t>
      </w:r>
    </w:p>
    <w:p>
      <w:pPr>
        <w:pStyle w:val="DGTextstand-alone"/>
      </w:pPr>
    </w:p>
    <w:p>
      <w:pPr>
        <w:pStyle w:val="HEADER1PartBUDG"/>
        <w:jc w:val="left"/>
        <w:rPr>
          <w:noProof/>
        </w:rPr>
      </w:pPr>
      <w:bookmarkStart w:id="298" w:name="_Toc517434330"/>
      <w:bookmarkStart w:id="299" w:name="_Toc522890493"/>
      <w:bookmarkStart w:id="300" w:name="_DMBM_11441"/>
      <w:bookmarkEnd w:id="296"/>
      <w:r>
        <w:rPr>
          <w:noProof/>
        </w:rPr>
        <w:t>ИЗПЪЛНЕНИЕ НА БЮДЖЕТА НА ЕС ЗА 2017 Г. — КОМЕНТАР</w:t>
      </w:r>
      <w:bookmarkEnd w:id="298"/>
      <w:bookmarkEnd w:id="299"/>
    </w:p>
    <w:p>
      <w:pPr>
        <w:pStyle w:val="HEADER2PartBUDG"/>
        <w:rPr>
          <w:noProof/>
        </w:rPr>
      </w:pPr>
      <w:bookmarkStart w:id="301" w:name="_Toc517434331"/>
      <w:bookmarkStart w:id="302" w:name="_Toc522890494"/>
      <w:r>
        <w:rPr>
          <w:noProof/>
        </w:rPr>
        <w:t>ПРИХОДИ</w:t>
      </w:r>
      <w:bookmarkEnd w:id="301"/>
      <w:bookmarkEnd w:id="302"/>
    </w:p>
    <w:p>
      <w:pPr>
        <w:pStyle w:val="DGTextstand-alone"/>
        <w:rPr>
          <w:b/>
        </w:rPr>
      </w:pPr>
      <w:r>
        <w:t>В първоначално приетия бюджет на ЕС, подписан от председателя на Европейския парламент на 1 декември 2016 г., размерът на бюджетните кредити за плащания бе 134 490 милиона евро, а сумата, която трябва да се финансира със собствени ресурси, възлизаше на 131 718 милиона евро. Прогнозите за приходите и за разходите в първоначалния бюджет по принцип се коригират през бюджетната година, като тези корекции се представят в коригиращи бюджети. Корекциите на собствените ресурси на база БНД гарантират, че записаните в бюджета приходи съответстват точно на записаните в бюджета разходи. В съответствие с принципа на балансираност бюджетните приходи и разходи (бюджетните кредити за плащания) трябва да са балансирани.</w:t>
      </w:r>
    </w:p>
    <w:p>
      <w:pPr>
        <w:pStyle w:val="DGTextstand-alone"/>
        <w:rPr>
          <w:b/>
        </w:rPr>
      </w:pPr>
      <w:r>
        <w:rPr>
          <w:color w:val="000000" w:themeColor="text1"/>
        </w:rPr>
        <w:t>През 2017 г. бяха приети шест коригиращи бюджета. След вземането им под внимание окончателният размер на приетите приходи за 2017 г. възлезе на 126 771 милиона евро. Излишъкът от предходната финансова година, значителното намаление на бюджетните кредити за плащания, значителните събрани глоби и другите вноски намалиха изравнителната вноска БНД на държавите членки през 2017 г. (115 484 милиона евро).</w:t>
      </w:r>
    </w:p>
    <w:p>
      <w:pPr>
        <w:pStyle w:val="DGTextstand-alone"/>
        <w:rPr>
          <w:b/>
        </w:rPr>
      </w:pPr>
      <w:r>
        <w:t>Що се отнася до резултата за собствените ресурси, събраните традиционни собствени ресурси бяха много близки до прогнозираните суми. Това се дължи предимно на факта, че бюджетните прогнози бяха променени в момента на изготвяне на коригиращ бюджет № 6/2017 (в съответствие с новите прогнози от пролетта на 2017 г.).</w:t>
      </w:r>
    </w:p>
    <w:p>
      <w:pPr>
        <w:pStyle w:val="DGTextstand-alone"/>
        <w:rPr>
          <w:b/>
        </w:rPr>
      </w:pPr>
      <w:r>
        <w:t>Окончателните плащания на базата на ДДС и на БНД на държавите членки също са близки до окончателната бюджетна прогноза. Разликите между прогнозираните суми и реално платените суми се дължат на разликите между курсовете на еврото, използвани за бюджетни цели, и курсовете в сила в момента, в който държавите членки, които не са част от ИПС, реално са извършили своите плащания.</w:t>
      </w:r>
    </w:p>
    <w:p>
      <w:pPr>
        <w:pStyle w:val="DGTextstand-alone"/>
        <w:rPr>
          <w:b/>
        </w:rPr>
      </w:pPr>
      <w:r>
        <w:t xml:space="preserve">Що се отнася до салдата по ДДС и по БНД, въведена е нова процедура. Правилата са посочени в член 10б от Регламента за предоставянето (Регламент № 609/2014). Новата процедура не води до изготвянето на коригиращ бюджет, поради което Комисията отправя директно искане до държавите членки да платят нетните суми. Въздействието върху бюджета на ЕС бе почти нулево поради новата система за изчисляване на нетния резултат. </w:t>
      </w:r>
    </w:p>
    <w:p>
      <w:pPr>
        <w:pStyle w:val="DGTextstand-alone"/>
        <w:rPr>
          <w:b/>
        </w:rPr>
      </w:pPr>
      <w:r>
        <w:rPr>
          <w:color w:val="000000" w:themeColor="text1"/>
        </w:rPr>
        <w:t xml:space="preserve">Позицията „Вноски и възстановени средства във връзка със споразумения и програми на ЕС“ се отнася предимно до приходи от финансови корекции (ЕСИФ, ЕФГЗ и ЕЗФРСР), участието на трети държави в научноизследователски програми и други вноски и възстановени средства в полза на програми и дейности на ЕС. Значителна част от тази обща сума представлява заделени приходи, които по принцип водят до записването на допълнителни бюджетни кредити в разходната част на бюджета. </w:t>
      </w:r>
      <w:r>
        <w:t>През 2017 г. тези вноски и възстановени средства произхождаха предимно от върнати суми по линия на структурните фондове (6,7 милиарда евро), уравняването на сметките в областта на земеделските фондове (1,9 милиарда евро), финансовия принос на държавите членки или трети страни за специфични споразумения (1,6 милиарда евро) и финансовия принос в полза на програми на ЕС (1 милиард евро).</w:t>
      </w:r>
    </w:p>
    <w:p>
      <w:pPr>
        <w:pStyle w:val="DGTextstand-alone"/>
      </w:pPr>
      <w:r>
        <w:t>Приходите от глоби са свързани предимно с глобите в областта на конкуренцията.</w:t>
      </w:r>
    </w:p>
    <w:p>
      <w:pPr>
        <w:pStyle w:val="HEADER2PartBUDG"/>
        <w:rPr>
          <w:noProof/>
        </w:rPr>
      </w:pPr>
      <w:bookmarkStart w:id="303" w:name="_Toc517434332"/>
      <w:bookmarkStart w:id="304" w:name="_Toc522890495"/>
      <w:r>
        <w:rPr>
          <w:noProof/>
        </w:rPr>
        <w:t>РАЗХОДИ</w:t>
      </w:r>
      <w:bookmarkEnd w:id="303"/>
      <w:bookmarkEnd w:id="304"/>
      <w:r>
        <w:rPr>
          <w:noProof/>
        </w:rPr>
        <w:t xml:space="preserve"> </w:t>
      </w:r>
    </w:p>
    <w:p>
      <w:pPr>
        <w:pStyle w:val="DGTextstand-alone"/>
        <w:rPr>
          <w:b/>
        </w:rPr>
      </w:pPr>
      <w:r>
        <w:t xml:space="preserve">Бюджетът за 2017 г. имаше за цел да постигне точен баланс между изпълнението на текущите програми и преодоляването на по-новите предизвикателства. Поради това той се основа на задълженията, поети през предходните години, и се възползва от съществуващите възможности за гъвкавост, за да отговори на предизвикателствата в съответствие с многогодишната финансова рамка (МФР) за периода 2014—2020 г. </w:t>
      </w:r>
    </w:p>
    <w:p>
      <w:pPr>
        <w:pStyle w:val="DGTextstand-alone"/>
      </w:pPr>
      <w:r>
        <w:t>В съответствие с годишното изменение, предвидено в МФР, бюджетните кредити, предложени в проектобюджета, бяха определени на 157,7 милиарда евро (с 1,7 % повече в сравнение с бюджета за 2016 г.) поети задължения и 134,9 милиарда евро (-6,2 %) плащания, което отговаря съответно на 1,05 % и 0,90 % от БНД на ЕС. Увеличението на бюджетните кредити за поети задължения бе 4,8 % след неутрализирането на въздействието на препрограмирането на годишния транш за 2014 г. за Европейския земеделски фонд за развитие на селските райони, фонд „Убежище, миграция и интеграция“ и фонд „Вътрешна сигурност“. Значителното намаление на общия размер на плащанията отразява по същество приключването на изпълнението на програмите по МФР за периода 2007—2013 г. и бавното изпълнение на новото поколение програми в някои области на политиката.</w:t>
      </w:r>
    </w:p>
    <w:p>
      <w:pPr>
        <w:pStyle w:val="DGTextstand-alone"/>
        <w:rPr>
          <w:rFonts w:eastAsiaTheme="minorHAnsi"/>
          <w:color w:val="000000"/>
        </w:rPr>
      </w:pPr>
      <w:r>
        <w:t>През годината бюджетните кредити за поети задължения бяха увеличени с 500 милиона евро чрез коригиращ бюджет 3/2017 за Инициативата за младежка заетост (ИМЗ) и чрез коригиращ бюджет 5/2017 с цел предоставяне първоначално на 275 милиона евро за Гаранционния фонд на ЕФУР.</w:t>
      </w:r>
    </w:p>
    <w:p>
      <w:pPr>
        <w:pStyle w:val="DGTextstand-alone"/>
        <w:spacing w:after="120"/>
      </w:pPr>
      <w:r>
        <w:t>След трудната ситуация през 2016 г. — година, през която бюджетните кредити за плащания надвишаваха нуждите и която приключи с голям излишък — Комисията първоначално отбеляза също толкова бавна промяна в заявленията за плащания през 2017 г. и предприе действия за коригиране на бюджета по съответния начин. Поради това с проект на коригиращ бюджет 6/2017, представен на 9 октомври 2017 г., бе предложено да се намали равнището на бюджетните кредити за плащания със 7,7 милиарда евро, от които 5,9 милиарда евро от бюджетните редове в рамките на подфункция 1б „Икономическо, социално и териториално сближаване“ и в по-малка степен от функция 2 „Устойчив растеж:</w:t>
      </w:r>
      <w:r>
        <w:rPr>
          <w:i/>
        </w:rPr>
        <w:t xml:space="preserve"> </w:t>
      </w:r>
      <w:r>
        <w:t xml:space="preserve">природни ресурси“, от функция 3 „Сигурност и гражданство“ и от функция 4 „Глобална Европа“, както и от фонд „Солидарност“ на Европейския съюз (ФСЕС). </w:t>
      </w:r>
    </w:p>
    <w:p>
      <w:pPr>
        <w:pStyle w:val="DGTextstand-alone"/>
        <w:spacing w:before="120" w:after="120"/>
        <w:rPr>
          <w:rFonts w:eastAsia="Times New Roman"/>
          <w:color w:val="016794"/>
        </w:rPr>
      </w:pPr>
      <w:r>
        <w:rPr>
          <w:color w:val="016794"/>
        </w:rPr>
        <w:t>Изпълнение за 2017 г. на наличните бюджетни кредити</w:t>
      </w:r>
    </w:p>
    <w:p>
      <w:pPr>
        <w:pStyle w:val="DGTextstand-alone"/>
        <w:spacing w:before="120"/>
      </w:pPr>
      <w:r>
        <w:t>Изпълнението за 2017 г. за всички видове бюджетни кредити (бюджет, преноси от 2017 г. и целеви приходи) бе 97 % за поетите задължения и 93,9 % за плащанията. Бюджетните кредити от бюджета бяха изпълнени изцяло през 2017 г. (98,35 % за плащанията), което е добро постижение, като се има предвид преобладаващата през 2016 г. и през по-голямата част от 2017 г. несигурност. Изпълнението нарасна на 99,9 % от бюджетните кредити за поети задължения и на 99,8 % от бюджетните кредити за плащания при допускане на пълно усвояване на сумите, пренесени за 2018 г.</w:t>
      </w:r>
    </w:p>
    <w:p>
      <w:pPr>
        <w:pStyle w:val="DGTextstand-alone"/>
      </w:pPr>
      <w:r>
        <w:t>За подфункция 1б „Икономическо, социално и териториално сближаване“ финансовото изпълнение на програмите за периода 2014—2020 г. напредна значително в сравнение с 2016 г., като бяха направени първите плащания за приключване на програмите за периода 2007—2013 г. Намалението на бюджетните кредити за плащания чрез коригиращ бюджет 6/2017 беше изцяло компенсирано чрез използването на целеви приходи от процедурата по уравняване на сметките и окончателният размер на разходите за плащания бе почти равен на първоначално предвидения бюджет.</w:t>
      </w:r>
    </w:p>
    <w:p>
      <w:pPr>
        <w:pStyle w:val="DGTextstand-alone"/>
        <w:spacing w:after="120"/>
      </w:pPr>
      <w:r>
        <w:t>Във функция 2 „Устойчив растеж:</w:t>
      </w:r>
      <w:r>
        <w:rPr>
          <w:i/>
        </w:rPr>
        <w:t xml:space="preserve"> </w:t>
      </w:r>
      <w:r>
        <w:t>природни ресурси“ финансовото изпълнение на новите програми по линия на ЕЗФРСР също нарасна в сравнение с 2016 г.</w:t>
      </w:r>
    </w:p>
    <w:p>
      <w:pPr>
        <w:pStyle w:val="DGTextstand-alone"/>
        <w:spacing w:before="120" w:after="120"/>
        <w:rPr>
          <w:rFonts w:eastAsia="Times New Roman"/>
          <w:color w:val="016794"/>
        </w:rPr>
      </w:pPr>
      <w:r>
        <w:rPr>
          <w:color w:val="016794"/>
        </w:rPr>
        <w:t>Неизпълнени поети задължения</w:t>
      </w:r>
    </w:p>
    <w:p>
      <w:pPr>
        <w:pStyle w:val="DGTextstand-alone"/>
        <w:spacing w:before="120"/>
      </w:pPr>
      <w:r>
        <w:t>Неизпълнените поети задължения (RAL, суми, за които е поето задължение, но които не са платени) възлизаха на 267 милиарда евро към края на 2017 г. Увеличението от над 28 милиарда евро в сравнение с края на 2016 г. е по-голямо от очакваното, тъй като разликата между поетите задължения и извършените плащания бе по-голяма от първоначално предвидената поради намалението на плащанията в коригиращ бюджет 6/2017. Увеличението на RAL представлява обаче нормално развитие, тъй като бюджетните кредити за поети задължения се увеличават всяка година, както е предвидено в многогодишната финансова рамка. През 2018 г. се очаква RAL да нараснат още поради разликата между предвидените в бюджета бюджетни кредити за поети задължения и бюджетни кредити за плащания. Това увеличение следва обаче да е значително по-ниско в сравнение с 2017 г. поради по-малката разлика между бюджетните кредити за поети задължения и бюджетните кредити за плащания в приетия бюджет за 2018 г. Освен това се очаква исканията за плащане в областта на подфункция 1б „Икономическо, социално и териториално сближаване“ да се увеличат поради прилагането на правилото за автоматична отмяна „n+3“.</w:t>
      </w:r>
    </w:p>
    <w:p>
      <w:pPr>
        <w:pStyle w:val="DGTextstand-alone"/>
      </w:pPr>
      <w:r>
        <w:t>По-подробен анализ на бюджетните корекции и на техния съответен контекст, обосновка и отражение е представен в доклада на Комисията за бюджетното и финансовото управление за 2017 г., част А, която прави преглед на бюджетно равнище, и част Б, която разглежда всяка функция от многогодишната финансова рамка.</w:t>
      </w:r>
    </w:p>
    <w:p>
      <w:pPr>
        <w:pStyle w:val="DGTextstand-alone"/>
        <w:spacing w:before="120" w:after="120"/>
        <w:rPr>
          <w:rFonts w:eastAsia="Times New Roman"/>
          <w:color w:val="016794"/>
        </w:rPr>
      </w:pPr>
      <w:r>
        <w:rPr>
          <w:color w:val="016794"/>
        </w:rPr>
        <w:t xml:space="preserve">Бюджетен резултат </w:t>
      </w:r>
    </w:p>
    <w:p>
      <w:pPr>
        <w:pStyle w:val="DGTextstand-alone"/>
        <w:spacing w:before="120"/>
      </w:pPr>
      <w:r>
        <w:t xml:space="preserve">Бюджетният резултат за 2017 г. беше рекордно нисък — 0,56 милиарда евро. Той произтича предимно от приходната част на бюджета, където приходите от вноски и възстановени средства бяха съществени през 2017 г. (12,2 милиарда евро), произхождайки от върнати суми по линия на структурните фондове (6,7 милиарда евро), уравняването на сметките в областта на земеделските фондове (1,9 милиарда евро), финансовия принос на държавите членки или трети страни за специфични споразумения (1,6 милиарда евро) и финансовия принос в полза на програми на ЕС (1 милиард евро). По отношение на бюджетните кредити за плащания бе постигнато пълно изпълнение (98,35 %), разрешено бе неизразходените суми да бъдат пренесени за 2018 г. и неизползваната сума е незначителна.  </w:t>
      </w:r>
    </w:p>
    <w:p>
      <w:pPr>
        <w:pStyle w:val="DGTextstand-alone"/>
        <w:spacing w:before="120"/>
        <w:sectPr>
          <w:headerReference w:type="even" r:id="rId438"/>
          <w:headerReference w:type="default" r:id="rId439"/>
          <w:footerReference w:type="even" r:id="rId440"/>
          <w:footerReference w:type="default" r:id="rId441"/>
          <w:headerReference w:type="first" r:id="rId442"/>
          <w:footerReference w:type="first" r:id="rId443"/>
          <w:pgSz w:w="11907" w:h="16840" w:code="9"/>
          <w:pgMar w:top="1134" w:right="1134" w:bottom="1134" w:left="1134" w:header="709" w:footer="709" w:gutter="0"/>
          <w:cols w:space="708"/>
          <w:docGrid w:linePitch="360"/>
        </w:sectPr>
      </w:pPr>
      <w:r>
        <w:t xml:space="preserve"> </w:t>
      </w:r>
      <w:bookmarkEnd w:id="300"/>
    </w:p>
    <w:p>
      <w:pPr>
        <w:pStyle w:val="HEADER1PartBUDG"/>
        <w:rPr>
          <w:noProof/>
        </w:rPr>
      </w:pPr>
      <w:bookmarkStart w:id="305" w:name="_Toc517434333"/>
      <w:bookmarkStart w:id="306" w:name="_Toc522890496"/>
      <w:bookmarkStart w:id="307" w:name="_DMBM_11453"/>
      <w:r>
        <w:rPr>
          <w:noProof/>
        </w:rPr>
        <w:t>ИЗПЪЛНЕНИЕ НА ПРИХОДИТЕ В БЮДЖЕТА НА ЕС</w:t>
      </w:r>
      <w:bookmarkEnd w:id="305"/>
      <w:bookmarkEnd w:id="306"/>
      <w:r>
        <w:rPr>
          <w:noProof/>
        </w:rPr>
        <w:t xml:space="preserve"> </w:t>
      </w:r>
    </w:p>
    <w:p>
      <w:pPr>
        <w:pStyle w:val="HEADER2PartBUDG"/>
        <w:rPr>
          <w:noProof/>
        </w:rPr>
      </w:pPr>
      <w:bookmarkStart w:id="308" w:name="_Toc517434334"/>
      <w:bookmarkStart w:id="309" w:name="_Toc522890497"/>
      <w:r>
        <w:rPr>
          <w:noProof/>
        </w:rPr>
        <w:t>ОБОБЩЕНИЕ НА ИЗПЪЛНЕНИЕТО НА ПРИХОДИТЕ В БЮДЖЕТА НА ЕС</w:t>
      </w:r>
      <w:bookmarkEnd w:id="308"/>
      <w:bookmarkEnd w:id="309"/>
      <w:r>
        <w:rPr>
          <w:noProof/>
        </w:rPr>
        <w:t xml:space="preserve"> </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77"/>
        <w:gridCol w:w="1134"/>
        <w:gridCol w:w="1134"/>
        <w:gridCol w:w="1134"/>
        <w:gridCol w:w="1134"/>
        <w:gridCol w:w="1134"/>
        <w:gridCol w:w="1276"/>
        <w:gridCol w:w="1275"/>
        <w:gridCol w:w="1134"/>
        <w:gridCol w:w="1134"/>
        <w:gridCol w:w="1418"/>
      </w:tblGrid>
      <w:tr>
        <w:tc>
          <w:tcPr>
            <w:tcW w:w="28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bookmarkStart w:id="310" w:name="DOC_TBL00098_1_1"/>
            <w:bookmarkEnd w:id="310"/>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BoldCentered"/>
              <w:rPr>
                <w:rFonts w:eastAsia="Verdana" w:cs="Verdana"/>
                <w:b w:val="0"/>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2268"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Бюджетни кредити от приходи</w:t>
            </w:r>
          </w:p>
        </w:tc>
        <w:tc>
          <w:tcPr>
            <w:tcW w:w="3402"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Установени вземания</w:t>
            </w:r>
          </w:p>
        </w:tc>
        <w:tc>
          <w:tcPr>
            <w:tcW w:w="3685"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Приходи</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Приходи като % от бюджета</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Дължими</w:t>
            </w:r>
          </w:p>
          <w:p>
            <w:pPr>
              <w:pStyle w:val="Heading7pBoldCentered"/>
              <w:rPr>
                <w:rFonts w:eastAsia="Verdana" w:cs="Verdana"/>
                <w:b w:val="0"/>
              </w:rPr>
            </w:pP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rPr>
            </w:pPr>
            <w:r>
              <w:t>Дял</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Първоначален приет бюджет</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Окончателен приет бюджет</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Текуща година</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Пренесени</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Общо</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От</w:t>
            </w:r>
          </w:p>
          <w:p>
            <w:pPr>
              <w:pStyle w:val="Heading7pBoldCentered"/>
              <w:rPr>
                <w:rFonts w:eastAsia="Verdana" w:cs="Verdana"/>
                <w:b w:val="0"/>
              </w:rPr>
            </w:pPr>
            <w:r>
              <w:rPr>
                <w:b w:val="0"/>
              </w:rPr>
              <w:t>вземания</w:t>
            </w:r>
          </w:p>
          <w:p>
            <w:pPr>
              <w:pStyle w:val="Heading7pBoldCentered"/>
              <w:rPr>
                <w:rFonts w:eastAsia="Verdana" w:cs="Verdana"/>
                <w:b w:val="0"/>
              </w:rPr>
            </w:pPr>
            <w:r>
              <w:rPr>
                <w:b w:val="0"/>
              </w:rPr>
              <w:t>за текущата година</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От</w:t>
            </w:r>
          </w:p>
          <w:p>
            <w:pPr>
              <w:pStyle w:val="Heading7pBoldCentered"/>
              <w:rPr>
                <w:rFonts w:eastAsia="Verdana" w:cs="Verdana"/>
                <w:b w:val="0"/>
              </w:rPr>
            </w:pPr>
            <w:r>
              <w:rPr>
                <w:b w:val="0"/>
              </w:rPr>
              <w:t>вземания,</w:t>
            </w:r>
          </w:p>
          <w:p>
            <w:pPr>
              <w:pStyle w:val="Heading7pBoldCentered"/>
              <w:rPr>
                <w:rFonts w:eastAsia="Verdana" w:cs="Verdana"/>
                <w:b w:val="0"/>
              </w:rPr>
            </w:pPr>
            <w:r>
              <w:rPr>
                <w:b w:val="0"/>
              </w:rPr>
              <w:t>които са пренесени</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Общо</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color w:val="auto"/>
              </w:rPr>
            </w:pP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1</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Собствени ресурси</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131 718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115 429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3</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Излишъци, салда и корекции</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6 405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4</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Приходи от лица, работещи към институциите и други органи на Съюза</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5</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Приходи от административната дейност на институциите</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587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836 %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6</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Вноски и възстановени средства във връзка със споразумения и програми на Съюза</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12 228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275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12 504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12 061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12 179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20 299 %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7</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Лихви за забава и глоби</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1 120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3 230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4 823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6 564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11 387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3 032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3 573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111 %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7 814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8</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Операции по получаване и отпускане на заеми</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410 %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9</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Разни приходи</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r>
      <w:tr>
        <w:trPr>
          <w:trHeight w:val="227"/>
        </w:trPr>
        <w:tc>
          <w:tcPr>
            <w:tcW w:w="326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134 490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126 771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141 020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6 906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147 926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136 509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3 182</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 xml:space="preserve"> 110 %</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8 235</w:t>
            </w:r>
          </w:p>
        </w:tc>
      </w:tr>
    </w:tbl>
    <w:p>
      <w:pPr>
        <w:pStyle w:val="DGTextstand-alone"/>
        <w:sectPr>
          <w:headerReference w:type="even" r:id="rId444"/>
          <w:headerReference w:type="default" r:id="rId445"/>
          <w:footerReference w:type="even" r:id="rId446"/>
          <w:footerReference w:type="default" r:id="rId447"/>
          <w:headerReference w:type="first" r:id="rId448"/>
          <w:footerReference w:type="first" r:id="rId449"/>
          <w:pgSz w:w="16840" w:h="11900" w:orient="landscape"/>
          <w:pgMar w:top="1134" w:right="1134" w:bottom="1134" w:left="1134" w:header="708" w:footer="708" w:gutter="0"/>
          <w:cols w:space="720"/>
        </w:sectPr>
      </w:pPr>
      <w:r>
        <w:t xml:space="preserve"> </w:t>
      </w:r>
      <w:bookmarkEnd w:id="307"/>
    </w:p>
    <w:p>
      <w:pPr>
        <w:pStyle w:val="HEADER1PartBUDG"/>
        <w:rPr>
          <w:noProof/>
        </w:rPr>
      </w:pPr>
      <w:bookmarkStart w:id="311" w:name="_DMBM_11452"/>
      <w:r>
        <w:rPr>
          <w:noProof/>
        </w:rPr>
        <w:t xml:space="preserve"> </w:t>
      </w:r>
      <w:bookmarkStart w:id="312" w:name="_Toc517434335"/>
      <w:bookmarkStart w:id="313" w:name="_Toc522890498"/>
      <w:r>
        <w:rPr>
          <w:noProof/>
        </w:rPr>
        <w:t>ИЗПЪЛНЕНИЕ НА РАЗХОДИТЕ В БЮДЖЕТА НА ЕС</w:t>
      </w:r>
      <w:bookmarkEnd w:id="312"/>
      <w:bookmarkEnd w:id="313"/>
      <w:r>
        <w:rPr>
          <w:noProof/>
        </w:rPr>
        <w:t xml:space="preserve"> </w:t>
      </w:r>
    </w:p>
    <w:p>
      <w:pPr>
        <w:pStyle w:val="HEADER2PartBUDG"/>
        <w:rPr>
          <w:noProof/>
        </w:rPr>
      </w:pPr>
      <w:bookmarkStart w:id="314" w:name="_Toc517434336"/>
      <w:bookmarkStart w:id="315" w:name="_Toc522890499"/>
      <w:r>
        <w:rPr>
          <w:noProof/>
        </w:rPr>
        <w:t>МФР: РАЗБИВКА И ПРОМЕНИ НА БЮДЖЕТНИТЕ КРЕДИТИ ЗА ПОЕТИ ЗАДЪЛЖЕНИЯ И ЗА ПЛАЩАНИЯ</w:t>
      </w:r>
      <w:bookmarkEnd w:id="314"/>
      <w:bookmarkEnd w:id="315"/>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988"/>
        <w:gridCol w:w="991"/>
        <w:gridCol w:w="991"/>
        <w:gridCol w:w="1132"/>
      </w:tblGrid>
      <w:t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16" w:name="DOC_TBL00099_1_1"/>
            <w:bookmarkEnd w:id="316"/>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милиони евро</w:t>
            </w:r>
          </w:p>
        </w:tc>
      </w:tr>
      <w:tr>
        <w:trPr>
          <w:trHeight w:val="227"/>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Бюджетни кредити за поети задължения</w:t>
            </w:r>
          </w:p>
        </w:tc>
        <w:tc>
          <w:tcPr>
            <w:tcW w:w="608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Бюджетни кредити за плащания</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Функция от МФР</w:t>
            </w: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Бюджетни кредити</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Допълнителни бюджетни кредити</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Общо налични бюджетни кредити</w:t>
            </w:r>
          </w:p>
        </w:tc>
        <w:tc>
          <w:tcPr>
            <w:tcW w:w="2970"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Бюджетни кредити</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Допълнителни бюджетни кредити</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Общо налични бюджетни кредити</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Първоначален приет бюджет</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Коригиращи бюджети и трансфери</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Окончателен приет бюджет</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Пренасяния</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Целеви приходи</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Първоначален приет бюджет</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Коригиращи бюджети и трансфери</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Окончателен приет бюджет</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Пренасяния</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Целеви приходи</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Интелигентен и приобщаващ растеж</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74 899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56 522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(6 682)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11 198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Конкурентоспособност за растеж и работни места</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19 321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1б: Икономическо, социално и териториално сближаване</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37 201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Устойчив растеж: природни ресурси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3 804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54 914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3 473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от които: разходи, свързани с пазара, и преки плащания</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Сигурност и гражданство</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3 787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Глобална Европа</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8 938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1 887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Администрация</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от които: административни разходи на институциите</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Компенсации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Отрицателен резерв и дефицит, пренесени от предходната финансова година </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Специални инструменти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134 490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r>
    </w:tbl>
    <w:p>
      <w:pPr>
        <w:pStyle w:val="DGTextstand-alone"/>
      </w:pPr>
    </w:p>
    <w:p>
      <w:pPr>
        <w:pStyle w:val="DGTextstand-alone"/>
        <w:rPr>
          <w:rFonts w:eastAsia="Verdana" w:cs="Verdana"/>
          <w:szCs w:val="14"/>
          <w:highlight w:val="yellow"/>
        </w:rPr>
        <w:sectPr>
          <w:headerReference w:type="even" r:id="rId450"/>
          <w:headerReference w:type="default" r:id="rId451"/>
          <w:footerReference w:type="even" r:id="rId452"/>
          <w:footerReference w:type="default" r:id="rId453"/>
          <w:headerReference w:type="first" r:id="rId454"/>
          <w:footerReference w:type="first" r:id="rId455"/>
          <w:pgSz w:w="16840" w:h="11900" w:orient="landscape"/>
          <w:pgMar w:top="1134" w:right="1134" w:bottom="1134" w:left="1134" w:header="708" w:footer="708" w:gutter="0"/>
          <w:cols w:space="720"/>
          <w:docGrid w:linePitch="272"/>
        </w:sectPr>
      </w:pPr>
    </w:p>
    <w:p>
      <w:pPr>
        <w:pStyle w:val="HEADER2PartBUDG"/>
        <w:rPr>
          <w:noProof/>
        </w:rPr>
      </w:pPr>
      <w:bookmarkStart w:id="317" w:name="_Toc517434337"/>
      <w:bookmarkStart w:id="318" w:name="_Toc522890500"/>
      <w:r>
        <w:rPr>
          <w:noProof/>
        </w:rPr>
        <w:t>МФР: ИЗПЪЛНЕНИЕ НА БЮДЖЕТНИТЕ КРЕДИТИ ЗА ПОЕТИ ЗАДЪЛЖЕНИЯ</w:t>
      </w:r>
      <w:bookmarkEnd w:id="317"/>
      <w:bookmarkEnd w:id="318"/>
    </w:p>
    <w:p>
      <w:pPr>
        <w:ind w:right="113"/>
        <w:jc w:val="right"/>
        <w:rPr>
          <w:rFonts w:ascii="Verdana" w:eastAsia="Verdana" w:hAnsi="Verdana" w:cs="Verdana"/>
          <w:noProof/>
          <w:sz w:val="14"/>
          <w:szCs w:val="14"/>
        </w:rPr>
      </w:pPr>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19" w:name="DOC_TBL00100_1_1"/>
            <w:bookmarkEnd w:id="319"/>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Поети задължения</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 xml:space="preserve">Бюдж. кредити, пренесени за </w:t>
            </w:r>
          </w:p>
          <w:p>
            <w:pPr>
              <w:pStyle w:val="Heading6pBoldCentered"/>
              <w:rPr>
                <w:rFonts w:eastAsia="Verdana" w:cs="Verdana"/>
                <w:b w:val="0"/>
              </w:rPr>
            </w:pPr>
            <w:r>
              <w:rPr>
                <w:b w:val="0"/>
              </w:rPr>
              <w:t>2018 г.</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Бюджетни кредити, които губят сила</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Функция от МФР</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Общо налични бюджетни кредити</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 окончателния приет бюджет</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 пренасяния</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 целеви приходи</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Общо</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целеви приходи</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пренасяния с решение</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Общо</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 окончателния приет бюджет</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 пренасяния</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 целеви приходи</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Общо</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Интелигентен и приобщаващ растеж</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7 912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1 897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Конкурентоспособност за растеж и работни места</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1 353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22 654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1б: Икономическо, социално и териториално сближаване</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6 559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Устойчив растеж: природни ресурси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58 100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2 334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60 859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1 920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от които: разходи, свързани с пазара, и преки плащания</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Сигурност и гражданство</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Глобална Европа</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11 814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Администрация</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9 270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от които: административни разходи на институциите</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Компенсации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Отрицателен резерв и дефицит, пренесени от предходната финансова година </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Специални инструменти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pPr>
    </w:p>
    <w:p>
      <w:pPr>
        <w:pStyle w:val="DGTextstand-alone"/>
        <w:sectPr>
          <w:headerReference w:type="even" r:id="rId456"/>
          <w:headerReference w:type="default" r:id="rId457"/>
          <w:footerReference w:type="even" r:id="rId458"/>
          <w:footerReference w:type="default" r:id="rId459"/>
          <w:headerReference w:type="first" r:id="rId460"/>
          <w:footerReference w:type="first" r:id="rId461"/>
          <w:type w:val="nextColumn"/>
          <w:pgSz w:w="16840" w:h="11900" w:orient="landscape"/>
          <w:pgMar w:top="1134" w:right="1134" w:bottom="1134" w:left="1134" w:header="720" w:footer="720" w:gutter="0"/>
          <w:cols w:space="720"/>
          <w:docGrid w:linePitch="272"/>
        </w:sectPr>
      </w:pPr>
    </w:p>
    <w:p>
      <w:pPr>
        <w:pStyle w:val="HEADER2PartBUDG"/>
        <w:rPr>
          <w:noProof/>
        </w:rPr>
      </w:pPr>
      <w:bookmarkStart w:id="320" w:name="_Toc517434338"/>
      <w:bookmarkStart w:id="321" w:name="_Toc522890501"/>
      <w:r>
        <w:rPr>
          <w:noProof/>
        </w:rPr>
        <w:t>МФР: ИЗПЪЛНЕНИЕ НА БЮДЖЕТНИТЕ КРЕДИТИ ЗА ПЛАЩАНИЯ</w:t>
      </w:r>
      <w:bookmarkEnd w:id="320"/>
      <w:bookmarkEnd w:id="321"/>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22" w:name="DOC_TBL00101_1_1"/>
            <w:bookmarkEnd w:id="322"/>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милиони евро</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Извършени плащания</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Бюджетни кредити, пренесени за 2018 г.</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Бюджетни кредити, които губят сила</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Функция от МФР</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Общо налични бюджетни кредити</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 окончателния приет бюджет</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 пренасяния</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 целеви приходи</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Общо</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автоматични преноси</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преноси с решение</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целеви приходи</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Общо</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 окончателния приет бюджет</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 пренасяния</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 целеви приходи</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Общо</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Интелигентен и приобщаващ растеж</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49 698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7 220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57 030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3 977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Конкурентоспособност за растеж и работни места</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1б: Икономическо, социално и териториално сближаване</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Устойчив растеж: природни ресурси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53 889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2 228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от които: разходи, свързани с пазара, и преки плащания</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Сигурност и гражданство</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Глобална Европа</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8 610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1 136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Администрация</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8 486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9 656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от които: административни разходи на институциите</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Компенсации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Отрицателен резерв и дефицит, пренесени от предходната финансова година </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Специални инструменти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p>
    <w:p>
      <w:pPr>
        <w:pStyle w:val="DGTextstand-alone"/>
        <w:sectPr>
          <w:headerReference w:type="even" r:id="rId462"/>
          <w:headerReference w:type="default" r:id="rId463"/>
          <w:footerReference w:type="even" r:id="rId464"/>
          <w:footerReference w:type="default" r:id="rId465"/>
          <w:headerReference w:type="first" r:id="rId466"/>
          <w:footerReference w:type="first" r:id="rId467"/>
          <w:type w:val="nextColumn"/>
          <w:pgSz w:w="16840" w:h="11900" w:orient="landscape"/>
          <w:pgMar w:top="1134" w:right="1134" w:bottom="1134" w:left="1134" w:header="720" w:footer="720" w:gutter="0"/>
          <w:cols w:space="720"/>
          <w:docGrid w:linePitch="272"/>
        </w:sectPr>
      </w:pPr>
    </w:p>
    <w:p>
      <w:pPr>
        <w:pStyle w:val="HEADER2PartBUDG"/>
        <w:rPr>
          <w:noProof/>
        </w:rPr>
      </w:pPr>
      <w:bookmarkStart w:id="323" w:name="_Toc517434339"/>
      <w:bookmarkStart w:id="324" w:name="_Toc522890502"/>
      <w:r>
        <w:rPr>
          <w:noProof/>
        </w:rPr>
        <w:t>МФР: ДВИЖЕНИЯ НА НЕИЗПЪЛНЕНИТЕ ПОЕТИ ЗАДЪЛЖЕНИЯ (RAL)</w:t>
      </w:r>
      <w:bookmarkEnd w:id="323"/>
      <w:bookmarkEnd w:id="324"/>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25" w:name="DOC_TBL00102_1_1"/>
            <w:bookmarkEnd w:id="325"/>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Неизпълнени поети задължения към края на предходната година</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Поети задължения за текущата година</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Общо неизпълнени поети задълж. към края на годината</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Функция от МФР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Задължения, пренесени от предходната година</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NarrowCentred"/>
              <w:rPr>
                <w:rFonts w:eastAsia="Verdana" w:cs="Verdana"/>
                <w:b w:val="0"/>
              </w:rPr>
            </w:pPr>
            <w:r>
              <w:rPr>
                <w:b w:val="0"/>
              </w:rPr>
              <w:t>Отменени задълж./</w:t>
            </w:r>
            <w:r>
              <w:rPr>
                <w:rFonts w:eastAsia="Verdana" w:cs="Verdana"/>
                <w:b w:val="0"/>
              </w:rPr>
              <w:br/>
            </w:r>
            <w:r>
              <w:rPr>
                <w:b w:val="0"/>
              </w:rPr>
              <w:t>преоценки/</w:t>
            </w:r>
            <w:r>
              <w:rPr>
                <w:rFonts w:eastAsia="Verdana" w:cs="Verdana"/>
                <w:b w:val="0"/>
              </w:rPr>
              <w:br/>
            </w:r>
            <w:r>
              <w:rPr>
                <w:b w:val="0"/>
              </w:rPr>
              <w:t>отмени</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Плащания</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Неизпълнени поети задължения към края на годината</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Задължения, поети през годината</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Плащания</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Отмяна на поетите задължения, които не могат да бъдат пренесени</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Неизпълнени поети задължения към края на годината</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Интелигентен и приобщаващ растеж</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Конкурентоспособност за растеж и работни места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1б: Икономическо, социално и териториално сближаване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Устойчив растеж: природни ресурси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от които: разходи, свързани с пазара, и преки плащания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Сигурност и гражданство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Глобална Европа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Администрация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от които: административни разходи на институциите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Компенсации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Отрицателен резерв и дефицит, пренесени от предходната финансова година </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Специални инструменти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68"/>
          <w:headerReference w:type="default" r:id="rId469"/>
          <w:footerReference w:type="even" r:id="rId470"/>
          <w:footerReference w:type="default" r:id="rId471"/>
          <w:headerReference w:type="first" r:id="rId472"/>
          <w:footerReference w:type="first" r:id="rId473"/>
          <w:type w:val="nextColumn"/>
          <w:pgSz w:w="16840" w:h="11900" w:orient="landscape"/>
          <w:pgMar w:top="1134" w:right="1134" w:bottom="1134" w:left="1134" w:header="720" w:footer="720" w:gutter="0"/>
          <w:cols w:space="720"/>
          <w:docGrid w:linePitch="272"/>
        </w:sectPr>
      </w:pPr>
    </w:p>
    <w:p>
      <w:pPr>
        <w:pStyle w:val="HEADER2PartBUDG"/>
        <w:rPr>
          <w:noProof/>
        </w:rPr>
      </w:pPr>
      <w:bookmarkStart w:id="326" w:name="_Toc517434340"/>
      <w:bookmarkStart w:id="327" w:name="_Toc522890503"/>
      <w:r>
        <w:rPr>
          <w:noProof/>
        </w:rPr>
        <w:t>МФР: НЕИЗПЪЛНЕНИ ПОЕТИ ЗАДЪЛЖЕНИЯ ПО ГОДИНИ НА ВЪЗНИКВАНЕ</w:t>
      </w:r>
      <w:bookmarkEnd w:id="326"/>
      <w:bookmarkEnd w:id="327"/>
      <w:r>
        <w:rPr>
          <w:noProof/>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28" w:name="DOC_TBL00103_1_1"/>
            <w:bookmarkEnd w:id="328"/>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Функция от МФР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Общо</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Интелигентен и приобщаващ растеж</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Конкурентоспособност за растеж и работни места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1б: Икономическо, социално и териториално сближаване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Устойчив растеж: природни ресурси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от които: разходи, свързани с пазара, и преки плащания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Сигурност и гражданство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Глобална Европа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Администрация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от които: административни разходи на институциите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Специални инструменти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74"/>
          <w:headerReference w:type="default" r:id="rId475"/>
          <w:footerReference w:type="even" r:id="rId476"/>
          <w:footerReference w:type="default" r:id="rId477"/>
          <w:headerReference w:type="first" r:id="rId478"/>
          <w:footerReference w:type="first" r:id="rId479"/>
          <w:type w:val="nextColumn"/>
          <w:pgSz w:w="16840" w:h="11900" w:orient="landscape"/>
          <w:pgMar w:top="1134" w:right="1134" w:bottom="1134" w:left="1134" w:header="720" w:footer="720" w:gutter="0"/>
          <w:cols w:space="720"/>
          <w:docGrid w:linePitch="272"/>
        </w:sectPr>
      </w:pPr>
    </w:p>
    <w:p>
      <w:pPr>
        <w:pStyle w:val="HEADER2PartBUDG"/>
        <w:ind w:left="709" w:hanging="709"/>
        <w:rPr>
          <w:noProof/>
        </w:rPr>
      </w:pPr>
      <w:bookmarkStart w:id="329" w:name="_Toc517434341"/>
      <w:bookmarkStart w:id="330" w:name="_Toc522890504"/>
      <w:r>
        <w:rPr>
          <w:noProof/>
        </w:rPr>
        <w:t>ПОДРОБНА МФР: РАЗБИВКА И ПРОМЕНИ НА БЮДЖЕТНИТЕ КРЕДИТИ ЗА ПОЕТИ ЗАДЪЛЖЕНИЯ И ЗА ПЛАЩАНИЯ</w:t>
      </w:r>
      <w:bookmarkEnd w:id="329"/>
      <w:bookmarkEnd w:id="330"/>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988"/>
        <w:gridCol w:w="991"/>
        <w:gridCol w:w="991"/>
        <w:gridCol w:w="1132"/>
      </w:tblGrid>
      <w:tr>
        <w:trPr>
          <w:tblHeader/>
        </w:trP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31" w:name="DOC_TBL00104_1_1"/>
            <w:bookmarkEnd w:id="331"/>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милиони евро</w:t>
            </w:r>
          </w:p>
        </w:tc>
      </w:tr>
      <w:tr>
        <w:trPr>
          <w:trHeight w:val="227"/>
          <w:tblHeader/>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Бюджетни кредити за поети задължения</w:t>
            </w:r>
          </w:p>
        </w:tc>
        <w:tc>
          <w:tcPr>
            <w:tcW w:w="608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Бюджетни кредити за плащания</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Бюджетни кредити</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Допълнителни</w:t>
            </w:r>
          </w:p>
          <w:p>
            <w:pPr>
              <w:pStyle w:val="Heading6pBoldCentered"/>
              <w:rPr>
                <w:rFonts w:eastAsia="Verdana" w:cs="Verdana"/>
                <w:b w:val="0"/>
              </w:rPr>
            </w:pPr>
            <w:r>
              <w:rPr>
                <w:b w:val="0"/>
              </w:rPr>
              <w:t>бюджетни кредити</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Общо</w:t>
            </w:r>
          </w:p>
          <w:p>
            <w:pPr>
              <w:pStyle w:val="Heading6pBoldCentered"/>
              <w:rPr>
                <w:rFonts w:eastAsia="Verdana" w:cs="Verdana"/>
                <w:b w:val="0"/>
              </w:rPr>
            </w:pPr>
            <w:r>
              <w:rPr>
                <w:b w:val="0"/>
              </w:rPr>
              <w:t>налични</w:t>
            </w:r>
          </w:p>
          <w:p>
            <w:pPr>
              <w:pStyle w:val="Heading6pBoldCentered"/>
              <w:rPr>
                <w:rFonts w:eastAsia="Verdana" w:cs="Verdana"/>
                <w:b w:val="0"/>
              </w:rPr>
            </w:pPr>
            <w:r>
              <w:rPr>
                <w:b w:val="0"/>
              </w:rPr>
              <w:t>бюдж. кредити</w:t>
            </w:r>
          </w:p>
        </w:tc>
        <w:tc>
          <w:tcPr>
            <w:tcW w:w="2970"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Бюджетни кредити</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Допълнителни</w:t>
            </w:r>
          </w:p>
          <w:p>
            <w:pPr>
              <w:pStyle w:val="Heading6pBoldCentered"/>
              <w:rPr>
                <w:rFonts w:eastAsia="Verdana" w:cs="Verdana"/>
                <w:b w:val="0"/>
              </w:rPr>
            </w:pPr>
            <w:r>
              <w:rPr>
                <w:b w:val="0"/>
              </w:rPr>
              <w:t>бюджетни кредити</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Общо</w:t>
            </w:r>
          </w:p>
          <w:p>
            <w:pPr>
              <w:pStyle w:val="Heading6pBoldCentered"/>
              <w:rPr>
                <w:rFonts w:eastAsia="Verdana" w:cs="Verdana"/>
                <w:b w:val="0"/>
              </w:rPr>
            </w:pPr>
            <w:r>
              <w:rPr>
                <w:b w:val="0"/>
              </w:rPr>
              <w:t>налични</w:t>
            </w:r>
          </w:p>
          <w:p>
            <w:pPr>
              <w:pStyle w:val="Heading6pBoldCentered"/>
              <w:rPr>
                <w:rFonts w:eastAsia="Verdana" w:cs="Verdana"/>
                <w:b w:val="0"/>
              </w:rPr>
            </w:pPr>
            <w:r>
              <w:rPr>
                <w:b w:val="0"/>
              </w:rPr>
              <w:t>бюдж. кредити</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Програма</w:t>
            </w: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Първоначален</w:t>
            </w:r>
          </w:p>
          <w:p>
            <w:pPr>
              <w:pStyle w:val="Heading6pBoldCentered"/>
              <w:rPr>
                <w:rFonts w:eastAsia="Verdana" w:cs="Verdana"/>
                <w:b w:val="0"/>
              </w:rPr>
            </w:pPr>
            <w:r>
              <w:rPr>
                <w:b w:val="0"/>
              </w:rPr>
              <w:t>приет</w:t>
            </w:r>
          </w:p>
          <w:p>
            <w:pPr>
              <w:pStyle w:val="Heading6pBoldCentered"/>
              <w:rPr>
                <w:rFonts w:eastAsia="Verdana" w:cs="Verdana"/>
                <w:b w:val="0"/>
              </w:rPr>
            </w:pPr>
            <w:r>
              <w:rPr>
                <w:b w:val="0"/>
              </w:rPr>
              <w:t>бюджет</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Коригиращи</w:t>
            </w:r>
          </w:p>
          <w:p>
            <w:pPr>
              <w:pStyle w:val="Heading6pBoldCentered"/>
              <w:rPr>
                <w:rFonts w:eastAsia="Verdana" w:cs="Verdana"/>
                <w:b w:val="0"/>
              </w:rPr>
            </w:pPr>
            <w:r>
              <w:rPr>
                <w:b w:val="0"/>
              </w:rPr>
              <w:t>бюджети и</w:t>
            </w:r>
          </w:p>
          <w:p>
            <w:pPr>
              <w:pStyle w:val="Heading6pBoldCentered"/>
              <w:rPr>
                <w:rFonts w:eastAsia="Verdana" w:cs="Verdana"/>
                <w:b w:val="0"/>
              </w:rPr>
            </w:pPr>
            <w:r>
              <w:rPr>
                <w:b w:val="0"/>
              </w:rPr>
              <w:t>трансфери</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Окончателен</w:t>
            </w:r>
          </w:p>
          <w:p>
            <w:pPr>
              <w:pStyle w:val="Heading6pBoldCentered"/>
              <w:rPr>
                <w:rFonts w:eastAsia="Verdana" w:cs="Verdana"/>
                <w:b w:val="0"/>
              </w:rPr>
            </w:pPr>
            <w:r>
              <w:rPr>
                <w:b w:val="0"/>
              </w:rPr>
              <w:t>приет</w:t>
            </w:r>
          </w:p>
          <w:p>
            <w:pPr>
              <w:pStyle w:val="Heading6pBoldCentered"/>
              <w:rPr>
                <w:rFonts w:eastAsia="Verdana" w:cs="Verdana"/>
                <w:b w:val="0"/>
              </w:rPr>
            </w:pPr>
            <w:r>
              <w:rPr>
                <w:b w:val="0"/>
              </w:rPr>
              <w:t>бюджет</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Преноси</w:t>
            </w:r>
          </w:p>
          <w:p>
            <w:pPr>
              <w:pStyle w:val="Heading6pBoldCentered"/>
              <w:rPr>
                <w:rFonts w:eastAsia="Verdana" w:cs="Verdana"/>
                <w:b w:val="0"/>
              </w:rPr>
            </w:pP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Целеви</w:t>
            </w:r>
          </w:p>
          <w:p>
            <w:pPr>
              <w:pStyle w:val="Heading6pBoldCentered"/>
              <w:rPr>
                <w:rFonts w:eastAsia="Verdana" w:cs="Verdana"/>
                <w:b w:val="0"/>
              </w:rPr>
            </w:pPr>
            <w:r>
              <w:rPr>
                <w:b w:val="0"/>
              </w:rPr>
              <w:t>приходи</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Първоначален</w:t>
            </w:r>
          </w:p>
          <w:p>
            <w:pPr>
              <w:pStyle w:val="Heading6pBoldCentered"/>
              <w:rPr>
                <w:rFonts w:eastAsia="Verdana" w:cs="Verdana"/>
                <w:b w:val="0"/>
              </w:rPr>
            </w:pPr>
            <w:r>
              <w:rPr>
                <w:b w:val="0"/>
              </w:rPr>
              <w:t>приет</w:t>
            </w:r>
          </w:p>
          <w:p>
            <w:pPr>
              <w:pStyle w:val="Heading6pBoldCentered"/>
              <w:rPr>
                <w:rFonts w:eastAsia="Verdana" w:cs="Verdana"/>
                <w:b w:val="0"/>
              </w:rPr>
            </w:pPr>
            <w:r>
              <w:rPr>
                <w:b w:val="0"/>
              </w:rPr>
              <w:t>бюджет</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Коригиращи</w:t>
            </w:r>
          </w:p>
          <w:p>
            <w:pPr>
              <w:pStyle w:val="Heading6pBoldCentered"/>
              <w:rPr>
                <w:rFonts w:eastAsia="Verdana" w:cs="Verdana"/>
                <w:b w:val="0"/>
              </w:rPr>
            </w:pPr>
            <w:r>
              <w:rPr>
                <w:b w:val="0"/>
              </w:rPr>
              <w:t>бюджети и</w:t>
            </w:r>
          </w:p>
          <w:p>
            <w:pPr>
              <w:pStyle w:val="Heading6pBoldCentered"/>
              <w:rPr>
                <w:rFonts w:eastAsia="Verdana" w:cs="Verdana"/>
                <w:b w:val="0"/>
              </w:rPr>
            </w:pPr>
            <w:r>
              <w:rPr>
                <w:b w:val="0"/>
              </w:rPr>
              <w:t>трансфери</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Окончателен</w:t>
            </w:r>
          </w:p>
          <w:p>
            <w:pPr>
              <w:pStyle w:val="Heading6pBoldCentered"/>
              <w:rPr>
                <w:rFonts w:eastAsia="Verdana" w:cs="Verdana"/>
                <w:b w:val="0"/>
              </w:rPr>
            </w:pPr>
            <w:r>
              <w:rPr>
                <w:b w:val="0"/>
              </w:rPr>
              <w:t>приет</w:t>
            </w:r>
          </w:p>
          <w:p>
            <w:pPr>
              <w:pStyle w:val="Heading6pBoldCentered"/>
              <w:rPr>
                <w:rFonts w:eastAsia="Verdana" w:cs="Verdana"/>
                <w:b w:val="0"/>
              </w:rPr>
            </w:pPr>
            <w:r>
              <w:rPr>
                <w:b w:val="0"/>
              </w:rPr>
              <w:t>бюджет</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Преноси</w:t>
            </w:r>
          </w:p>
          <w:p>
            <w:pPr>
              <w:pStyle w:val="Heading6pBoldCentered"/>
              <w:rPr>
                <w:rFonts w:eastAsia="Verdana" w:cs="Verdana"/>
                <w:b w:val="0"/>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Целеви</w:t>
            </w:r>
          </w:p>
          <w:p>
            <w:pPr>
              <w:pStyle w:val="Heading6pBoldCentered"/>
              <w:rPr>
                <w:rFonts w:eastAsia="Verdana" w:cs="Verdana"/>
                <w:b w:val="0"/>
              </w:rPr>
            </w:pPr>
            <w:r>
              <w:rPr>
                <w:b w:val="0"/>
              </w:rPr>
              <w:t>приходи</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blHeader/>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стратегически инвестиции (ЕФСИ)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спътникова навигация (EGNOS и „Галилео“)</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Международен термоядрен реактор (ITER)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програма за наблюдение на Земята („Коперник“)</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Ядрена безопасност и извеждане от експлоатация на ядрени съоръжения</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„Хоризонт 2020“</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10 346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Програма на Евратом за научни изследвания и обучение</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на предприятията и на МСП (COSME)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Образование, обучение и спорт („Еразъм+“)</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Заетост и социални иновации (ЗиСИ)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„Митници“, „Фискалис“ и „Борба с измамите“</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Енергетика</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Транспорт</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Информационни и комуникационни технологии (ИКТ)</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Енергийни проекти за икономическо възстановяване (EERP)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правомощия на Комисията</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Общо функция 1.1 от МФР</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19 321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Регионално сближаване (по-слабо развити региони)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26 122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Региони в преход</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(по-развити региони)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5 853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(1 441)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Най-отдалечени и слабо населени региони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Кохезионен фонд</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5 981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Европейско териториално сътрудничество</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Техническа помощ</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европейско подпомагане на най-нуждаещите се лица (FEAD)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за младежка заетост</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свързване на Европа (МСЕ)</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Общо функция 1.2 от МФР</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37 201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1 от МФР</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74 899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75 399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56 522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49 840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11 198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гарантиране на земеделието (ЕФГЗ)</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Земеделски фонд за развитие на селските райони (ЕЗФРСР)</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11 208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морско дело и рибарство (ЕФМДР)</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Споразумения за партньорство в областта на устойчивото рибарство (СПОУР) и организации за управление на рибарството (РОУР)</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Околна среда и действия по климата (LIFE)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мерки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2 от МФР</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3 804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54 914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(447)</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54 467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3 473</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„Убежище, миграция и интеграция“ (ФУМИ)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„Потребители“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„Творческа Европа“</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Спешна подкрепа в рамките на Съюза (IES)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„Вътрешна сигурност“</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Информационни системи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Правосъдие</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Права, равенство и гражданство</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„Европа за гражданите“</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Храни и фуражи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Здравеопазване</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3 от МФР</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3 787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(994)</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2 793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Предприсъединителна помощ (ИПП II)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Макрофинансова помощ (МФП)</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Гаранционен фонд за външни дейности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„Доброволци на ЕС за хуманитарна помощ“ (EUAV)</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устойчиво развитие (ЕФУР)</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инструмент за съседство (ЕИС)</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сътрудничество за развитие (ИСР)</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3 168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партньорство (ИП)</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Демокрация и права на човека (ЕИДПЧ)</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Стабилност и мир (IcSP)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Хуманитарна помощ</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Обща външна политика и политика на сигурност (ОВППС)</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Сътрудничество в областта на ядрената безопасност (INSC)</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4 от МФР</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10 162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1 560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9 483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1 887</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Пенсии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училища</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Комисията</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другите институции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5 от МФР</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Компенсации</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6 от МФР</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Отрицателен резерв</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Пренесен дефицит</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8 от МФР</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Резерв за спешна помощ (РСП)</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приспособяване към глобализацията (ЕФПГ)</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„Солидарност“ на Европейския съюз (ФСЕС)</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9 от МФР</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951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1 341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134 490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r>
    </w:tbl>
    <w:p>
      <w:pPr>
        <w:pStyle w:val="DGTextstand-alone"/>
        <w:sectPr>
          <w:headerReference w:type="even" r:id="rId480"/>
          <w:headerReference w:type="default" r:id="rId481"/>
          <w:footerReference w:type="even" r:id="rId482"/>
          <w:footerReference w:type="default" r:id="rId483"/>
          <w:headerReference w:type="first" r:id="rId484"/>
          <w:footerReference w:type="first" r:id="rId485"/>
          <w:type w:val="nextColumn"/>
          <w:pgSz w:w="16840" w:h="11900" w:orient="landscape"/>
          <w:pgMar w:top="1134" w:right="1134" w:bottom="1134" w:left="1134" w:header="720" w:footer="720" w:gutter="0"/>
          <w:cols w:space="720"/>
          <w:docGrid w:linePitch="272"/>
        </w:sectPr>
      </w:pPr>
    </w:p>
    <w:p>
      <w:pPr>
        <w:pStyle w:val="HEADER2PartBUDG"/>
        <w:rPr>
          <w:noProof/>
        </w:rPr>
      </w:pPr>
      <w:bookmarkStart w:id="332" w:name="_Toc517434342"/>
      <w:bookmarkStart w:id="333" w:name="_Toc522890505"/>
      <w:r>
        <w:rPr>
          <w:noProof/>
        </w:rPr>
        <w:t>ПОДРОБНА МФР: ИЗПЪЛНЕНИЕ НА БЮДЖЕТНИТЕ КРЕДИТИ ЗА ПОЕТИ ЗАДЪЛЖЕНИЯ</w:t>
      </w:r>
      <w:bookmarkEnd w:id="332"/>
      <w:bookmarkEnd w:id="333"/>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rPr>
          <w:tblHeader/>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34" w:name="DOC_TBL00105_1_1"/>
            <w:bookmarkEnd w:id="334"/>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Поети задължения</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Бюдж. кредити, пренесени</w:t>
            </w:r>
          </w:p>
          <w:p>
            <w:pPr>
              <w:pStyle w:val="Heading6pBoldCentered"/>
              <w:rPr>
                <w:rFonts w:eastAsia="Verdana" w:cs="Verdana"/>
                <w:b w:val="0"/>
              </w:rPr>
            </w:pPr>
            <w:r>
              <w:rPr>
                <w:b w:val="0"/>
              </w:rPr>
              <w:t>за 2018 г.</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Бюджетни кредити, които губят сила</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Програма</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Общо</w:t>
            </w:r>
          </w:p>
          <w:p>
            <w:pPr>
              <w:pStyle w:val="Heading6pBoldCentered"/>
              <w:rPr>
                <w:rFonts w:eastAsia="Verdana" w:cs="Verdana"/>
                <w:b w:val="0"/>
              </w:rPr>
            </w:pPr>
            <w:r>
              <w:rPr>
                <w:b w:val="0"/>
              </w:rPr>
              <w:t>налични</w:t>
            </w:r>
          </w:p>
          <w:p>
            <w:pPr>
              <w:pStyle w:val="Heading6pBoldCentered"/>
              <w:rPr>
                <w:rFonts w:eastAsia="Verdana" w:cs="Verdana"/>
                <w:b w:val="0"/>
              </w:rPr>
            </w:pPr>
            <w:r>
              <w:rPr>
                <w:b w:val="0"/>
              </w:rPr>
              <w:t>бюдж. кредити</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w:t>
            </w:r>
          </w:p>
          <w:p>
            <w:pPr>
              <w:pStyle w:val="Heading6pBoldCentered"/>
              <w:rPr>
                <w:rFonts w:eastAsia="Verdana" w:cs="Verdana"/>
                <w:b w:val="0"/>
              </w:rPr>
            </w:pPr>
            <w:r>
              <w:rPr>
                <w:b w:val="0"/>
              </w:rPr>
              <w:t>окончателния</w:t>
            </w:r>
          </w:p>
          <w:p>
            <w:pPr>
              <w:pStyle w:val="Heading6pBoldCentered"/>
              <w:rPr>
                <w:rFonts w:eastAsia="Verdana" w:cs="Verdana"/>
                <w:b w:val="0"/>
              </w:rPr>
            </w:pPr>
            <w:r>
              <w:rPr>
                <w:b w:val="0"/>
              </w:rPr>
              <w:t>приет</w:t>
            </w:r>
          </w:p>
          <w:p>
            <w:pPr>
              <w:pStyle w:val="Heading6pBoldCentered"/>
              <w:rPr>
                <w:rFonts w:eastAsia="Verdana" w:cs="Verdana"/>
                <w:b w:val="0"/>
              </w:rPr>
            </w:pPr>
            <w:r>
              <w:rPr>
                <w:b w:val="0"/>
              </w:rPr>
              <w:t>бюджет</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w:t>
            </w:r>
          </w:p>
          <w:p>
            <w:pPr>
              <w:pStyle w:val="Heading6pBoldCentered"/>
              <w:rPr>
                <w:rFonts w:eastAsia="Verdana" w:cs="Verdana"/>
                <w:b w:val="0"/>
              </w:rPr>
            </w:pPr>
            <w:r>
              <w:rPr>
                <w:b w:val="0"/>
              </w:rPr>
              <w:t>преноси</w:t>
            </w:r>
          </w:p>
          <w:p>
            <w:pPr>
              <w:pStyle w:val="Heading6pBoldCentered"/>
              <w:rPr>
                <w:rFonts w:eastAsia="Verdana" w:cs="Verdana"/>
                <w:b w:val="0"/>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w:t>
            </w:r>
          </w:p>
          <w:p>
            <w:pPr>
              <w:pStyle w:val="Heading6pBoldCentered"/>
              <w:rPr>
                <w:rFonts w:eastAsia="Verdana" w:cs="Verdana"/>
                <w:b w:val="0"/>
              </w:rPr>
            </w:pPr>
            <w:r>
              <w:rPr>
                <w:b w:val="0"/>
              </w:rPr>
              <w:t>целеви</w:t>
            </w:r>
          </w:p>
          <w:p>
            <w:pPr>
              <w:pStyle w:val="Heading6pBoldCentered"/>
              <w:rPr>
                <w:rFonts w:eastAsia="Verdana" w:cs="Verdana"/>
                <w:b w:val="0"/>
              </w:rPr>
            </w:pPr>
            <w:r>
              <w:rPr>
                <w:b w:val="0"/>
              </w:rPr>
              <w:t>приходи</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Общо</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целеви</w:t>
            </w:r>
          </w:p>
          <w:p>
            <w:pPr>
              <w:pStyle w:val="Heading6pBoldNarrowCentred"/>
              <w:rPr>
                <w:rFonts w:eastAsia="Verdana" w:cs="Verdana"/>
                <w:b w:val="0"/>
              </w:rPr>
            </w:pPr>
            <w:r>
              <w:rPr>
                <w:b w:val="0"/>
              </w:rPr>
              <w:t>приходи</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преноси</w:t>
            </w:r>
          </w:p>
          <w:p>
            <w:pPr>
              <w:pStyle w:val="Heading6pBoldCentered"/>
              <w:rPr>
                <w:rFonts w:eastAsia="Verdana" w:cs="Verdana"/>
                <w:b w:val="0"/>
              </w:rPr>
            </w:pPr>
          </w:p>
          <w:p>
            <w:pPr>
              <w:pStyle w:val="Heading6pBoldCentered"/>
              <w:rPr>
                <w:rFonts w:eastAsia="Verdana" w:cs="Verdana"/>
                <w:b w:val="0"/>
              </w:rPr>
            </w:pPr>
            <w:r>
              <w:rPr>
                <w:b w:val="0"/>
              </w:rPr>
              <w:t>с</w:t>
            </w:r>
          </w:p>
          <w:p>
            <w:pPr>
              <w:pStyle w:val="Heading6pBoldCentered"/>
              <w:rPr>
                <w:rFonts w:eastAsia="Verdana" w:cs="Verdana"/>
                <w:b w:val="0"/>
              </w:rPr>
            </w:pPr>
            <w:r>
              <w:rPr>
                <w:b w:val="0"/>
              </w:rPr>
              <w:t>решение</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Общо</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w:t>
            </w:r>
          </w:p>
          <w:p>
            <w:pPr>
              <w:pStyle w:val="Heading6pBoldCentered"/>
              <w:rPr>
                <w:rFonts w:eastAsia="Verdana" w:cs="Verdana"/>
                <w:b w:val="0"/>
              </w:rPr>
            </w:pPr>
            <w:r>
              <w:rPr>
                <w:b w:val="0"/>
              </w:rPr>
              <w:t>окончателния</w:t>
            </w:r>
          </w:p>
          <w:p>
            <w:pPr>
              <w:pStyle w:val="Heading6pBoldCentered"/>
              <w:rPr>
                <w:rFonts w:eastAsia="Verdana" w:cs="Verdana"/>
                <w:b w:val="0"/>
              </w:rPr>
            </w:pPr>
            <w:r>
              <w:rPr>
                <w:b w:val="0"/>
              </w:rPr>
              <w:t>приет</w:t>
            </w:r>
          </w:p>
          <w:p>
            <w:pPr>
              <w:pStyle w:val="Heading6pBoldCentered"/>
              <w:rPr>
                <w:rFonts w:eastAsia="Verdana" w:cs="Verdana"/>
                <w:b w:val="0"/>
              </w:rPr>
            </w:pPr>
            <w:r>
              <w:rPr>
                <w:b w:val="0"/>
              </w:rPr>
              <w:t>бюджет</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w:t>
            </w:r>
          </w:p>
          <w:p>
            <w:pPr>
              <w:pStyle w:val="Heading6pBoldCentered"/>
              <w:rPr>
                <w:rFonts w:eastAsia="Verdana" w:cs="Verdana"/>
                <w:b w:val="0"/>
              </w:rPr>
            </w:pPr>
            <w:r>
              <w:rPr>
                <w:b w:val="0"/>
              </w:rPr>
              <w:t>преноси</w:t>
            </w:r>
          </w:p>
          <w:p>
            <w:pPr>
              <w:pStyle w:val="Heading6pBoldCentered"/>
              <w:rPr>
                <w:rFonts w:eastAsia="Verdana" w:cs="Verdana"/>
                <w:b w:val="0"/>
              </w:rPr>
            </w:pP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w:t>
            </w:r>
          </w:p>
          <w:p>
            <w:pPr>
              <w:pStyle w:val="Heading6pBoldCentered"/>
              <w:rPr>
                <w:rFonts w:eastAsia="Verdana" w:cs="Verdana"/>
                <w:b w:val="0"/>
              </w:rPr>
            </w:pPr>
            <w:r>
              <w:rPr>
                <w:b w:val="0"/>
              </w:rPr>
              <w:t>целеви</w:t>
            </w:r>
          </w:p>
          <w:p>
            <w:pPr>
              <w:pStyle w:val="Heading6pBoldCentered"/>
              <w:rPr>
                <w:rFonts w:eastAsia="Verdana" w:cs="Verdana"/>
                <w:b w:val="0"/>
              </w:rPr>
            </w:pPr>
            <w:r>
              <w:rPr>
                <w:b w:val="0"/>
              </w:rPr>
              <w:t>приходи</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Общо</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стратегически инвестиции (ЕФСИ)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спътникова навигация (EGNOS и „Галилео“)</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Международен термоядрен реактор (ITER)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програма за наблюдение на Земята („Коперник“)</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Ядрена безопасност и извеждане от експлоатация на ядрени съоръжения</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„Хоризонт 2020“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Програма на Евратом за научни изследвания и обучение</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на предприятията и на МСП (COSME)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Образование, обучение и спорт („Еразъм+“)</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Заетост и социални иновации (ЗиСИ)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„Митници“, „Фискалис“ и „Борба с измамите“</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Енергетика</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Транспорт</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Информационни и комуникационни технологии (ИКТ)</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Енергийни проекти за икономическо възстановяване (EERP)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правомощия на Комисията</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Общо функция 1.1 от МФР</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24 508</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21 301</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1 353</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22 654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92 %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1 842</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4</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1 846</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Регионално сближаване (по-слабо развити региони)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Региони в преход</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(по-развити региони)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Най-отдалечени и слабо населени региони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Кохезионен фонд</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Европейско териториално сътрудничество</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Техническа помощ</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европейско подпомагане на най-нуждаещите се лица (FEAD)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за младежка заетост</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свързване на Европа (МСЕ)</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Общо функция 1.2 от МФР</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60 673</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54 056</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6 559</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60 614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100 %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28</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23</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51</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1 от МФР</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75 356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7 912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1 897</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гарантиране на земеделието (ЕФГЗ)</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Земеделски фонд за развитие на селските райони (ЕЗФРСР)</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морско дело и рибарство (ЕФМДР)</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Споразумения за партньорство в областта на устойчивото рибарство (СПОУР) и организации за управление на рибарството (РОУР)</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Околна среда и действия по климата (LIFE)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мерки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2 от МФР</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58 100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2 334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1 920</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„Убежище, миграция и интеграция“ (ФУМИ)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„Потребители“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„Творческа Европа“</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Спешна подкрепа в рамките на Съюза (IES)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„Вътрешна сигурност“</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Информационни системи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Правосъдие</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Права, равенство и гражданство</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„Европа за гражданите“</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Храни и фуражи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Здравеопазване</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3 от МФР</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4 035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Предприсъединителна помощ (ИПП II)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Макрофинансова помощ (МФП)</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Гаранционен фонд за външни дейности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„Доброволци на ЕС за хуманитарна помощ“ (EUAV)</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устойчиво развитие (ЕФУР)</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инструмент за съседство (ЕИС)</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сътрудничество за развитие (ИСР)</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партньорство (ИП)</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Демокрация и права на човека (ЕИДПЧ)</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Стабилност и мир (IcSP)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Хуманитарна помощ</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Обща външна политика и политика на сигурност (ОВППС)</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Сътрудничество в областта на ядрената безопасност (INSC)</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4 от МФР</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Пенсии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училища</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Комисията</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другите институции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5 от МФР</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9 270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Компенсации</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6 от МФР</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Отрицателен резерв</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Пренесен дефицит</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8 от МФР</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Резерв за спешна помощ (РСП)</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приспособяване към глобализацията (ЕФПГ)</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„Солидарност“ на Европейския съюз (ФСЕС)</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9 от МФР</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1 259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84 %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sectPr>
          <w:headerReference w:type="even" r:id="rId486"/>
          <w:headerReference w:type="default" r:id="rId487"/>
          <w:footerReference w:type="even" r:id="rId488"/>
          <w:footerReference w:type="default" r:id="rId489"/>
          <w:headerReference w:type="first" r:id="rId490"/>
          <w:footerReference w:type="first" r:id="rId491"/>
          <w:type w:val="nextColumn"/>
          <w:pgSz w:w="16840" w:h="11900" w:orient="landscape"/>
          <w:pgMar w:top="1134" w:right="1134" w:bottom="1134" w:left="1134" w:header="720" w:footer="720" w:gutter="0"/>
          <w:cols w:space="720"/>
          <w:docGrid w:linePitch="272"/>
        </w:sectPr>
      </w:pPr>
    </w:p>
    <w:p>
      <w:pPr>
        <w:pStyle w:val="HEADER2PartBUDG"/>
        <w:rPr>
          <w:noProof/>
        </w:rPr>
      </w:pPr>
      <w:bookmarkStart w:id="335" w:name="_Toc517434343"/>
      <w:bookmarkStart w:id="336" w:name="_Toc522890506"/>
      <w:r>
        <w:rPr>
          <w:noProof/>
        </w:rPr>
        <w:t>ПОДРОБНА МФР: ИЗПЪЛНЕНИЕ НА БЮДЖЕТНИТЕ КРЕДИТИ ЗА ПЛАЩАНИЯ</w:t>
      </w:r>
      <w:bookmarkEnd w:id="335"/>
      <w:bookmarkEnd w:id="336"/>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blHeader/>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37" w:name="DOC_TBL00106_1_1"/>
            <w:bookmarkEnd w:id="337"/>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милиони евро</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Извършени плащания</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Бюджетни кредити, пренесени за 2018 г.</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Бюджетни кредити, които губят сила</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Програма</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Общо</w:t>
            </w:r>
          </w:p>
          <w:p>
            <w:pPr>
              <w:pStyle w:val="Heading6pNormalCentered"/>
              <w:rPr>
                <w:rFonts w:eastAsia="Verdana" w:cs="Verdana"/>
              </w:rPr>
            </w:pPr>
            <w:r>
              <w:t>налични</w:t>
            </w:r>
          </w:p>
          <w:p>
            <w:pPr>
              <w:pStyle w:val="Heading6pNormalCentered"/>
              <w:rPr>
                <w:rFonts w:eastAsia="Verdana" w:cs="Verdana"/>
              </w:rPr>
            </w:pPr>
            <w:r>
              <w:t>бюдж. кредити</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w:t>
            </w:r>
          </w:p>
          <w:p>
            <w:pPr>
              <w:pStyle w:val="Heading6pNormalCentered"/>
              <w:rPr>
                <w:rFonts w:eastAsia="Verdana" w:cs="Verdana"/>
              </w:rPr>
            </w:pPr>
            <w:r>
              <w:t>окончателния</w:t>
            </w:r>
          </w:p>
          <w:p>
            <w:pPr>
              <w:pStyle w:val="Heading6pNormalCentered"/>
              <w:rPr>
                <w:rFonts w:eastAsia="Verdana" w:cs="Verdana"/>
              </w:rPr>
            </w:pPr>
            <w:r>
              <w:t>приет</w:t>
            </w:r>
          </w:p>
          <w:p>
            <w:pPr>
              <w:pStyle w:val="Heading6pNormalCentered"/>
              <w:rPr>
                <w:rFonts w:eastAsia="Verdana" w:cs="Verdana"/>
              </w:rPr>
            </w:pPr>
            <w:r>
              <w:t>бюджет</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w:t>
            </w:r>
          </w:p>
          <w:p>
            <w:pPr>
              <w:pStyle w:val="Heading6pNormalCentered"/>
              <w:rPr>
                <w:rFonts w:eastAsia="Verdana" w:cs="Verdana"/>
              </w:rPr>
            </w:pPr>
            <w:r>
              <w:t>преноси</w:t>
            </w:r>
          </w:p>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w:t>
            </w:r>
          </w:p>
          <w:p>
            <w:pPr>
              <w:pStyle w:val="Heading6pNormalCentered"/>
              <w:rPr>
                <w:rFonts w:eastAsia="Verdana" w:cs="Verdana"/>
              </w:rPr>
            </w:pPr>
            <w:r>
              <w:t>целеви</w:t>
            </w:r>
          </w:p>
          <w:p>
            <w:pPr>
              <w:pStyle w:val="Heading6pNormalCentered"/>
              <w:rPr>
                <w:rFonts w:eastAsia="Verdana" w:cs="Verdana"/>
              </w:rPr>
            </w:pPr>
            <w:r>
              <w:t>приходи</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Общо</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автоматич-</w:t>
            </w:r>
          </w:p>
          <w:p>
            <w:pPr>
              <w:pStyle w:val="Heading6pNormalCentered"/>
              <w:rPr>
                <w:rFonts w:eastAsia="Verdana" w:cs="Verdana"/>
              </w:rPr>
            </w:pPr>
            <w:r>
              <w:t>ни</w:t>
            </w:r>
          </w:p>
          <w:p>
            <w:pPr>
              <w:pStyle w:val="Heading6pNormalCentered"/>
              <w:rPr>
                <w:rFonts w:eastAsia="Verdana" w:cs="Verdana"/>
              </w:rPr>
            </w:pPr>
            <w:r>
              <w:t>преноси</w:t>
            </w:r>
          </w:p>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преноси</w:t>
            </w:r>
          </w:p>
          <w:p>
            <w:pPr>
              <w:pStyle w:val="Heading6pNormalCentered"/>
              <w:rPr>
                <w:rFonts w:eastAsia="Verdana" w:cs="Verdana"/>
              </w:rPr>
            </w:pPr>
          </w:p>
          <w:p>
            <w:pPr>
              <w:pStyle w:val="Heading6pNormalCentered"/>
              <w:rPr>
                <w:rFonts w:eastAsia="Verdana" w:cs="Verdana"/>
              </w:rPr>
            </w:pPr>
            <w:r>
              <w:t>с</w:t>
            </w:r>
          </w:p>
          <w:p>
            <w:pPr>
              <w:pStyle w:val="Heading6pNormalCentered"/>
              <w:rPr>
                <w:rFonts w:eastAsia="Verdana" w:cs="Verdana"/>
              </w:rPr>
            </w:pPr>
            <w:r>
              <w:t>решение</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целеви</w:t>
            </w:r>
          </w:p>
          <w:p>
            <w:pPr>
              <w:pStyle w:val="Heading6pNormalCentered"/>
              <w:rPr>
                <w:rFonts w:eastAsia="Verdana" w:cs="Verdana"/>
              </w:rPr>
            </w:pPr>
            <w:r>
              <w:t>приходи</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Общо</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w:t>
            </w:r>
          </w:p>
          <w:p>
            <w:pPr>
              <w:pStyle w:val="Heading6pNormalCentered"/>
              <w:rPr>
                <w:rFonts w:eastAsia="Verdana" w:cs="Verdana"/>
              </w:rPr>
            </w:pPr>
            <w:r>
              <w:t>окончателния</w:t>
            </w:r>
          </w:p>
          <w:p>
            <w:pPr>
              <w:pStyle w:val="Heading6pNormalCentered"/>
              <w:rPr>
                <w:rFonts w:eastAsia="Verdana" w:cs="Verdana"/>
              </w:rPr>
            </w:pPr>
            <w:r>
              <w:t>приет</w:t>
            </w:r>
          </w:p>
          <w:p>
            <w:pPr>
              <w:pStyle w:val="Heading6pNormalCentered"/>
              <w:rPr>
                <w:rFonts w:eastAsia="Verdana" w:cs="Verdana"/>
              </w:rPr>
            </w:pPr>
            <w:r>
              <w:t>бюджет</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w:t>
            </w:r>
          </w:p>
          <w:p>
            <w:pPr>
              <w:pStyle w:val="Heading6pNormalCentered"/>
              <w:rPr>
                <w:rFonts w:eastAsia="Verdana" w:cs="Verdana"/>
              </w:rPr>
            </w:pPr>
            <w:r>
              <w:t>преноси</w:t>
            </w:r>
          </w:p>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от</w:t>
            </w:r>
          </w:p>
          <w:p>
            <w:pPr>
              <w:pStyle w:val="Heading6pNormalCentered"/>
              <w:rPr>
                <w:rFonts w:eastAsia="Verdana" w:cs="Verdana"/>
              </w:rPr>
            </w:pPr>
            <w:r>
              <w:t>целеви</w:t>
            </w:r>
          </w:p>
          <w:p>
            <w:pPr>
              <w:pStyle w:val="Heading6pNormalCentered"/>
              <w:rPr>
                <w:rFonts w:eastAsia="Verdana" w:cs="Verdana"/>
              </w:rPr>
            </w:pPr>
            <w:r>
              <w:t>приходи</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Общо</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стратегически инвестиции (ЕФСИ)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спътникова навигация (EGNOS и „Галилео“)</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Международен термоядрен реактор (ITER)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програма за наблюдение на Земята („Коперник“)</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Ядрена безопасност и извеждане от експлоатация на ядрени съоръжения</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„Хоризонт 2020“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10 025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10 863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Програма на Евратом за научни изследвания и обучение</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на предприятията и на МСП (COSME)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Образование, обучение и спорт („Еразъм+“)</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Заетост и социални иновации (ЗиСИ)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„Митници“, „Фискалис“ и „Борба с измамите“</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Енергетика</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Транспорт</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Информационни и комуникационни технологии (ИКТ)</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Енергийни проекти за икономическо възстановяване (EERP)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правомощия на Комисията</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Общо функция 1.1 от МФР</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Регионално сближаване (по-слабо развити региони)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17 325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Региони в преход</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(по-развити региони)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Най-отдалечени и слабо населени региони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Кохезионен фонд</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Европейско териториално сътрудничество</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Техническа помощ</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европейско подпомагане на най-нуждаещите се лица (FEAD)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за младежка заетост</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свързване на Европа (МСЕ)</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Общо функция 1.2 от МФР</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11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1 от МФР</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49 698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7 220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57 030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3 977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4 098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гарантиране на земеделието (ЕФГЗ)</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Земеделски фонд за развитие на селските райони (ЕЗФРСР)</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11 113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морско дело и рибарство (ЕФМДР)</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Споразумения за партньорство в областта на устойчивото рибарство (СПОУР) и организации за управление на рибарството (РОУР)</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Околна среда и действия по климата (LIFE)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мерки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2 от МФР</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53 889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2 228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56 743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1 806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„Убежище, миграция и интеграция“ (ФУМИ)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„Потребители“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„Творческа Европа“</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Спешна подкрепа в рамките на Съюза (IES)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„Вътрешна сигурност“</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Информационни системи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Правосъдие</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Права, равенство и гражданство</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„Европа за гражданите“</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Храни и фуражи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Здравеопазване</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3 от МФР</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2 867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Предприсъединителна помощ (ИПП II)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Макрофинансова помощ (МФП)</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Гаранционен фонд за външни дейности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„Доброволци на ЕС за хуманитарна помощ“ (EUAV)</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устойчиво развитие (ЕФУР)</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инструмент за съседство (ЕИС)</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1 978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сътрудничество за развитие (ИСР)</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партньорство (ИП)</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Демокрация и права на човека (ЕИДПЧ)</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Стабилност и мир (IcSP)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Хуманитарна помощ</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Обща външна политика и политика на сигурност (ОВППС)</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Сътрудничество в областта на ядрената безопасност (INSC)</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4 от МФР</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8 610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89 %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1 136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Пенсии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училища</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Комисията</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другите институции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5 от МФР</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8 486</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9 656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1 129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Компенсации</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6 от МФР</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Отрицателен резерв</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Пренесен дефицит</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8 от МФР</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Резерв за спешна помощ (РСП)</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приспособяване към глобализацията (ЕФПГ)</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„Солидарност“ на Европейския съюз (ФСЕС)</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9 от МФР</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r>
        <w:br w:type="page"/>
      </w:r>
    </w:p>
    <w:p>
      <w:pPr>
        <w:pStyle w:val="HEADER2PartBUDG"/>
        <w:rPr>
          <w:noProof/>
        </w:rPr>
      </w:pPr>
      <w:bookmarkStart w:id="338" w:name="_Toc517434344"/>
      <w:bookmarkStart w:id="339" w:name="_Toc522890507"/>
      <w:r>
        <w:rPr>
          <w:noProof/>
        </w:rPr>
        <w:t>ПОДРОБНА МФР: ДВИЖЕНИЯ НА НЕИЗПЪЛНЕНИТЕ ПОЕТИ ЗАДЪЛЖЕНИЯ (RAL)</w:t>
      </w:r>
      <w:bookmarkEnd w:id="338"/>
      <w:bookmarkEnd w:id="339"/>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40" w:name="DOC_TBL00107_1_1"/>
            <w:bookmarkEnd w:id="340"/>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Неизпълнени поети задължения към края на предходната година</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Поети задължения за текущата година</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Общо поети задълж.  неизпълнени към края на годината</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Програма</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Задълж., пренесени от предх. година</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Отменени задълж./</w:t>
            </w:r>
          </w:p>
          <w:p>
            <w:pPr>
              <w:pStyle w:val="Heading6pBoldNarrowCentred"/>
              <w:rPr>
                <w:rFonts w:eastAsia="Verdana" w:cs="Verdana"/>
                <w:b w:val="0"/>
              </w:rPr>
            </w:pPr>
            <w:r>
              <w:rPr>
                <w:b w:val="0"/>
              </w:rPr>
              <w:t>преоценки/</w:t>
            </w:r>
          </w:p>
          <w:p>
            <w:pPr>
              <w:pStyle w:val="Heading6pBoldNarrowCentred"/>
              <w:rPr>
                <w:rFonts w:eastAsia="Verdana" w:cs="Verdana"/>
                <w:b w:val="0"/>
              </w:rPr>
            </w:pPr>
            <w:r>
              <w:rPr>
                <w:b w:val="0"/>
              </w:rPr>
              <w:t>отмени</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Плащания</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Неизпълнени поети задължения към края на годината</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Задължения, поети през годината</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Плащания</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Отмяна на поетите задължения, които не могат да бъдат пренесени</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Неизпълнени поети задължения към края на годината</w:t>
            </w:r>
          </w:p>
        </w:tc>
        <w:tc>
          <w:tcPr>
            <w:tcW w:w="1417"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стратегически инвестиции (ЕФСИ)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спътникова навигация (EGNOS и „Галилео“)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Международен термоядрен реактор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програма за наблюдение на Земята („Коперник“)</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Ядрена безопасност и извеждане от експлоатация на ядрени съоръжения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„Хоризонт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Програма на Евратом за научни изследвания и обучение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на предприятията и на МСП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Образование, обучение и спорт („Еразъм+“)</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Заетост и социални иновации (ЗиСИ)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„Митници“, „Фискалис“ и „Борба с измамите“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Енергетика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Транспорт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3 892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Информационни и комуникационни технологии (ИКТ)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Енергийни проекти за икономическо възстановяване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правомощия на Комисията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Общо функция 1.1 от МФР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Регионално сближаване (по-слабо развити региони)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71 813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Региони в преход</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9 888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(по-развити региони)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22 235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(5 340)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16 542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Най-отдалечени и слабо населени региони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Кохезионен фонд</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23 497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14 216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Европейско териториално сътрудничество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Техническа помощ</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европейско подпомагане на най-нуждаещите се лица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за младежка заетост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свързване на Европа (МСЕ)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Общо функция 1.2 от МФР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1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гарантиране на земеделието (ЕФГЗ)</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Земеделски фонд за развитие на селските райони (ЕЗФРСР)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29 641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18 567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морско дело и рибарство (ЕФМДР)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2 595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Споразумения за партньорство в областта на устойчивото рибарство (СПОУР) и организации за управление на рибарството (РОУР)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Околна среда и действия по климата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мерки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2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„Убежище, миграция и интеграция“ (ФУМИ)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„Потребители“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„Творческа Европа“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Спешна подкрепа в рамките на Съюза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„Вътрешна сигурност“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Информационни системи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Правосъдие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Права, равенство и гражданство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„Европа за гражданите“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Храни и фуражи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Здравеопазване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3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Предприсъединителна помощ (ИПП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6 400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4 936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Макрофинансова помощ (МФП)</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Гаранционен фонд за външни дейности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„Доброволци на ЕС за хуманитарна помощ“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устойчиво развитие (ЕФУР)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инструмент за съседство (ЕИС)</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7 344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сътрудничество за развитие (ИСР)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5 732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партньорство (ИП)</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Демокрация и права на човека (ЕИДПЧ)</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Стабилност и мир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Хуманитарна помощ</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spacing w:val="-6"/>
              </w:rPr>
            </w:pPr>
            <w:r>
              <w:rPr>
                <w:spacing w:val="-6"/>
              </w:rPr>
              <w:t>Обща външна политика и политика на сигурност (ОВППС)</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Сътрудничество в областта на ядрената безопасност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4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Пенсии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училища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Комисията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другите институции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5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Компенсации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6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Отрицателен резерв</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Пренесен дефицит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8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Резерв за спешна помощ (РСП)</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приспособяване към глобализацията (ЕФПГ)</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„Солидарност“ на Европейския съюз (ФСЕС)</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9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pPr>
    </w:p>
    <w:p>
      <w:pPr>
        <w:pStyle w:val="DGTextstand-alone"/>
      </w:pPr>
    </w:p>
    <w:p>
      <w:pPr>
        <w:rPr>
          <w:rFonts w:ascii="Verdana" w:eastAsia="Calibri" w:hAnsi="Verdana" w:cs="Times New Roman"/>
          <w:noProof/>
          <w:sz w:val="18"/>
          <w:szCs w:val="18"/>
          <w:bdr w:val="nil"/>
        </w:rPr>
      </w:pPr>
      <w:r>
        <w:rPr>
          <w:noProof/>
        </w:rPr>
        <w:br w:type="page"/>
      </w:r>
    </w:p>
    <w:p>
      <w:pPr>
        <w:pStyle w:val="HEADER2PartBUDG"/>
        <w:rPr>
          <w:noProof/>
        </w:rPr>
      </w:pPr>
      <w:bookmarkStart w:id="341" w:name="_Toc517434345"/>
      <w:bookmarkStart w:id="342" w:name="_Toc522890508"/>
      <w:r>
        <w:rPr>
          <w:noProof/>
        </w:rPr>
        <w:t>ПОДРОБНА МФР: НЕИЗПЪЛНЕНИ ПОЕТИ ЗАДЪЛЖЕНИЯ ПО ГОДИНИ НА ВЪЗНИКВАНЕ</w:t>
      </w:r>
      <w:bookmarkEnd w:id="341"/>
      <w:bookmarkEnd w:id="342"/>
    </w:p>
    <w:p>
      <w:pPr>
        <w:pStyle w:val="DGTextstand-alone"/>
        <w:spacing w:before="0" w:after="0"/>
      </w:pPr>
      <w:bookmarkStart w:id="343" w:name="_1_1"/>
      <w:bookmarkEnd w:id="343"/>
      <w: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44" w:name="DOC_TBL00108_1_1"/>
            <w:bookmarkEnd w:id="344"/>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Програма</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Общо</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стратегически инвестиции (ЕФСИ)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спътникова навигация (EGNOS и „Галилео“)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Международен термоядрен реактор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Европейска програма за наблюдение на Земята („Коперник“)</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Ядрена безопасност и извеждане от експлоатация на ядрени съоръжения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„Хоризонт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Програма на Евратом за научни изследвания и обучение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на предприятията и на МСП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Образование, обучение и спорт („Еразъм+“)</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Заетост и социални иновации (ЗиСИ)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„Митници“, „Фискалис“ и „Борба с измамите“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Енергетика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Транспорт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МСЕ — Информационни и комуникационни технологии (ИКТ)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Енергийни проекти за икономическо възстановяване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правомощия на Комисията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Общо функция 1.1 от МФР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Регионално сближаване (по-слабо развити региони)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23 744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Региони в преход</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Конкурентоспособност (по-развити региони)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Най-отдалечени и слабо населени региони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Кохезионен фонд</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8 418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Европейско териториално сътрудничество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Техническа помощ</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европейско подпомагане на най-нуждаещите се лица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за младежка заетост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свързване на Европа (МСЕ)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Общо функция 1.2 от МФР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1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гарантиране на земеделието (ЕФГЗ)</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Земеделски фонд за развитие на селските райони (ЕЗФРСР)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13 378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морско дело и рибарство (ЕФМДР)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Споразумения за партньорство в областта на устойчивото рибарство (СПОУР) и организации за управление на рибарството (РОУР)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Околна среда и действия по климата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мерки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2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„Убежище, миграция и интеграция“ (ФУМИ)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„Потребители“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„Творческа Европа“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Спешна подкрепа в рамките на Съюза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„Вътрешна сигурност“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Информационни системи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Правосъдие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Права, равенство и гражданство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„Европа за гражданите“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Храни и фуражи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Здравеопазване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3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Предприсъединителна помощ (ИПП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Макрофинансова помощ (МФП)</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Гаранционен фонд за външни дейности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Механизъм за гражданска защита на Съюза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Инициатива „Доброволци на ЕС за хуманитарна помощ“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за устойчиво развитие (ЕФУР)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инструмент за съседство (ЕИС)</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сътрудничество за развитие (ИСР)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1 879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Инструмент за партньорство (ИП)</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Демокрация и права на човека (ЕИДПЧ)</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Стабилност и мир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Хуманитарна помощ</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Обща външна политика и политика на сигурност (ОВППС)</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Сътрудничество в областта на ядрената безопасност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Други дейности и програми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Специфични дейности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4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Пенсии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училища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Децентрализирани агенции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Пилотни проекти и подготвителни действия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Комисията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Административни разходи на другите институции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5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Компенсации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6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Отрицателен резерв</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Пренесен дефицит</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8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Резерв за спешна помощ (РСП)</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Европейски фонд за приспособяване към глобализацията (ЕФПГ)</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Фонд „Солидарност“ на Европейския съюз (ФСЕС)</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Общо функция 9 от МФР</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rPr>
          <w:rFonts w:ascii="Verdana" w:eastAsia="Calibri" w:hAnsi="Verdana"/>
          <w:noProof/>
          <w:sz w:val="18"/>
          <w:szCs w:val="18"/>
        </w:rPr>
        <w:sectPr>
          <w:headerReference w:type="even" r:id="rId492"/>
          <w:headerReference w:type="default" r:id="rId493"/>
          <w:footerReference w:type="even" r:id="rId494"/>
          <w:footerReference w:type="default" r:id="rId495"/>
          <w:headerReference w:type="first" r:id="rId496"/>
          <w:footerReference w:type="first" r:id="rId497"/>
          <w:type w:val="nextColumn"/>
          <w:pgSz w:w="16840" w:h="11900" w:orient="landscape"/>
          <w:pgMar w:top="1134" w:right="1134" w:bottom="1134" w:left="1134" w:header="720" w:footer="720" w:gutter="0"/>
          <w:cols w:space="720"/>
          <w:docGrid w:linePitch="272"/>
        </w:sectPr>
      </w:pPr>
      <w:r>
        <w:rPr>
          <w:noProof/>
        </w:rPr>
        <w:br w:type="page"/>
      </w:r>
      <w:bookmarkEnd w:id="311"/>
    </w:p>
    <w:p>
      <w:pPr>
        <w:pStyle w:val="HEADER1PartBUDG"/>
        <w:rPr>
          <w:noProof/>
        </w:rPr>
      </w:pPr>
      <w:bookmarkStart w:id="345" w:name="_Toc517434346"/>
      <w:bookmarkStart w:id="346" w:name="_Toc522890509"/>
      <w:bookmarkStart w:id="347" w:name="_DMBM_11454"/>
      <w:r>
        <w:rPr>
          <w:noProof/>
        </w:rPr>
        <w:t>ИЗПЪЛНЕНИЕ НА БЮДЖЕТА ПО ИНСТИТУЦИИ</w:t>
      </w:r>
      <w:bookmarkEnd w:id="345"/>
      <w:bookmarkEnd w:id="346"/>
    </w:p>
    <w:p>
      <w:pPr>
        <w:pStyle w:val="HEADER2PartBUDG"/>
        <w:rPr>
          <w:noProof/>
        </w:rPr>
      </w:pPr>
      <w:bookmarkStart w:id="348" w:name="_Toc517434347"/>
      <w:bookmarkStart w:id="349" w:name="_Toc522890510"/>
      <w:r>
        <w:rPr>
          <w:noProof/>
        </w:rPr>
        <w:t>ИЗПЪЛНЕНИЕ НА БЮДЖЕТНИТЕ ПРИХОДИ</w:t>
      </w:r>
      <w:bookmarkEnd w:id="348"/>
      <w:bookmarkEnd w:id="349"/>
      <w:r>
        <w:rPr>
          <w:noProof/>
        </w:rPr>
        <w:t xml:space="preserve"> </w:t>
      </w:r>
    </w:p>
    <w:tbl>
      <w:tblPr>
        <w:tblW w:w="1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0"/>
        <w:gridCol w:w="1281"/>
        <w:gridCol w:w="1276"/>
        <w:gridCol w:w="1276"/>
        <w:gridCol w:w="1275"/>
        <w:gridCol w:w="1276"/>
        <w:gridCol w:w="1276"/>
        <w:gridCol w:w="1134"/>
        <w:gridCol w:w="1333"/>
      </w:tblGrid>
      <w:tr>
        <w:tc>
          <w:tcPr>
            <w:tcW w:w="266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0" w:name="DOC_TBL00109_1_1"/>
            <w:bookmarkEnd w:id="350"/>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467"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2660"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546"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Бюджетни кредити от приходи</w:t>
            </w:r>
          </w:p>
        </w:tc>
        <w:tc>
          <w:tcPr>
            <w:tcW w:w="383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Установени вземания</w:t>
            </w:r>
          </w:p>
        </w:tc>
        <w:tc>
          <w:tcPr>
            <w:tcW w:w="382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Приходи</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Приходи като % от бюджета</w:t>
            </w: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Дължими</w:t>
            </w:r>
          </w:p>
        </w:tc>
      </w:tr>
      <w:tr>
        <w:tc>
          <w:tcPr>
            <w:tcW w:w="266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jc w:val="center"/>
              <w:rPr>
                <w:rFonts w:eastAsia="Verdana" w:cs="Verdana"/>
                <w:noProof/>
              </w:rPr>
            </w:pPr>
            <w:r>
              <w:rPr>
                <w:noProof/>
              </w:rPr>
              <w:t>Институция</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Първоначален приет бюджет</w:t>
            </w:r>
          </w:p>
        </w:tc>
        <w:tc>
          <w:tcPr>
            <w:tcW w:w="127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Окончателен приет бюджет</w:t>
            </w:r>
          </w:p>
        </w:tc>
        <w:tc>
          <w:tcPr>
            <w:tcW w:w="128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Текуща година</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Пренесени</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Общо</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От вземания за текущата година</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От пренесени вземания</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Общо</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rPr>
            </w:pP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jc w:val="center"/>
              <w:rPr>
                <w:rFonts w:eastAsia="Verdana" w:cs="Verdana"/>
                <w:noProof/>
                <w:color w:val="auto"/>
              </w:rPr>
            </w:pP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парламент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207</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съвет и Съвет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149 %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Комисия</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134 139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126 419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140 350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6 883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147 234</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135 846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3 177</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139 023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8 210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Съд</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52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Сметна палата</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и социален комитет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Комитет на регионите</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Омбудсман</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надзорен орган по защита на данните</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служба за външна дейност</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134 490</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126 771</w:t>
            </w:r>
          </w:p>
        </w:tc>
        <w:tc>
          <w:tcPr>
            <w:tcW w:w="128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141 020</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6 906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147 926</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136 509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3 182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110 %</w:t>
            </w:r>
          </w:p>
        </w:tc>
        <w:tc>
          <w:tcPr>
            <w:tcW w:w="133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8 235</w:t>
            </w:r>
          </w:p>
        </w:tc>
      </w:tr>
    </w:tbl>
    <w:p>
      <w:pPr>
        <w:pStyle w:val="DGTextstand-alone"/>
      </w:pPr>
      <w:r>
        <w:t xml:space="preserve">Консолидираните отчети за изпълнението на общия бюджет на ЕС включват, както през предходни години, изпълнението на бюджета на всички институции, тъй като в рамките на бюджета на ЕС се съставя отделен бюджет за всяка институция. Агенциите не разполагат с отделен бюджет в бюджета на ЕС и се финансират частично със субсидия от бюджета на Комисията. </w:t>
      </w:r>
    </w:p>
    <w:p>
      <w:pPr>
        <w:pStyle w:val="DGTextstand-alone"/>
      </w:pPr>
      <w:r>
        <w:t xml:space="preserve">Що се отнася до ЕСВД, следва да се отбележи, че в допълнение към своя бюджет тя получава и средства от Комисията в размер на 144 милиона евро (2016 г.: 140 милиона евро) и от ЕФР в размер на 72 милиона евро (2016 г.: 44 милиона евро). Тези бюджетни кредити се предоставят на ЕСВД (като целеви приходи) с цел покриване предимно на разходите за персонала на Комисията, който работи в делегациите на ЕС. Тези делегации се управляват административно от ЕСВД.  </w:t>
      </w:r>
    </w:p>
    <w:p>
      <w:pPr>
        <w:pStyle w:val="DGTextstand-alone"/>
        <w:rPr>
          <w:rFonts w:eastAsia="Verdana" w:cs="Verdana"/>
          <w:sz w:val="25"/>
          <w:szCs w:val="25"/>
          <w:highlight w:val="yellow"/>
        </w:rPr>
        <w:sectPr>
          <w:headerReference w:type="even" r:id="rId498"/>
          <w:headerReference w:type="default" r:id="rId499"/>
          <w:footerReference w:type="even" r:id="rId500"/>
          <w:footerReference w:type="default" r:id="rId501"/>
          <w:headerReference w:type="first" r:id="rId502"/>
          <w:footerReference w:type="first" r:id="rId503"/>
          <w:pgSz w:w="16840" w:h="11900" w:orient="landscape"/>
          <w:pgMar w:top="1134" w:right="1134" w:bottom="1134" w:left="1134" w:header="708" w:footer="708" w:gutter="0"/>
          <w:cols w:space="720"/>
        </w:sectPr>
      </w:pPr>
    </w:p>
    <w:p>
      <w:pPr>
        <w:pStyle w:val="HEADER2PartBUDG"/>
        <w:rPr>
          <w:noProof/>
        </w:rPr>
      </w:pPr>
      <w:bookmarkStart w:id="351" w:name="_Toc517434348"/>
      <w:bookmarkStart w:id="352" w:name="_Toc522890511"/>
      <w:r>
        <w:rPr>
          <w:noProof/>
        </w:rPr>
        <w:t>ИЗПЪЛНЕНИЕ НА БЮДЖЕТНИТЕ КРЕДИТИ ЗА ПОЕТИ ЗАДЪЛЖЕНИЯ</w:t>
      </w:r>
      <w:bookmarkEnd w:id="351"/>
      <w:bookmarkEnd w:id="352"/>
    </w:p>
    <w:p>
      <w:pPr>
        <w:ind w:left="148" w:right="113"/>
        <w:jc w:val="right"/>
        <w:rPr>
          <w:rFonts w:ascii="Verdana" w:eastAsia="Verdana" w:hAnsi="Verdana" w:cs="Verdana"/>
          <w:noProof/>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133"/>
        <w:gridCol w:w="1134"/>
        <w:gridCol w:w="992"/>
        <w:gridCol w:w="993"/>
        <w:gridCol w:w="1134"/>
        <w:gridCol w:w="850"/>
        <w:gridCol w:w="851"/>
        <w:gridCol w:w="992"/>
        <w:gridCol w:w="944"/>
        <w:gridCol w:w="1040"/>
        <w:gridCol w:w="1136"/>
        <w:gridCol w:w="993"/>
        <w:gridCol w:w="993"/>
      </w:tblGrid>
      <w:tr>
        <w:tc>
          <w:tcPr>
            <w:tcW w:w="1949" w:type="dxa"/>
            <w:tcBorders>
              <w:top w:val="nil"/>
              <w:left w:val="nil"/>
              <w:bottom w:val="nil"/>
              <w:right w:val="nil"/>
            </w:tcBorders>
            <w:shd w:val="clear" w:color="auto" w:fill="auto"/>
            <w:tcMar>
              <w:top w:w="0" w:type="dxa"/>
              <w:left w:w="57" w:type="dxa"/>
              <w:bottom w:w="0" w:type="dxa"/>
              <w:right w:w="57" w:type="dxa"/>
            </w:tcMar>
          </w:tcPr>
          <w:p>
            <w:pPr>
              <w:pStyle w:val="Text8pItalicLeft"/>
              <w:rPr>
                <w:rFonts w:eastAsia="Verdana" w:cs="Verdana"/>
                <w:color w:val="FFFFFF"/>
              </w:rPr>
            </w:pPr>
            <w:bookmarkStart w:id="353" w:name="DOC_TBL00110_1_1"/>
            <w:bookmarkEnd w:id="353"/>
          </w:p>
        </w:tc>
        <w:tc>
          <w:tcPr>
            <w:tcW w:w="113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4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04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6"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986" w:type="dxa"/>
            <w:gridSpan w:val="2"/>
            <w:tcBorders>
              <w:top w:val="nil"/>
              <w:left w:val="nil"/>
              <w:bottom w:val="nil"/>
              <w:right w:val="nil"/>
            </w:tcBorders>
            <w:shd w:val="clear" w:color="auto" w:fill="auto"/>
            <w:tcMar>
              <w:top w:w="0" w:type="dxa"/>
              <w:left w:w="57" w:type="dxa"/>
              <w:bottom w:w="0" w:type="dxa"/>
              <w:right w:w="57" w:type="dxa"/>
            </w:tcMar>
          </w:tcPr>
          <w:p>
            <w:pPr>
              <w:pStyle w:val="Text7pItalicRight025"/>
              <w:rPr>
                <w:rFonts w:eastAsia="Verdana" w:cs="Verdana"/>
              </w:rPr>
            </w:pPr>
            <w:r>
              <w:t>милиони евро</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5103" w:type="dxa"/>
            <w:gridSpan w:val="5"/>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Поети задължения</w:t>
            </w:r>
          </w:p>
        </w:tc>
        <w:tc>
          <w:tcPr>
            <w:tcW w:w="2787" w:type="dxa"/>
            <w:gridSpan w:val="3"/>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Бюджетни кредити, пренесени за 2018 г.</w:t>
            </w:r>
          </w:p>
        </w:tc>
        <w:tc>
          <w:tcPr>
            <w:tcW w:w="4162" w:type="dxa"/>
            <w:gridSpan w:val="4"/>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Бюджетни кредити, които губят сила</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Институция</w:t>
            </w: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Общо налични бюджетни кредити</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от окончателния приет бюджет</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от пренасяния</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от целеви приходи</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Общо</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от целеви приходи</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пренасяния с решение</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Общо</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от окончателния приет бюджет</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от пренасяния</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от целеви приходи</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Общо</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1</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2</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3</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4</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5=2+3+4</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6=5/1</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7</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8</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9=7+8</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10</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11</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12</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13=10+ 11+12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Европейски парламент</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1 999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1 890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Европейски съвет и Съвет</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609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518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542</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Комисия</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172 231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154 892</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566</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11 551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167 009</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4 195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788</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4 983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Съд</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401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394</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Сметна палата</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141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Икономически и социален комитет</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129</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133</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96 %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Комитет на регионите</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Омбудсман</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Европейски надзорен орган по защита на данните</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Европейска служба за външна дейност</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937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658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221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880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CCE1EA"/>
            <w:tcMar>
              <w:top w:w="0" w:type="dxa"/>
              <w:left w:w="57" w:type="dxa"/>
              <w:bottom w:w="0" w:type="dxa"/>
              <w:right w:w="57" w:type="dxa"/>
            </w:tcMar>
            <w:vAlign w:val="center"/>
          </w:tcPr>
          <w:p>
            <w:pPr>
              <w:pStyle w:val="Text7pBoldLeft"/>
              <w:rPr>
                <w:rFonts w:eastAsia="Verdana" w:cs="Verdana"/>
              </w:rPr>
            </w:pPr>
            <w:r>
              <w:t>Общо</w:t>
            </w:r>
          </w:p>
        </w:tc>
        <w:tc>
          <w:tcPr>
            <w:tcW w:w="113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176 576</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158 730</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567</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11 854</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171 150</w:t>
            </w:r>
          </w:p>
        </w:tc>
        <w:tc>
          <w:tcPr>
            <w:tcW w:w="85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97 %</w:t>
            </w:r>
          </w:p>
        </w:tc>
        <w:tc>
          <w:tcPr>
            <w:tcW w:w="851"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4 315</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788</w:t>
            </w:r>
          </w:p>
        </w:tc>
        <w:tc>
          <w:tcPr>
            <w:tcW w:w="94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5 103</w:t>
            </w:r>
          </w:p>
        </w:tc>
        <w:tc>
          <w:tcPr>
            <w:tcW w:w="104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314</w:t>
            </w:r>
          </w:p>
        </w:tc>
        <w:tc>
          <w:tcPr>
            <w:tcW w:w="1136"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0</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323</w:t>
            </w:r>
          </w:p>
        </w:tc>
      </w:tr>
    </w:tbl>
    <w:p>
      <w:pPr>
        <w:pStyle w:val="DGTextstand-alone"/>
        <w:sectPr>
          <w:headerReference w:type="even" r:id="rId504"/>
          <w:headerReference w:type="default" r:id="rId505"/>
          <w:footerReference w:type="even" r:id="rId506"/>
          <w:footerReference w:type="default" r:id="rId507"/>
          <w:headerReference w:type="first" r:id="rId508"/>
          <w:footerReference w:type="first" r:id="rId509"/>
          <w:type w:val="nextColumn"/>
          <w:pgSz w:w="16840" w:h="11900" w:orient="landscape"/>
          <w:pgMar w:top="1134" w:right="1134" w:bottom="1134" w:left="1134" w:header="720" w:footer="720" w:gutter="0"/>
          <w:cols w:space="720"/>
        </w:sectPr>
      </w:pPr>
      <w:r>
        <w:t xml:space="preserve">       </w:t>
      </w:r>
    </w:p>
    <w:p>
      <w:pPr>
        <w:pStyle w:val="HEADER2PartBUDG"/>
        <w:rPr>
          <w:noProof/>
        </w:rPr>
      </w:pPr>
      <w:bookmarkStart w:id="354" w:name="_Toc517434349"/>
      <w:bookmarkStart w:id="355" w:name="_Toc522890512"/>
      <w:r>
        <w:rPr>
          <w:noProof/>
        </w:rPr>
        <w:t>ИЗПЪЛНЕНИЕ НА БЮДЖЕТНИТЕ КРЕДИТИ ЗА ПЛАЩАНИЯ</w:t>
      </w:r>
      <w:bookmarkEnd w:id="354"/>
      <w:bookmarkEnd w:id="355"/>
      <w:r>
        <w:rPr>
          <w:noProof/>
        </w:rPr>
        <w:t xml:space="preserve"> </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128"/>
        <w:gridCol w:w="988"/>
        <w:gridCol w:w="985"/>
        <w:gridCol w:w="988"/>
        <w:gridCol w:w="988"/>
        <w:gridCol w:w="705"/>
        <w:gridCol w:w="988"/>
        <w:gridCol w:w="985"/>
        <w:gridCol w:w="988"/>
        <w:gridCol w:w="848"/>
        <w:gridCol w:w="845"/>
        <w:gridCol w:w="988"/>
        <w:gridCol w:w="845"/>
        <w:gridCol w:w="1028"/>
      </w:tblGrid>
      <w:tr>
        <w:tc>
          <w:tcPr>
            <w:tcW w:w="1903"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bookmarkStart w:id="356" w:name="DOC_TBL00111_1_1"/>
            <w:bookmarkEnd w:id="356"/>
          </w:p>
        </w:tc>
        <w:tc>
          <w:tcPr>
            <w:tcW w:w="112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70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84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1873" w:type="dxa"/>
            <w:gridSpan w:val="2"/>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r>
              <w:t>милиони евро</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color w:val="auto"/>
              </w:rPr>
            </w:pPr>
          </w:p>
        </w:tc>
        <w:tc>
          <w:tcPr>
            <w:tcW w:w="4654" w:type="dxa"/>
            <w:gridSpan w:val="5"/>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Извършени плащания</w:t>
            </w:r>
          </w:p>
        </w:tc>
        <w:tc>
          <w:tcPr>
            <w:tcW w:w="3809"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Бюджетни кредити, пренесени за 2018 г.</w:t>
            </w:r>
          </w:p>
        </w:tc>
        <w:tc>
          <w:tcPr>
            <w:tcW w:w="3706"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Бюджетни кредити, които губят сила</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Институция</w:t>
            </w: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Общо налични бюджетни кредити</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от</w:t>
            </w:r>
          </w:p>
          <w:p>
            <w:pPr>
              <w:pStyle w:val="Heading7pNormalCentered"/>
              <w:rPr>
                <w:rFonts w:eastAsia="Verdana" w:cs="Verdana"/>
              </w:rPr>
            </w:pPr>
            <w:r>
              <w:t>окончателния</w:t>
            </w:r>
          </w:p>
          <w:p>
            <w:pPr>
              <w:pStyle w:val="Heading7pNormalCentered"/>
              <w:rPr>
                <w:rFonts w:eastAsia="Verdana" w:cs="Verdana"/>
              </w:rPr>
            </w:pPr>
            <w:r>
              <w:t>приет</w:t>
            </w:r>
          </w:p>
          <w:p>
            <w:pPr>
              <w:pStyle w:val="Heading7pNormalCentered"/>
              <w:rPr>
                <w:rFonts w:eastAsia="Verdana" w:cs="Verdana"/>
              </w:rPr>
            </w:pPr>
            <w:r>
              <w:t>бюджет</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от</w:t>
            </w:r>
          </w:p>
          <w:p>
            <w:pPr>
              <w:pStyle w:val="Heading7pNormalCentered"/>
              <w:rPr>
                <w:rFonts w:eastAsia="Verdana" w:cs="Verdana"/>
              </w:rPr>
            </w:pPr>
            <w:r>
              <w:t>преноси</w:t>
            </w:r>
          </w:p>
          <w:p>
            <w:pPr>
              <w:pStyle w:val="Heading7pNormalCentered"/>
              <w:rPr>
                <w:rFonts w:eastAsia="Verdana" w:cs="Verdana"/>
              </w:rPr>
            </w:pP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от</w:t>
            </w:r>
          </w:p>
          <w:p>
            <w:pPr>
              <w:pStyle w:val="Heading7pNormalCentered"/>
              <w:rPr>
                <w:rFonts w:eastAsia="Verdana" w:cs="Verdana"/>
              </w:rPr>
            </w:pPr>
            <w:r>
              <w:t>целеви</w:t>
            </w:r>
          </w:p>
          <w:p>
            <w:pPr>
              <w:pStyle w:val="Heading7pNormalCentered"/>
              <w:rPr>
                <w:rFonts w:eastAsia="Verdana" w:cs="Verdana"/>
              </w:rPr>
            </w:pPr>
            <w:r>
              <w:t>приходи</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Общо</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автоматични пренасяния</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преноси</w:t>
            </w:r>
          </w:p>
          <w:p>
            <w:pPr>
              <w:pStyle w:val="Heading7pNormalCentered"/>
              <w:rPr>
                <w:rFonts w:eastAsia="Verdana" w:cs="Verdana"/>
              </w:rPr>
            </w:pPr>
          </w:p>
          <w:p>
            <w:pPr>
              <w:pStyle w:val="Heading7pNormalCentered"/>
              <w:rPr>
                <w:rFonts w:eastAsia="Verdana" w:cs="Verdana"/>
              </w:rPr>
            </w:pPr>
            <w:r>
              <w:t>с</w:t>
            </w:r>
          </w:p>
          <w:p>
            <w:pPr>
              <w:pStyle w:val="Heading7pNormalCentered"/>
              <w:rPr>
                <w:rFonts w:eastAsia="Verdana" w:cs="Verdana"/>
              </w:rPr>
            </w:pPr>
            <w:r>
              <w:t>решение</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от целеви приходи</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Общо</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от</w:t>
            </w:r>
          </w:p>
          <w:p>
            <w:pPr>
              <w:pStyle w:val="Heading7pNormalCentered"/>
              <w:rPr>
                <w:rFonts w:eastAsia="Verdana" w:cs="Verdana"/>
              </w:rPr>
            </w:pPr>
            <w:r>
              <w:t>окончателния</w:t>
            </w:r>
          </w:p>
          <w:p>
            <w:pPr>
              <w:pStyle w:val="Heading7pNormalCentered"/>
              <w:rPr>
                <w:rFonts w:eastAsia="Verdana" w:cs="Verdana"/>
              </w:rPr>
            </w:pPr>
            <w:r>
              <w:t>приет</w:t>
            </w:r>
          </w:p>
          <w:p>
            <w:pPr>
              <w:pStyle w:val="Heading7pNormalCentered"/>
              <w:rPr>
                <w:rFonts w:eastAsia="Verdana" w:cs="Verdana"/>
              </w:rPr>
            </w:pPr>
            <w:r>
              <w:t>бюджет</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от</w:t>
            </w:r>
          </w:p>
          <w:p>
            <w:pPr>
              <w:pStyle w:val="Heading7pNormalCentered"/>
              <w:rPr>
                <w:rFonts w:eastAsia="Verdana" w:cs="Verdana"/>
              </w:rPr>
            </w:pPr>
            <w:r>
              <w:t>преноси</w:t>
            </w:r>
          </w:p>
          <w:p>
            <w:pPr>
              <w:pStyle w:val="Heading7pNormalCentered"/>
              <w:rPr>
                <w:rFonts w:eastAsia="Verdana" w:cs="Verdana"/>
              </w:rPr>
            </w:pP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от</w:t>
            </w:r>
          </w:p>
          <w:p>
            <w:pPr>
              <w:pStyle w:val="Heading7pNormalCentered"/>
              <w:rPr>
                <w:rFonts w:eastAsia="Verdana" w:cs="Verdana"/>
              </w:rPr>
            </w:pPr>
            <w:r>
              <w:t>целеви</w:t>
            </w:r>
          </w:p>
          <w:p>
            <w:pPr>
              <w:pStyle w:val="Heading7pNormalCentered"/>
              <w:rPr>
                <w:rFonts w:eastAsia="Verdana" w:cs="Verdana"/>
              </w:rPr>
            </w:pPr>
            <w:r>
              <w:t>приходи</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Общо</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2</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3</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4</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5=2+3+4</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6=5/1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7</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8</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9</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10=7+8+9</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12</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13</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Европейски парламент</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2 285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1 600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263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1 904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290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48</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338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42</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Европейски съвет и Съвет</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671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466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547</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81 %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24</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75</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44</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50</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Комисия</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141 230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121 328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1 167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10 800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133 294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94 %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458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6 359</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7 680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255</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Съд</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423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373</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19</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Сметна палата</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151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138</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92 %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Икономически и социален комитет</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147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120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131</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89 %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Комитет на регионите</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105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84</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88 %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Омбудсман</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Европейски надзорен орган по защита на данните</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Европейска служба за външна дейност</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1 035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163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w:t>
            </w:r>
          </w:p>
        </w:tc>
      </w:tr>
      <w:tr>
        <w:trPr>
          <w:trHeight w:val="227"/>
        </w:trPr>
        <w:tc>
          <w:tcPr>
            <w:tcW w:w="1903" w:type="dxa"/>
            <w:tcBorders>
              <w:top w:val="nil"/>
              <w:left w:val="nil"/>
              <w:bottom w:val="nil"/>
              <w:right w:val="nil"/>
            </w:tcBorders>
            <w:shd w:val="clear" w:color="auto" w:fill="CCE1EA"/>
            <w:tcMar>
              <w:top w:w="0" w:type="dxa"/>
              <w:left w:w="85" w:type="dxa"/>
              <w:bottom w:w="0" w:type="dxa"/>
              <w:right w:w="57" w:type="dxa"/>
            </w:tcMar>
            <w:vAlign w:val="center"/>
          </w:tcPr>
          <w:p>
            <w:pPr>
              <w:pStyle w:val="Text7pBoldLeft"/>
              <w:rPr>
                <w:rFonts w:eastAsia="Verdana" w:cs="Verdana"/>
              </w:rPr>
            </w:pPr>
            <w:r>
              <w:t>Общо</w:t>
            </w:r>
          </w:p>
        </w:tc>
        <w:tc>
          <w:tcPr>
            <w:tcW w:w="11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146 071</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124 691</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1 615</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11 073</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137 379</w:t>
            </w:r>
          </w:p>
        </w:tc>
        <w:tc>
          <w:tcPr>
            <w:tcW w:w="70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94 %</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1 338</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458</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6 512</w:t>
            </w:r>
          </w:p>
        </w:tc>
        <w:tc>
          <w:tcPr>
            <w:tcW w:w="84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8 308</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284</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99</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0</w:t>
            </w:r>
          </w:p>
        </w:tc>
        <w:tc>
          <w:tcPr>
            <w:tcW w:w="10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384</w:t>
            </w:r>
          </w:p>
        </w:tc>
      </w:tr>
      <w:bookmarkEnd w:id="347"/>
    </w:tbl>
    <w:p>
      <w:pPr>
        <w:pStyle w:val="DGTextstand-alone"/>
        <w:sectPr>
          <w:headerReference w:type="even" r:id="rId510"/>
          <w:headerReference w:type="default" r:id="rId511"/>
          <w:footerReference w:type="even" r:id="rId512"/>
          <w:footerReference w:type="default" r:id="rId513"/>
          <w:headerReference w:type="first" r:id="rId514"/>
          <w:footerReference w:type="first" r:id="rId515"/>
          <w:type w:val="nextColumn"/>
          <w:pgSz w:w="16840" w:h="11907" w:orient="landscape" w:code="9"/>
          <w:pgMar w:top="1134" w:right="1134" w:bottom="1134" w:left="1134" w:header="709" w:footer="709" w:gutter="0"/>
          <w:cols w:space="708"/>
          <w:docGrid w:linePitch="360"/>
        </w:sectPr>
      </w:pPr>
    </w:p>
    <w:p>
      <w:pPr>
        <w:pStyle w:val="HEADER1PartBUDG"/>
        <w:rPr>
          <w:noProof/>
        </w:rPr>
      </w:pPr>
      <w:bookmarkStart w:id="357" w:name="_DMBM_11451"/>
      <w:r>
        <w:rPr>
          <w:noProof/>
        </w:rPr>
        <w:t xml:space="preserve"> </w:t>
      </w:r>
      <w:bookmarkStart w:id="358" w:name="_Toc517434350"/>
      <w:bookmarkStart w:id="359" w:name="_Toc522890513"/>
      <w:r>
        <w:rPr>
          <w:noProof/>
        </w:rPr>
        <w:t>ИЗПЪЛНЕНИЕ НА БЮДЖЕТА НА АГЕНЦИИТЕ</w:t>
      </w:r>
      <w:bookmarkEnd w:id="358"/>
      <w:bookmarkEnd w:id="359"/>
    </w:p>
    <w:p>
      <w:pPr>
        <w:pStyle w:val="HEADER2PartBUDG"/>
        <w:rPr>
          <w:noProof/>
        </w:rPr>
      </w:pPr>
      <w:bookmarkStart w:id="360" w:name="_Toc517434351"/>
      <w:bookmarkStart w:id="361" w:name="_Toc522890514"/>
      <w:r>
        <w:rPr>
          <w:noProof/>
        </w:rPr>
        <w:t>БЮДЖЕТНИ ПРИХОДИ</w:t>
      </w:r>
      <w:bookmarkEnd w:id="360"/>
      <w:bookmarkEnd w:id="361"/>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1751"/>
        <w:gridCol w:w="1807"/>
        <w:gridCol w:w="1715"/>
      </w:tblGrid>
      <w:tr>
        <w:trPr>
          <w:trHeight w:val="268"/>
          <w:tblHeader/>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2" w:name="DOC_TBL00112_1_1"/>
            <w:bookmarkEnd w:id="36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blHeader/>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Агенция</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Финансиране за област на политиката на Комисията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Окончателен приет бюджет</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Получени суми</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Агенция за сътрудничество между регулаторите на енергия (ACER)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Орган на европейските регулатори в областта на електронните съобщения (ОЕРЕС)</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Служба на Общността за сортовете растения (CPVO)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Изпълнителна агенция за потребителите, здравеопазването, селското стопанство и храните (CHAFEA)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Изпълнителна агенция за образование, аудио-визия и култура (EACEA)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безопасност и здраве при работа (EU-OSHA)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оперативното управление на широкомащабни информационни системи в пространството на свобода, сигурност и правосъдие (eu-LISA)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служба за подкрепа в областта на убежището (EASO)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авиационна безопасност (EASA)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банков орган (EBA)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гранична и брегова охрана (Frontex)</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център за профилактика и контрол върху заболяванията (ECDC)</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център за развитие на професионалното обучение (CEDEFOP)</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по химикали (ECHA)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околната среда (EEA)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контрол на рибарството (EFCA)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Европейски орган за безопасност на храните (EFSA) </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фондация за подобряване на условията на живот и труд (Eurofound)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за глобалната навигационна спътникова система (ГНСС)</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институт за равенство между половете (EIGE)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институт за иновации и технологии (EIT)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орган за застраховане и професионално пенсионно осигуряване (EIOPA)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по морска безопасност (EMSA)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агенция по лекарствата (EMA)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център за мониторинг на наркотици и наркомании (EMCDDA)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полицейска служба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Изпълнителна агенция на Европейския научноизследователски съвет (ERCEA)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Европейски орган за ценни книжа и пазари (ESMA)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Европейска фондация за обучение (ETF)</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Агенция на Европейския съюз за основните права (FRA)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Агенция на Европейския съюз за обучение в областта на правоприлагането (CEPOL)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Агенция на Европейския съюз за мрежова и информационна сигурност (ENISA)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Агенция за железопътен транспорт на Европейския съюз</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Служба на Европейския съюз за интелектуална собственост (EUIPO)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Звено на Европейския съюз за съдебно сътрудничество (Евроюст)</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Изпълнителна агенция за малките и средните предприятия (EASME)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Термоядрен синтез за енергия (F4E)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Изпълнителна агенция за иновации и мрежи (INEA)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Изпълнителна агенция за научни изследвания (REA)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Център за преводи за органите на Европейския съюз</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3" w:name="DOC_TBL00113_1_1"/>
            <w:bookmarkEnd w:id="36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Вид приходи</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Окончателен приет бюджет</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Получени суми</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Субсидия от Комисията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от такси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 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r>
        <w:br w:type="page"/>
      </w:r>
    </w:p>
    <w:p>
      <w:pPr>
        <w:pStyle w:val="HEADER2PartBUDG"/>
        <w:ind w:left="709" w:hanging="709"/>
        <w:rPr>
          <w:noProof/>
        </w:rPr>
      </w:pPr>
      <w:bookmarkStart w:id="364" w:name="_Toc517434352"/>
      <w:bookmarkStart w:id="365" w:name="_Toc522890515"/>
      <w:r>
        <w:rPr>
          <w:noProof/>
        </w:rPr>
        <w:t>БЮДЖЕТНИ КРЕДИТИ ЗА ПОЕТИ ЗАДЪЛЖЕНИЯ И ЗА ПЛАЩАНИЯ ПО АГЕНЦИИ</w:t>
      </w:r>
      <w:bookmarkEnd w:id="364"/>
      <w:bookmarkEnd w:id="365"/>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tblHeader/>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6" w:name="DOC_TBL00114_1_1"/>
            <w:bookmarkEnd w:id="36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Бюджетни кредити за поети задължения</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Бюджетни кредити за плащания</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Агенция</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Общо налични бюджетни кредити</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Поети задължения</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Общо налични бюджетни кредити</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Извършени плащания</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Агенция за сътрудничество между регулаторите на енергия (ACER)</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Орган на европейските регулатори в областта на електронните съобщения (ОЕРЕС)</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Служба на Общността за сортовете растения (CPVO)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Изпълнителна агенция за потребителите, здравеопазването, селското стопанство и храните (CHAFEA)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Изпълнителна агенция за образование, аудио-визия и култура (EACEA)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за безопасност и здраве при работа (EU-OSHA)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за оперативното управление на широкомащабни информационни системи в пространството на свобода, сигурност и правосъдие (eu-LISA)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служба за подкрепа в областта на убежището (EASO)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за авиационна безопасност (EASA)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Европейски банков орган (EBA)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за гранична и брегова охрана (Frontex)</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Европейски център за профилактика и контрол върху заболяванията (ECDC)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Европейски център за развитие на професионалното обучение (CEDEFOP)</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по химикали (ECHA)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за околната среда (EEA)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за контрол на рибарството (EFCA)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 xml:space="preserve">Европейски орган за безопасност на храните (EFSA) </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фондация за подобряване на условията на живот и труд (Eurofound)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за глобалната навигационна спътникова система (ГНСС)</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3 744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1 895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Европейски институт за равенство между половете (EIGE)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Европейски институт за иновации и технологии (EIT)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Европейски орган за застраховане и професионално пенсионно осигуряване (EIOPA)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по морска безопасност (EMSA)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агенция по лекарствата (EMA)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Европейски център за мониторинг на наркотици и наркомании (EMCDDA)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полицейска служба</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Изпълнителна агенция на Европейския научноизследователски съвет (ERCEA)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Европейски орган за ценни книжа и пазари (ESMA)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Европейска фондация за обучение (ETF)</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Агенция на Европейския съюз за основните права (FRA)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Агенция на Европейския съюз за обучение в областта на правоприлагането (CEPOL)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Агенция на Европейския съюз за мрежова и информационна сигурност (ENISA)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Агенция за железопътен транспорт на Европейския съюз</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Служба на Европейския съюз за интелектуална собственост (EUIPO)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Звено на Европейския съюз за съдебно сътрудничество (Евроюст)</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Изпълнителна агенция за малките и средните предприятия (EASME)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Термоядрен синтез за енергия (F4E)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Изпълнителна агенция за иновации и мрежи (INEA)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Изпълнителна агенция за научни изследвания (REA)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Център за преводи за органите на Европейския съюз</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tbl>
    <w:p>
      <w:pPr>
        <w:pStyle w:val="DG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7" w:name="DOC_TBL00115_1_1"/>
            <w:bookmarkEnd w:id="367"/>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Бюджетни кредити за поети задължения</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Бюджетни кредити за плащания</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Вид</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Общо налични бюджетни кредити</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Поети задължения</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Общо налични бюджетни кредити</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Извършени плащания</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Административни разходи</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350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Оперативни разходи</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4 045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2 593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Оперативните разходи за специфични проекти</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Персонал</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1 133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1 148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1 099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bookmarkEnd w:id="357"/>
    </w:tbl>
    <w:p>
      <w:pPr>
        <w:pStyle w:val="DGTextstand-alone"/>
        <w:sectPr>
          <w:headerReference w:type="even" r:id="rId516"/>
          <w:headerReference w:type="default" r:id="rId517"/>
          <w:footerReference w:type="even" r:id="rId518"/>
          <w:footerReference w:type="default" r:id="rId519"/>
          <w:headerReference w:type="first" r:id="rId520"/>
          <w:footerReference w:type="first" r:id="rId521"/>
          <w:pgSz w:w="11900" w:h="16840"/>
          <w:pgMar w:top="1134" w:right="1134" w:bottom="1134" w:left="1134" w:header="709" w:footer="709" w:gutter="0"/>
          <w:cols w:space="720"/>
        </w:sectPr>
      </w:pPr>
    </w:p>
    <w:p>
      <w:pPr>
        <w:pStyle w:val="FIRSTCHAPTERPAGE"/>
        <w:spacing w:after="600"/>
        <w:rPr>
          <w:noProof/>
        </w:rPr>
      </w:pPr>
      <w:bookmarkStart w:id="368" w:name="_Toc522890008"/>
      <w:bookmarkStart w:id="369" w:name="_DMBM_12927"/>
      <w:r>
        <w:rPr>
          <w:noProof/>
        </w:rPr>
        <w:t>РЕЧНИК НА ТЕРМИНИТЕ</w:t>
      </w:r>
      <w:bookmarkEnd w:id="368"/>
      <w:r>
        <w:rPr>
          <w:noProof/>
        </w:rPr>
        <w:t xml:space="preserve"> </w:t>
      </w:r>
    </w:p>
    <w:p>
      <w:pPr>
        <w:pStyle w:val="HEADER5"/>
        <w:rPr>
          <w:noProof/>
        </w:rPr>
      </w:pPr>
      <w:r>
        <w:rPr>
          <w:noProof/>
        </w:rPr>
        <w:t>Актюерски предположения</w:t>
      </w:r>
    </w:p>
    <w:p>
      <w:pPr>
        <w:pStyle w:val="DGTextstand-alone"/>
      </w:pPr>
      <w:r>
        <w:t>Предположенията, използвани за изчисляване на разходите за бъдещи събития, които засягат пенсионните задължения.</w:t>
      </w:r>
    </w:p>
    <w:p>
      <w:pPr>
        <w:pStyle w:val="HEADER5"/>
        <w:rPr>
          <w:noProof/>
        </w:rPr>
      </w:pPr>
      <w:r>
        <w:rPr>
          <w:noProof/>
        </w:rPr>
        <w:t>Актюерски печалби и загуби</w:t>
      </w:r>
    </w:p>
    <w:p>
      <w:pPr>
        <w:pStyle w:val="DGTextstand-alone"/>
      </w:pPr>
      <w:r>
        <w:t>За схема за дефинирани доходи — промените в актюерските дефицити или излишъци. Те възникват поради разликите между предходните актюерски предположения и събитията, които реално са настъпили, както и поради последиците от промените в актюерските предположения.</w:t>
      </w:r>
    </w:p>
    <w:p>
      <w:pPr>
        <w:pStyle w:val="HEADER5"/>
        <w:rPr>
          <w:noProof/>
        </w:rPr>
      </w:pPr>
      <w:r>
        <w:rPr>
          <w:noProof/>
        </w:rPr>
        <w:t>Бюджетни кредити за административни разходи</w:t>
      </w:r>
    </w:p>
    <w:p>
      <w:pPr>
        <w:pStyle w:val="DGTextstand-alone"/>
      </w:pPr>
      <w:r>
        <w:t>Бюджетните кредити за административни разходи покриват текущите разходи на институциите и на субектите (персонал, сгради, офис оборудване).</w:t>
      </w:r>
    </w:p>
    <w:p>
      <w:pPr>
        <w:pStyle w:val="HEADER5"/>
        <w:rPr>
          <w:noProof/>
        </w:rPr>
      </w:pPr>
      <w:r>
        <w:rPr>
          <w:noProof/>
        </w:rPr>
        <w:t>Приет бюджет</w:t>
      </w:r>
    </w:p>
    <w:p>
      <w:pPr>
        <w:pStyle w:val="DGTextstand-alone"/>
        <w:rPr>
          <w:spacing w:val="-6"/>
        </w:rPr>
      </w:pPr>
      <w:r>
        <w:rPr>
          <w:spacing w:val="-6"/>
        </w:rPr>
        <w:t>Проектобюджетът се превръща в приетия бюджет веднага след като бъде одобрен от бюджетния орган.</w:t>
      </w:r>
    </w:p>
    <w:p>
      <w:pPr>
        <w:pStyle w:val="HEADER5"/>
        <w:rPr>
          <w:noProof/>
        </w:rPr>
      </w:pPr>
      <w:r>
        <w:rPr>
          <w:noProof/>
        </w:rPr>
        <w:t>Коригиращ бюджет</w:t>
      </w:r>
    </w:p>
    <w:p>
      <w:pPr>
        <w:pStyle w:val="DGTextstand-alone"/>
      </w:pPr>
      <w:r>
        <w:t>Решение, прието през бюджетната година, за изменение (увеличение, намаление, трансфер) на аспекти на приетия бюджет за тази година.</w:t>
      </w:r>
    </w:p>
    <w:p>
      <w:pPr>
        <w:pStyle w:val="HEADER5"/>
        <w:rPr>
          <w:noProof/>
        </w:rPr>
      </w:pPr>
      <w:r>
        <w:rPr>
          <w:noProof/>
        </w:rPr>
        <w:t>Суми, които трябва да бъдат поискани от държавите членки</w:t>
      </w:r>
    </w:p>
    <w:p>
      <w:pPr>
        <w:pStyle w:val="DGTextstand-alone"/>
      </w:pPr>
      <w:r>
        <w:t>Това са направени през отчетния период разходи, които ще трябва да бъдат финансирани от бъдещи бюджети, т.е. от държавите — членки на ЕС. Това е следствие от едновременното съществуване на финансови отчети на базата на текущо начисляване и на бюджет на касова основа.</w:t>
      </w:r>
    </w:p>
    <w:p>
      <w:pPr>
        <w:pStyle w:val="HEADER5"/>
        <w:rPr>
          <w:noProof/>
        </w:rPr>
      </w:pPr>
      <w:r>
        <w:rPr>
          <w:noProof/>
        </w:rPr>
        <w:t>Годишен отчет за дейността (ГОД)</w:t>
      </w:r>
    </w:p>
    <w:p>
      <w:pPr>
        <w:pStyle w:val="DGTextstand-alone"/>
      </w:pPr>
      <w:r>
        <w:t>В годишните отчети за дейността се посочват резултатите от дейностите чрез съпоставка с определените цели, свързаните с дейностите рискове, формата на вътрешния контрол и т.н. От бюджетната процедура за 2001 г. за Комисията и от 2003 г. за всички институции на Европейския съюз (ЕС) оправомощеният разпоредител с бюджетни кредити трябва да представя на своята институция ГОД за изпълнението на своите задължения, както и финансова информация и информация за управлението.</w:t>
      </w:r>
    </w:p>
    <w:p>
      <w:pPr>
        <w:pStyle w:val="HEADER5"/>
        <w:rPr>
          <w:noProof/>
        </w:rPr>
      </w:pPr>
      <w:r>
        <w:rPr>
          <w:noProof/>
        </w:rPr>
        <w:t>Бюджетни кредити</w:t>
      </w:r>
    </w:p>
    <w:p>
      <w:pPr>
        <w:pStyle w:val="DGTextstand-alone"/>
      </w:pPr>
      <w:r>
        <w:t>Финансиране на бюджета. В бюджета се прогнозират както поетите задължения, така и плащанията (пари в брой или банкови трансфери в полза на бенефициерите). Бюджетните кредити за поети задължения и бюджетните кредити за плащания често се различават (многогодишни бюджетни кредити), тъй като задължение за многогодишните програми и проекти обикновено се поема изцяло през годината, през която е взето решението за тези програми и проекти, и средствата по тях се плащат през годините с напредването на тяхното изпълнение. Едногодишните бюджетни кредити се използват за административните разходи, за разходите за подкрепа на селскостопанските пазари и за преките плащания, като бюджетните кредити за поети задължения са равни на бюджетните кредити за плащания.</w:t>
      </w:r>
    </w:p>
    <w:p>
      <w:pPr>
        <w:pStyle w:val="HEADER5"/>
        <w:rPr>
          <w:noProof/>
        </w:rPr>
      </w:pPr>
      <w:r>
        <w:rPr>
          <w:noProof/>
        </w:rPr>
        <w:t>Целеви приходи</w:t>
      </w:r>
    </w:p>
    <w:p>
      <w:pPr>
        <w:pStyle w:val="DGTextstand-alone"/>
      </w:pPr>
      <w:r>
        <w:t>Специални приходи, получени за финансирането на конкретни разходи. Основният източник на външни целеви приходи са финансовите средства, предоставени от трети държави за програми, финансирани от Съюза. Основният източник на вътрешни целеви приходи са приходите от трети страни във връзка със стоки, услуги или строителни работи, предоставени по тяхно искане. Приходите от възстановяването на неоснователно платени суми и приходите от продажбата на публикации и филми, включително на електронен носител.</w:t>
      </w:r>
    </w:p>
    <w:p>
      <w:pPr>
        <w:pStyle w:val="HEADER5"/>
        <w:rPr>
          <w:noProof/>
        </w:rPr>
      </w:pPr>
      <w:r>
        <w:rPr>
          <w:noProof/>
        </w:rPr>
        <w:t>Финансови активи, обявени за продажба</w:t>
      </w:r>
    </w:p>
    <w:p>
      <w:pPr>
        <w:pStyle w:val="DGTextstand-alone"/>
      </w:pPr>
      <w:r>
        <w:t>Всички финансови активи (с изключение на деривативите), които според международните счетоводни стандарти за публичния сектор се оценяват по справедлива стойност и за които промените в справедливата стойност трябва да бъдат признати в резерв при нетните активи до отписването им (или обезценка).</w:t>
      </w:r>
    </w:p>
    <w:p>
      <w:pPr>
        <w:pStyle w:val="HEADER5"/>
        <w:rPr>
          <w:noProof/>
        </w:rPr>
      </w:pPr>
      <w:r>
        <w:rPr>
          <w:noProof/>
        </w:rPr>
        <w:t>Бюджетен ред</w:t>
      </w:r>
    </w:p>
    <w:p>
      <w:pPr>
        <w:pStyle w:val="DGTextstand-alone"/>
      </w:pPr>
      <w:r>
        <w:t>Що се отнася до структурата на бюджета, приходите и разходите се записват в бюджета съгласно задължителна номенклатура, която отразява естеството и целта на всеки елемент. Тази номенклатура е наложена от бюджетния орган. Отделните категории (дял, глава, статия или ред) служат за официално описание на номенклатурата.</w:t>
      </w:r>
    </w:p>
    <w:p>
      <w:pPr>
        <w:pStyle w:val="HEADER5"/>
        <w:rPr>
          <w:noProof/>
        </w:rPr>
      </w:pPr>
      <w:r>
        <w:rPr>
          <w:noProof/>
        </w:rPr>
        <w:t>Отмяна на бюджетни кредити</w:t>
      </w:r>
    </w:p>
    <w:p>
      <w:pPr>
        <w:pStyle w:val="DGTextstand-alone"/>
      </w:pPr>
      <w:r>
        <w:t>Неизползваните бюджетни кредити, които не могат вече да се използват.</w:t>
      </w:r>
    </w:p>
    <w:p>
      <w:pPr>
        <w:pStyle w:val="HEADER5"/>
        <w:rPr>
          <w:noProof/>
        </w:rPr>
      </w:pPr>
      <w:r>
        <w:rPr>
          <w:noProof/>
        </w:rPr>
        <w:t>Пренасяне на бюджетни кредити</w:t>
      </w:r>
    </w:p>
    <w:p>
      <w:pPr>
        <w:pStyle w:val="DGTextstand-alone"/>
      </w:pPr>
      <w:r>
        <w:t>Изключение от принципа на ежегодност, доколкото бюджетните кредити, които не са могли да бъдат използвани през дадена бюджетна година, могат при строги условия и по изключение да бъдат пренесени за използване през следващата година.</w:t>
      </w:r>
    </w:p>
    <w:p>
      <w:pPr>
        <w:pStyle w:val="HEADER5"/>
        <w:rPr>
          <w:noProof/>
        </w:rPr>
      </w:pPr>
      <w:r>
        <w:rPr>
          <w:noProof/>
        </w:rPr>
        <w:t>Поемане на задължение</w:t>
      </w:r>
    </w:p>
    <w:p>
      <w:pPr>
        <w:pStyle w:val="DGTextstand-alone"/>
      </w:pPr>
      <w:r>
        <w:t>Правен ангажимент за предоставяне на финансиране, при условие че бъдат изпълнени определени условия. ЕС се задължава да възстанови своя дял от разходите по проект, финансиран от ЕС. Днешните задължения представляват утрешните плащания. Днешните плащания представляват вчерашните задължения.</w:t>
      </w:r>
    </w:p>
    <w:p>
      <w:pPr>
        <w:pStyle w:val="HEADER5"/>
        <w:rPr>
          <w:noProof/>
        </w:rPr>
      </w:pPr>
      <w:r>
        <w:rPr>
          <w:noProof/>
        </w:rPr>
        <w:t>Бюджетен кредит за поети задължения</w:t>
      </w:r>
    </w:p>
    <w:p>
      <w:pPr>
        <w:pStyle w:val="DGTextstand-alone"/>
      </w:pPr>
      <w:r>
        <w:t>Бюджетните кредити за поети задължения покриват пълната стойност на правните задължения (договори, споразумения/решения за предоставяне на безвъзмездни средства), които могат да бъдат подписани през текущата финансова година.</w:t>
      </w:r>
    </w:p>
    <w:p>
      <w:pPr>
        <w:pStyle w:val="HEADER5"/>
        <w:rPr>
          <w:noProof/>
        </w:rPr>
      </w:pPr>
      <w:r>
        <w:rPr>
          <w:noProof/>
        </w:rPr>
        <w:t>Разходи за текущ трудов стаж</w:t>
      </w:r>
    </w:p>
    <w:p>
      <w:pPr>
        <w:pStyle w:val="DGTextstand-alone"/>
      </w:pPr>
      <w:r>
        <w:t>Увеличението на задълженията по схемата, произтичащи от трудовия стаж, натрупан през текущата финансова година.</w:t>
      </w:r>
    </w:p>
    <w:p>
      <w:pPr>
        <w:pStyle w:val="HEADER5"/>
        <w:rPr>
          <w:noProof/>
        </w:rPr>
      </w:pPr>
      <w:r>
        <w:rPr>
          <w:noProof/>
        </w:rPr>
        <w:t>Отмяна на задължение</w:t>
      </w:r>
    </w:p>
    <w:p>
      <w:pPr>
        <w:pStyle w:val="DGTextstand-alone"/>
      </w:pPr>
      <w:r>
        <w:t>Действие, чрез което се отменя предходно задължение (или част от него).</w:t>
      </w:r>
    </w:p>
    <w:p>
      <w:pPr>
        <w:pStyle w:val="HEADER5"/>
        <w:rPr>
          <w:noProof/>
        </w:rPr>
      </w:pPr>
      <w:r>
        <w:rPr>
          <w:noProof/>
        </w:rPr>
        <w:t>Схема за дефинирани доходи</w:t>
      </w:r>
    </w:p>
    <w:p>
      <w:pPr>
        <w:pStyle w:val="DGTextstand-alone"/>
      </w:pPr>
      <w:r>
        <w:t>Пенсионна схема или схема за други доходи след пенсиониране, при която правилата на схемата определят доходите независимо от дължимите вноски и при която доходите не са пряко свързани с инвестициите на схемата. Схемата може да бъде финансирана или нефинансирана.</w:t>
      </w:r>
    </w:p>
    <w:p>
      <w:pPr>
        <w:pStyle w:val="HEADER5"/>
        <w:rPr>
          <w:noProof/>
        </w:rPr>
      </w:pPr>
      <w:r>
        <w:rPr>
          <w:noProof/>
        </w:rPr>
        <w:t>Деривативи</w:t>
      </w:r>
    </w:p>
    <w:p>
      <w:pPr>
        <w:pStyle w:val="DGTextstand-alone"/>
        <w:rPr>
          <w:lang w:val="en-GB"/>
        </w:rPr>
      </w:pPr>
      <w:r>
        <w:t>Финансови инструменти, чиято стойност е свързана с промените в стойността на друг финансов инструмент, на показател или на стока. За разлика от притежателя на първичен финансов инструмент (напр. държавна ценна книга), който има неограничено право да получи пари (или друга икономическа полза) в бъдеще, притежателят на дериватив има само ограничено право да получи такава полза. Пример за дериватив е валутният форуърден договор.</w:t>
      </w:r>
    </w:p>
    <w:p>
      <w:pPr>
        <w:rPr>
          <w:rFonts w:ascii="Verdana" w:eastAsia="Calibri" w:hAnsi="Verdana" w:cs="Times New Roman"/>
          <w:noProof/>
          <w:sz w:val="18"/>
          <w:szCs w:val="18"/>
          <w:bdr w:val="nil"/>
          <w:lang w:val="en-GB"/>
        </w:rPr>
      </w:pPr>
      <w:r>
        <w:rPr>
          <w:noProof/>
          <w:lang w:val="en-GB"/>
        </w:rPr>
        <w:br w:type="page"/>
      </w:r>
    </w:p>
    <w:p>
      <w:pPr>
        <w:pStyle w:val="HEADER5"/>
        <w:rPr>
          <w:noProof/>
        </w:rPr>
      </w:pPr>
      <w:r>
        <w:rPr>
          <w:noProof/>
        </w:rPr>
        <w:t>Пряко управление</w:t>
      </w:r>
    </w:p>
    <w:p>
      <w:pPr>
        <w:pStyle w:val="DGTextstand-alone"/>
      </w:pPr>
      <w:r>
        <w:t>Метод на изпълнение на бюджета. При прякото управление бюджетът се изпълнява пряко от службите на Комисията, изпълнителните агенции или доверителните фондове.</w:t>
      </w:r>
    </w:p>
    <w:p>
      <w:pPr>
        <w:pStyle w:val="HEADER5"/>
        <w:rPr>
          <w:noProof/>
        </w:rPr>
      </w:pPr>
      <w:r>
        <w:rPr>
          <w:noProof/>
        </w:rPr>
        <w:t>Дисконтов процент</w:t>
      </w:r>
    </w:p>
    <w:p>
      <w:pPr>
        <w:pStyle w:val="DGTextstand-alone"/>
      </w:pPr>
      <w:r>
        <w:t>Процентът, използван за коригиране на стойността на парите във времето. Дисконтирането е техника, която се използва за сравняване на разходите и ползите, настъпващи през различни времеви периоди.</w:t>
      </w:r>
    </w:p>
    <w:p>
      <w:pPr>
        <w:pStyle w:val="HEADER5"/>
        <w:rPr>
          <w:noProof/>
        </w:rPr>
      </w:pPr>
      <w:r>
        <w:rPr>
          <w:noProof/>
        </w:rPr>
        <w:t>Ефективен лихвен процент</w:t>
      </w:r>
    </w:p>
    <w:p>
      <w:pPr>
        <w:pStyle w:val="DGTextstand-alone"/>
      </w:pPr>
      <w:r>
        <w:t xml:space="preserve">Процентът, с който се дисконтират очакваните бъдещи парични постъпления или плащания през очаквания живот на финансовия актив или финансовия пасив до нетната балансова стойност на актива или пасива. </w:t>
      </w:r>
    </w:p>
    <w:p>
      <w:pPr>
        <w:pStyle w:val="HEADER5"/>
        <w:rPr>
          <w:noProof/>
        </w:rPr>
      </w:pPr>
      <w:r>
        <w:rPr>
          <w:noProof/>
        </w:rPr>
        <w:t>Финансови активи или пасиви по справедлива стойност чрез излишъка или дефицита</w:t>
      </w:r>
    </w:p>
    <w:p>
      <w:pPr>
        <w:pStyle w:val="DGTextstand-alone"/>
      </w:pPr>
      <w:r>
        <w:t>Всички финансови активи или пасиви, които според международните счетоводни стандарти за публичния сектор се оценяват по справедлива стойност и за които промените в справедливата стойност трябва да бъдат признати в излишъка или дефицита за периода (т.е. деривативи).</w:t>
      </w:r>
    </w:p>
    <w:p>
      <w:pPr>
        <w:pStyle w:val="HEADER5"/>
        <w:rPr>
          <w:noProof/>
        </w:rPr>
      </w:pPr>
      <w:r>
        <w:rPr>
          <w:noProof/>
        </w:rPr>
        <w:t>Финансова корекция</w:t>
      </w:r>
    </w:p>
    <w:p>
      <w:pPr>
        <w:pStyle w:val="DGTextstand-alone"/>
      </w:pPr>
      <w:r>
        <w:t>Финансовите корекции имат за цел да предпазят бюджета на ЕС от погрешни или нередовни разходи. При разходите под споделено управление събирането на неправилно извършени плащания е отговорност основно на държавата членка.</w:t>
      </w:r>
    </w:p>
    <w:p>
      <w:pPr>
        <w:pStyle w:val="DGTextstand-alone"/>
      </w:pPr>
      <w:r>
        <w:t>„Потвърдена“ финансова корекция е финансова корекция, която е приета от съответната държава членка. „Решена“ финансова корекция е финансова корекция, която е приета с решение на Комисията. Тя винаги е нетна корекция, при която държавата членка трябва да възстанови нередовните средства в бюджета на ЕС, което води до окончателно намаление на финансовия пакет, предвиден за съответната държава членка. Потвърдените и решените финансови корекции се посочват в настоящия документ като една категория.</w:t>
      </w:r>
    </w:p>
    <w:p>
      <w:pPr>
        <w:pStyle w:val="DGTextstand-alone"/>
      </w:pPr>
      <w:r>
        <w:t>Финансовата корекция е „извършена“, когато с нея е коригирана констатираната нередност.</w:t>
      </w:r>
    </w:p>
    <w:p>
      <w:pPr>
        <w:pStyle w:val="HEADER5"/>
        <w:rPr>
          <w:noProof/>
        </w:rPr>
      </w:pPr>
      <w:r>
        <w:rPr>
          <w:noProof/>
        </w:rPr>
        <w:t>Непряко управление</w:t>
      </w:r>
    </w:p>
    <w:p>
      <w:pPr>
        <w:pStyle w:val="DGTextstand-alone"/>
      </w:pPr>
      <w:r>
        <w:t>Метод на изпълнение на бюджета. При непрякото управление Комисията възлага задачи по изпълнението на бюджета на органи, уредени от правото на ЕС или от национално право.</w:t>
      </w:r>
    </w:p>
    <w:p>
      <w:pPr>
        <w:pStyle w:val="HEADER5"/>
        <w:rPr>
          <w:noProof/>
        </w:rPr>
      </w:pPr>
      <w:r>
        <w:rPr>
          <w:noProof/>
        </w:rPr>
        <w:t>Прекъсвания и спирания</w:t>
      </w:r>
    </w:p>
    <w:p>
      <w:pPr>
        <w:pStyle w:val="DGTextstand-alone"/>
      </w:pPr>
      <w:r>
        <w:t>Ако Комисията установи, въз основа на собствената си дейност или на информацията, съобщена от одитните органи, че държава членка не е отстранила сериозни недостатъци в системите за управление и контрол и/или не е коригирала нередовни разходи, които са били декларирани и сертифицирани, тя може да прекъсне или да спре плащанията.</w:t>
      </w:r>
    </w:p>
    <w:p>
      <w:pPr>
        <w:pStyle w:val="HEADER5"/>
        <w:rPr>
          <w:noProof/>
        </w:rPr>
      </w:pPr>
      <w:r>
        <w:rPr>
          <w:noProof/>
        </w:rPr>
        <w:t>Нередност</w:t>
      </w:r>
    </w:p>
    <w:p>
      <w:pPr>
        <w:pStyle w:val="DGTextstand-alone"/>
      </w:pPr>
      <w:r>
        <w:t>Нередността е действие, което не е в съответствие с правилата на ЕС и има потенциално отрицателен ефект върху финансовите интереси на ЕС, но което може да се дължи на неволна грешка, извършена от бенефициерите на средства или от органите, отговарящи за плащанията. Ако една нередност е извършена умишлено, тя представлява измама.</w:t>
      </w:r>
    </w:p>
    <w:p>
      <w:pPr>
        <w:pStyle w:val="HEADER5"/>
        <w:rPr>
          <w:noProof/>
        </w:rPr>
      </w:pPr>
      <w:r>
        <w:rPr>
          <w:noProof/>
        </w:rPr>
        <w:t>Бюджетни кредити, които губят сила</w:t>
      </w:r>
    </w:p>
    <w:p>
      <w:pPr>
        <w:pStyle w:val="DGTextstand-alone"/>
      </w:pPr>
      <w:r>
        <w:t>Неизползваните бюджетни кредити, които ще бъдат отменени в края на финансовата година. Губенето на сила означава отмяна на цялото разрешение или на част от разрешението за извършване на разходи и/или за поемане на задължения. Това разрешение намира израз под формата на бюджетен кредит. Само за съвместните предприятия (СП), както е посочено във финансовите им правила, неизползваните бюджетни кредити могат да бъдат записани в прогнозата за приходите и разходите за следващите максимум три финансови години (т.нар. правило „N+3“). Следователно бюджетните кредити за СП, които губят сила, могат да бъдат пуснати отново в употреба до финансовата година N+3.</w:t>
      </w:r>
    </w:p>
    <w:p>
      <w:pPr>
        <w:pStyle w:val="HEADER5"/>
        <w:rPr>
          <w:noProof/>
        </w:rPr>
      </w:pPr>
      <w:r>
        <w:rPr>
          <w:noProof/>
        </w:rPr>
        <w:t>Собствени ресурси</w:t>
      </w:r>
    </w:p>
    <w:p>
      <w:pPr>
        <w:pStyle w:val="DGTextstand-alone"/>
      </w:pPr>
      <w:r>
        <w:t>Те представляват основното финансиране за институциите и органите на ЕС и са определени в Регламента за собствените ресурси № 609/2014. Собствените ресурси се състоят от ресурси на база БНД, ресурси на база ДДС и традиционни собствени ресурси.</w:t>
      </w:r>
    </w:p>
    <w:p>
      <w:pPr>
        <w:pStyle w:val="HEADER5"/>
        <w:rPr>
          <w:noProof/>
        </w:rPr>
      </w:pPr>
      <w:r>
        <w:rPr>
          <w:noProof/>
        </w:rPr>
        <w:t>Бюджетни кредити за плащания</w:t>
      </w:r>
    </w:p>
    <w:p>
      <w:pPr>
        <w:pStyle w:val="DGTextstand-alone"/>
      </w:pPr>
      <w:r>
        <w:t>Бюджетните кредити за плащания покриват разходите, дължими през текущата година, които произтичат от правни задължения, поети през текущата година и/или през предходни години.</w:t>
      </w:r>
    </w:p>
    <w:p>
      <w:pPr>
        <w:pStyle w:val="HEADER5"/>
        <w:rPr>
          <w:noProof/>
        </w:rPr>
      </w:pPr>
      <w:r>
        <w:rPr>
          <w:noProof/>
        </w:rPr>
        <w:t>Предварително финансиране</w:t>
      </w:r>
    </w:p>
    <w:p>
      <w:pPr>
        <w:pStyle w:val="DGTextstand-alone"/>
      </w:pPr>
      <w:r>
        <w:t>Плащане, предназначено да осигури на бенефициера налични средства. То може да се раздели на няколко плащания съгласно разпоредбите на съответния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w:t>
      </w:r>
    </w:p>
    <w:p>
      <w:pPr>
        <w:pStyle w:val="HEADER5"/>
        <w:rPr>
          <w:noProof/>
        </w:rPr>
      </w:pPr>
      <w:r>
        <w:rPr>
          <w:noProof/>
        </w:rPr>
        <w:t>Превантивна мярка</w:t>
      </w:r>
    </w:p>
    <w:p>
      <w:pPr>
        <w:pStyle w:val="DGTextstand-alone"/>
      </w:pPr>
      <w:r>
        <w:t>Превантивните мерки, които Комисията може да използва, за да защити бюджета на ЕС, когато знае за наличието на потенциални недостатъци, включват спирането и прекъсването на плащанията от бюджета на ЕС в полза на оперативната програма.</w:t>
      </w:r>
    </w:p>
    <w:p>
      <w:pPr>
        <w:pStyle w:val="HEADER5"/>
        <w:rPr>
          <w:noProof/>
        </w:rPr>
      </w:pPr>
      <w:r>
        <w:rPr>
          <w:noProof/>
        </w:rPr>
        <w:t>Неизпълнени поети задължения (Reste à liquider — RAL)</w:t>
      </w:r>
    </w:p>
    <w:p>
      <w:pPr>
        <w:pStyle w:val="DGTextstand-alone"/>
      </w:pPr>
      <w:r>
        <w:t>Те са размерът на поето бюджетно задължение, по което плащането все още не е извършено. Те представляват задълженията на ЕС за плащане за бъдещи години и са пряко следствие от съществуването на многогодишни програми и от липсата на връзка между бюджетните кредити за поети задължения и бюджетните кредити за плащания.</w:t>
      </w:r>
    </w:p>
    <w:p>
      <w:pPr>
        <w:pStyle w:val="HEADER5"/>
        <w:rPr>
          <w:noProof/>
        </w:rPr>
      </w:pPr>
      <w:r>
        <w:rPr>
          <w:noProof/>
        </w:rPr>
        <w:t>Споделено управление</w:t>
      </w:r>
    </w:p>
    <w:p>
      <w:pPr>
        <w:pStyle w:val="DGTextstand-alone"/>
      </w:pPr>
      <w:r>
        <w:t>Метод на изпълнение на бюджета. При споделеното управление задачите по изпълнението на бюджета са делегирани на държавите членки. Около 80 % от разходите на ЕС попадат в обхвата на този метод на изпълнение.</w:t>
      </w:r>
    </w:p>
    <w:p>
      <w:pPr>
        <w:pStyle w:val="HEADER5"/>
        <w:rPr>
          <w:noProof/>
        </w:rPr>
      </w:pPr>
      <w:r>
        <w:rPr>
          <w:noProof/>
        </w:rPr>
        <w:t>Традиционни собствени ресурси</w:t>
      </w:r>
    </w:p>
    <w:p>
      <w:pPr>
        <w:pStyle w:val="DGTextstand-alone"/>
      </w:pPr>
      <w:r>
        <w:t>Те представляват приходи за ЕС и са част от собствените ресурси, с които се финансират дейностите на ЕС. Традиционните собствени ресурси са определени в Регламента за собствените ресурси № 609/2014 и се състоят от мита и налози върху захарта.</w:t>
      </w:r>
    </w:p>
    <w:p>
      <w:pPr>
        <w:pStyle w:val="HEADER5"/>
        <w:rPr>
          <w:noProof/>
        </w:rPr>
      </w:pPr>
      <w:r>
        <w:rPr>
          <w:noProof/>
        </w:rPr>
        <w:t>Трансфери (между бюджетните редове)</w:t>
      </w:r>
    </w:p>
    <w:p>
      <w:pPr>
        <w:pStyle w:val="DGTextstand-alone"/>
      </w:pPr>
      <w:r>
        <w:t>Трансферите между бюджетните редове са свързани с преместване на бюджетни кредити от един бюджетен ред в друг в хода на финансовата година и следователно представляват изключение от принципа на специфичност на бюджета. Те обаче са изрично разрешени от Договора за функционирането на Европейския съюз при условията, предвидени във Финансовия регламент (ФР). Във ФР се посочват различни видове трансфери в зависимост от това дали те са между или в рамките на бюджетни дялове, глави, статии или позиции и дали изискват различни нива на разрешение.</w:t>
      </w:r>
    </w:p>
    <w:p>
      <w:pPr>
        <w:pStyle w:val="DGTextstand-alone"/>
        <w:sectPr>
          <w:headerReference w:type="even" r:id="rId522"/>
          <w:headerReference w:type="default" r:id="rId523"/>
          <w:footerReference w:type="even" r:id="rId524"/>
          <w:footerReference w:type="default" r:id="rId525"/>
          <w:headerReference w:type="first" r:id="rId526"/>
          <w:footerReference w:type="first" r:id="rId527"/>
          <w:pgSz w:w="11906" w:h="16838"/>
          <w:pgMar w:top="1134" w:right="1134" w:bottom="1134" w:left="1134" w:header="709" w:footer="709" w:gutter="0"/>
          <w:cols w:space="708"/>
          <w:docGrid w:linePitch="360"/>
        </w:sectPr>
      </w:pPr>
      <w:r>
        <w:t xml:space="preserve"> </w:t>
      </w:r>
      <w:bookmarkEnd w:id="369"/>
    </w:p>
    <w:p>
      <w:pPr>
        <w:pStyle w:val="FIRSTCHAPTERPAGE"/>
        <w:rPr>
          <w:noProof/>
        </w:rPr>
      </w:pPr>
      <w:bookmarkStart w:id="370" w:name="_Toc522890009"/>
      <w:bookmarkStart w:id="371" w:name="_DMBM_12928"/>
      <w:r>
        <w:rPr>
          <w:noProof/>
        </w:rPr>
        <w:t>СПИСЪК НА СЪКРАЩЕНИЯТА</w:t>
      </w:r>
      <w:bookmarkEnd w:id="370"/>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ГОД</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Годишен отчет за дейността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ABB</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Бюджетиране по дейности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Управление по дейности</w:t>
            </w:r>
          </w:p>
        </w:tc>
      </w:tr>
      <w:tr>
        <w:tc>
          <w:tcPr>
            <w:tcW w:w="1526" w:type="dxa"/>
          </w:tcPr>
          <w:p>
            <w:pPr>
              <w:pStyle w:val="DGTextstand-alone"/>
              <w:spacing w:before="0"/>
            </w:pPr>
            <w:r>
              <w:rPr>
                <w:color w:val="016794"/>
              </w:rPr>
              <w:t>ACER</w:t>
            </w:r>
            <w:r>
              <w:t xml:space="preserve"> </w:t>
            </w:r>
          </w:p>
        </w:tc>
        <w:tc>
          <w:tcPr>
            <w:tcW w:w="8328" w:type="dxa"/>
          </w:tcPr>
          <w:p>
            <w:pPr>
              <w:pStyle w:val="DGTextstand-alone"/>
              <w:spacing w:before="0"/>
            </w:pPr>
            <w:r>
              <w:t xml:space="preserve">Агенция за сътрудничество между регулаторите на енергия  </w:t>
            </w:r>
          </w:p>
        </w:tc>
      </w:tr>
      <w:tr>
        <w:tc>
          <w:tcPr>
            <w:tcW w:w="1526" w:type="dxa"/>
          </w:tcPr>
          <w:p>
            <w:pPr>
              <w:pStyle w:val="DGTextstand-alone"/>
              <w:spacing w:before="0"/>
            </w:pPr>
            <w:r>
              <w:rPr>
                <w:color w:val="016794"/>
              </w:rPr>
              <w:t>ФУМИ</w:t>
            </w:r>
            <w:r>
              <w:t xml:space="preserve"> </w:t>
            </w:r>
          </w:p>
        </w:tc>
        <w:tc>
          <w:tcPr>
            <w:tcW w:w="8328" w:type="dxa"/>
          </w:tcPr>
          <w:p>
            <w:pPr>
              <w:pStyle w:val="DGTextstand-alone"/>
              <w:spacing w:before="0"/>
            </w:pPr>
            <w:r>
              <w:t>Фонд „Убежище, миграция и интеграция“</w:t>
            </w:r>
          </w:p>
        </w:tc>
      </w:tr>
      <w:tr>
        <w:tc>
          <w:tcPr>
            <w:tcW w:w="1526" w:type="dxa"/>
          </w:tcPr>
          <w:p>
            <w:pPr>
              <w:pStyle w:val="DGTextstand-alone"/>
              <w:spacing w:before="0"/>
            </w:pPr>
            <w:r>
              <w:rPr>
                <w:color w:val="016794"/>
              </w:rPr>
              <w:t>ОРБК</w:t>
            </w:r>
            <w:r>
              <w:t xml:space="preserve"> </w:t>
            </w:r>
          </w:p>
        </w:tc>
        <w:tc>
          <w:tcPr>
            <w:tcW w:w="8328" w:type="dxa"/>
          </w:tcPr>
          <w:p>
            <w:pPr>
              <w:pStyle w:val="DGTextstand-alone"/>
              <w:spacing w:before="0"/>
            </w:pPr>
            <w:r>
              <w:t>Оправомощен разпоредител с бюджетни кредити</w:t>
            </w:r>
          </w:p>
        </w:tc>
      </w:tr>
      <w:tr>
        <w:tc>
          <w:tcPr>
            <w:tcW w:w="1526" w:type="dxa"/>
          </w:tcPr>
          <w:p>
            <w:pPr>
              <w:pStyle w:val="DGTextstand-alone"/>
              <w:spacing w:before="0"/>
              <w:rPr>
                <w:rFonts w:cs="Calibri"/>
              </w:rPr>
            </w:pPr>
            <w:r>
              <w:rPr>
                <w:color w:val="016794"/>
              </w:rPr>
              <w:t>ARTEMIS</w:t>
            </w:r>
            <w:r>
              <w:t xml:space="preserve"> </w:t>
            </w:r>
          </w:p>
        </w:tc>
        <w:tc>
          <w:tcPr>
            <w:tcW w:w="8328" w:type="dxa"/>
          </w:tcPr>
          <w:p>
            <w:pPr>
              <w:pStyle w:val="DGTextstand-alone"/>
              <w:spacing w:before="0"/>
            </w:pPr>
            <w:r>
              <w:t>Модерни научни изследвания и технологии за вградени интелигентни системи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УВД</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Управление на въздушното движение</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БТП</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Съвместно предприятие „Биотехнологични производства“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ОЕРЕС</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Орган на европейските регулатори в областта на електронните съобщения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КБП</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Консорциума за биотехнологични производства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БМР</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Банка за международни разплащания</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ПБ</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Платежен баланс</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Фонд BUFI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Фонд за бюджетни глоби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ОСП</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Обща селскостопанска политика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Механизъм за гарантиране за секторите на културата и творчеството</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CEDEFOP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Европейски център за развитие на професионалното обучение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МСЕ</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Механизъм за свързване на Европа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ДИ на МСЕ</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Дългов инструмент на Механизма за свързване на Европа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CEPOL</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Агенция на Европейския съюз за обучение в областта на правоприлагането</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КФ</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Кохезионен фонд</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CHAFEA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Изпълнителна агенция за потребителите, здравеопазването, селското стопанство и храните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CIP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Рамкова програма за конкурентоспособност и иновации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Комисия</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Програма за конкурентоспособност на предприятията и малките и средните предприятия</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Комитет на спонсориращите организации на комисията „Тредуей“</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РОР</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Регламент за общоприложимите разпоредби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CPVO</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Служба на Общността за сортовете растения</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Извеждане от експлоатация и управление на отпадъците</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EACEA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Изпълнителна агенция за образование, аудио-визия и култура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ЕЗФРСР</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Европейски земеделски фонд за развитие на селските райони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ЕФГЗ</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Европейски фонд за гарантиране на земеделието</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ФЕОГА</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Европейски фонд за ориентиране и гарантиране на земеделието</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ЕААБ</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Европейска агенция за авиационна безопасност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ЗиСИ</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Заетост и социални иновации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EASME</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Изпълнителна агенция за малките и средните предприятия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Европейска служба за подкрепа в областта на убежището</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ЕБО</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Европейски банков орган</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ЕБВР</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Европейска банка за възстановяване и развитие</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ЕСП</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Европейска сметна палата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ЕЦБ </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Европейска централна банка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Европейски център за профилактика и контрол върху заболяванията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ECHA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Европейска агенция по химикали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Съвет по икономически и финансови въпроси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ЕОВС</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Европейска общност за въглища и стомана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ECSEL</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Съвместно предприятие „Електронни компоненти и системи за водещи позиции на Европа“</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ЕФР</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Европейски фонд за развитие</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Механизъм за гарантиране по Инструмента за развитие на предприятията и иновациите за Западните Балкани</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ЕИП</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Европейско икономическо пространство</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ЕАОС</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Европейска агенция за околната среда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ЕСВД</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Европейска служба за външна дейност</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EFCA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Европейска агенция за контрол на рибарството  </w:t>
            </w:r>
          </w:p>
        </w:tc>
      </w:tr>
      <w:tr>
        <w:tc>
          <w:tcPr>
            <w:tcW w:w="1526" w:type="dxa"/>
          </w:tcPr>
          <w:p>
            <w:pPr>
              <w:pStyle w:val="DGTextstand-alone"/>
              <w:spacing w:before="0"/>
            </w:pPr>
            <w:r>
              <w:rPr>
                <w:color w:val="016794"/>
              </w:rPr>
              <w:t>ЕФР</w:t>
            </w:r>
          </w:p>
        </w:tc>
        <w:tc>
          <w:tcPr>
            <w:tcW w:w="8328" w:type="dxa"/>
          </w:tcPr>
          <w:p>
            <w:pPr>
              <w:pStyle w:val="DGTextstand-alone"/>
              <w:spacing w:before="0"/>
            </w:pPr>
            <w:r>
              <w:t>Европейски фонд за рибарство</w:t>
            </w:r>
          </w:p>
        </w:tc>
      </w:tr>
      <w:tr>
        <w:tc>
          <w:tcPr>
            <w:tcW w:w="1526" w:type="dxa"/>
          </w:tcPr>
          <w:p>
            <w:pPr>
              <w:pStyle w:val="DGTextstand-alone"/>
              <w:spacing w:before="0"/>
            </w:pPr>
            <w:r>
              <w:rPr>
                <w:color w:val="016794"/>
              </w:rPr>
              <w:t>ЕОБХ</w:t>
            </w:r>
            <w:r>
              <w:t xml:space="preserve"> </w:t>
            </w:r>
          </w:p>
        </w:tc>
        <w:tc>
          <w:tcPr>
            <w:tcW w:w="8328" w:type="dxa"/>
          </w:tcPr>
          <w:p>
            <w:pPr>
              <w:pStyle w:val="DGTextstand-alone"/>
              <w:spacing w:before="0"/>
            </w:pPr>
            <w:r>
              <w:t xml:space="preserve">Европейски орган за безопасност на храните  </w:t>
            </w:r>
          </w:p>
        </w:tc>
      </w:tr>
      <w:tr>
        <w:tc>
          <w:tcPr>
            <w:tcW w:w="1526" w:type="dxa"/>
          </w:tcPr>
          <w:p>
            <w:pPr>
              <w:pStyle w:val="DGTextstand-alone"/>
              <w:spacing w:before="0"/>
            </w:pPr>
            <w:r>
              <w:rPr>
                <w:color w:val="016794"/>
              </w:rPr>
              <w:t>ЕФУР</w:t>
            </w:r>
          </w:p>
        </w:tc>
        <w:tc>
          <w:tcPr>
            <w:tcW w:w="8328" w:type="dxa"/>
          </w:tcPr>
          <w:p>
            <w:pPr>
              <w:pStyle w:val="DGTextstand-alone"/>
              <w:spacing w:before="0"/>
            </w:pPr>
            <w:r>
              <w:t>Европейски фонд за устойчиво развитие</w:t>
            </w:r>
          </w:p>
        </w:tc>
      </w:tr>
      <w:tr>
        <w:tc>
          <w:tcPr>
            <w:tcW w:w="1526" w:type="dxa"/>
          </w:tcPr>
          <w:p>
            <w:pPr>
              <w:pStyle w:val="DGTextstand-alone"/>
              <w:spacing w:before="0"/>
            </w:pPr>
            <w:r>
              <w:rPr>
                <w:color w:val="016794"/>
              </w:rPr>
              <w:t>ЕФЮИЕ</w:t>
            </w:r>
            <w:r>
              <w:t xml:space="preserve"> </w:t>
            </w:r>
          </w:p>
        </w:tc>
        <w:tc>
          <w:tcPr>
            <w:tcW w:w="8328" w:type="dxa"/>
          </w:tcPr>
          <w:p>
            <w:pPr>
              <w:pStyle w:val="DGTextstand-alone"/>
              <w:spacing w:before="0"/>
            </w:pPr>
            <w:r>
              <w:t>Европейски фонд за Югоизточна Европа</w:t>
            </w:r>
          </w:p>
        </w:tc>
      </w:tr>
      <w:tr>
        <w:tc>
          <w:tcPr>
            <w:tcW w:w="1526" w:type="dxa"/>
          </w:tcPr>
          <w:p>
            <w:pPr>
              <w:pStyle w:val="DGTextstand-alone"/>
              <w:spacing w:before="0"/>
            </w:pPr>
            <w:r>
              <w:rPr>
                <w:color w:val="016794"/>
              </w:rPr>
              <w:t>ЕИФС</w:t>
            </w:r>
            <w:r>
              <w:t xml:space="preserve"> </w:t>
            </w:r>
          </w:p>
        </w:tc>
        <w:tc>
          <w:tcPr>
            <w:tcW w:w="8328" w:type="dxa"/>
          </w:tcPr>
          <w:p>
            <w:pPr>
              <w:pStyle w:val="DGTextstand-alone"/>
              <w:spacing w:before="0"/>
            </w:pPr>
            <w:r>
              <w:t>Европейски инструмент за финансова стабилност</w:t>
            </w:r>
          </w:p>
        </w:tc>
      </w:tr>
      <w:tr>
        <w:tc>
          <w:tcPr>
            <w:tcW w:w="1526" w:type="dxa"/>
          </w:tcPr>
          <w:p>
            <w:pPr>
              <w:pStyle w:val="DGTextstand-alone"/>
              <w:spacing w:before="0"/>
            </w:pPr>
            <w:r>
              <w:rPr>
                <w:color w:val="016794"/>
              </w:rPr>
              <w:t>ЕФСИ</w:t>
            </w:r>
          </w:p>
        </w:tc>
        <w:tc>
          <w:tcPr>
            <w:tcW w:w="8328" w:type="dxa"/>
          </w:tcPr>
          <w:p>
            <w:pPr>
              <w:pStyle w:val="DGTextstand-alone"/>
              <w:spacing w:before="0"/>
            </w:pPr>
            <w:r>
              <w:t>Европейски фонд за стратегически инвестиции</w:t>
            </w:r>
          </w:p>
        </w:tc>
      </w:tr>
      <w:tr>
        <w:tc>
          <w:tcPr>
            <w:tcW w:w="1526" w:type="dxa"/>
          </w:tcPr>
          <w:p>
            <w:pPr>
              <w:pStyle w:val="DGTextstand-alone"/>
              <w:spacing w:before="0"/>
            </w:pPr>
            <w:r>
              <w:rPr>
                <w:color w:val="016794"/>
              </w:rPr>
              <w:t>ЕМФС</w:t>
            </w:r>
          </w:p>
        </w:tc>
        <w:tc>
          <w:tcPr>
            <w:tcW w:w="8328" w:type="dxa"/>
          </w:tcPr>
          <w:p>
            <w:pPr>
              <w:pStyle w:val="DGTextstand-alone"/>
              <w:spacing w:before="0"/>
            </w:pPr>
            <w:r>
              <w:t>Европейски механизъм за финансово стабилизиране</w:t>
            </w:r>
          </w:p>
        </w:tc>
      </w:tr>
      <w:tr>
        <w:tc>
          <w:tcPr>
            <w:tcW w:w="1526" w:type="dxa"/>
          </w:tcPr>
          <w:p>
            <w:pPr>
              <w:pStyle w:val="DGTextstand-alone"/>
              <w:spacing w:before="0"/>
            </w:pPr>
            <w:r>
              <w:rPr>
                <w:color w:val="016794"/>
              </w:rPr>
              <w:t>ЕАСТ</w:t>
            </w:r>
            <w:r>
              <w:t xml:space="preserve"> </w:t>
            </w:r>
          </w:p>
        </w:tc>
        <w:tc>
          <w:tcPr>
            <w:tcW w:w="8328" w:type="dxa"/>
          </w:tcPr>
          <w:p>
            <w:pPr>
              <w:pStyle w:val="DGTextstand-alone"/>
              <w:spacing w:before="0"/>
            </w:pPr>
            <w:r>
              <w:t>Европейска асоциация за свободна търговия</w:t>
            </w:r>
          </w:p>
        </w:tc>
      </w:tr>
      <w:tr>
        <w:tc>
          <w:tcPr>
            <w:tcW w:w="1526" w:type="dxa"/>
          </w:tcPr>
          <w:p>
            <w:pPr>
              <w:pStyle w:val="DGTextstand-alone"/>
              <w:spacing w:before="0"/>
            </w:pPr>
            <w:r>
              <w:rPr>
                <w:color w:val="016794"/>
              </w:rPr>
              <w:t>EGNOS</w:t>
            </w:r>
            <w:r>
              <w:t xml:space="preserve"> </w:t>
            </w:r>
          </w:p>
        </w:tc>
        <w:tc>
          <w:tcPr>
            <w:tcW w:w="8328" w:type="dxa"/>
          </w:tcPr>
          <w:p>
            <w:pPr>
              <w:pStyle w:val="DGTextstand-alone"/>
              <w:spacing w:before="0"/>
            </w:pPr>
            <w:r>
              <w:t>Европейска геостационарна служба за навигационно покритие</w:t>
            </w:r>
          </w:p>
        </w:tc>
      </w:tr>
      <w:tr>
        <w:tc>
          <w:tcPr>
            <w:tcW w:w="1526" w:type="dxa"/>
          </w:tcPr>
          <w:p>
            <w:pPr>
              <w:pStyle w:val="DGTextstand-alone"/>
              <w:spacing w:before="0"/>
            </w:pPr>
            <w:r>
              <w:rPr>
                <w:color w:val="016794"/>
              </w:rPr>
              <w:t>ЕИБ</w:t>
            </w:r>
            <w:r>
              <w:t xml:space="preserve"> </w:t>
            </w:r>
          </w:p>
        </w:tc>
        <w:tc>
          <w:tcPr>
            <w:tcW w:w="8328" w:type="dxa"/>
          </w:tcPr>
          <w:p>
            <w:pPr>
              <w:pStyle w:val="DGTextstand-alone"/>
              <w:spacing w:before="0"/>
            </w:pPr>
            <w:r>
              <w:t>Европейска инвестиционна банка</w:t>
            </w:r>
          </w:p>
        </w:tc>
      </w:tr>
      <w:tr>
        <w:tc>
          <w:tcPr>
            <w:tcW w:w="1526" w:type="dxa"/>
          </w:tcPr>
          <w:p>
            <w:pPr>
              <w:pStyle w:val="DGTextstand-alone"/>
              <w:spacing w:before="0"/>
            </w:pPr>
            <w:r>
              <w:rPr>
                <w:color w:val="016794"/>
              </w:rPr>
              <w:t>ЕИФ</w:t>
            </w:r>
            <w:r>
              <w:t xml:space="preserve"> </w:t>
            </w:r>
          </w:p>
        </w:tc>
        <w:tc>
          <w:tcPr>
            <w:tcW w:w="8328" w:type="dxa"/>
          </w:tcPr>
          <w:p>
            <w:pPr>
              <w:pStyle w:val="DGTextstand-alone"/>
              <w:spacing w:before="0"/>
            </w:pPr>
            <w:r>
              <w:t>Европейски инвестиционен фонд</w:t>
            </w:r>
          </w:p>
        </w:tc>
      </w:tr>
      <w:tr>
        <w:tc>
          <w:tcPr>
            <w:tcW w:w="1526" w:type="dxa"/>
          </w:tcPr>
          <w:p>
            <w:pPr>
              <w:pStyle w:val="DGTextstand-alone"/>
              <w:spacing w:before="0"/>
            </w:pPr>
            <w:r>
              <w:rPr>
                <w:color w:val="016794"/>
              </w:rPr>
              <w:t>EIGE</w:t>
            </w:r>
            <w:r>
              <w:t xml:space="preserve"> </w:t>
            </w:r>
          </w:p>
        </w:tc>
        <w:tc>
          <w:tcPr>
            <w:tcW w:w="8328" w:type="dxa"/>
          </w:tcPr>
          <w:p>
            <w:pPr>
              <w:pStyle w:val="DGTextstand-alone"/>
              <w:spacing w:before="0"/>
            </w:pPr>
            <w:r>
              <w:t xml:space="preserve">Европейски институт за равенство между половете  </w:t>
            </w:r>
          </w:p>
        </w:tc>
      </w:tr>
      <w:tr>
        <w:tc>
          <w:tcPr>
            <w:tcW w:w="1526" w:type="dxa"/>
          </w:tcPr>
          <w:p>
            <w:pPr>
              <w:pStyle w:val="DGTextstand-alone"/>
              <w:spacing w:before="0"/>
            </w:pPr>
            <w:r>
              <w:rPr>
                <w:color w:val="016794"/>
              </w:rPr>
              <w:t>EIOPA</w:t>
            </w:r>
            <w:r>
              <w:t xml:space="preserve"> </w:t>
            </w:r>
          </w:p>
        </w:tc>
        <w:tc>
          <w:tcPr>
            <w:tcW w:w="8328" w:type="dxa"/>
          </w:tcPr>
          <w:p>
            <w:pPr>
              <w:pStyle w:val="DGTextstand-alone"/>
              <w:spacing w:before="0"/>
            </w:pPr>
            <w:r>
              <w:t xml:space="preserve">Европейски орган за застраховане и професионално пенсионно осигуряване  </w:t>
            </w:r>
          </w:p>
        </w:tc>
      </w:tr>
      <w:tr>
        <w:tc>
          <w:tcPr>
            <w:tcW w:w="1526" w:type="dxa"/>
          </w:tcPr>
          <w:p>
            <w:pPr>
              <w:pStyle w:val="DGTextstand-alone"/>
              <w:spacing w:before="0"/>
            </w:pPr>
            <w:r>
              <w:rPr>
                <w:color w:val="016794"/>
              </w:rPr>
              <w:t>EIT</w:t>
            </w:r>
            <w:r>
              <w:t xml:space="preserve"> </w:t>
            </w:r>
          </w:p>
        </w:tc>
        <w:tc>
          <w:tcPr>
            <w:tcW w:w="8328" w:type="dxa"/>
          </w:tcPr>
          <w:p>
            <w:pPr>
              <w:pStyle w:val="DGTextstand-alone"/>
              <w:spacing w:before="0"/>
            </w:pPr>
            <w:r>
              <w:t xml:space="preserve">Европейски институт за иновации и технологии  </w:t>
            </w:r>
          </w:p>
        </w:tc>
      </w:tr>
      <w:tr>
        <w:tc>
          <w:tcPr>
            <w:tcW w:w="1526" w:type="dxa"/>
          </w:tcPr>
          <w:p>
            <w:pPr>
              <w:pStyle w:val="DGTextstand-alone"/>
              <w:spacing w:before="0"/>
            </w:pPr>
            <w:r>
              <w:rPr>
                <w:color w:val="016794"/>
              </w:rPr>
              <w:t>ElectriFI</w:t>
            </w:r>
          </w:p>
        </w:tc>
        <w:tc>
          <w:tcPr>
            <w:tcW w:w="8328" w:type="dxa"/>
          </w:tcPr>
          <w:p>
            <w:pPr>
              <w:pStyle w:val="DGTextstand-alone"/>
              <w:spacing w:before="0"/>
              <w:rPr>
                <w:b/>
              </w:rPr>
            </w:pPr>
            <w:r>
              <w:t>Инициатива за финансиране на електрифицирането</w:t>
            </w:r>
            <w:r>
              <w:rPr>
                <w:rStyle w:val="st1"/>
              </w:rPr>
              <w:t xml:space="preserve"> </w:t>
            </w:r>
          </w:p>
        </w:tc>
      </w:tr>
      <w:tr>
        <w:tc>
          <w:tcPr>
            <w:tcW w:w="1526" w:type="dxa"/>
          </w:tcPr>
          <w:p>
            <w:pPr>
              <w:pStyle w:val="DGTextstand-alone"/>
              <w:spacing w:before="0"/>
            </w:pPr>
            <w:r>
              <w:rPr>
                <w:color w:val="016794"/>
              </w:rPr>
              <w:t>EMA</w:t>
            </w:r>
            <w:r>
              <w:t xml:space="preserve"> </w:t>
            </w:r>
          </w:p>
        </w:tc>
        <w:tc>
          <w:tcPr>
            <w:tcW w:w="8328" w:type="dxa"/>
          </w:tcPr>
          <w:p>
            <w:pPr>
              <w:pStyle w:val="DGTextstand-alone"/>
              <w:spacing w:before="0"/>
            </w:pPr>
            <w:r>
              <w:t>Европейска агенция по лекарствата</w:t>
            </w:r>
          </w:p>
        </w:tc>
      </w:tr>
      <w:tr>
        <w:tc>
          <w:tcPr>
            <w:tcW w:w="1526" w:type="dxa"/>
          </w:tcPr>
          <w:p>
            <w:pPr>
              <w:pStyle w:val="DGTextstand-alone"/>
              <w:spacing w:before="0"/>
            </w:pPr>
            <w:r>
              <w:rPr>
                <w:color w:val="016794"/>
              </w:rPr>
              <w:t>EMCDDA</w:t>
            </w:r>
            <w:r>
              <w:t xml:space="preserve"> </w:t>
            </w:r>
          </w:p>
        </w:tc>
        <w:tc>
          <w:tcPr>
            <w:tcW w:w="8328" w:type="dxa"/>
          </w:tcPr>
          <w:p>
            <w:pPr>
              <w:pStyle w:val="DGTextstand-alone"/>
              <w:spacing w:before="0"/>
            </w:pPr>
            <w:r>
              <w:t xml:space="preserve">Европейски център за мониторинг на наркотици и наркомании  </w:t>
            </w:r>
          </w:p>
        </w:tc>
      </w:tr>
      <w:tr>
        <w:tc>
          <w:tcPr>
            <w:tcW w:w="1526" w:type="dxa"/>
          </w:tcPr>
          <w:p>
            <w:pPr>
              <w:pStyle w:val="DGTextstand-alone"/>
              <w:spacing w:before="0"/>
            </w:pPr>
            <w:r>
              <w:rPr>
                <w:color w:val="016794"/>
              </w:rPr>
              <w:t>ЕФМДР</w:t>
            </w:r>
            <w:r>
              <w:t xml:space="preserve"> </w:t>
            </w:r>
          </w:p>
        </w:tc>
        <w:tc>
          <w:tcPr>
            <w:tcW w:w="8328" w:type="dxa"/>
          </w:tcPr>
          <w:p>
            <w:pPr>
              <w:pStyle w:val="DGTextstand-alone"/>
              <w:spacing w:before="0"/>
            </w:pPr>
            <w:r>
              <w:t>Европейски фонд за морско дело и рибарство</w:t>
            </w:r>
          </w:p>
        </w:tc>
      </w:tr>
      <w:tr>
        <w:tc>
          <w:tcPr>
            <w:tcW w:w="1526" w:type="dxa"/>
          </w:tcPr>
          <w:p>
            <w:pPr>
              <w:pStyle w:val="DGTextstand-alone"/>
              <w:spacing w:before="0"/>
            </w:pPr>
            <w:r>
              <w:rPr>
                <w:color w:val="016794"/>
              </w:rPr>
              <w:t>ЕАМБ</w:t>
            </w:r>
            <w:r>
              <w:t xml:space="preserve"> </w:t>
            </w:r>
          </w:p>
        </w:tc>
        <w:tc>
          <w:tcPr>
            <w:tcW w:w="8328" w:type="dxa"/>
          </w:tcPr>
          <w:p>
            <w:pPr>
              <w:pStyle w:val="DGTextstand-alone"/>
              <w:spacing w:before="0"/>
            </w:pPr>
            <w:r>
              <w:t xml:space="preserve">Европейска агенция по морска безопасност  </w:t>
            </w:r>
          </w:p>
        </w:tc>
      </w:tr>
      <w:tr>
        <w:tc>
          <w:tcPr>
            <w:tcW w:w="1526" w:type="dxa"/>
          </w:tcPr>
          <w:p>
            <w:pPr>
              <w:pStyle w:val="DGTextstand-alone"/>
              <w:spacing w:before="0"/>
            </w:pPr>
            <w:r>
              <w:rPr>
                <w:color w:val="016794"/>
              </w:rPr>
              <w:t>ИПС</w:t>
            </w:r>
            <w:r>
              <w:t xml:space="preserve"> </w:t>
            </w:r>
          </w:p>
        </w:tc>
        <w:tc>
          <w:tcPr>
            <w:tcW w:w="8328" w:type="dxa"/>
          </w:tcPr>
          <w:p>
            <w:pPr>
              <w:pStyle w:val="DGTextstand-alone"/>
              <w:spacing w:before="0"/>
            </w:pPr>
            <w:r>
              <w:t>Икономически и паричен съюз</w:t>
            </w:r>
          </w:p>
        </w:tc>
      </w:tr>
      <w:tr>
        <w:tc>
          <w:tcPr>
            <w:tcW w:w="1526" w:type="dxa"/>
          </w:tcPr>
          <w:p>
            <w:pPr>
              <w:pStyle w:val="DGTextstand-alone"/>
              <w:spacing w:before="0"/>
            </w:pPr>
            <w:r>
              <w:rPr>
                <w:color w:val="016794"/>
              </w:rPr>
              <w:t>ENEF</w:t>
            </w:r>
            <w:r>
              <w:t xml:space="preserve"> </w:t>
            </w:r>
          </w:p>
        </w:tc>
        <w:tc>
          <w:tcPr>
            <w:tcW w:w="8328" w:type="dxa"/>
          </w:tcPr>
          <w:p>
            <w:pPr>
              <w:pStyle w:val="DGTextstand-alone"/>
              <w:spacing w:before="0"/>
            </w:pPr>
            <w:r>
              <w:t>Фонд за разширяване на предприятията</w:t>
            </w:r>
          </w:p>
        </w:tc>
      </w:tr>
      <w:tr>
        <w:tc>
          <w:tcPr>
            <w:tcW w:w="1526" w:type="dxa"/>
          </w:tcPr>
          <w:p>
            <w:pPr>
              <w:pStyle w:val="DGTextstand-alone"/>
              <w:spacing w:before="0"/>
              <w:rPr>
                <w:rFonts w:cs="Calibri"/>
              </w:rPr>
            </w:pPr>
            <w:r>
              <w:rPr>
                <w:color w:val="016794"/>
              </w:rPr>
              <w:t>ENIAC</w:t>
            </w:r>
            <w:r>
              <w:t xml:space="preserve"> </w:t>
            </w:r>
          </w:p>
        </w:tc>
        <w:tc>
          <w:tcPr>
            <w:tcW w:w="8328" w:type="dxa"/>
          </w:tcPr>
          <w:p>
            <w:pPr>
              <w:pStyle w:val="DGTextstand-alone"/>
              <w:spacing w:before="0"/>
              <w:rPr>
                <w:rFonts w:cs="Calibri"/>
              </w:rPr>
            </w:pPr>
            <w:r>
              <w:t>Европейски консултативен съвет за инициатива в областта на наноелектрониката</w:t>
            </w:r>
          </w:p>
        </w:tc>
      </w:tr>
      <w:tr>
        <w:tc>
          <w:tcPr>
            <w:tcW w:w="1526" w:type="dxa"/>
          </w:tcPr>
          <w:p>
            <w:pPr>
              <w:pStyle w:val="DGTextstand-alone"/>
              <w:spacing w:before="0"/>
            </w:pPr>
            <w:r>
              <w:rPr>
                <w:color w:val="016794"/>
              </w:rPr>
              <w:t>ENIF</w:t>
            </w:r>
            <w:r>
              <w:t xml:space="preserve"> </w:t>
            </w:r>
          </w:p>
        </w:tc>
        <w:tc>
          <w:tcPr>
            <w:tcW w:w="8328" w:type="dxa"/>
          </w:tcPr>
          <w:p>
            <w:pPr>
              <w:pStyle w:val="DGTextstand-alone"/>
              <w:spacing w:before="0"/>
            </w:pPr>
            <w:r>
              <w:t>Фонд за иновации в предприятията</w:t>
            </w:r>
          </w:p>
        </w:tc>
      </w:tr>
      <w:tr>
        <w:tc>
          <w:tcPr>
            <w:tcW w:w="1526" w:type="dxa"/>
          </w:tcPr>
          <w:p>
            <w:pPr>
              <w:pStyle w:val="DGTextstand-alone"/>
              <w:spacing w:before="0"/>
            </w:pPr>
            <w:r>
              <w:rPr>
                <w:color w:val="016794"/>
              </w:rPr>
              <w:t>ENISA</w:t>
            </w:r>
            <w:r>
              <w:t xml:space="preserve"> </w:t>
            </w:r>
          </w:p>
        </w:tc>
        <w:tc>
          <w:tcPr>
            <w:tcW w:w="8328" w:type="dxa"/>
          </w:tcPr>
          <w:p>
            <w:pPr>
              <w:pStyle w:val="DGTextstand-alone"/>
              <w:spacing w:before="0"/>
            </w:pPr>
            <w:r>
              <w:t xml:space="preserve">Агенция на Европейския съюз за мрежова и информационна сигурност  </w:t>
            </w:r>
          </w:p>
        </w:tc>
      </w:tr>
      <w:tr>
        <w:tc>
          <w:tcPr>
            <w:tcW w:w="1526" w:type="dxa"/>
          </w:tcPr>
          <w:p>
            <w:pPr>
              <w:pStyle w:val="DGTextstand-alone"/>
              <w:spacing w:before="0"/>
            </w:pPr>
            <w:r>
              <w:rPr>
                <w:color w:val="016794"/>
              </w:rPr>
              <w:t>ЕИСП</w:t>
            </w:r>
            <w:r>
              <w:t xml:space="preserve"> </w:t>
            </w:r>
          </w:p>
        </w:tc>
        <w:tc>
          <w:tcPr>
            <w:tcW w:w="8328" w:type="dxa"/>
          </w:tcPr>
          <w:p>
            <w:pPr>
              <w:pStyle w:val="DGTextstand-alone"/>
              <w:spacing w:before="0"/>
            </w:pPr>
            <w:r>
              <w:t>Европейски инструмент за съседство и партньорство</w:t>
            </w:r>
          </w:p>
        </w:tc>
      </w:tr>
      <w:tr>
        <w:tc>
          <w:tcPr>
            <w:tcW w:w="1526" w:type="dxa"/>
          </w:tcPr>
          <w:p>
            <w:pPr>
              <w:pStyle w:val="DGTextstand-alone"/>
              <w:spacing w:before="0"/>
            </w:pPr>
            <w:r>
              <w:rPr>
                <w:color w:val="016794"/>
              </w:rPr>
              <w:t>ЕП</w:t>
            </w:r>
            <w:r>
              <w:t xml:space="preserve"> </w:t>
            </w:r>
          </w:p>
        </w:tc>
        <w:tc>
          <w:tcPr>
            <w:tcW w:w="8328" w:type="dxa"/>
          </w:tcPr>
          <w:p>
            <w:pPr>
              <w:pStyle w:val="DGTextstand-alone"/>
              <w:spacing w:before="0"/>
            </w:pPr>
            <w:r>
              <w:t>Европейски парламент</w:t>
            </w:r>
          </w:p>
        </w:tc>
      </w:tr>
      <w:tr>
        <w:tc>
          <w:tcPr>
            <w:tcW w:w="1526" w:type="dxa"/>
          </w:tcPr>
          <w:p>
            <w:pPr>
              <w:pStyle w:val="DGTextstand-alone"/>
              <w:spacing w:before="0"/>
            </w:pPr>
            <w:r>
              <w:rPr>
                <w:color w:val="016794"/>
              </w:rPr>
              <w:t>ERCEA</w:t>
            </w:r>
            <w:r>
              <w:t xml:space="preserve"> </w:t>
            </w:r>
          </w:p>
        </w:tc>
        <w:tc>
          <w:tcPr>
            <w:tcW w:w="8328" w:type="dxa"/>
          </w:tcPr>
          <w:p>
            <w:pPr>
              <w:pStyle w:val="DGTextstand-alone"/>
              <w:spacing w:before="0"/>
            </w:pPr>
            <w:r>
              <w:t xml:space="preserve">Изпълнителна агенция на Европейския научноизследователски съвет  </w:t>
            </w:r>
          </w:p>
        </w:tc>
      </w:tr>
      <w:tr>
        <w:tc>
          <w:tcPr>
            <w:tcW w:w="1526" w:type="dxa"/>
          </w:tcPr>
          <w:p>
            <w:pPr>
              <w:pStyle w:val="DGTextstand-alone"/>
              <w:spacing w:before="0"/>
            </w:pPr>
            <w:r>
              <w:rPr>
                <w:color w:val="016794"/>
              </w:rPr>
              <w:t>ЕФРР</w:t>
            </w:r>
            <w:r>
              <w:t xml:space="preserve"> </w:t>
            </w:r>
          </w:p>
        </w:tc>
        <w:tc>
          <w:tcPr>
            <w:tcW w:w="8328" w:type="dxa"/>
          </w:tcPr>
          <w:p>
            <w:pPr>
              <w:pStyle w:val="DGTextstand-alone"/>
              <w:spacing w:before="0"/>
            </w:pPr>
            <w:r>
              <w:t>Европейски фонд за регионално развитие</w:t>
            </w:r>
          </w:p>
        </w:tc>
      </w:tr>
      <w:tr>
        <w:tc>
          <w:tcPr>
            <w:tcW w:w="1526" w:type="dxa"/>
          </w:tcPr>
          <w:p>
            <w:pPr>
              <w:pStyle w:val="DGTextstand-alone"/>
              <w:spacing w:before="0"/>
            </w:pPr>
            <w:r>
              <w:rPr>
                <w:color w:val="016794"/>
              </w:rPr>
              <w:t>ЕКА</w:t>
            </w:r>
            <w:r>
              <w:t xml:space="preserve"> </w:t>
            </w:r>
          </w:p>
        </w:tc>
        <w:tc>
          <w:tcPr>
            <w:tcW w:w="8328" w:type="dxa"/>
          </w:tcPr>
          <w:p>
            <w:pPr>
              <w:pStyle w:val="DGTextstand-alone"/>
              <w:spacing w:before="0"/>
            </w:pPr>
            <w:r>
              <w:t>Европейска космическа агенция</w:t>
            </w:r>
          </w:p>
        </w:tc>
      </w:tr>
      <w:tr>
        <w:tc>
          <w:tcPr>
            <w:tcW w:w="1526" w:type="dxa"/>
          </w:tcPr>
          <w:p>
            <w:pPr>
              <w:pStyle w:val="DGTextstand-alone"/>
              <w:spacing w:before="0"/>
            </w:pPr>
            <w:r>
              <w:rPr>
                <w:color w:val="016794"/>
              </w:rPr>
              <w:t>EСФ</w:t>
            </w:r>
            <w:r>
              <w:t xml:space="preserve"> </w:t>
            </w:r>
          </w:p>
        </w:tc>
        <w:tc>
          <w:tcPr>
            <w:tcW w:w="8328" w:type="dxa"/>
          </w:tcPr>
          <w:p>
            <w:pPr>
              <w:pStyle w:val="DGTextstand-alone"/>
              <w:spacing w:before="0"/>
            </w:pPr>
            <w:r>
              <w:t>Европейски социален фонд</w:t>
            </w:r>
          </w:p>
        </w:tc>
      </w:tr>
      <w:tr>
        <w:tc>
          <w:tcPr>
            <w:tcW w:w="1526" w:type="dxa"/>
          </w:tcPr>
          <w:p>
            <w:pPr>
              <w:pStyle w:val="DGTextstand-alone"/>
              <w:spacing w:before="0"/>
            </w:pPr>
            <w:r>
              <w:rPr>
                <w:color w:val="016794"/>
              </w:rPr>
              <w:t>ЕСИФ</w:t>
            </w:r>
            <w:r>
              <w:t xml:space="preserve"> </w:t>
            </w:r>
          </w:p>
        </w:tc>
        <w:tc>
          <w:tcPr>
            <w:tcW w:w="8328" w:type="dxa"/>
          </w:tcPr>
          <w:p>
            <w:pPr>
              <w:pStyle w:val="DGTextstand-alone"/>
              <w:spacing w:before="0"/>
            </w:pPr>
            <w:r>
              <w:t>Европейски структурни и инвестиционни фондове</w:t>
            </w:r>
          </w:p>
        </w:tc>
      </w:tr>
      <w:tr>
        <w:tc>
          <w:tcPr>
            <w:tcW w:w="1526" w:type="dxa"/>
          </w:tcPr>
          <w:p>
            <w:pPr>
              <w:pStyle w:val="DGTextstand-alone"/>
              <w:spacing w:before="0"/>
            </w:pPr>
            <w:r>
              <w:rPr>
                <w:color w:val="016794"/>
              </w:rPr>
              <w:t>ЕМС</w:t>
            </w:r>
            <w:r>
              <w:t xml:space="preserve"> </w:t>
            </w:r>
          </w:p>
        </w:tc>
        <w:tc>
          <w:tcPr>
            <w:tcW w:w="8328" w:type="dxa"/>
          </w:tcPr>
          <w:p>
            <w:pPr>
              <w:pStyle w:val="DGTextstand-alone"/>
              <w:spacing w:before="0"/>
            </w:pPr>
            <w:r>
              <w:t>Европейски механизъм за стабилност</w:t>
            </w:r>
          </w:p>
        </w:tc>
      </w:tr>
      <w:tr>
        <w:tc>
          <w:tcPr>
            <w:tcW w:w="1526" w:type="dxa"/>
          </w:tcPr>
          <w:p>
            <w:pPr>
              <w:pStyle w:val="DGTextstand-alone"/>
              <w:spacing w:before="0"/>
            </w:pPr>
            <w:r>
              <w:rPr>
                <w:color w:val="016794"/>
              </w:rPr>
              <w:t>ESMA</w:t>
            </w:r>
            <w:r>
              <w:t xml:space="preserve"> </w:t>
            </w:r>
          </w:p>
        </w:tc>
        <w:tc>
          <w:tcPr>
            <w:tcW w:w="8328" w:type="dxa"/>
          </w:tcPr>
          <w:p>
            <w:pPr>
              <w:pStyle w:val="DGTextstand-alone"/>
              <w:spacing w:before="0"/>
            </w:pPr>
            <w:r>
              <w:t>Европейски орган за ценни книжа и пазари</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Схема за подкрепа на стартиращи предприятия по Европейския механизъм за технологии 1998</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Европейска фондация за обучение</w:t>
            </w:r>
          </w:p>
        </w:tc>
      </w:tr>
      <w:tr>
        <w:tc>
          <w:tcPr>
            <w:tcW w:w="1526" w:type="dxa"/>
          </w:tcPr>
          <w:p>
            <w:pPr>
              <w:pStyle w:val="DGTextstand-alone"/>
              <w:spacing w:before="0"/>
            </w:pPr>
            <w:r>
              <w:rPr>
                <w:color w:val="016794"/>
              </w:rPr>
              <w:t>ЕС</w:t>
            </w:r>
            <w:r>
              <w:t xml:space="preserve"> </w:t>
            </w:r>
          </w:p>
        </w:tc>
        <w:tc>
          <w:tcPr>
            <w:tcW w:w="8328" w:type="dxa"/>
          </w:tcPr>
          <w:p>
            <w:pPr>
              <w:pStyle w:val="DGTextstand-alone"/>
              <w:spacing w:before="0"/>
            </w:pPr>
            <w:r>
              <w:t>Европейски съюз</w:t>
            </w:r>
          </w:p>
        </w:tc>
      </w:tr>
      <w:tr>
        <w:tc>
          <w:tcPr>
            <w:tcW w:w="1526" w:type="dxa"/>
          </w:tcPr>
          <w:p>
            <w:pPr>
              <w:pStyle w:val="DGTextstand-alone"/>
              <w:spacing w:before="0"/>
            </w:pPr>
            <w:r>
              <w:rPr>
                <w:color w:val="016794"/>
              </w:rPr>
              <w:t>EUIPO</w:t>
            </w:r>
            <w:r>
              <w:t xml:space="preserve"> </w:t>
            </w:r>
            <w:r>
              <w:tab/>
            </w:r>
            <w:r>
              <w:tab/>
            </w:r>
          </w:p>
        </w:tc>
        <w:tc>
          <w:tcPr>
            <w:tcW w:w="8328" w:type="dxa"/>
          </w:tcPr>
          <w:p>
            <w:pPr>
              <w:pStyle w:val="DGTextstand-alone"/>
              <w:spacing w:before="0"/>
            </w:pPr>
            <w:r>
              <w:t xml:space="preserve">Служба на Европейския съюз за интелектуална собственост  </w:t>
            </w:r>
          </w:p>
        </w:tc>
      </w:tr>
      <w:tr>
        <w:tc>
          <w:tcPr>
            <w:tcW w:w="1526" w:type="dxa"/>
          </w:tcPr>
          <w:p>
            <w:pPr>
              <w:pStyle w:val="DGTextstand-alone"/>
              <w:spacing w:before="0"/>
            </w:pPr>
            <w:r>
              <w:rPr>
                <w:color w:val="016794"/>
              </w:rPr>
              <w:t>EU-LISA</w:t>
            </w:r>
          </w:p>
        </w:tc>
        <w:tc>
          <w:tcPr>
            <w:tcW w:w="8328" w:type="dxa"/>
          </w:tcPr>
          <w:p>
            <w:pPr>
              <w:pStyle w:val="DGTextstand-alone"/>
              <w:spacing w:before="0"/>
            </w:pPr>
            <w:r>
              <w:t>Европейска агенция за оперативното управление на широкомащабни информационни системи в пространството на свобода, сигурност и правосъдие</w:t>
            </w:r>
          </w:p>
        </w:tc>
      </w:tr>
      <w:tr>
        <w:tc>
          <w:tcPr>
            <w:tcW w:w="1526" w:type="dxa"/>
          </w:tcPr>
          <w:p>
            <w:pPr>
              <w:pStyle w:val="DGTextstand-alone"/>
              <w:spacing w:before="0"/>
            </w:pPr>
            <w:r>
              <w:rPr>
                <w:color w:val="016794"/>
              </w:rPr>
              <w:t>EUMETSAT</w:t>
            </w:r>
            <w:r>
              <w:t xml:space="preserve"> </w:t>
            </w:r>
          </w:p>
        </w:tc>
        <w:tc>
          <w:tcPr>
            <w:tcW w:w="8328" w:type="dxa"/>
          </w:tcPr>
          <w:p>
            <w:pPr>
              <w:pStyle w:val="DGTextstand-alone"/>
              <w:spacing w:before="0"/>
              <w:rPr>
                <w:highlight w:val="yellow"/>
              </w:rPr>
            </w:pPr>
            <w:r>
              <w:t>Европейска организация за експлоатация на метеорологични спътници</w:t>
            </w:r>
          </w:p>
        </w:tc>
      </w:tr>
      <w:tr>
        <w:tc>
          <w:tcPr>
            <w:tcW w:w="1526" w:type="dxa"/>
          </w:tcPr>
          <w:p>
            <w:pPr>
              <w:pStyle w:val="DGTextstand-alone"/>
              <w:spacing w:before="0"/>
            </w:pPr>
            <w:r>
              <w:rPr>
                <w:color w:val="016794"/>
              </w:rPr>
              <w:t>EU</w:t>
            </w:r>
            <w:r>
              <w:t>-</w:t>
            </w:r>
            <w:r>
              <w:rPr>
                <w:color w:val="016794"/>
              </w:rPr>
              <w:t>OSHA</w:t>
            </w:r>
            <w:r>
              <w:t xml:space="preserve"> </w:t>
            </w:r>
          </w:p>
        </w:tc>
        <w:tc>
          <w:tcPr>
            <w:tcW w:w="8328" w:type="dxa"/>
          </w:tcPr>
          <w:p>
            <w:pPr>
              <w:pStyle w:val="DGTextstand-alone"/>
              <w:spacing w:before="0"/>
            </w:pPr>
            <w:r>
              <w:t xml:space="preserve">Европейска агенция за безопасност и здраве при работа  </w:t>
            </w:r>
          </w:p>
        </w:tc>
      </w:tr>
      <w:tr>
        <w:tc>
          <w:tcPr>
            <w:tcW w:w="1526" w:type="dxa"/>
          </w:tcPr>
          <w:p>
            <w:pPr>
              <w:pStyle w:val="DGTextstand-alone"/>
              <w:spacing w:before="0"/>
            </w:pPr>
            <w:r>
              <w:rPr>
                <w:color w:val="016794"/>
              </w:rPr>
              <w:t>Евратом</w:t>
            </w:r>
          </w:p>
        </w:tc>
        <w:tc>
          <w:tcPr>
            <w:tcW w:w="8328" w:type="dxa"/>
          </w:tcPr>
          <w:p>
            <w:pPr>
              <w:pStyle w:val="DGTextstand-alone"/>
              <w:spacing w:before="0"/>
            </w:pPr>
            <w:r>
              <w:t>Европейска общност за атомна енергия</w:t>
            </w:r>
          </w:p>
        </w:tc>
      </w:tr>
      <w:tr>
        <w:tc>
          <w:tcPr>
            <w:tcW w:w="1526" w:type="dxa"/>
          </w:tcPr>
          <w:p>
            <w:pPr>
              <w:pStyle w:val="DGTextstand-alone"/>
              <w:spacing w:before="0"/>
            </w:pPr>
            <w:r>
              <w:rPr>
                <w:color w:val="016794"/>
              </w:rPr>
              <w:t>Eurofound</w:t>
            </w:r>
            <w:r>
              <w:t xml:space="preserve"> </w:t>
            </w:r>
          </w:p>
        </w:tc>
        <w:tc>
          <w:tcPr>
            <w:tcW w:w="8328" w:type="dxa"/>
          </w:tcPr>
          <w:p>
            <w:pPr>
              <w:pStyle w:val="DGTextstand-alone"/>
              <w:spacing w:before="0"/>
            </w:pPr>
            <w:r>
              <w:t xml:space="preserve">Европейска фондация за подобряване на условията на живот и труд </w:t>
            </w:r>
          </w:p>
        </w:tc>
      </w:tr>
      <w:tr>
        <w:tc>
          <w:tcPr>
            <w:tcW w:w="1526" w:type="dxa"/>
          </w:tcPr>
          <w:p>
            <w:pPr>
              <w:pStyle w:val="DGTextstand-alone"/>
              <w:spacing w:before="0"/>
            </w:pPr>
            <w:r>
              <w:rPr>
                <w:color w:val="016794"/>
              </w:rPr>
              <w:t>Евроюст</w:t>
            </w:r>
            <w:r>
              <w:t xml:space="preserve"> </w:t>
            </w:r>
          </w:p>
        </w:tc>
        <w:tc>
          <w:tcPr>
            <w:tcW w:w="8328" w:type="dxa"/>
          </w:tcPr>
          <w:p>
            <w:pPr>
              <w:pStyle w:val="DGTextstand-alone"/>
              <w:spacing w:before="0"/>
            </w:pPr>
            <w:r>
              <w:t xml:space="preserve">Звено на Европейския съюз за съдебно сътрудничество  </w:t>
            </w:r>
          </w:p>
        </w:tc>
      </w:tr>
      <w:tr>
        <w:tc>
          <w:tcPr>
            <w:tcW w:w="1526" w:type="dxa"/>
          </w:tcPr>
          <w:p>
            <w:pPr>
              <w:pStyle w:val="DGTextstand-alone"/>
              <w:spacing w:before="0"/>
              <w:rPr>
                <w:iCs/>
              </w:rPr>
            </w:pPr>
            <w:r>
              <w:rPr>
                <w:color w:val="016794"/>
              </w:rPr>
              <w:t>ЕВРОПОЛ</w:t>
            </w:r>
            <w:r>
              <w:t xml:space="preserve"> </w:t>
            </w:r>
          </w:p>
        </w:tc>
        <w:tc>
          <w:tcPr>
            <w:tcW w:w="8328" w:type="dxa"/>
          </w:tcPr>
          <w:p>
            <w:pPr>
              <w:pStyle w:val="DGTextstand-alone"/>
              <w:spacing w:before="0"/>
              <w:rPr>
                <w:iCs/>
              </w:rPr>
            </w:pPr>
            <w:r>
              <w:t xml:space="preserve">Европейска полицейска служба </w:t>
            </w:r>
          </w:p>
        </w:tc>
      </w:tr>
      <w:tr>
        <w:tc>
          <w:tcPr>
            <w:tcW w:w="1526" w:type="dxa"/>
          </w:tcPr>
          <w:p>
            <w:pPr>
              <w:pStyle w:val="DGTextstand-alone"/>
              <w:spacing w:before="0"/>
            </w:pPr>
            <w:r>
              <w:rPr>
                <w:color w:val="016794"/>
              </w:rPr>
              <w:t>F4E</w:t>
            </w:r>
            <w:r>
              <w:t xml:space="preserve"> </w:t>
            </w:r>
          </w:p>
        </w:tc>
        <w:tc>
          <w:tcPr>
            <w:tcW w:w="8328" w:type="dxa"/>
          </w:tcPr>
          <w:p>
            <w:pPr>
              <w:pStyle w:val="DGTextstand-alone"/>
              <w:spacing w:before="0"/>
            </w:pPr>
            <w:r>
              <w:t>Термоядрен синтез за енергия</w:t>
            </w:r>
          </w:p>
        </w:tc>
      </w:tr>
      <w:tr>
        <w:tc>
          <w:tcPr>
            <w:tcW w:w="1526" w:type="dxa"/>
          </w:tcPr>
          <w:p>
            <w:pPr>
              <w:pStyle w:val="DGTextstand-alone"/>
              <w:spacing w:before="0"/>
            </w:pPr>
            <w:r>
              <w:rPr>
                <w:color w:val="016794"/>
              </w:rPr>
              <w:t>ГКВ</w:t>
            </w:r>
            <w:r>
              <w:t xml:space="preserve"> </w:t>
            </w:r>
          </w:p>
        </w:tc>
        <w:tc>
          <w:tcPr>
            <w:tcW w:w="8328" w:type="dxa"/>
          </w:tcPr>
          <w:p>
            <w:pPr>
              <w:pStyle w:val="DGTextstand-alone"/>
              <w:spacing w:before="0"/>
            </w:pPr>
            <w:r>
              <w:t>Съвместно предприятие „Горивни клетки и водород“</w:t>
            </w:r>
          </w:p>
        </w:tc>
      </w:tr>
      <w:tr>
        <w:tc>
          <w:tcPr>
            <w:tcW w:w="1526" w:type="dxa"/>
          </w:tcPr>
          <w:p>
            <w:pPr>
              <w:pStyle w:val="DGTextstand-alone"/>
              <w:spacing w:before="0"/>
            </w:pPr>
            <w:r>
              <w:rPr>
                <w:color w:val="016794"/>
              </w:rPr>
              <w:t>ФИОР</w:t>
            </w:r>
          </w:p>
        </w:tc>
        <w:tc>
          <w:tcPr>
            <w:tcW w:w="8328" w:type="dxa"/>
          </w:tcPr>
          <w:p>
            <w:pPr>
              <w:pStyle w:val="DGTextstand-alone"/>
              <w:spacing w:before="0"/>
            </w:pPr>
            <w:r>
              <w:t>Финансов инструмент за ориентиране на рибарството</w:t>
            </w:r>
          </w:p>
        </w:tc>
      </w:tr>
      <w:tr>
        <w:tc>
          <w:tcPr>
            <w:tcW w:w="1526" w:type="dxa"/>
          </w:tcPr>
          <w:p>
            <w:pPr>
              <w:pStyle w:val="DGTextstand-alone"/>
              <w:spacing w:before="0"/>
              <w:rPr>
                <w:rStyle w:val="st1"/>
                <w:rFonts w:cs="Arial"/>
              </w:rPr>
            </w:pPr>
            <w:r>
              <w:rPr>
                <w:color w:val="016794"/>
              </w:rPr>
              <w:t>FIFO</w:t>
            </w:r>
          </w:p>
        </w:tc>
        <w:tc>
          <w:tcPr>
            <w:tcW w:w="8328" w:type="dxa"/>
          </w:tcPr>
          <w:p>
            <w:pPr>
              <w:pStyle w:val="DGTextstand-alone"/>
              <w:spacing w:before="0"/>
              <w:rPr>
                <w:rStyle w:val="st1"/>
                <w:rFonts w:cs="Arial"/>
              </w:rPr>
            </w:pPr>
            <w:r>
              <w:rPr>
                <w:rStyle w:val="st1"/>
              </w:rPr>
              <w:t>Първа входяща — първа изходяща стойност</w:t>
            </w:r>
          </w:p>
        </w:tc>
      </w:tr>
      <w:tr>
        <w:tc>
          <w:tcPr>
            <w:tcW w:w="1526" w:type="dxa"/>
          </w:tcPr>
          <w:p>
            <w:pPr>
              <w:pStyle w:val="DGTextstand-alone"/>
              <w:spacing w:before="0"/>
            </w:pPr>
            <w:r>
              <w:rPr>
                <w:color w:val="016794"/>
              </w:rPr>
              <w:t>7РП</w:t>
            </w:r>
            <w:r>
              <w:t xml:space="preserve"> </w:t>
            </w:r>
          </w:p>
        </w:tc>
        <w:tc>
          <w:tcPr>
            <w:tcW w:w="8328" w:type="dxa"/>
          </w:tcPr>
          <w:p>
            <w:pPr>
              <w:pStyle w:val="DGTextstand-alone"/>
              <w:spacing w:before="0"/>
            </w:pPr>
            <w:r>
              <w:t>Седма рамкова програма за научни изследвания и технологично развитие</w:t>
            </w:r>
          </w:p>
        </w:tc>
      </w:tr>
      <w:tr>
        <w:tc>
          <w:tcPr>
            <w:tcW w:w="1526" w:type="dxa"/>
          </w:tcPr>
          <w:p>
            <w:pPr>
              <w:pStyle w:val="DGTextstand-alone"/>
              <w:spacing w:before="0"/>
            </w:pPr>
            <w:r>
              <w:rPr>
                <w:color w:val="016794"/>
              </w:rPr>
              <w:t>ФР</w:t>
            </w:r>
            <w:r>
              <w:t xml:space="preserve"> </w:t>
            </w:r>
          </w:p>
        </w:tc>
        <w:tc>
          <w:tcPr>
            <w:tcW w:w="8328" w:type="dxa"/>
          </w:tcPr>
          <w:p>
            <w:pPr>
              <w:pStyle w:val="DGTextstand-alone"/>
              <w:spacing w:before="0"/>
            </w:pPr>
            <w:r>
              <w:t>Финансов регламент</w:t>
            </w:r>
          </w:p>
        </w:tc>
      </w:tr>
      <w:tr>
        <w:tc>
          <w:tcPr>
            <w:tcW w:w="1526" w:type="dxa"/>
          </w:tcPr>
          <w:p>
            <w:pPr>
              <w:pStyle w:val="DGTextstand-alone"/>
              <w:spacing w:before="0"/>
            </w:pPr>
            <w:r>
              <w:rPr>
                <w:color w:val="016794"/>
              </w:rPr>
              <w:t>FRA</w:t>
            </w:r>
          </w:p>
        </w:tc>
        <w:tc>
          <w:tcPr>
            <w:tcW w:w="8328" w:type="dxa"/>
          </w:tcPr>
          <w:p>
            <w:pPr>
              <w:pStyle w:val="DGTextstand-alone"/>
              <w:spacing w:before="0"/>
              <w:rPr>
                <w:highlight w:val="yellow"/>
              </w:rPr>
            </w:pPr>
            <w:r>
              <w:t>Агенция на Европейския съюз за основните права</w:t>
            </w:r>
          </w:p>
        </w:tc>
      </w:tr>
      <w:tr>
        <w:tc>
          <w:tcPr>
            <w:tcW w:w="1526" w:type="dxa"/>
          </w:tcPr>
          <w:p>
            <w:pPr>
              <w:pStyle w:val="DGTextstand-alone"/>
              <w:spacing w:before="0"/>
            </w:pPr>
            <w:r>
              <w:rPr>
                <w:color w:val="016794"/>
              </w:rPr>
              <w:t>Frontex</w:t>
            </w:r>
            <w:r>
              <w:t xml:space="preserve"> </w:t>
            </w:r>
          </w:p>
        </w:tc>
        <w:tc>
          <w:tcPr>
            <w:tcW w:w="8328" w:type="dxa"/>
          </w:tcPr>
          <w:p>
            <w:pPr>
              <w:pStyle w:val="DGTextstand-alone"/>
              <w:spacing w:before="0"/>
            </w:pPr>
            <w:r>
              <w:t>Европейска агенция за гранична и брегова охрана</w:t>
            </w:r>
          </w:p>
        </w:tc>
      </w:tr>
      <w:tr>
        <w:tc>
          <w:tcPr>
            <w:tcW w:w="1526" w:type="dxa"/>
          </w:tcPr>
          <w:p>
            <w:pPr>
              <w:pStyle w:val="DGTextstand-alone"/>
              <w:spacing w:before="0"/>
            </w:pPr>
            <w:r>
              <w:rPr>
                <w:color w:val="016794"/>
              </w:rPr>
              <w:t>ОАФО</w:t>
            </w:r>
            <w:r>
              <w:t xml:space="preserve"> </w:t>
            </w:r>
            <w:r>
              <w:tab/>
            </w:r>
          </w:p>
        </w:tc>
        <w:tc>
          <w:tcPr>
            <w:tcW w:w="8328" w:type="dxa"/>
          </w:tcPr>
          <w:p>
            <w:pPr>
              <w:pStyle w:val="DGTextstand-alone"/>
              <w:spacing w:before="0"/>
            </w:pPr>
            <w:r>
              <w:t>Обсъждане и анализ на финансовите отчети</w:t>
            </w:r>
          </w:p>
        </w:tc>
      </w:tr>
      <w:tr>
        <w:tc>
          <w:tcPr>
            <w:tcW w:w="1526" w:type="dxa"/>
          </w:tcPr>
          <w:p>
            <w:pPr>
              <w:pStyle w:val="DGTextstand-alone"/>
              <w:spacing w:before="0"/>
              <w:rPr>
                <w:b/>
              </w:rPr>
            </w:pPr>
            <w:r>
              <w:rPr>
                <w:color w:val="016794"/>
              </w:rPr>
              <w:t>БВП</w:t>
            </w:r>
          </w:p>
        </w:tc>
        <w:tc>
          <w:tcPr>
            <w:tcW w:w="8328" w:type="dxa"/>
          </w:tcPr>
          <w:p>
            <w:pPr>
              <w:pStyle w:val="DGTextstand-alone"/>
              <w:spacing w:before="0"/>
            </w:pPr>
            <w:r>
              <w:t>Брутен вътрешен продукт</w:t>
            </w:r>
          </w:p>
        </w:tc>
      </w:tr>
      <w:tr>
        <w:tc>
          <w:tcPr>
            <w:tcW w:w="1526" w:type="dxa"/>
          </w:tcPr>
          <w:p>
            <w:pPr>
              <w:pStyle w:val="DGTextstand-alone"/>
              <w:spacing w:before="0"/>
            </w:pPr>
            <w:r>
              <w:rPr>
                <w:color w:val="016794"/>
              </w:rPr>
              <w:t>ГМОСС</w:t>
            </w:r>
            <w:r>
              <w:t xml:space="preserve"> </w:t>
            </w:r>
          </w:p>
        </w:tc>
        <w:tc>
          <w:tcPr>
            <w:tcW w:w="8328" w:type="dxa"/>
          </w:tcPr>
          <w:p>
            <w:pPr>
              <w:pStyle w:val="DGTextstand-alone"/>
              <w:spacing w:before="0"/>
            </w:pPr>
            <w:r>
              <w:t>Глобален мониторинг на околната среда и сигурността</w:t>
            </w:r>
          </w:p>
        </w:tc>
      </w:tr>
      <w:tr>
        <w:tc>
          <w:tcPr>
            <w:tcW w:w="1526" w:type="dxa"/>
          </w:tcPr>
          <w:p>
            <w:pPr>
              <w:pStyle w:val="DGTextstand-alone"/>
              <w:spacing w:before="0"/>
            </w:pPr>
            <w:r>
              <w:rPr>
                <w:color w:val="016794"/>
              </w:rPr>
              <w:t>БНД</w:t>
            </w:r>
            <w:r>
              <w:t xml:space="preserve"> </w:t>
            </w:r>
          </w:p>
        </w:tc>
        <w:tc>
          <w:tcPr>
            <w:tcW w:w="8328" w:type="dxa"/>
          </w:tcPr>
          <w:p>
            <w:pPr>
              <w:pStyle w:val="DGTextstand-alone"/>
              <w:spacing w:before="0"/>
            </w:pPr>
            <w:r>
              <w:t>Брутен национален доход</w:t>
            </w:r>
          </w:p>
        </w:tc>
      </w:tr>
      <w:tr>
        <w:tc>
          <w:tcPr>
            <w:tcW w:w="1526" w:type="dxa"/>
          </w:tcPr>
          <w:p>
            <w:pPr>
              <w:pStyle w:val="DGTextstand-alone"/>
              <w:spacing w:before="0"/>
            </w:pPr>
            <w:r>
              <w:rPr>
                <w:color w:val="016794"/>
              </w:rPr>
              <w:t>ГНСС</w:t>
            </w:r>
            <w:r>
              <w:t xml:space="preserve"> </w:t>
            </w:r>
          </w:p>
        </w:tc>
        <w:tc>
          <w:tcPr>
            <w:tcW w:w="8328" w:type="dxa"/>
          </w:tcPr>
          <w:p>
            <w:pPr>
              <w:pStyle w:val="DGTextstand-alone"/>
              <w:spacing w:before="0"/>
            </w:pPr>
            <w:r>
              <w:t>Глобална навигационна спътникова система</w:t>
            </w:r>
          </w:p>
        </w:tc>
      </w:tr>
      <w:tr>
        <w:tc>
          <w:tcPr>
            <w:tcW w:w="1526" w:type="dxa"/>
          </w:tcPr>
          <w:p>
            <w:pPr>
              <w:pStyle w:val="DGTextstand-alone"/>
              <w:spacing w:before="0"/>
            </w:pPr>
            <w:r>
              <w:rPr>
                <w:color w:val="016794"/>
              </w:rPr>
              <w:t>H2020</w:t>
            </w:r>
            <w:r>
              <w:t xml:space="preserve"> </w:t>
            </w:r>
          </w:p>
        </w:tc>
        <w:tc>
          <w:tcPr>
            <w:tcW w:w="8328" w:type="dxa"/>
          </w:tcPr>
          <w:p>
            <w:pPr>
              <w:pStyle w:val="DGTextstand-alone"/>
              <w:spacing w:before="0"/>
            </w:pPr>
            <w:r>
              <w:t>„Хоризонт 2020“</w:t>
            </w:r>
          </w:p>
        </w:tc>
      </w:tr>
      <w:tr>
        <w:tc>
          <w:tcPr>
            <w:tcW w:w="1526" w:type="dxa"/>
          </w:tcPr>
          <w:p>
            <w:pPr>
              <w:pStyle w:val="DGTextstand-alone"/>
              <w:spacing w:before="0"/>
            </w:pPr>
            <w:r>
              <w:rPr>
                <w:color w:val="016794"/>
              </w:rPr>
              <w:t>ICSLT</w:t>
            </w:r>
            <w:r>
              <w:t xml:space="preserve"> </w:t>
            </w:r>
          </w:p>
        </w:tc>
        <w:tc>
          <w:tcPr>
            <w:tcW w:w="8328" w:type="dxa"/>
          </w:tcPr>
          <w:p>
            <w:pPr>
              <w:pStyle w:val="DGTextstand-alone"/>
              <w:spacing w:before="0"/>
            </w:pPr>
            <w:r>
              <w:t>Международна таблица „Живот“ за публичните служители</w:t>
            </w:r>
          </w:p>
        </w:tc>
      </w:tr>
      <w:tr>
        <w:tc>
          <w:tcPr>
            <w:tcW w:w="1526" w:type="dxa"/>
          </w:tcPr>
          <w:p>
            <w:pPr>
              <w:pStyle w:val="DGTextstand-alone"/>
              <w:spacing w:before="0"/>
            </w:pPr>
            <w:r>
              <w:rPr>
                <w:color w:val="016794"/>
              </w:rPr>
              <w:t>IFRP</w:t>
            </w:r>
            <w:r>
              <w:t xml:space="preserve"> </w:t>
            </w:r>
          </w:p>
        </w:tc>
        <w:tc>
          <w:tcPr>
            <w:tcW w:w="8328" w:type="dxa"/>
          </w:tcPr>
          <w:p>
            <w:pPr>
              <w:pStyle w:val="DGTextstand-alone"/>
              <w:spacing w:before="0"/>
            </w:pPr>
            <w:r>
              <w:t>Интегриран пакет за финансово отчитане</w:t>
            </w:r>
          </w:p>
        </w:tc>
      </w:tr>
      <w:tr>
        <w:tc>
          <w:tcPr>
            <w:tcW w:w="1526" w:type="dxa"/>
          </w:tcPr>
          <w:p>
            <w:pPr>
              <w:pStyle w:val="DGTextstand-alone"/>
              <w:spacing w:before="0"/>
            </w:pPr>
            <w:r>
              <w:rPr>
                <w:color w:val="016794"/>
              </w:rPr>
              <w:t>ИИП</w:t>
            </w:r>
            <w:r>
              <w:t xml:space="preserve"> </w:t>
            </w:r>
          </w:p>
        </w:tc>
        <w:tc>
          <w:tcPr>
            <w:tcW w:w="8328" w:type="dxa"/>
          </w:tcPr>
          <w:p>
            <w:pPr>
              <w:pStyle w:val="DGTextstand-alone"/>
              <w:spacing w:before="0"/>
            </w:pPr>
            <w:r>
              <w:t>Инфраструктурен и иновационен прозорец</w:t>
            </w:r>
          </w:p>
        </w:tc>
      </w:tr>
      <w:tr>
        <w:tc>
          <w:tcPr>
            <w:tcW w:w="1526" w:type="dxa"/>
          </w:tcPr>
          <w:p>
            <w:pPr>
              <w:pStyle w:val="DGTextstand-alone"/>
              <w:spacing w:before="0"/>
            </w:pPr>
            <w:r>
              <w:rPr>
                <w:color w:val="016794"/>
              </w:rPr>
              <w:t>МВФ</w:t>
            </w:r>
            <w:r>
              <w:t xml:space="preserve"> </w:t>
            </w:r>
          </w:p>
        </w:tc>
        <w:tc>
          <w:tcPr>
            <w:tcW w:w="8328" w:type="dxa"/>
          </w:tcPr>
          <w:p>
            <w:pPr>
              <w:pStyle w:val="DGTextstand-alone"/>
              <w:spacing w:before="0"/>
            </w:pPr>
            <w:r>
              <w:t>Международен валутен фонд</w:t>
            </w:r>
          </w:p>
        </w:tc>
      </w:tr>
      <w:tr>
        <w:tc>
          <w:tcPr>
            <w:tcW w:w="1526" w:type="dxa"/>
          </w:tcPr>
          <w:p>
            <w:pPr>
              <w:pStyle w:val="DGTextstand-alone"/>
              <w:spacing w:before="0"/>
            </w:pPr>
            <w:r>
              <w:rPr>
                <w:color w:val="016794"/>
              </w:rPr>
              <w:t>ИИЛ</w:t>
            </w:r>
            <w:r>
              <w:t xml:space="preserve"> </w:t>
            </w:r>
          </w:p>
        </w:tc>
        <w:tc>
          <w:tcPr>
            <w:tcW w:w="8328" w:type="dxa"/>
          </w:tcPr>
          <w:p>
            <w:pPr>
              <w:pStyle w:val="DGTextstand-alone"/>
              <w:spacing w:before="0"/>
            </w:pPr>
            <w:r>
              <w:t>Съвместно предприятие на инициативата за иновативни лекарства</w:t>
            </w:r>
          </w:p>
        </w:tc>
      </w:tr>
      <w:tr>
        <w:tc>
          <w:tcPr>
            <w:tcW w:w="1526" w:type="dxa"/>
          </w:tcPr>
          <w:p>
            <w:pPr>
              <w:pStyle w:val="DGTextstand-alone"/>
              <w:spacing w:before="0"/>
              <w:rPr>
                <w:color w:val="016794"/>
              </w:rPr>
            </w:pPr>
            <w:r>
              <w:rPr>
                <w:color w:val="016794"/>
              </w:rPr>
              <w:t>INEA</w:t>
            </w:r>
            <w:r>
              <w:tab/>
            </w:r>
          </w:p>
        </w:tc>
        <w:tc>
          <w:tcPr>
            <w:tcW w:w="8328" w:type="dxa"/>
          </w:tcPr>
          <w:p>
            <w:pPr>
              <w:pStyle w:val="DGTextstand-alone"/>
              <w:spacing w:before="0"/>
            </w:pPr>
            <w:r>
              <w:t>Изпълнителна агенция за иновации и мрежи</w:t>
            </w:r>
          </w:p>
        </w:tc>
      </w:tr>
      <w:tr>
        <w:tc>
          <w:tcPr>
            <w:tcW w:w="1526" w:type="dxa"/>
          </w:tcPr>
          <w:p>
            <w:pPr>
              <w:pStyle w:val="DGTextstand-alone"/>
              <w:spacing w:before="0"/>
              <w:rPr>
                <w:color w:val="016794"/>
              </w:rPr>
            </w:pPr>
            <w:r>
              <w:rPr>
                <w:color w:val="016794"/>
              </w:rPr>
              <w:t>ИПП ІІ</w:t>
            </w:r>
            <w:r>
              <w:tab/>
            </w:r>
          </w:p>
        </w:tc>
        <w:tc>
          <w:tcPr>
            <w:tcW w:w="8328" w:type="dxa"/>
          </w:tcPr>
          <w:p>
            <w:pPr>
              <w:pStyle w:val="DGTextstand-alone"/>
              <w:spacing w:before="0"/>
            </w:pPr>
            <w:r>
              <w:t>Инструмент за предприсъединителна помощ</w:t>
            </w:r>
          </w:p>
        </w:tc>
      </w:tr>
      <w:tr>
        <w:tc>
          <w:tcPr>
            <w:tcW w:w="1526" w:type="dxa"/>
          </w:tcPr>
          <w:p>
            <w:pPr>
              <w:pStyle w:val="DGTextstand-alone"/>
              <w:spacing w:before="0"/>
              <w:rPr>
                <w:color w:val="016794"/>
              </w:rPr>
            </w:pPr>
            <w:r>
              <w:rPr>
                <w:color w:val="016794"/>
              </w:rPr>
              <w:t>МССПС</w:t>
            </w:r>
          </w:p>
        </w:tc>
        <w:tc>
          <w:tcPr>
            <w:tcW w:w="8328" w:type="dxa"/>
          </w:tcPr>
          <w:p>
            <w:pPr>
              <w:pStyle w:val="DGTextstand-alone"/>
              <w:spacing w:before="0"/>
            </w:pPr>
            <w:r>
              <w:t>Международни счетоводни стандарти за публичния сектор</w:t>
            </w:r>
          </w:p>
        </w:tc>
      </w:tr>
      <w:tr>
        <w:tc>
          <w:tcPr>
            <w:tcW w:w="1526" w:type="dxa"/>
          </w:tcPr>
          <w:p>
            <w:pPr>
              <w:pStyle w:val="DGTextstand-alone"/>
              <w:spacing w:before="0"/>
              <w:rPr>
                <w:color w:val="016794"/>
              </w:rPr>
            </w:pPr>
            <w:r>
              <w:rPr>
                <w:color w:val="016794"/>
              </w:rPr>
              <w:t>ФВС</w:t>
            </w:r>
          </w:p>
        </w:tc>
        <w:tc>
          <w:tcPr>
            <w:tcW w:w="8328" w:type="dxa"/>
          </w:tcPr>
          <w:p>
            <w:pPr>
              <w:pStyle w:val="DGTextstand-alone"/>
              <w:spacing w:before="0"/>
            </w:pPr>
            <w:r>
              <w:t>Фонд „Вътрешна сигурност“</w:t>
            </w:r>
          </w:p>
        </w:tc>
      </w:tr>
      <w:tr>
        <w:tc>
          <w:tcPr>
            <w:tcW w:w="1526" w:type="dxa"/>
          </w:tcPr>
          <w:p>
            <w:pPr>
              <w:pStyle w:val="DGTextstand-alone"/>
              <w:spacing w:before="0"/>
              <w:rPr>
                <w:rFonts w:cs="Calibri"/>
              </w:rPr>
            </w:pPr>
            <w:r>
              <w:rPr>
                <w:color w:val="016794"/>
              </w:rPr>
              <w:t>ИТ</w:t>
            </w:r>
            <w:r>
              <w:t xml:space="preserve"> </w:t>
            </w:r>
          </w:p>
        </w:tc>
        <w:tc>
          <w:tcPr>
            <w:tcW w:w="8328" w:type="dxa"/>
          </w:tcPr>
          <w:p>
            <w:pPr>
              <w:pStyle w:val="DGTextstand-alone"/>
              <w:spacing w:before="0"/>
              <w:rPr>
                <w:rFonts w:cs="Calibri"/>
              </w:rPr>
            </w:pPr>
            <w:r>
              <w:t>Информационни технологии</w:t>
            </w:r>
          </w:p>
        </w:tc>
      </w:tr>
      <w:tr>
        <w:tc>
          <w:tcPr>
            <w:tcW w:w="1526" w:type="dxa"/>
          </w:tcPr>
          <w:p>
            <w:pPr>
              <w:pStyle w:val="DGTextstand-alone"/>
              <w:spacing w:before="0"/>
            </w:pPr>
            <w:r>
              <w:rPr>
                <w:color w:val="016794"/>
              </w:rPr>
              <w:t>ITER</w:t>
            </w:r>
            <w:r>
              <w:t xml:space="preserve"> </w:t>
            </w:r>
          </w:p>
        </w:tc>
        <w:tc>
          <w:tcPr>
            <w:tcW w:w="8328" w:type="dxa"/>
          </w:tcPr>
          <w:p>
            <w:pPr>
              <w:pStyle w:val="DGTextstand-alone"/>
              <w:spacing w:before="0"/>
            </w:pPr>
            <w:r>
              <w:t>Международен експериментален термоядрен реактор</w:t>
            </w:r>
          </w:p>
        </w:tc>
      </w:tr>
      <w:tr>
        <w:tc>
          <w:tcPr>
            <w:tcW w:w="1526" w:type="dxa"/>
          </w:tcPr>
          <w:p>
            <w:pPr>
              <w:pStyle w:val="DGTextstand-alone"/>
              <w:spacing w:before="0"/>
            </w:pPr>
            <w:r>
              <w:rPr>
                <w:color w:val="016794"/>
              </w:rPr>
              <w:t>СПД</w:t>
            </w:r>
            <w:r>
              <w:t xml:space="preserve"> </w:t>
            </w:r>
          </w:p>
        </w:tc>
        <w:tc>
          <w:tcPr>
            <w:tcW w:w="8328" w:type="dxa"/>
          </w:tcPr>
          <w:p>
            <w:pPr>
              <w:pStyle w:val="DGTextstand-alone"/>
              <w:spacing w:before="0"/>
            </w:pPr>
            <w:r>
              <w:t>Съвместен план за действие</w:t>
            </w:r>
          </w:p>
        </w:tc>
      </w:tr>
      <w:tr>
        <w:tc>
          <w:tcPr>
            <w:tcW w:w="1526" w:type="dxa"/>
          </w:tcPr>
          <w:p>
            <w:pPr>
              <w:pStyle w:val="DGTextstand-alone"/>
              <w:spacing w:before="0"/>
            </w:pPr>
            <w:r>
              <w:rPr>
                <w:color w:val="016794"/>
              </w:rPr>
              <w:t>JRC</w:t>
            </w:r>
            <w:r>
              <w:t xml:space="preserve"> </w:t>
            </w:r>
          </w:p>
        </w:tc>
        <w:tc>
          <w:tcPr>
            <w:tcW w:w="8328" w:type="dxa"/>
          </w:tcPr>
          <w:p>
            <w:pPr>
              <w:pStyle w:val="DGTextstand-alone"/>
              <w:spacing w:before="0"/>
            </w:pPr>
            <w:r>
              <w:t>Съвместен изследователски център</w:t>
            </w:r>
          </w:p>
        </w:tc>
      </w:tr>
      <w:tr>
        <w:tc>
          <w:tcPr>
            <w:tcW w:w="1526" w:type="dxa"/>
          </w:tcPr>
          <w:p>
            <w:pPr>
              <w:pStyle w:val="DGTextstand-alone"/>
              <w:spacing w:before="0"/>
              <w:rPr>
                <w:rFonts w:cs="Calibri"/>
              </w:rPr>
            </w:pPr>
            <w:r>
              <w:rPr>
                <w:color w:val="016794"/>
              </w:rPr>
              <w:t>СП</w:t>
            </w:r>
            <w:r>
              <w:t xml:space="preserve"> </w:t>
            </w:r>
          </w:p>
        </w:tc>
        <w:tc>
          <w:tcPr>
            <w:tcW w:w="8328" w:type="dxa"/>
          </w:tcPr>
          <w:p>
            <w:pPr>
              <w:pStyle w:val="DGTextstand-alone"/>
              <w:spacing w:before="0"/>
              <w:rPr>
                <w:rFonts w:cs="Calibri"/>
              </w:rPr>
            </w:pPr>
            <w:r>
              <w:t>Съвместно предприятие</w:t>
            </w:r>
          </w:p>
        </w:tc>
      </w:tr>
      <w:tr>
        <w:tc>
          <w:tcPr>
            <w:tcW w:w="1526" w:type="dxa"/>
          </w:tcPr>
          <w:p>
            <w:pPr>
              <w:pStyle w:val="DGTextstand-alone"/>
              <w:spacing w:before="0"/>
            </w:pPr>
            <w:r>
              <w:rPr>
                <w:color w:val="016794"/>
              </w:rPr>
              <w:t>LGTT</w:t>
            </w:r>
            <w:r>
              <w:t xml:space="preserve"> </w:t>
            </w:r>
          </w:p>
        </w:tc>
        <w:tc>
          <w:tcPr>
            <w:tcW w:w="8328" w:type="dxa"/>
          </w:tcPr>
          <w:p>
            <w:pPr>
              <w:pStyle w:val="DGTextstand-alone"/>
              <w:spacing w:before="0"/>
            </w:pPr>
            <w:r>
              <w:t>Инструмент за гарантиране на заемите по проекти, свързани с трансевропейските транспортни мрежи</w:t>
            </w:r>
          </w:p>
        </w:tc>
      </w:tr>
      <w:tr>
        <w:tc>
          <w:tcPr>
            <w:tcW w:w="1526" w:type="dxa"/>
          </w:tcPr>
          <w:p>
            <w:pPr>
              <w:pStyle w:val="DGTextstand-alone"/>
              <w:spacing w:before="0"/>
            </w:pPr>
            <w:r>
              <w:rPr>
                <w:color w:val="016794"/>
              </w:rPr>
              <w:t>МП</w:t>
            </w:r>
            <w:r>
              <w:t xml:space="preserve"> </w:t>
            </w:r>
          </w:p>
        </w:tc>
        <w:tc>
          <w:tcPr>
            <w:tcW w:w="8328" w:type="dxa"/>
          </w:tcPr>
          <w:p>
            <w:pPr>
              <w:pStyle w:val="DGTextstand-alone"/>
              <w:spacing w:before="0"/>
            </w:pPr>
            <w:r>
              <w:t>Многогодишна програма — Програма за финансово приобщаване на средните предприятия</w:t>
            </w:r>
          </w:p>
        </w:tc>
      </w:tr>
      <w:tr>
        <w:tc>
          <w:tcPr>
            <w:tcW w:w="1526" w:type="dxa"/>
          </w:tcPr>
          <w:p>
            <w:pPr>
              <w:pStyle w:val="DGTextstand-alone"/>
              <w:spacing w:before="0"/>
            </w:pPr>
            <w:r>
              <w:rPr>
                <w:color w:val="016794"/>
              </w:rPr>
              <w:t>MEP</w:t>
            </w:r>
            <w:r>
              <w:t xml:space="preserve"> </w:t>
            </w:r>
          </w:p>
        </w:tc>
        <w:tc>
          <w:tcPr>
            <w:tcW w:w="8328" w:type="dxa"/>
          </w:tcPr>
          <w:p>
            <w:pPr>
              <w:pStyle w:val="DGTextstand-alone"/>
              <w:spacing w:before="0"/>
            </w:pPr>
            <w:r>
              <w:t>Член на Европейския парламент</w:t>
            </w:r>
          </w:p>
        </w:tc>
      </w:tr>
      <w:tr>
        <w:tc>
          <w:tcPr>
            <w:tcW w:w="1526" w:type="dxa"/>
          </w:tcPr>
          <w:p>
            <w:pPr>
              <w:pStyle w:val="DGTextstand-alone"/>
              <w:spacing w:before="0"/>
              <w:rPr>
                <w:iCs/>
              </w:rPr>
            </w:pPr>
            <w:r>
              <w:rPr>
                <w:color w:val="016794"/>
              </w:rPr>
              <w:t>МФП</w:t>
            </w:r>
            <w:r>
              <w:t xml:space="preserve"> </w:t>
            </w:r>
          </w:p>
        </w:tc>
        <w:tc>
          <w:tcPr>
            <w:tcW w:w="8328" w:type="dxa"/>
          </w:tcPr>
          <w:p>
            <w:pPr>
              <w:pStyle w:val="DGTextstand-alone"/>
              <w:spacing w:before="0"/>
              <w:rPr>
                <w:iCs/>
              </w:rPr>
            </w:pPr>
            <w:r>
              <w:t>Макрофинансова помощ</w:t>
            </w:r>
          </w:p>
        </w:tc>
      </w:tr>
      <w:tr>
        <w:tc>
          <w:tcPr>
            <w:tcW w:w="1526" w:type="dxa"/>
          </w:tcPr>
          <w:p>
            <w:pPr>
              <w:pStyle w:val="DGTextstand-alone"/>
              <w:spacing w:before="0"/>
            </w:pPr>
            <w:r>
              <w:rPr>
                <w:color w:val="016794"/>
              </w:rPr>
              <w:t>МФР</w:t>
            </w:r>
            <w:r>
              <w:t xml:space="preserve"> </w:t>
            </w:r>
          </w:p>
        </w:tc>
        <w:tc>
          <w:tcPr>
            <w:tcW w:w="8328" w:type="dxa"/>
          </w:tcPr>
          <w:p>
            <w:pPr>
              <w:pStyle w:val="DGTextstand-alone"/>
              <w:spacing w:before="0"/>
            </w:pPr>
            <w:r>
              <w:t>Многогодишна финансова рамка</w:t>
            </w:r>
          </w:p>
        </w:tc>
      </w:tr>
      <w:tr>
        <w:tc>
          <w:tcPr>
            <w:tcW w:w="1526" w:type="dxa"/>
          </w:tcPr>
          <w:p>
            <w:pPr>
              <w:pStyle w:val="DGTextstand-alone"/>
              <w:spacing w:before="0"/>
              <w:rPr>
                <w:rFonts w:cs="DejaVuSansCondensed-Bold"/>
                <w:bCs/>
              </w:rPr>
            </w:pPr>
            <w:r>
              <w:rPr>
                <w:color w:val="016794"/>
              </w:rPr>
              <w:t>ММСП</w:t>
            </w:r>
          </w:p>
        </w:tc>
        <w:tc>
          <w:tcPr>
            <w:tcW w:w="8328" w:type="dxa"/>
          </w:tcPr>
          <w:p>
            <w:pPr>
              <w:pStyle w:val="DGTextstand-alone"/>
              <w:spacing w:before="0"/>
              <w:rPr>
                <w:rFonts w:cs="DejaVuSansCondensed-Bold"/>
                <w:bCs/>
              </w:rPr>
            </w:pPr>
            <w:r>
              <w:t>Микро-, малки и средни предприятия</w:t>
            </w:r>
          </w:p>
        </w:tc>
      </w:tr>
      <w:tr>
        <w:tc>
          <w:tcPr>
            <w:tcW w:w="1526" w:type="dxa"/>
          </w:tcPr>
          <w:p>
            <w:pPr>
              <w:pStyle w:val="DGTextstand-alone"/>
              <w:spacing w:before="0"/>
            </w:pPr>
            <w:r>
              <w:rPr>
                <w:color w:val="016794"/>
              </w:rPr>
              <w:t>NEETs</w:t>
            </w:r>
            <w:r>
              <w:t xml:space="preserve"> </w:t>
            </w:r>
          </w:p>
        </w:tc>
        <w:tc>
          <w:tcPr>
            <w:tcW w:w="8328" w:type="dxa"/>
          </w:tcPr>
          <w:p>
            <w:pPr>
              <w:pStyle w:val="DGTextstand-alone"/>
              <w:spacing w:before="0"/>
            </w:pPr>
            <w:r>
              <w:t>Младежи, които не работят, не учат и не се обучават</w:t>
            </w:r>
          </w:p>
        </w:tc>
      </w:tr>
      <w:tr>
        <w:tc>
          <w:tcPr>
            <w:tcW w:w="1526" w:type="dxa"/>
          </w:tcPr>
          <w:p>
            <w:pPr>
              <w:pStyle w:val="DGTextstand-alone"/>
              <w:spacing w:before="0"/>
            </w:pPr>
            <w:r>
              <w:rPr>
                <w:color w:val="016794"/>
              </w:rPr>
              <w:t>РСР</w:t>
            </w:r>
            <w:r>
              <w:t xml:space="preserve"> </w:t>
            </w:r>
          </w:p>
        </w:tc>
        <w:tc>
          <w:tcPr>
            <w:tcW w:w="8328" w:type="dxa"/>
          </w:tcPr>
          <w:p>
            <w:pPr>
              <w:pStyle w:val="DGTextstand-alone"/>
              <w:spacing w:before="0"/>
            </w:pPr>
            <w:r>
              <w:t>Решение за собствените ресурси</w:t>
            </w:r>
          </w:p>
        </w:tc>
      </w:tr>
      <w:tr>
        <w:tc>
          <w:tcPr>
            <w:tcW w:w="1526" w:type="dxa"/>
          </w:tcPr>
          <w:p>
            <w:pPr>
              <w:pStyle w:val="DGTextstand-alone"/>
              <w:spacing w:before="0"/>
            </w:pPr>
            <w:r>
              <w:rPr>
                <w:color w:val="016794"/>
              </w:rPr>
              <w:t>PBI</w:t>
            </w:r>
            <w:r>
              <w:t xml:space="preserve"> </w:t>
            </w:r>
          </w:p>
        </w:tc>
        <w:tc>
          <w:tcPr>
            <w:tcW w:w="8328" w:type="dxa"/>
          </w:tcPr>
          <w:p>
            <w:pPr>
              <w:pStyle w:val="DGTextstand-alone"/>
              <w:spacing w:before="0"/>
            </w:pPr>
            <w:r>
              <w:t>Инициатива „Облигации за проекти“</w:t>
            </w:r>
          </w:p>
        </w:tc>
      </w:tr>
      <w:tr>
        <w:tc>
          <w:tcPr>
            <w:tcW w:w="1526" w:type="dxa"/>
          </w:tcPr>
          <w:p>
            <w:pPr>
              <w:pStyle w:val="DGTextstand-alone"/>
              <w:spacing w:before="0"/>
            </w:pPr>
            <w:r>
              <w:rPr>
                <w:color w:val="016794"/>
              </w:rPr>
              <w:t>PF4EE</w:t>
            </w:r>
            <w:r>
              <w:t xml:space="preserve"> </w:t>
            </w:r>
          </w:p>
        </w:tc>
        <w:tc>
          <w:tcPr>
            <w:tcW w:w="8328" w:type="dxa"/>
          </w:tcPr>
          <w:p>
            <w:pPr>
              <w:pStyle w:val="DGTextstand-alone"/>
              <w:spacing w:before="0"/>
            </w:pPr>
            <w:r>
              <w:t>Инструмент за частно финансиране за енергийна ефективност</w:t>
            </w:r>
          </w:p>
        </w:tc>
      </w:tr>
      <w:tr>
        <w:tc>
          <w:tcPr>
            <w:tcW w:w="1526" w:type="dxa"/>
          </w:tcPr>
          <w:p>
            <w:pPr>
              <w:pStyle w:val="DGTextstand-alone"/>
              <w:spacing w:before="0"/>
            </w:pPr>
            <w:r>
              <w:rPr>
                <w:color w:val="016794"/>
              </w:rPr>
              <w:t>ГФУ</w:t>
            </w:r>
            <w:r>
              <w:t xml:space="preserve"> </w:t>
            </w:r>
          </w:p>
        </w:tc>
        <w:tc>
          <w:tcPr>
            <w:tcW w:w="8328" w:type="dxa"/>
          </w:tcPr>
          <w:p>
            <w:pPr>
              <w:pStyle w:val="DGTextstand-alone"/>
              <w:spacing w:before="0"/>
            </w:pPr>
            <w:r>
              <w:t>Гаранционен фонд за участниците</w:t>
            </w:r>
          </w:p>
        </w:tc>
      </w:tr>
      <w:tr>
        <w:tc>
          <w:tcPr>
            <w:tcW w:w="1526" w:type="dxa"/>
          </w:tcPr>
          <w:p>
            <w:pPr>
              <w:pStyle w:val="DGTextstand-alone"/>
              <w:spacing w:before="0"/>
            </w:pPr>
            <w:r>
              <w:rPr>
                <w:color w:val="016794"/>
              </w:rPr>
              <w:t>PMF</w:t>
            </w:r>
            <w:r>
              <w:t xml:space="preserve">  </w:t>
            </w:r>
          </w:p>
        </w:tc>
        <w:tc>
          <w:tcPr>
            <w:tcW w:w="8328" w:type="dxa"/>
          </w:tcPr>
          <w:p>
            <w:pPr>
              <w:pStyle w:val="DGTextstand-alone"/>
              <w:spacing w:before="0"/>
            </w:pPr>
            <w:r>
              <w:t>Европейски механизъм за микрофинансиране „Прогрес“</w:t>
            </w:r>
          </w:p>
        </w:tc>
      </w:tr>
      <w:tr>
        <w:tc>
          <w:tcPr>
            <w:tcW w:w="1526" w:type="dxa"/>
          </w:tcPr>
          <w:p>
            <w:pPr>
              <w:pStyle w:val="DGTextstand-alone"/>
              <w:spacing w:before="0"/>
            </w:pPr>
            <w:r>
              <w:rPr>
                <w:color w:val="016794"/>
              </w:rPr>
              <w:t>ПЧП</w:t>
            </w:r>
            <w:r>
              <w:t xml:space="preserve"> </w:t>
            </w:r>
          </w:p>
        </w:tc>
        <w:tc>
          <w:tcPr>
            <w:tcW w:w="8328" w:type="dxa"/>
          </w:tcPr>
          <w:p>
            <w:pPr>
              <w:pStyle w:val="DGTextstand-alone"/>
              <w:spacing w:before="0"/>
            </w:pPr>
            <w:r>
              <w:t>Публично-частно партньорство</w:t>
            </w:r>
          </w:p>
        </w:tc>
      </w:tr>
      <w:tr>
        <w:tc>
          <w:tcPr>
            <w:tcW w:w="1526" w:type="dxa"/>
          </w:tcPr>
          <w:p>
            <w:pPr>
              <w:pStyle w:val="DGTextstand-alone"/>
              <w:spacing w:before="0"/>
            </w:pPr>
            <w:r>
              <w:rPr>
                <w:color w:val="016794"/>
              </w:rPr>
              <w:t>PSEO</w:t>
            </w:r>
            <w:r>
              <w:t xml:space="preserve"> </w:t>
            </w:r>
          </w:p>
        </w:tc>
        <w:tc>
          <w:tcPr>
            <w:tcW w:w="8328" w:type="dxa"/>
          </w:tcPr>
          <w:p>
            <w:pPr>
              <w:pStyle w:val="DGTextstand-alone"/>
              <w:spacing w:before="0"/>
            </w:pPr>
            <w:r>
              <w:t xml:space="preserve">Пенсионноосигурителна схема на европейските длъжностни лица </w:t>
            </w:r>
          </w:p>
        </w:tc>
      </w:tr>
      <w:tr>
        <w:tc>
          <w:tcPr>
            <w:tcW w:w="1526" w:type="dxa"/>
          </w:tcPr>
          <w:p>
            <w:pPr>
              <w:pStyle w:val="DGTextstand-alone"/>
              <w:spacing w:before="0"/>
            </w:pPr>
            <w:r>
              <w:rPr>
                <w:color w:val="016794"/>
              </w:rPr>
              <w:t>НИИ</w:t>
            </w:r>
            <w:r>
              <w:t xml:space="preserve"> </w:t>
            </w:r>
          </w:p>
        </w:tc>
        <w:tc>
          <w:tcPr>
            <w:tcW w:w="8328" w:type="dxa"/>
          </w:tcPr>
          <w:p>
            <w:pPr>
              <w:pStyle w:val="DGTextstand-alone"/>
              <w:spacing w:before="0"/>
            </w:pPr>
            <w:r>
              <w:t>Научни изследвания и иновации</w:t>
            </w:r>
          </w:p>
        </w:tc>
      </w:tr>
      <w:tr>
        <w:tc>
          <w:tcPr>
            <w:tcW w:w="1526" w:type="dxa"/>
          </w:tcPr>
          <w:p>
            <w:pPr>
              <w:pStyle w:val="DGTextstand-alone"/>
              <w:spacing w:before="0"/>
            </w:pPr>
            <w:r>
              <w:rPr>
                <w:color w:val="016794"/>
              </w:rPr>
              <w:t>RAL</w:t>
            </w:r>
          </w:p>
        </w:tc>
        <w:tc>
          <w:tcPr>
            <w:tcW w:w="8328" w:type="dxa"/>
          </w:tcPr>
          <w:p>
            <w:pPr>
              <w:pStyle w:val="DGTextstand-alone"/>
              <w:spacing w:before="0"/>
            </w:pPr>
            <w:r>
              <w:t>Reste à Liquider (неизпълнени поети задължения)</w:t>
            </w:r>
          </w:p>
        </w:tc>
      </w:tr>
      <w:tr>
        <w:tc>
          <w:tcPr>
            <w:tcW w:w="1526" w:type="dxa"/>
          </w:tcPr>
          <w:p>
            <w:pPr>
              <w:pStyle w:val="DGTextstand-alone"/>
              <w:spacing w:before="0"/>
            </w:pPr>
            <w:r>
              <w:rPr>
                <w:color w:val="016794"/>
              </w:rPr>
              <w:t>REA</w:t>
            </w:r>
            <w:r>
              <w:t xml:space="preserve"> </w:t>
            </w:r>
          </w:p>
        </w:tc>
        <w:tc>
          <w:tcPr>
            <w:tcW w:w="8328" w:type="dxa"/>
          </w:tcPr>
          <w:p>
            <w:pPr>
              <w:pStyle w:val="DGTextstand-alone"/>
              <w:spacing w:before="0"/>
            </w:pPr>
            <w:r>
              <w:t xml:space="preserve">Изпълнителна агенция за научни изследвания  </w:t>
            </w:r>
          </w:p>
        </w:tc>
      </w:tr>
      <w:tr>
        <w:tc>
          <w:tcPr>
            <w:tcW w:w="1526" w:type="dxa"/>
          </w:tcPr>
          <w:p>
            <w:pPr>
              <w:pStyle w:val="DGTextstand-alone"/>
              <w:spacing w:before="0"/>
            </w:pPr>
            <w:r>
              <w:rPr>
                <w:color w:val="016794"/>
              </w:rPr>
              <w:t>МФПР</w:t>
            </w:r>
            <w:r>
              <w:t xml:space="preserve"> </w:t>
            </w:r>
          </w:p>
        </w:tc>
        <w:tc>
          <w:tcPr>
            <w:tcW w:w="8328" w:type="dxa"/>
          </w:tcPr>
          <w:p>
            <w:pPr>
              <w:pStyle w:val="DGTextstand-alone"/>
              <w:spacing w:before="0"/>
            </w:pPr>
            <w:r>
              <w:t>Механизъм за финансиране с поделяне на риска</w:t>
            </w:r>
          </w:p>
        </w:tc>
      </w:tr>
      <w:tr>
        <w:tc>
          <w:tcPr>
            <w:tcW w:w="1526" w:type="dxa"/>
          </w:tcPr>
          <w:p>
            <w:pPr>
              <w:pStyle w:val="DGTextstand-alone"/>
              <w:spacing w:before="0"/>
            </w:pPr>
            <w:r>
              <w:rPr>
                <w:color w:val="016794"/>
              </w:rPr>
              <w:t>НИТРД</w:t>
            </w:r>
            <w:r>
              <w:t xml:space="preserve"> </w:t>
            </w:r>
          </w:p>
        </w:tc>
        <w:tc>
          <w:tcPr>
            <w:tcW w:w="8328" w:type="dxa"/>
          </w:tcPr>
          <w:p>
            <w:pPr>
              <w:pStyle w:val="DGTextstand-alone"/>
              <w:spacing w:before="0"/>
            </w:pPr>
            <w:r>
              <w:t>Научни изследвания, технологично развитие и демонстрации</w:t>
            </w:r>
          </w:p>
        </w:tc>
      </w:tr>
      <w:tr>
        <w:tc>
          <w:tcPr>
            <w:tcW w:w="1526" w:type="dxa"/>
          </w:tcPr>
          <w:p>
            <w:pPr>
              <w:pStyle w:val="DGTextstand-alone"/>
              <w:spacing w:before="0"/>
            </w:pPr>
            <w:r>
              <w:rPr>
                <w:color w:val="016794"/>
              </w:rPr>
              <w:t>S&amp;P</w:t>
            </w:r>
            <w:r>
              <w:t xml:space="preserve"> </w:t>
            </w:r>
          </w:p>
        </w:tc>
        <w:tc>
          <w:tcPr>
            <w:tcW w:w="8328" w:type="dxa"/>
          </w:tcPr>
          <w:p>
            <w:pPr>
              <w:pStyle w:val="DGTextstand-alone"/>
              <w:spacing w:before="0"/>
            </w:pPr>
            <w:r>
              <w:t>Standard &amp; Poor's Financial Services LLC</w:t>
            </w:r>
          </w:p>
        </w:tc>
      </w:tr>
      <w:tr>
        <w:tc>
          <w:tcPr>
            <w:tcW w:w="1526" w:type="dxa"/>
          </w:tcPr>
          <w:p>
            <w:pPr>
              <w:pStyle w:val="DGTextstand-alone"/>
              <w:spacing w:before="0"/>
            </w:pPr>
            <w:r>
              <w:rPr>
                <w:color w:val="016794"/>
              </w:rPr>
              <w:t>SANAD</w:t>
            </w:r>
            <w:r>
              <w:t xml:space="preserve"> </w:t>
            </w:r>
          </w:p>
        </w:tc>
        <w:tc>
          <w:tcPr>
            <w:tcW w:w="8328" w:type="dxa"/>
          </w:tcPr>
          <w:p>
            <w:pPr>
              <w:pStyle w:val="DGTextstand-alone"/>
              <w:spacing w:before="0"/>
            </w:pPr>
            <w:r>
              <w:t>Фонд за БИСА за микро-, малките и средните предприятия</w:t>
            </w:r>
          </w:p>
        </w:tc>
      </w:tr>
      <w:tr>
        <w:tc>
          <w:tcPr>
            <w:tcW w:w="1526" w:type="dxa"/>
          </w:tcPr>
          <w:p>
            <w:pPr>
              <w:pStyle w:val="DGTextstand-alone"/>
              <w:spacing w:before="0"/>
              <w:rPr>
                <w:iCs/>
              </w:rPr>
            </w:pPr>
            <w:r>
              <w:rPr>
                <w:color w:val="016794"/>
              </w:rPr>
              <w:t>САПАРД</w:t>
            </w:r>
            <w:r>
              <w:t xml:space="preserve"> </w:t>
            </w:r>
          </w:p>
        </w:tc>
        <w:tc>
          <w:tcPr>
            <w:tcW w:w="8328" w:type="dxa"/>
          </w:tcPr>
          <w:p>
            <w:pPr>
              <w:pStyle w:val="DGTextstand-alone"/>
              <w:spacing w:before="0"/>
            </w:pPr>
            <w:r>
              <w:t xml:space="preserve">Специална предприсъединителна програма за развитие на земеделието и селските райони </w:t>
            </w:r>
          </w:p>
        </w:tc>
      </w:tr>
      <w:tr>
        <w:tc>
          <w:tcPr>
            <w:tcW w:w="1526" w:type="dxa"/>
          </w:tcPr>
          <w:p>
            <w:pPr>
              <w:pStyle w:val="DGTextstand-alone"/>
              <w:spacing w:before="0"/>
            </w:pPr>
            <w:r>
              <w:rPr>
                <w:color w:val="016794"/>
              </w:rPr>
              <w:t>SEMED</w:t>
            </w:r>
            <w:r>
              <w:t xml:space="preserve"> </w:t>
            </w:r>
          </w:p>
        </w:tc>
        <w:tc>
          <w:tcPr>
            <w:tcW w:w="8328" w:type="dxa"/>
          </w:tcPr>
          <w:p>
            <w:pPr>
              <w:pStyle w:val="DGTextstand-alone"/>
              <w:spacing w:before="0"/>
            </w:pPr>
            <w:r>
              <w:t>Програма за финансово приобщаване на микро-, малките и средните предприятия в Южното и Източното Средиземноморие</w:t>
            </w:r>
          </w:p>
        </w:tc>
      </w:tr>
      <w:tr>
        <w:tc>
          <w:tcPr>
            <w:tcW w:w="1526" w:type="dxa"/>
          </w:tcPr>
          <w:p>
            <w:pPr>
              <w:pStyle w:val="DGTextstand-alone"/>
              <w:spacing w:before="0"/>
            </w:pPr>
            <w:r>
              <w:rPr>
                <w:color w:val="016794"/>
              </w:rPr>
              <w:t>SESAR</w:t>
            </w:r>
            <w:r>
              <w:t xml:space="preserve"> </w:t>
            </w:r>
          </w:p>
        </w:tc>
        <w:tc>
          <w:tcPr>
            <w:tcW w:w="8328" w:type="dxa"/>
          </w:tcPr>
          <w:p>
            <w:pPr>
              <w:pStyle w:val="DGTextstand-alone"/>
              <w:spacing w:before="0"/>
            </w:pPr>
            <w:r>
              <w:t>Съвместно предприятие за изследване на управлението на въздушното движение в единното европейско небе</w:t>
            </w:r>
          </w:p>
        </w:tc>
      </w:tr>
      <w:tr>
        <w:tc>
          <w:tcPr>
            <w:tcW w:w="1526" w:type="dxa"/>
          </w:tcPr>
          <w:p>
            <w:pPr>
              <w:pStyle w:val="DGTextstand-alone"/>
              <w:spacing w:before="0"/>
              <w:rPr>
                <w:iCs/>
              </w:rPr>
            </w:pPr>
            <w:r>
              <w:rPr>
                <w:color w:val="016794"/>
              </w:rPr>
              <w:t>SIUGI</w:t>
            </w:r>
            <w:r>
              <w:t xml:space="preserve"> </w:t>
            </w:r>
          </w:p>
        </w:tc>
        <w:tc>
          <w:tcPr>
            <w:tcW w:w="8328" w:type="dxa"/>
          </w:tcPr>
          <w:p>
            <w:pPr>
              <w:pStyle w:val="DGTextstand-alone"/>
              <w:spacing w:before="0"/>
              <w:rPr>
                <w:iCs/>
              </w:rPr>
            </w:pPr>
            <w:r>
              <w:t>Инструмент за неограничена гаранция в рамките на инициативата за МСП</w:t>
            </w:r>
          </w:p>
        </w:tc>
      </w:tr>
      <w:tr>
        <w:tc>
          <w:tcPr>
            <w:tcW w:w="1526" w:type="dxa"/>
          </w:tcPr>
          <w:p>
            <w:pPr>
              <w:pStyle w:val="DGTextstand-alone"/>
              <w:spacing w:before="0"/>
            </w:pPr>
            <w:r>
              <w:rPr>
                <w:color w:val="016794"/>
              </w:rPr>
              <w:t>МСП</w:t>
            </w:r>
          </w:p>
        </w:tc>
        <w:tc>
          <w:tcPr>
            <w:tcW w:w="8328" w:type="dxa"/>
          </w:tcPr>
          <w:p>
            <w:pPr>
              <w:pStyle w:val="DGTextstand-alone"/>
              <w:spacing w:before="0"/>
            </w:pPr>
            <w:r>
              <w:rPr>
                <w:rStyle w:val="st1"/>
              </w:rPr>
              <w:t>Малки и средни предприятия</w:t>
            </w:r>
          </w:p>
        </w:tc>
      </w:tr>
      <w:tr>
        <w:tc>
          <w:tcPr>
            <w:tcW w:w="1526" w:type="dxa"/>
          </w:tcPr>
          <w:p>
            <w:pPr>
              <w:pStyle w:val="DGTextstand-alone"/>
              <w:spacing w:before="0"/>
            </w:pPr>
            <w:r>
              <w:rPr>
                <w:color w:val="016794"/>
              </w:rPr>
              <w:t>ПМСП</w:t>
            </w:r>
            <w:r>
              <w:t xml:space="preserve"> </w:t>
            </w:r>
          </w:p>
        </w:tc>
        <w:tc>
          <w:tcPr>
            <w:tcW w:w="8328" w:type="dxa"/>
          </w:tcPr>
          <w:p>
            <w:pPr>
              <w:pStyle w:val="DGTextstand-alone"/>
              <w:spacing w:before="0"/>
            </w:pPr>
            <w:r>
              <w:t>Прозорец за МСП (прозорец за малките и средните предприятия)</w:t>
            </w:r>
          </w:p>
        </w:tc>
      </w:tr>
      <w:tr>
        <w:tc>
          <w:tcPr>
            <w:tcW w:w="1526" w:type="dxa"/>
          </w:tcPr>
          <w:p>
            <w:pPr>
              <w:pStyle w:val="DGTextstand-alone"/>
              <w:spacing w:before="0"/>
            </w:pPr>
            <w:r>
              <w:rPr>
                <w:color w:val="016794"/>
              </w:rPr>
              <w:t>ДФЕС</w:t>
            </w:r>
            <w:r>
              <w:t xml:space="preserve"> </w:t>
            </w:r>
          </w:p>
        </w:tc>
        <w:tc>
          <w:tcPr>
            <w:tcW w:w="8328" w:type="dxa"/>
          </w:tcPr>
          <w:p>
            <w:pPr>
              <w:pStyle w:val="DGTextstand-alone"/>
              <w:spacing w:before="0"/>
            </w:pPr>
            <w:r>
              <w:t>Договор за функционирането на Европейския съюз</w:t>
            </w:r>
          </w:p>
        </w:tc>
      </w:tr>
      <w:tr>
        <w:tc>
          <w:tcPr>
            <w:tcW w:w="1526" w:type="dxa"/>
          </w:tcPr>
          <w:p>
            <w:pPr>
              <w:pStyle w:val="DGTextstand-alone"/>
              <w:spacing w:before="0"/>
            </w:pPr>
            <w:r>
              <w:rPr>
                <w:color w:val="016794"/>
              </w:rPr>
              <w:t>ТСР</w:t>
            </w:r>
            <w:r>
              <w:t xml:space="preserve"> </w:t>
            </w:r>
          </w:p>
        </w:tc>
        <w:tc>
          <w:tcPr>
            <w:tcW w:w="8328" w:type="dxa"/>
          </w:tcPr>
          <w:p>
            <w:pPr>
              <w:pStyle w:val="DGTextstand-alone"/>
              <w:spacing w:before="0"/>
            </w:pPr>
            <w:r>
              <w:t>Традиционни собствени ресурси</w:t>
            </w:r>
          </w:p>
        </w:tc>
      </w:tr>
      <w:tr>
        <w:tc>
          <w:tcPr>
            <w:tcW w:w="1526" w:type="dxa"/>
          </w:tcPr>
          <w:p>
            <w:pPr>
              <w:pStyle w:val="DGTextstand-alone"/>
              <w:spacing w:before="0"/>
              <w:rPr>
                <w:iCs/>
              </w:rPr>
            </w:pPr>
            <w:r>
              <w:rPr>
                <w:color w:val="016794"/>
              </w:rPr>
              <w:t>ВИРСР</w:t>
            </w:r>
            <w:r>
              <w:t xml:space="preserve"> </w:t>
            </w:r>
          </w:p>
        </w:tc>
        <w:tc>
          <w:tcPr>
            <w:tcW w:w="8328" w:type="dxa"/>
          </w:tcPr>
          <w:p>
            <w:pPr>
              <w:pStyle w:val="DGTextstand-alone"/>
              <w:spacing w:before="0"/>
              <w:rPr>
                <w:iCs/>
              </w:rPr>
            </w:pPr>
            <w:r>
              <w:t>Временен инструмент за развитие на селските райони</w:t>
            </w:r>
          </w:p>
        </w:tc>
      </w:tr>
      <w:tr>
        <w:tc>
          <w:tcPr>
            <w:tcW w:w="1526" w:type="dxa"/>
          </w:tcPr>
          <w:p>
            <w:pPr>
              <w:pStyle w:val="DGTextstand-alone"/>
              <w:spacing w:before="0"/>
            </w:pPr>
            <w:r>
              <w:rPr>
                <w:color w:val="016794"/>
              </w:rPr>
              <w:t>ДДС</w:t>
            </w:r>
            <w:r>
              <w:t xml:space="preserve"> </w:t>
            </w:r>
          </w:p>
        </w:tc>
        <w:tc>
          <w:tcPr>
            <w:tcW w:w="8328" w:type="dxa"/>
          </w:tcPr>
          <w:p>
            <w:pPr>
              <w:pStyle w:val="DGTextstand-alone"/>
              <w:spacing w:before="0"/>
            </w:pPr>
            <w:r>
              <w:t>Данък върху добавената стойност</w:t>
            </w:r>
          </w:p>
        </w:tc>
      </w:tr>
      <w:tr>
        <w:tc>
          <w:tcPr>
            <w:tcW w:w="1526" w:type="dxa"/>
          </w:tcPr>
          <w:p>
            <w:pPr>
              <w:pStyle w:val="DGTextstand-alone"/>
              <w:spacing w:before="0"/>
            </w:pPr>
            <w:r>
              <w:rPr>
                <w:color w:val="016794"/>
              </w:rPr>
              <w:t>ИМЗ</w:t>
            </w:r>
            <w:r>
              <w:t xml:space="preserve"> </w:t>
            </w:r>
          </w:p>
        </w:tc>
        <w:tc>
          <w:tcPr>
            <w:tcW w:w="8328" w:type="dxa"/>
          </w:tcPr>
          <w:p>
            <w:pPr>
              <w:pStyle w:val="DGTextstand-alone"/>
              <w:spacing w:before="0" w:after="0"/>
            </w:pPr>
            <w:r>
              <w:t>Инициатива за младежка заетост</w:t>
            </w:r>
          </w:p>
        </w:tc>
      </w:tr>
    </w:tbl>
    <w:p>
      <w:pPr>
        <w:pStyle w:val="DGTextstand-alone"/>
        <w:spacing w:after="0"/>
      </w:pPr>
      <w:r>
        <w:tab/>
        <w:t xml:space="preserve"> </w:t>
      </w:r>
      <w:bookmarkEnd w:id="371"/>
    </w:p>
    <w:p>
      <w:pPr>
        <w:rPr>
          <w:noProof/>
        </w:rPr>
      </w:pPr>
    </w:p>
    <w:sectPr>
      <w:headerReference w:type="even" r:id="rId528"/>
      <w:headerReference w:type="default" r:id="rId529"/>
      <w:footerReference w:type="even" r:id="rId530"/>
      <w:footerReference w:type="default" r:id="rId531"/>
      <w:headerReference w:type="first" r:id="rId532"/>
      <w:footerReference w:type="first" r:id="rId5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SquareSans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87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60426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20C1CF6" id="Rectangle 3" o:spid="_x0000_s1026" style="position:absolute;margin-left:225.1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ic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1IY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07645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40C7FCA"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vWh3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2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58254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A70B14A" id="Rectangle 3" o:spid="_x0000_s1026" style="position:absolute;margin-left:225.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8u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wV/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8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AEC1358" id="Rectangle 3" o:spid="_x0000_s1026" style="position:absolute;margin-left:225.1pt;margin-top:.35pt;width:31.75pt;height:6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4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88338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2E22210" id="Rectangle 3" o:spid="_x0000_s1026" style="position:absolute;margin-left:225.1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qWAIAALk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4mYq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69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29625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4068590" id="Rectangle 3" o:spid="_x0000_s1026" style="position:absolute;margin-left:225.1pt;margin-top:.35pt;width:31.7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IL+J8V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9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07869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624C3D1" id="Rectangle 3" o:spid="_x0000_s1026" style="position:absolute;margin-left:225.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WWQIAALg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24q1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1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17243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A1795B" id="Rectangle 3" o:spid="_x0000_s1026" style="position:absolute;margin-left:225.1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MV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2SS&#10;ZqNkNKJ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A7DF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3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2687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B96ACF9" id="Rectangle 3" o:spid="_x0000_s1026" style="position:absolute;margin-left:225.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H/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0cqh/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5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1411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901FCFC" id="Rectangle 3" o:spid="_x0000_s1026" style="position:absolute;margin-left:225.1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QnWAIAALg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GikQn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7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62474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9665B50" id="Rectangle 3" o:spid="_x0000_s1026" style="position:absolute;margin-left:225.1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CcKDPFVQIAALg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04903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625940D"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7xWA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gLc7x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1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83426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1B6F26B" id="Rectangle 3"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P7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og/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3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931687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51571B4" id="Rectangle 3" o:spid="_x0000_s1026" style="position:absolute;margin-left:225.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nK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F09v&#10;ktFkPMGJKd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ieJy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14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06884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9349CCC" id="Rectangle 3" o:spid="_x0000_s1026" style="position:absolute;margin-left:225.1pt;margin-top:.35pt;width:31.75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NPh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5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2263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A96C196" id="Rectangle 3" o:spid="_x0000_s1026" style="position:absolute;margin-left:225.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DQILJdVQIAALc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74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13850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707D73E" id="Rectangle 3" o:spid="_x0000_s1026" style="position:absolute;margin-left:350.05pt;margin-top:6.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I+WQIAALg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MGiPl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934508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62A730" id="Rectangle 3"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IJWQIAALg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2JDi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15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161319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2A57F0" id="Rectangle 3" o:spid="_x0000_s1026" style="position:absolute;margin-left:225.1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pBWQIAALk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B5aQ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3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55897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CA39877" id="Rectangle 3" o:spid="_x0000_s1026" style="position:absolute;margin-left:225.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t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5NJ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56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03662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C08A846" id="Rectangle 3" o:spid="_x0000_s1026" style="position:absolute;margin-left:225.1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t5g8a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89</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7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039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FDFF2E6" id="Rectangle 3" o:spid="_x0000_s1026" style="position:absolute;margin-left:225.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DCCt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97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8302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DC6DD6E" id="Rectangle 3" o:spid="_x0000_s1026" style="position:absolute;margin-left:225.1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vJWQ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eLy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92</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1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517755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88B2520" id="Rectangle 3" o:spid="_x0000_s1026" style="position:absolute;margin-left:225.1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OUWQIAALg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N6zl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93</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38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66622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24C1CB" id="Rectangle 3"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N0p7Cd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96</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34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719830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4BD181A" id="Rectangle 3" o:spid="_x0000_s1026" style="position:absolute;margin-left:225.1pt;margin-top:.35pt;width:31.75pt;height:6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kDy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10237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D8DB204" id="Rectangle 3"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bWQ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6mD2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98</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79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17067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1FAFC3A" id="Rectangle 3" o:spid="_x0000_s1026" style="position:absolute;margin-left:225.1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5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rws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101</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99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1832127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595AA1F" id="Rectangle 3"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WJWQIAALk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NFi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102</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2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84527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D1448FB" id="Rectangle 3"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waez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103</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4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01695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C00A0BE" id="Rectangle 3"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SV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9Es&#10;TsazPJ1Q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alE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125</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61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447553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00E6F49" id="Rectangle 3"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rpWg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G5Wu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126</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228192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B71D70" id="Rectangle 3"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KtWA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fq0Kt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129</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0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424030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BAF86D2" id="Rectangle 3"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5VWA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oZ95V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131</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22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80857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1242038" id="Rectangle 3"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PCtX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132</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43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13771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1941219" id="Rectangle 3"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YsEsN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86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B72560" id="Rectangle 3" o:spid="_x0000_s1026" style="position:absolute;margin-left:225.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wt3RR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6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32188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01F1A7" id="Rectangle 3" o:spid="_x0000_s1026" style="position:absolute;margin-left:225.1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eOWQIAALg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pVnj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140</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84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87661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3054242" id="Rectangle 3" o:spid="_x0000_s1026" style="position:absolute;margin-left:225.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CzLK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144</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04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808519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A850B16" id="Rectangle 3"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F24FzV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145</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251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3550480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E96BAC" id="Rectangle 3" o:spid="_x0000_s1026" style="position:absolute;margin-left:350.05pt;margin-top:6.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EWAIAALg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zd/NEWAIAALg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146</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070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D93EC1B" id="Rectangle 3" o:spid="_x0000_s1026" style="position:absolute;margin-left:350.05pt;margin-top:6.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147</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275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4982241" id="Rectangle 3" o:spid="_x0000_s1026" style="position:absolute;margin-left:350.05pt;margin-top:6.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148</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480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D9949B9" id="Rectangle 3" o:spid="_x0000_s1026" style="position:absolute;margin-left:350.05pt;margin-top:6.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149</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684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ECB10BE" id="Rectangle 3" o:spid="_x0000_s1026" style="position:absolute;margin-left:350.05pt;margin-top:6.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VqzFX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150</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88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317B3D8" id="Rectangle 3" o:spid="_x0000_s1026" style="position:absolute;margin-left:350.05pt;margin-top:6.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152</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094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967EB69" id="Rectangle 3" o:spid="_x0000_s1026" style="position:absolute;margin-left:350.05pt;margin-top:6.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l/Tx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158</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5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4212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C2B904"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ecWQ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M03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299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AA781A3" id="Rectangle 3" o:spid="_x0000_s1026" style="position:absolute;margin-left:350.05pt;margin-top:6.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0MWw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170</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45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5886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BBB8FD7" id="Rectangle 3" o:spid="_x0000_s1026" style="position:absolute;margin-left:350.05pt;margin-top:6.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MKWg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&#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JpFIwp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171</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504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4C9C147" id="Rectangle 3" o:spid="_x0000_s1026" style="position:absolute;margin-left:350.05pt;margin-top:6.5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DDtYV0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172</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708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DACB68C" id="Rectangle 3"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AVe5zN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173</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66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18567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0F044E4"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V2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AsFd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174</w:t>
    </w:r>
    <w:r>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8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393911C" id="Rectangle 3" o:spid="_x0000_s1026" style="position:absolute;margin-left:225.1pt;margin-top:.3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181</w:t>
    </w:r>
    <w:r>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93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06AF315" id="Rectangle 3" o:spid="_x0000_s1026" style="position:absolute;margin-left:225.1pt;margin-top:.35pt;width:31.75pt;height:6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bJHKf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183</w:t>
    </w:r>
    <w:r>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75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6826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F639C72" id="Rectangle 3" o:spid="_x0000_s1026" style="position:absolute;margin-left:225.1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m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WqPp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23</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96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83368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F6F812B" id="Rectangle 3" o:spid="_x0000_s1026" style="position:absolute;margin-left:225.1pt;margin-top:.35pt;width:31.75pt;height:6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ubWgIAALk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OJPK5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1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3440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197687E" id="Rectangle 3" o:spid="_x0000_s1026" style="position:absolute;margin-left:225.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rErDF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3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0179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141C08E" id="Rectangle 3" o:spid="_x0000_s1026" style="position:absolute;margin-left:225.1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uo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FdLq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577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8912112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E28BC2E" id="Rectangle 3" o:spid="_x0000_s1026" style="position:absolute;margin-left:350.05pt;margin-top:6.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zGDBR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7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495999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B585F14" id="Rectangle 3" o:spid="_x0000_s1026" style="position:absolute;margin-left:225.1pt;margin-top:.35pt;width:31.75pt;height:6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7Uu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9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7115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0757A0C" id="Rectangle 3" o:spid="_x0000_s1026" style="position:absolute;margin-left:225.1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UpWA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xXiUp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29</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19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901206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0230786" id="Rectangle 3" o:spid="_x0000_s1026" style="position:absolute;margin-left:225.1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ieWgIAALk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5eJ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32</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lang w:val="en-GB"/>
      </w:rPr>
    </w:pPr>
    <w:r>
      <w:rPr>
        <w:rFonts w:ascii="Arial" w:hAnsi="Arial"/>
        <w:b/>
        <w:sz w:val="48"/>
        <w:lang w:val="en-GB"/>
      </w:rPr>
      <w:t>BG</w:t>
    </w:r>
    <w:r>
      <w:tab/>
    </w:r>
    <w:r>
      <w:tab/>
    </w:r>
    <w:r>
      <w:tab/>
    </w:r>
    <w:r>
      <w:rPr>
        <w:rFonts w:ascii="Arial" w:hAnsi="Arial"/>
        <w:b/>
        <w:sz w:val="48"/>
        <w:lang w:val="en-GB"/>
      </w:rPr>
      <w:t>BG</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3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8343469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5728D3B"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CzZe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60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51941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A90152C" id="Rectangle 3" o:spid="_x0000_s1026" style="position:absolute;margin-left:225.1pt;margin-top:.35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v0WAIAALg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JQv0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80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45867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D3EADD" id="Rectangle 3" o:spid="_x0000_s1026" style="position:absolute;margin-left:225.1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qgTI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0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5788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5B01377" id="Rectangle 3" o:spid="_x0000_s1026" style="position:absolute;margin-left:225.1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z1WAIAALg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G35z1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21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4077236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A8629B6" id="Rectangle 3" o:spid="_x0000_s1026" style="position:absolute;margin-left:350.05pt;margin-top:6.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&#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IwUsRF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42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4221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F0EA844" id="Rectangle 3" o:spid="_x0000_s1026" style="position:absolute;margin-left:225.1pt;margin-top:.35pt;width:31.75pt;height: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8z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eXT&#10;LE2TZDSi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caPM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6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707592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A75F01" id="Rectangle 3" o:spid="_x0000_s1026" style="position:absolute;margin-left:225.1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b/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K6pZv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8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547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3A2B6A4" id="Rectangle 3" o:spid="_x0000_s1026" style="position:absolute;margin-left:225.1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6k4n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0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95049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A32542" id="Rectangle 3" o:spid="_x0000_s1026" style="position:absolute;margin-left:225.1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uL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2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855133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7F0E24" id="Rectangle 3" o:spid="_x0000_s1026" style="position:absolute;margin-left:225.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x5kn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4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4468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641267D" id="Rectangle 3" o:spid="_x0000_s1026" style="position:absolute;margin-left:225.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GuT3Zl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64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43913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D638963" id="Rectangle 3" o:spid="_x0000_s1026" style="position:absolute;margin-left:225.1pt;margin-top:.35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m3l2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8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73083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84CEB3" id="Rectangle 3" o:spid="_x0000_s1026" style="position:absolute;margin-left:225.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IiUWA1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0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414706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C394BE9" id="Rectangle 3" o:spid="_x0000_s1026" style="position:absolute;margin-left:225.1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vij+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2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448861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AEEE561" id="Rectangle 3" o:spid="_x0000_s1026" style="position:absolute;margin-left:225.1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waWQ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lA8G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46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55654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23621BD" id="Rectangle 3" o:spid="_x0000_s1026" style="position:absolute;margin-left:225.1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B3/Jv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6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22470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99838E1" id="Rectangle 3" o:spid="_x0000_s1026" style="position:absolute;margin-left:225.1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K0WA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iHrK0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tabs>
          <w:tab w:val="left" w:pos="284"/>
        </w:tabs>
        <w:ind w:left="284" w:hanging="284"/>
        <w:jc w:val="both"/>
        <w:rPr>
          <w:rFonts w:ascii="Verdana" w:hAnsi="Verdana"/>
          <w:sz w:val="16"/>
        </w:rPr>
      </w:pPr>
      <w:r>
        <w:rPr>
          <w:rStyle w:val="FootnoteReference"/>
          <w:sz w:val="20"/>
        </w:rPr>
        <w:footnoteRef/>
      </w:r>
      <w:r>
        <w:t xml:space="preserve"> </w:t>
      </w:r>
      <w:r>
        <w:tab/>
      </w:r>
      <w:r>
        <w:rPr>
          <w:rFonts w:ascii="Verdana" w:hAnsi="Verdana"/>
          <w:sz w:val="16"/>
        </w:rPr>
        <w:t>На 29 март 2017 г. Обединеното кралство подаде официално уведомление за намерението си да напусне ЕС, като по този начин стартира процеса на оттегляне по силата на член 50 от Договора за Европейския съюз.</w:t>
      </w:r>
      <w:r>
        <w:t xml:space="preserve"> </w:t>
      </w:r>
      <w:r>
        <w:rPr>
          <w:rFonts w:ascii="Verdana" w:hAnsi="Verdana"/>
          <w:sz w:val="16"/>
        </w:rPr>
        <w:t>Очаква се Обединеното кралство да се оттегли от ЕС на 29 март 2019 г.</w:t>
      </w:r>
    </w:p>
  </w:footnote>
  <w:footnote w:id="2">
    <w:p>
      <w:pPr>
        <w:tabs>
          <w:tab w:val="left" w:pos="284"/>
        </w:tabs>
        <w:ind w:left="284" w:hanging="284"/>
        <w:jc w:val="both"/>
        <w:rPr>
          <w:sz w:val="18"/>
          <w:szCs w:val="18"/>
        </w:rPr>
      </w:pPr>
      <w:r>
        <w:rPr>
          <w:rStyle w:val="FootnoteReference"/>
          <w:sz w:val="20"/>
        </w:rPr>
        <w:footnoteRef/>
      </w:r>
      <w:r>
        <w:rPr>
          <w:rStyle w:val="FootnoteReference"/>
          <w:sz w:val="20"/>
        </w:rPr>
        <w:t xml:space="preserve"> </w:t>
      </w:r>
      <w:r>
        <w:tab/>
      </w:r>
      <w:r>
        <w:rPr>
          <w:rFonts w:ascii="Verdana" w:hAnsi="Verdana"/>
          <w:sz w:val="16"/>
        </w:rPr>
        <w:t>Според принципа на субсидиарност Съюзът може да действа само ако и доколкото целите на дадено предложено действие не могат да бъдат постигнати в достатъчна степен от държавите членки, но могат, поради своя мащаб или последици, да бъдат постигнати по-добре на равнището на Съюза. Според принципа на пропорционалност съдържанието и формата на действията на Съюза не надхвърлят необходимото за постигане на целите на Договорите. Вж. член 5 от ДФЕС.</w:t>
      </w:r>
    </w:p>
  </w:footnote>
  <w:footnote w:id="3">
    <w:p>
      <w:pPr>
        <w:tabs>
          <w:tab w:val="left" w:pos="284"/>
        </w:tabs>
        <w:ind w:left="284" w:hanging="284"/>
        <w:jc w:val="both"/>
      </w:pPr>
      <w:r>
        <w:rPr>
          <w:rStyle w:val="FootnoteReference"/>
          <w:sz w:val="20"/>
        </w:rPr>
        <w:footnoteRef/>
      </w:r>
      <w:r>
        <w:t xml:space="preserve"> </w:t>
      </w:r>
      <w:r>
        <w:tab/>
      </w:r>
      <w:r>
        <w:rPr>
          <w:rFonts w:ascii="Verdana" w:hAnsi="Verdana"/>
          <w:sz w:val="16"/>
        </w:rPr>
        <w:t>Вж. Съобщение на Комисията „Европа 2020 — Стратегия за интелигентен, устойчив и приобщаващ растеж“ (COM(2010) 2020, 3 март 2010 г.).</w:t>
      </w:r>
    </w:p>
  </w:footnote>
  <w:footnote w:id="4">
    <w:p>
      <w:pPr>
        <w:pStyle w:val="FootnoteText"/>
        <w:tabs>
          <w:tab w:val="left" w:pos="426"/>
        </w:tabs>
        <w:ind w:left="284" w:hanging="284"/>
        <w:rPr>
          <w:rFonts w:ascii="Verdana" w:hAnsi="Verdana"/>
          <w:sz w:val="16"/>
        </w:rPr>
      </w:pPr>
      <w:r>
        <w:rPr>
          <w:rStyle w:val="FootnoteReference"/>
        </w:rPr>
        <w:footnoteRef/>
      </w:r>
      <w:r>
        <w:t xml:space="preserve"> </w:t>
      </w:r>
      <w:r>
        <w:tab/>
      </w:r>
      <w:r>
        <w:rPr>
          <w:rFonts w:ascii="Verdana" w:hAnsi="Verdana"/>
          <w:sz w:val="16"/>
        </w:rPr>
        <w:t>Съобщение на Комисията „</w:t>
      </w:r>
      <w:r>
        <w:rPr>
          <w:rFonts w:ascii="Verdana" w:hAnsi="Verdana"/>
          <w:i/>
          <w:sz w:val="16"/>
        </w:rPr>
        <w:t>Следващи стъпки към устойчиво европейско бъдеще — европейски действия за устойчивост</w:t>
      </w:r>
      <w:r>
        <w:rPr>
          <w:rFonts w:ascii="Verdana" w:hAnsi="Verdana"/>
          <w:sz w:val="16"/>
        </w:rPr>
        <w:t>“, SWD(2016) 390 final, 22 ноември 2016 г.</w:t>
      </w:r>
    </w:p>
  </w:footnote>
  <w:footnote w:id="5">
    <w:p>
      <w:pPr>
        <w:pStyle w:val="Footnote"/>
      </w:pPr>
      <w:r>
        <w:rPr>
          <w:rStyle w:val="FootnoteReference"/>
          <w:sz w:val="20"/>
        </w:rPr>
        <w:footnoteRef/>
      </w:r>
      <w:r>
        <w:t xml:space="preserve"> </w:t>
      </w:r>
      <w:r>
        <w:tab/>
        <w:t>Междуинституционално споразумение от 2 декември 2013 г. между Европейския парламент, Съвета и Комисията относно бюджетната дисциплина, сътрудничеството по бюджетни въпроси и доброто финансово управление (2013/C 373/01).</w:t>
      </w:r>
    </w:p>
  </w:footnote>
  <w:footnote w:id="6">
    <w:p>
      <w:pPr>
        <w:pStyle w:val="FootnoteText"/>
        <w:ind w:left="284" w:hanging="284"/>
        <w:jc w:val="both"/>
        <w:rPr>
          <w:rFonts w:ascii="Verdana" w:hAnsi="Verdana"/>
          <w:sz w:val="12"/>
        </w:rPr>
      </w:pPr>
      <w:r>
        <w:rPr>
          <w:rStyle w:val="FootnoteReference"/>
        </w:rPr>
        <w:footnoteRef/>
      </w:r>
      <w:r>
        <w:t xml:space="preserve"> </w:t>
      </w:r>
      <w:r>
        <w:tab/>
      </w:r>
      <w:r>
        <w:rPr>
          <w:rFonts w:ascii="Verdana" w:hAnsi="Verdana"/>
          <w:sz w:val="16"/>
        </w:rPr>
        <w:t>За повече подробности вж. Съобщение до Комисията от председателя Юнкер и първия заместник-председател Тимерманс Governance in the European Commission (Управлението в Европейската комисия), C(2017) 6915 final от 11 октомври 2017 г., намиращо се на адрес: https://ec.europa.eu/info/sites/info/files/c_2017_6915_final_en.pdf.</w:t>
      </w:r>
    </w:p>
  </w:footnote>
  <w:footnote w:id="7">
    <w:p>
      <w:pPr>
        <w:tabs>
          <w:tab w:val="left" w:pos="284"/>
        </w:tabs>
        <w:jc w:val="both"/>
      </w:pPr>
      <w:r>
        <w:rPr>
          <w:rStyle w:val="FootnoteReference"/>
          <w:sz w:val="20"/>
        </w:rPr>
        <w:footnoteRef/>
      </w:r>
      <w:r>
        <w:t xml:space="preserve"> </w:t>
      </w:r>
      <w:r>
        <w:tab/>
      </w:r>
      <w:r>
        <w:rPr>
          <w:rFonts w:ascii="Verdana" w:hAnsi="Verdana"/>
          <w:sz w:val="16"/>
        </w:rPr>
        <w:t>Напр. стандартите за вътрешен контрол се основават на принципите за вътрешен контрол от 2013 г. на COSO.</w:t>
      </w:r>
    </w:p>
  </w:footnote>
  <w:footnote w:id="8">
    <w:p>
      <w:pPr>
        <w:ind w:left="284" w:right="40" w:hanging="284"/>
        <w:jc w:val="both"/>
        <w:rPr>
          <w:rFonts w:ascii="Verdana" w:hAnsi="Verdana"/>
          <w:sz w:val="16"/>
          <w:szCs w:val="18"/>
        </w:rPr>
      </w:pPr>
      <w:r>
        <w:rPr>
          <w:rStyle w:val="FootnoteReference"/>
          <w:sz w:val="20"/>
        </w:rPr>
        <w:footnoteRef/>
      </w:r>
      <w:r>
        <w:rPr>
          <w:rStyle w:val="FootnoteReference"/>
          <w:sz w:val="20"/>
        </w:rPr>
        <w:t xml:space="preserve"> </w:t>
      </w:r>
      <w:r>
        <w:tab/>
      </w:r>
      <w:r>
        <w:rPr>
          <w:rFonts w:ascii="Verdana" w:hAnsi="Verdana"/>
          <w:sz w:val="16"/>
        </w:rPr>
        <w:t>По тази причина терминът „Европейска комисия“ се използва за обозначаване както на институцията — колегиума, съставляван от членовете на Комисията, така и на неговата администрация, управлявана от генералните директори на отделите ѝ (и ръководителите на други административни структури, като например служби и изпълнителни агенции).</w:t>
      </w:r>
    </w:p>
  </w:footnote>
  <w:footnote w:id="9">
    <w:p>
      <w:pPr>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За повече информация вж.: Европейска комисия, „Европейски икономически прогнози, зима 2018 г.“, адрес:</w:t>
      </w:r>
      <w:r>
        <w:rPr>
          <w:rFonts w:ascii="ECSquareSansPro" w:hAnsi="ECSquareSansPro"/>
          <w:color w:val="0000FF"/>
          <w:sz w:val="20"/>
        </w:rPr>
        <w:t xml:space="preserve"> </w:t>
      </w:r>
      <w:r>
        <w:rPr>
          <w:rFonts w:ascii="Verdana" w:hAnsi="Verdana"/>
          <w:sz w:val="16"/>
        </w:rPr>
        <w:t>https://ec.europa.eu/info/publications/economic-and-financial-affairs-publications_en.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Годишни отчети на Европейския съюз за 2017 г.</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Годишни отчети на Европейския съюз за 2017 г.</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5C825FC2">
      <w:start w:val="1"/>
      <w:numFmt w:val="lowerLetter"/>
      <w:pStyle w:val="Textstand-alonenumberingLetters"/>
      <w:lvlText w:val="%1)"/>
      <w:lvlJc w:val="left"/>
      <w:pPr>
        <w:ind w:left="720" w:hanging="360"/>
      </w:pPr>
      <w:rPr>
        <w:rFonts w:hint="default"/>
      </w:rPr>
    </w:lvl>
    <w:lvl w:ilvl="1" w:tplc="FDF6502E" w:tentative="1">
      <w:start w:val="1"/>
      <w:numFmt w:val="lowerLetter"/>
      <w:lvlText w:val="%2."/>
      <w:lvlJc w:val="left"/>
      <w:pPr>
        <w:ind w:left="1440" w:hanging="360"/>
      </w:pPr>
    </w:lvl>
    <w:lvl w:ilvl="2" w:tplc="83DE63D4" w:tentative="1">
      <w:start w:val="1"/>
      <w:numFmt w:val="lowerRoman"/>
      <w:lvlText w:val="%3."/>
      <w:lvlJc w:val="right"/>
      <w:pPr>
        <w:ind w:left="2160" w:hanging="180"/>
      </w:pPr>
    </w:lvl>
    <w:lvl w:ilvl="3" w:tplc="4A04FAB6" w:tentative="1">
      <w:start w:val="1"/>
      <w:numFmt w:val="decimal"/>
      <w:lvlText w:val="%4."/>
      <w:lvlJc w:val="left"/>
      <w:pPr>
        <w:ind w:left="2880" w:hanging="360"/>
      </w:pPr>
    </w:lvl>
    <w:lvl w:ilvl="4" w:tplc="C4A69F10" w:tentative="1">
      <w:start w:val="1"/>
      <w:numFmt w:val="lowerLetter"/>
      <w:lvlText w:val="%5."/>
      <w:lvlJc w:val="left"/>
      <w:pPr>
        <w:ind w:left="3600" w:hanging="360"/>
      </w:pPr>
    </w:lvl>
    <w:lvl w:ilvl="5" w:tplc="9FCA9FC4" w:tentative="1">
      <w:start w:val="1"/>
      <w:numFmt w:val="lowerRoman"/>
      <w:lvlText w:val="%6."/>
      <w:lvlJc w:val="right"/>
      <w:pPr>
        <w:ind w:left="4320" w:hanging="180"/>
      </w:pPr>
    </w:lvl>
    <w:lvl w:ilvl="6" w:tplc="C2802220" w:tentative="1">
      <w:start w:val="1"/>
      <w:numFmt w:val="decimal"/>
      <w:lvlText w:val="%7."/>
      <w:lvlJc w:val="left"/>
      <w:pPr>
        <w:ind w:left="5040" w:hanging="360"/>
      </w:pPr>
    </w:lvl>
    <w:lvl w:ilvl="7" w:tplc="A98C0F88" w:tentative="1">
      <w:start w:val="1"/>
      <w:numFmt w:val="lowerLetter"/>
      <w:lvlText w:val="%8."/>
      <w:lvlJc w:val="left"/>
      <w:pPr>
        <w:ind w:left="5760" w:hanging="360"/>
      </w:pPr>
    </w:lvl>
    <w:lvl w:ilvl="8" w:tplc="2668E84A" w:tentative="1">
      <w:start w:val="1"/>
      <w:numFmt w:val="lowerRoman"/>
      <w:lvlText w:val="%9."/>
      <w:lvlJc w:val="right"/>
      <w:pPr>
        <w:ind w:left="6480" w:hanging="180"/>
      </w:pPr>
    </w:lvl>
  </w:abstractNum>
  <w:abstractNum w:abstractNumId="2">
    <w:nsid w:val="00000004"/>
    <w:multiLevelType w:val="hybridMultilevel"/>
    <w:tmpl w:val="7CB6E1C4"/>
    <w:lvl w:ilvl="0" w:tplc="8F960FFE">
      <w:start w:val="1"/>
      <w:numFmt w:val="decimal"/>
      <w:pStyle w:val="DGTextstand-alonenumbering"/>
      <w:lvlText w:val="(%1)"/>
      <w:lvlJc w:val="left"/>
      <w:pPr>
        <w:ind w:left="720" w:hanging="360"/>
      </w:pPr>
      <w:rPr>
        <w:rFonts w:hint="default"/>
      </w:rPr>
    </w:lvl>
    <w:lvl w:ilvl="1" w:tplc="FAFA0B16" w:tentative="1">
      <w:start w:val="1"/>
      <w:numFmt w:val="lowerLetter"/>
      <w:lvlText w:val="%2."/>
      <w:lvlJc w:val="left"/>
      <w:pPr>
        <w:ind w:left="1440" w:hanging="360"/>
      </w:pPr>
    </w:lvl>
    <w:lvl w:ilvl="2" w:tplc="965A64C8" w:tentative="1">
      <w:start w:val="1"/>
      <w:numFmt w:val="lowerRoman"/>
      <w:lvlText w:val="%3."/>
      <w:lvlJc w:val="right"/>
      <w:pPr>
        <w:ind w:left="2160" w:hanging="180"/>
      </w:pPr>
    </w:lvl>
    <w:lvl w:ilvl="3" w:tplc="BD12D6EC" w:tentative="1">
      <w:start w:val="1"/>
      <w:numFmt w:val="decimal"/>
      <w:lvlText w:val="%4."/>
      <w:lvlJc w:val="left"/>
      <w:pPr>
        <w:ind w:left="2880" w:hanging="360"/>
      </w:pPr>
    </w:lvl>
    <w:lvl w:ilvl="4" w:tplc="D62E562E" w:tentative="1">
      <w:start w:val="1"/>
      <w:numFmt w:val="lowerLetter"/>
      <w:lvlText w:val="%5."/>
      <w:lvlJc w:val="left"/>
      <w:pPr>
        <w:ind w:left="3600" w:hanging="360"/>
      </w:pPr>
    </w:lvl>
    <w:lvl w:ilvl="5" w:tplc="8D267846" w:tentative="1">
      <w:start w:val="1"/>
      <w:numFmt w:val="lowerRoman"/>
      <w:lvlText w:val="%6."/>
      <w:lvlJc w:val="right"/>
      <w:pPr>
        <w:ind w:left="4320" w:hanging="180"/>
      </w:pPr>
    </w:lvl>
    <w:lvl w:ilvl="6" w:tplc="BB229756" w:tentative="1">
      <w:start w:val="1"/>
      <w:numFmt w:val="decimal"/>
      <w:lvlText w:val="%7."/>
      <w:lvlJc w:val="left"/>
      <w:pPr>
        <w:ind w:left="5040" w:hanging="360"/>
      </w:pPr>
    </w:lvl>
    <w:lvl w:ilvl="7" w:tplc="2DB6F1B0" w:tentative="1">
      <w:start w:val="1"/>
      <w:numFmt w:val="lowerLetter"/>
      <w:lvlText w:val="%8."/>
      <w:lvlJc w:val="left"/>
      <w:pPr>
        <w:ind w:left="5760" w:hanging="360"/>
      </w:pPr>
    </w:lvl>
    <w:lvl w:ilvl="8" w:tplc="A86CDD5C" w:tentative="1">
      <w:start w:val="1"/>
      <w:numFmt w:val="lowerRoman"/>
      <w:lvlText w:val="%9."/>
      <w:lvlJc w:val="right"/>
      <w:pPr>
        <w:ind w:left="6480" w:hanging="180"/>
      </w:pPr>
    </w:lvl>
  </w:abstractNum>
  <w:abstractNum w:abstractNumId="3">
    <w:nsid w:val="00000006"/>
    <w:multiLevelType w:val="hybridMultilevel"/>
    <w:tmpl w:val="38DCB16A"/>
    <w:lvl w:ilvl="0" w:tplc="BA12FC7E">
      <w:start w:val="1"/>
      <w:numFmt w:val="lowerRoman"/>
      <w:pStyle w:val="TextSubtitlenumberingRCItalic"/>
      <w:lvlText w:val="%1)"/>
      <w:lvlJc w:val="right"/>
      <w:pPr>
        <w:ind w:left="720" w:hanging="360"/>
      </w:pPr>
      <w:rPr>
        <w:rFonts w:hint="default"/>
      </w:rPr>
    </w:lvl>
    <w:lvl w:ilvl="1" w:tplc="142C525A">
      <w:start w:val="1"/>
      <w:numFmt w:val="lowerLetter"/>
      <w:lvlText w:val="%2."/>
      <w:lvlJc w:val="left"/>
      <w:pPr>
        <w:ind w:left="1440" w:hanging="360"/>
      </w:pPr>
    </w:lvl>
    <w:lvl w:ilvl="2" w:tplc="D55220DE" w:tentative="1">
      <w:start w:val="1"/>
      <w:numFmt w:val="lowerRoman"/>
      <w:lvlText w:val="%3."/>
      <w:lvlJc w:val="right"/>
      <w:pPr>
        <w:ind w:left="2160" w:hanging="180"/>
      </w:pPr>
    </w:lvl>
    <w:lvl w:ilvl="3" w:tplc="57CA681C" w:tentative="1">
      <w:start w:val="1"/>
      <w:numFmt w:val="decimal"/>
      <w:lvlText w:val="%4."/>
      <w:lvlJc w:val="left"/>
      <w:pPr>
        <w:ind w:left="2880" w:hanging="360"/>
      </w:pPr>
    </w:lvl>
    <w:lvl w:ilvl="4" w:tplc="8C5895E2" w:tentative="1">
      <w:start w:val="1"/>
      <w:numFmt w:val="lowerLetter"/>
      <w:lvlText w:val="%5."/>
      <w:lvlJc w:val="left"/>
      <w:pPr>
        <w:ind w:left="3600" w:hanging="360"/>
      </w:pPr>
    </w:lvl>
    <w:lvl w:ilvl="5" w:tplc="94E83016" w:tentative="1">
      <w:start w:val="1"/>
      <w:numFmt w:val="lowerRoman"/>
      <w:lvlText w:val="%6."/>
      <w:lvlJc w:val="right"/>
      <w:pPr>
        <w:ind w:left="4320" w:hanging="180"/>
      </w:pPr>
    </w:lvl>
    <w:lvl w:ilvl="6" w:tplc="2AAA14B8" w:tentative="1">
      <w:start w:val="1"/>
      <w:numFmt w:val="decimal"/>
      <w:lvlText w:val="%7."/>
      <w:lvlJc w:val="left"/>
      <w:pPr>
        <w:ind w:left="5040" w:hanging="360"/>
      </w:pPr>
    </w:lvl>
    <w:lvl w:ilvl="7" w:tplc="4822BABE" w:tentative="1">
      <w:start w:val="1"/>
      <w:numFmt w:val="lowerLetter"/>
      <w:lvlText w:val="%8."/>
      <w:lvlJc w:val="left"/>
      <w:pPr>
        <w:ind w:left="5760" w:hanging="360"/>
      </w:pPr>
    </w:lvl>
    <w:lvl w:ilvl="8" w:tplc="B8E22542" w:tentative="1">
      <w:start w:val="1"/>
      <w:numFmt w:val="lowerRoman"/>
      <w:lvlText w:val="%9."/>
      <w:lvlJc w:val="right"/>
      <w:pPr>
        <w:ind w:left="6480" w:hanging="180"/>
      </w:pPr>
    </w:lvl>
  </w:abstractNum>
  <w:abstractNum w:abstractNumId="4">
    <w:nsid w:val="00000007"/>
    <w:multiLevelType w:val="hybridMultilevel"/>
    <w:tmpl w:val="5DD0517A"/>
    <w:lvl w:ilvl="0" w:tplc="BBF42C4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FF982814" w:tentative="1">
      <w:start w:val="1"/>
      <w:numFmt w:val="lowerLetter"/>
      <w:lvlText w:val="%2."/>
      <w:lvlJc w:val="left"/>
      <w:pPr>
        <w:ind w:left="1797" w:hanging="360"/>
      </w:pPr>
    </w:lvl>
    <w:lvl w:ilvl="2" w:tplc="EB4448FC" w:tentative="1">
      <w:start w:val="1"/>
      <w:numFmt w:val="lowerRoman"/>
      <w:lvlText w:val="%3."/>
      <w:lvlJc w:val="right"/>
      <w:pPr>
        <w:ind w:left="2517" w:hanging="180"/>
      </w:pPr>
    </w:lvl>
    <w:lvl w:ilvl="3" w:tplc="56882ABA" w:tentative="1">
      <w:start w:val="1"/>
      <w:numFmt w:val="decimal"/>
      <w:lvlText w:val="%4."/>
      <w:lvlJc w:val="left"/>
      <w:pPr>
        <w:ind w:left="3237" w:hanging="360"/>
      </w:pPr>
    </w:lvl>
    <w:lvl w:ilvl="4" w:tplc="78EC9216" w:tentative="1">
      <w:start w:val="1"/>
      <w:numFmt w:val="lowerLetter"/>
      <w:lvlText w:val="%5."/>
      <w:lvlJc w:val="left"/>
      <w:pPr>
        <w:ind w:left="3957" w:hanging="360"/>
      </w:pPr>
    </w:lvl>
    <w:lvl w:ilvl="5" w:tplc="EA30B9A8" w:tentative="1">
      <w:start w:val="1"/>
      <w:numFmt w:val="lowerRoman"/>
      <w:lvlText w:val="%6."/>
      <w:lvlJc w:val="right"/>
      <w:pPr>
        <w:ind w:left="4677" w:hanging="180"/>
      </w:pPr>
    </w:lvl>
    <w:lvl w:ilvl="6" w:tplc="054C7A10" w:tentative="1">
      <w:start w:val="1"/>
      <w:numFmt w:val="decimal"/>
      <w:lvlText w:val="%7."/>
      <w:lvlJc w:val="left"/>
      <w:pPr>
        <w:ind w:left="5397" w:hanging="360"/>
      </w:pPr>
    </w:lvl>
    <w:lvl w:ilvl="7" w:tplc="48D0CBCE" w:tentative="1">
      <w:start w:val="1"/>
      <w:numFmt w:val="lowerLetter"/>
      <w:lvlText w:val="%8."/>
      <w:lvlJc w:val="left"/>
      <w:pPr>
        <w:ind w:left="6117" w:hanging="360"/>
      </w:pPr>
    </w:lvl>
    <w:lvl w:ilvl="8" w:tplc="348C34A8" w:tentative="1">
      <w:start w:val="1"/>
      <w:numFmt w:val="lowerRoman"/>
      <w:lvlText w:val="%9."/>
      <w:lvlJc w:val="right"/>
      <w:pPr>
        <w:ind w:left="6837" w:hanging="180"/>
      </w:pPr>
    </w:lvl>
  </w:abstractNum>
  <w:abstractNum w:abstractNumId="5">
    <w:nsid w:val="00000008"/>
    <w:multiLevelType w:val="multilevel"/>
    <w:tmpl w:val="75F01316"/>
    <w:lvl w:ilvl="0">
      <w:start w:val="1"/>
      <mc:AlternateContent>
        <mc:Choice Requires="w14">
          <w:numFmt w:val="custom" w:format="а, й, к, ..."/>
        </mc:Choice>
        <mc:Fallback>
          <w:numFmt w:val="decimal"/>
        </mc:Fallback>
      </mc:AlternateContent>
      <w:lvlText w:val="%1)"/>
      <w:lvlJc w:val="left"/>
      <w:pPr>
        <w:ind w:left="0"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E242A87E">
      <w:start w:val="1"/>
      <w:numFmt w:val="decimal"/>
      <w:pStyle w:val="HEADER4Part3"/>
      <w:lvlText w:val="%1.1.1.1"/>
      <w:lvlJc w:val="left"/>
      <w:pPr>
        <w:ind w:left="720" w:hanging="360"/>
      </w:pPr>
      <w:rPr>
        <w:rFonts w:ascii="Verdana" w:hAnsi="Verdana" w:hint="default"/>
        <w:sz w:val="18"/>
        <w:szCs w:val="18"/>
      </w:rPr>
    </w:lvl>
    <w:lvl w:ilvl="1" w:tplc="79B8E70C" w:tentative="1">
      <w:start w:val="1"/>
      <w:numFmt w:val="lowerLetter"/>
      <w:lvlText w:val="%2."/>
      <w:lvlJc w:val="left"/>
      <w:pPr>
        <w:ind w:left="1440" w:hanging="360"/>
      </w:pPr>
    </w:lvl>
    <w:lvl w:ilvl="2" w:tplc="4CBEA20C" w:tentative="1">
      <w:start w:val="1"/>
      <w:numFmt w:val="lowerRoman"/>
      <w:lvlText w:val="%3."/>
      <w:lvlJc w:val="right"/>
      <w:pPr>
        <w:ind w:left="2160" w:hanging="180"/>
      </w:pPr>
    </w:lvl>
    <w:lvl w:ilvl="3" w:tplc="0FC69138">
      <w:start w:val="1"/>
      <w:numFmt w:val="decimal"/>
      <w:lvlText w:val="%4."/>
      <w:lvlJc w:val="left"/>
      <w:pPr>
        <w:ind w:left="2880" w:hanging="360"/>
      </w:pPr>
    </w:lvl>
    <w:lvl w:ilvl="4" w:tplc="AAEA470A" w:tentative="1">
      <w:start w:val="1"/>
      <w:numFmt w:val="lowerLetter"/>
      <w:lvlText w:val="%5."/>
      <w:lvlJc w:val="left"/>
      <w:pPr>
        <w:ind w:left="3600" w:hanging="360"/>
      </w:pPr>
    </w:lvl>
    <w:lvl w:ilvl="5" w:tplc="CB529C7C" w:tentative="1">
      <w:start w:val="1"/>
      <w:numFmt w:val="lowerRoman"/>
      <w:lvlText w:val="%6."/>
      <w:lvlJc w:val="right"/>
      <w:pPr>
        <w:ind w:left="4320" w:hanging="180"/>
      </w:pPr>
    </w:lvl>
    <w:lvl w:ilvl="6" w:tplc="DB443DAA" w:tentative="1">
      <w:start w:val="1"/>
      <w:numFmt w:val="decimal"/>
      <w:lvlText w:val="%7."/>
      <w:lvlJc w:val="left"/>
      <w:pPr>
        <w:ind w:left="5040" w:hanging="360"/>
      </w:pPr>
    </w:lvl>
    <w:lvl w:ilvl="7" w:tplc="24E85712" w:tentative="1">
      <w:start w:val="1"/>
      <w:numFmt w:val="lowerLetter"/>
      <w:lvlText w:val="%8."/>
      <w:lvlJc w:val="left"/>
      <w:pPr>
        <w:ind w:left="5760" w:hanging="360"/>
      </w:pPr>
    </w:lvl>
    <w:lvl w:ilvl="8" w:tplc="A1803A42" w:tentative="1">
      <w:start w:val="1"/>
      <w:numFmt w:val="lowerRoman"/>
      <w:lvlText w:val="%9."/>
      <w:lvlJc w:val="right"/>
      <w:pPr>
        <w:ind w:left="6480" w:hanging="180"/>
      </w:pPr>
    </w:lvl>
  </w:abstractNum>
  <w:abstractNum w:abstractNumId="8">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99F1DAA"/>
    <w:multiLevelType w:val="hybridMultilevel"/>
    <w:tmpl w:val="1248AB5A"/>
    <w:lvl w:ilvl="0" w:tplc="38B83574">
      <w:start w:val="1"/>
      <w:numFmt w:val="decimal"/>
      <w:pStyle w:val="Textstand-alonenumberingJustified"/>
      <w:lvlText w:val="(%1)"/>
      <w:lvlJc w:val="left"/>
      <w:pPr>
        <w:ind w:left="720" w:hanging="360"/>
      </w:pPr>
      <w:rPr>
        <w:rFonts w:ascii="Verdana" w:hAnsi="Verdana" w:hint="default"/>
        <w:b w:val="0"/>
        <w:i w:val="0"/>
        <w:sz w:val="18"/>
      </w:rPr>
    </w:lvl>
    <w:lvl w:ilvl="1" w:tplc="2500E428" w:tentative="1">
      <w:start w:val="1"/>
      <w:numFmt w:val="lowerLetter"/>
      <w:lvlText w:val="%2."/>
      <w:lvlJc w:val="left"/>
      <w:pPr>
        <w:ind w:left="1440" w:hanging="360"/>
      </w:pPr>
    </w:lvl>
    <w:lvl w:ilvl="2" w:tplc="5654379E" w:tentative="1">
      <w:start w:val="1"/>
      <w:numFmt w:val="lowerRoman"/>
      <w:lvlText w:val="%3."/>
      <w:lvlJc w:val="right"/>
      <w:pPr>
        <w:ind w:left="2160" w:hanging="180"/>
      </w:pPr>
    </w:lvl>
    <w:lvl w:ilvl="3" w:tplc="31260334" w:tentative="1">
      <w:start w:val="1"/>
      <w:numFmt w:val="decimal"/>
      <w:lvlText w:val="%4."/>
      <w:lvlJc w:val="left"/>
      <w:pPr>
        <w:ind w:left="2880" w:hanging="360"/>
      </w:pPr>
    </w:lvl>
    <w:lvl w:ilvl="4" w:tplc="25303010" w:tentative="1">
      <w:start w:val="1"/>
      <w:numFmt w:val="lowerLetter"/>
      <w:lvlText w:val="%5."/>
      <w:lvlJc w:val="left"/>
      <w:pPr>
        <w:ind w:left="3600" w:hanging="360"/>
      </w:pPr>
    </w:lvl>
    <w:lvl w:ilvl="5" w:tplc="4A46B678" w:tentative="1">
      <w:start w:val="1"/>
      <w:numFmt w:val="lowerRoman"/>
      <w:lvlText w:val="%6."/>
      <w:lvlJc w:val="right"/>
      <w:pPr>
        <w:ind w:left="4320" w:hanging="180"/>
      </w:pPr>
    </w:lvl>
    <w:lvl w:ilvl="6" w:tplc="BC3867EC" w:tentative="1">
      <w:start w:val="1"/>
      <w:numFmt w:val="decimal"/>
      <w:lvlText w:val="%7."/>
      <w:lvlJc w:val="left"/>
      <w:pPr>
        <w:ind w:left="5040" w:hanging="360"/>
      </w:pPr>
    </w:lvl>
    <w:lvl w:ilvl="7" w:tplc="2BDC012A" w:tentative="1">
      <w:start w:val="1"/>
      <w:numFmt w:val="lowerLetter"/>
      <w:lvlText w:val="%8."/>
      <w:lvlJc w:val="left"/>
      <w:pPr>
        <w:ind w:left="5760" w:hanging="360"/>
      </w:pPr>
    </w:lvl>
    <w:lvl w:ilvl="8" w:tplc="EA28C112" w:tentative="1">
      <w:start w:val="1"/>
      <w:numFmt w:val="lowerRoman"/>
      <w:lvlText w:val="%9."/>
      <w:lvlJc w:val="right"/>
      <w:pPr>
        <w:ind w:left="6480" w:hanging="180"/>
      </w:pPr>
    </w:lvl>
  </w:abstractNum>
  <w:abstractNum w:abstractNumId="11">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31D31BBD"/>
    <w:multiLevelType w:val="hybridMultilevel"/>
    <w:tmpl w:val="AB545582"/>
    <w:lvl w:ilvl="0" w:tplc="1AAE001C">
      <w:start w:val="1"/>
      <w:numFmt w:val="bullet"/>
      <w:pStyle w:val="Textstand-alonebulletpointJustified"/>
      <w:lvlText w:val=""/>
      <w:lvlJc w:val="left"/>
      <w:pPr>
        <w:ind w:left="1080" w:hanging="360"/>
      </w:pPr>
      <w:rPr>
        <w:rFonts w:ascii="Verdana" w:hAnsi="Verdana" w:hint="default"/>
      </w:rPr>
    </w:lvl>
    <w:lvl w:ilvl="1" w:tplc="9F2CE864" w:tentative="1">
      <w:start w:val="1"/>
      <w:numFmt w:val="bullet"/>
      <w:lvlText w:val="o"/>
      <w:lvlJc w:val="left"/>
      <w:pPr>
        <w:ind w:left="1800" w:hanging="360"/>
      </w:pPr>
      <w:rPr>
        <w:rFonts w:ascii="Courier New" w:hAnsi="Courier New" w:cs="Courier New" w:hint="default"/>
      </w:rPr>
    </w:lvl>
    <w:lvl w:ilvl="2" w:tplc="CD4200CC" w:tentative="1">
      <w:start w:val="1"/>
      <w:numFmt w:val="bullet"/>
      <w:lvlText w:val=""/>
      <w:lvlJc w:val="left"/>
      <w:pPr>
        <w:ind w:left="2520" w:hanging="360"/>
      </w:pPr>
      <w:rPr>
        <w:rFonts w:ascii="Wingdings" w:hAnsi="Wingdings" w:hint="default"/>
      </w:rPr>
    </w:lvl>
    <w:lvl w:ilvl="3" w:tplc="D326DABC" w:tentative="1">
      <w:start w:val="1"/>
      <w:numFmt w:val="bullet"/>
      <w:lvlText w:val=""/>
      <w:lvlJc w:val="left"/>
      <w:pPr>
        <w:ind w:left="3240" w:hanging="360"/>
      </w:pPr>
      <w:rPr>
        <w:rFonts w:ascii="Symbol" w:hAnsi="Symbol" w:hint="default"/>
      </w:rPr>
    </w:lvl>
    <w:lvl w:ilvl="4" w:tplc="121AD218" w:tentative="1">
      <w:start w:val="1"/>
      <w:numFmt w:val="bullet"/>
      <w:lvlText w:val="o"/>
      <w:lvlJc w:val="left"/>
      <w:pPr>
        <w:ind w:left="3960" w:hanging="360"/>
      </w:pPr>
      <w:rPr>
        <w:rFonts w:ascii="Courier New" w:hAnsi="Courier New" w:cs="Courier New" w:hint="default"/>
      </w:rPr>
    </w:lvl>
    <w:lvl w:ilvl="5" w:tplc="767E3968" w:tentative="1">
      <w:start w:val="1"/>
      <w:numFmt w:val="bullet"/>
      <w:lvlText w:val=""/>
      <w:lvlJc w:val="left"/>
      <w:pPr>
        <w:ind w:left="4680" w:hanging="360"/>
      </w:pPr>
      <w:rPr>
        <w:rFonts w:ascii="Wingdings" w:hAnsi="Wingdings" w:hint="default"/>
      </w:rPr>
    </w:lvl>
    <w:lvl w:ilvl="6" w:tplc="D044492A" w:tentative="1">
      <w:start w:val="1"/>
      <w:numFmt w:val="bullet"/>
      <w:lvlText w:val=""/>
      <w:lvlJc w:val="left"/>
      <w:pPr>
        <w:ind w:left="5400" w:hanging="360"/>
      </w:pPr>
      <w:rPr>
        <w:rFonts w:ascii="Symbol" w:hAnsi="Symbol" w:hint="default"/>
      </w:rPr>
    </w:lvl>
    <w:lvl w:ilvl="7" w:tplc="1D2096DA" w:tentative="1">
      <w:start w:val="1"/>
      <w:numFmt w:val="bullet"/>
      <w:lvlText w:val="o"/>
      <w:lvlJc w:val="left"/>
      <w:pPr>
        <w:ind w:left="6120" w:hanging="360"/>
      </w:pPr>
      <w:rPr>
        <w:rFonts w:ascii="Courier New" w:hAnsi="Courier New" w:cs="Courier New" w:hint="default"/>
      </w:rPr>
    </w:lvl>
    <w:lvl w:ilvl="8" w:tplc="A5764C16" w:tentative="1">
      <w:start w:val="1"/>
      <w:numFmt w:val="bullet"/>
      <w:lvlText w:val=""/>
      <w:lvlJc w:val="left"/>
      <w:pPr>
        <w:ind w:left="6840" w:hanging="360"/>
      </w:pPr>
      <w:rPr>
        <w:rFonts w:ascii="Wingdings" w:hAnsi="Wingdings" w:hint="default"/>
      </w:rPr>
    </w:lvl>
  </w:abstractNum>
  <w:abstractNum w:abstractNumId="14">
    <w:nsid w:val="5EA07653"/>
    <w:multiLevelType w:val="hybridMultilevel"/>
    <w:tmpl w:val="549C48F2"/>
    <w:lvl w:ilvl="0" w:tplc="A1B29C9E">
      <w:start w:val="1"/>
      <w:numFmt w:val="bullet"/>
      <w:pStyle w:val="Textstand-aloneBulletpoint"/>
      <w:lvlText w:val="-"/>
      <w:lvlJc w:val="left"/>
      <w:pPr>
        <w:ind w:left="1080" w:hanging="360"/>
      </w:pPr>
      <w:rPr>
        <w:rFonts w:ascii="Verdana" w:hAnsi="Verdana" w:hint="default"/>
      </w:rPr>
    </w:lvl>
    <w:lvl w:ilvl="1" w:tplc="DA769578" w:tentative="1">
      <w:start w:val="1"/>
      <w:numFmt w:val="bullet"/>
      <w:lvlText w:val="o"/>
      <w:lvlJc w:val="left"/>
      <w:pPr>
        <w:ind w:left="1800" w:hanging="360"/>
      </w:pPr>
      <w:rPr>
        <w:rFonts w:ascii="Courier New" w:hAnsi="Courier New" w:cs="Courier New" w:hint="default"/>
      </w:rPr>
    </w:lvl>
    <w:lvl w:ilvl="2" w:tplc="9CE20390" w:tentative="1">
      <w:start w:val="1"/>
      <w:numFmt w:val="bullet"/>
      <w:lvlText w:val=""/>
      <w:lvlJc w:val="left"/>
      <w:pPr>
        <w:ind w:left="2520" w:hanging="360"/>
      </w:pPr>
      <w:rPr>
        <w:rFonts w:ascii="Wingdings" w:hAnsi="Wingdings" w:hint="default"/>
      </w:rPr>
    </w:lvl>
    <w:lvl w:ilvl="3" w:tplc="1E7AB778" w:tentative="1">
      <w:start w:val="1"/>
      <w:numFmt w:val="bullet"/>
      <w:lvlText w:val=""/>
      <w:lvlJc w:val="left"/>
      <w:pPr>
        <w:ind w:left="3240" w:hanging="360"/>
      </w:pPr>
      <w:rPr>
        <w:rFonts w:ascii="Symbol" w:hAnsi="Symbol" w:hint="default"/>
      </w:rPr>
    </w:lvl>
    <w:lvl w:ilvl="4" w:tplc="EF1208B0" w:tentative="1">
      <w:start w:val="1"/>
      <w:numFmt w:val="bullet"/>
      <w:lvlText w:val="o"/>
      <w:lvlJc w:val="left"/>
      <w:pPr>
        <w:ind w:left="3960" w:hanging="360"/>
      </w:pPr>
      <w:rPr>
        <w:rFonts w:ascii="Courier New" w:hAnsi="Courier New" w:cs="Courier New" w:hint="default"/>
      </w:rPr>
    </w:lvl>
    <w:lvl w:ilvl="5" w:tplc="B39C1BC2" w:tentative="1">
      <w:start w:val="1"/>
      <w:numFmt w:val="bullet"/>
      <w:lvlText w:val=""/>
      <w:lvlJc w:val="left"/>
      <w:pPr>
        <w:ind w:left="4680" w:hanging="360"/>
      </w:pPr>
      <w:rPr>
        <w:rFonts w:ascii="Wingdings" w:hAnsi="Wingdings" w:hint="default"/>
      </w:rPr>
    </w:lvl>
    <w:lvl w:ilvl="6" w:tplc="21763782" w:tentative="1">
      <w:start w:val="1"/>
      <w:numFmt w:val="bullet"/>
      <w:lvlText w:val=""/>
      <w:lvlJc w:val="left"/>
      <w:pPr>
        <w:ind w:left="5400" w:hanging="360"/>
      </w:pPr>
      <w:rPr>
        <w:rFonts w:ascii="Symbol" w:hAnsi="Symbol" w:hint="default"/>
      </w:rPr>
    </w:lvl>
    <w:lvl w:ilvl="7" w:tplc="D6DC6768" w:tentative="1">
      <w:start w:val="1"/>
      <w:numFmt w:val="bullet"/>
      <w:lvlText w:val="o"/>
      <w:lvlJc w:val="left"/>
      <w:pPr>
        <w:ind w:left="6120" w:hanging="360"/>
      </w:pPr>
      <w:rPr>
        <w:rFonts w:ascii="Courier New" w:hAnsi="Courier New" w:cs="Courier New" w:hint="default"/>
      </w:rPr>
    </w:lvl>
    <w:lvl w:ilvl="8" w:tplc="5EAEA4E6" w:tentative="1">
      <w:start w:val="1"/>
      <w:numFmt w:val="bullet"/>
      <w:lvlText w:val=""/>
      <w:lvlJc w:val="left"/>
      <w:pPr>
        <w:ind w:left="6840" w:hanging="360"/>
      </w:pPr>
      <w:rPr>
        <w:rFonts w:ascii="Wingdings" w:hAnsi="Wingdings" w:hint="default"/>
      </w:rPr>
    </w:lvl>
  </w:abstractNum>
  <w:abstractNum w:abstractNumId="15">
    <w:nsid w:val="6F351A53"/>
    <w:multiLevelType w:val="hybridMultilevel"/>
    <w:tmpl w:val="A22E4046"/>
    <w:lvl w:ilvl="0" w:tplc="E2382A3C">
      <w:start w:val="1"/>
      <w:numFmt w:val="lowerRoman"/>
      <w:pStyle w:val="Textstand-alonenumberingRCIndentJustified"/>
      <w:lvlText w:val="(%1)"/>
      <w:lvlJc w:val="left"/>
      <w:pPr>
        <w:ind w:left="720" w:hanging="360"/>
      </w:pPr>
      <w:rPr>
        <w:rFonts w:hint="default"/>
      </w:rPr>
    </w:lvl>
    <w:lvl w:ilvl="1" w:tplc="CAC8F06A" w:tentative="1">
      <w:start w:val="1"/>
      <w:numFmt w:val="lowerLetter"/>
      <w:lvlText w:val="%2."/>
      <w:lvlJc w:val="left"/>
      <w:pPr>
        <w:ind w:left="1440" w:hanging="360"/>
      </w:pPr>
    </w:lvl>
    <w:lvl w:ilvl="2" w:tplc="97005534" w:tentative="1">
      <w:start w:val="1"/>
      <w:numFmt w:val="lowerRoman"/>
      <w:lvlText w:val="%3."/>
      <w:lvlJc w:val="right"/>
      <w:pPr>
        <w:ind w:left="2160" w:hanging="180"/>
      </w:pPr>
    </w:lvl>
    <w:lvl w:ilvl="3" w:tplc="173E0E8C" w:tentative="1">
      <w:start w:val="1"/>
      <w:numFmt w:val="decimal"/>
      <w:lvlText w:val="%4."/>
      <w:lvlJc w:val="left"/>
      <w:pPr>
        <w:ind w:left="2880" w:hanging="360"/>
      </w:pPr>
    </w:lvl>
    <w:lvl w:ilvl="4" w:tplc="6A1C4CD2" w:tentative="1">
      <w:start w:val="1"/>
      <w:numFmt w:val="lowerLetter"/>
      <w:lvlText w:val="%5."/>
      <w:lvlJc w:val="left"/>
      <w:pPr>
        <w:ind w:left="3600" w:hanging="360"/>
      </w:pPr>
    </w:lvl>
    <w:lvl w:ilvl="5" w:tplc="ABAA1940" w:tentative="1">
      <w:start w:val="1"/>
      <w:numFmt w:val="lowerRoman"/>
      <w:lvlText w:val="%6."/>
      <w:lvlJc w:val="right"/>
      <w:pPr>
        <w:ind w:left="4320" w:hanging="180"/>
      </w:pPr>
    </w:lvl>
    <w:lvl w:ilvl="6" w:tplc="049E9DA8" w:tentative="1">
      <w:start w:val="1"/>
      <w:numFmt w:val="decimal"/>
      <w:lvlText w:val="%7."/>
      <w:lvlJc w:val="left"/>
      <w:pPr>
        <w:ind w:left="5040" w:hanging="360"/>
      </w:pPr>
    </w:lvl>
    <w:lvl w:ilvl="7" w:tplc="DAEAE706" w:tentative="1">
      <w:start w:val="1"/>
      <w:numFmt w:val="lowerLetter"/>
      <w:lvlText w:val="%8."/>
      <w:lvlJc w:val="left"/>
      <w:pPr>
        <w:ind w:left="5760" w:hanging="360"/>
      </w:pPr>
    </w:lvl>
    <w:lvl w:ilvl="8" w:tplc="5358D9AC" w:tentative="1">
      <w:start w:val="1"/>
      <w:numFmt w:val="lowerRoman"/>
      <w:lvlText w:val="%9."/>
      <w:lvlJc w:val="right"/>
      <w:pPr>
        <w:ind w:left="6480" w:hanging="180"/>
      </w:pPr>
    </w:lvl>
  </w:abstractNum>
  <w:abstractNum w:abstractNumId="16">
    <w:nsid w:val="6F351A54"/>
    <w:multiLevelType w:val="hybridMultilevel"/>
    <w:tmpl w:val="D3562B64"/>
    <w:lvl w:ilvl="0" w:tplc="B5366A14">
      <w:start w:val="1"/>
      <w:numFmt w:val="bullet"/>
      <w:lvlText w:val=""/>
      <w:lvlJc w:val="left"/>
      <w:pPr>
        <w:ind w:left="720" w:hanging="360"/>
      </w:pPr>
      <w:rPr>
        <w:rFonts w:ascii="Symbol" w:hAnsi="Symbol" w:hint="default"/>
      </w:rPr>
    </w:lvl>
    <w:lvl w:ilvl="1" w:tplc="17EE80B6" w:tentative="1">
      <w:start w:val="1"/>
      <w:numFmt w:val="bullet"/>
      <w:lvlText w:val="o"/>
      <w:lvlJc w:val="left"/>
      <w:pPr>
        <w:ind w:left="1440" w:hanging="360"/>
      </w:pPr>
      <w:rPr>
        <w:rFonts w:ascii="Courier New" w:hAnsi="Courier New" w:cs="Courier New" w:hint="default"/>
      </w:rPr>
    </w:lvl>
    <w:lvl w:ilvl="2" w:tplc="2C90FF3C" w:tentative="1">
      <w:start w:val="1"/>
      <w:numFmt w:val="bullet"/>
      <w:lvlText w:val=""/>
      <w:lvlJc w:val="left"/>
      <w:pPr>
        <w:ind w:left="2160" w:hanging="360"/>
      </w:pPr>
      <w:rPr>
        <w:rFonts w:ascii="Wingdings" w:hAnsi="Wingdings" w:hint="default"/>
      </w:rPr>
    </w:lvl>
    <w:lvl w:ilvl="3" w:tplc="4A04E04A" w:tentative="1">
      <w:start w:val="1"/>
      <w:numFmt w:val="bullet"/>
      <w:lvlText w:val=""/>
      <w:lvlJc w:val="left"/>
      <w:pPr>
        <w:ind w:left="2880" w:hanging="360"/>
      </w:pPr>
      <w:rPr>
        <w:rFonts w:ascii="Symbol" w:hAnsi="Symbol" w:hint="default"/>
      </w:rPr>
    </w:lvl>
    <w:lvl w:ilvl="4" w:tplc="180AAB26" w:tentative="1">
      <w:start w:val="1"/>
      <w:numFmt w:val="bullet"/>
      <w:lvlText w:val="o"/>
      <w:lvlJc w:val="left"/>
      <w:pPr>
        <w:ind w:left="3600" w:hanging="360"/>
      </w:pPr>
      <w:rPr>
        <w:rFonts w:ascii="Courier New" w:hAnsi="Courier New" w:cs="Courier New" w:hint="default"/>
      </w:rPr>
    </w:lvl>
    <w:lvl w:ilvl="5" w:tplc="56E05352" w:tentative="1">
      <w:start w:val="1"/>
      <w:numFmt w:val="bullet"/>
      <w:lvlText w:val=""/>
      <w:lvlJc w:val="left"/>
      <w:pPr>
        <w:ind w:left="4320" w:hanging="360"/>
      </w:pPr>
      <w:rPr>
        <w:rFonts w:ascii="Wingdings" w:hAnsi="Wingdings" w:hint="default"/>
      </w:rPr>
    </w:lvl>
    <w:lvl w:ilvl="6" w:tplc="C94E39CA" w:tentative="1">
      <w:start w:val="1"/>
      <w:numFmt w:val="bullet"/>
      <w:lvlText w:val=""/>
      <w:lvlJc w:val="left"/>
      <w:pPr>
        <w:ind w:left="5040" w:hanging="360"/>
      </w:pPr>
      <w:rPr>
        <w:rFonts w:ascii="Symbol" w:hAnsi="Symbol" w:hint="default"/>
      </w:rPr>
    </w:lvl>
    <w:lvl w:ilvl="7" w:tplc="543A9580" w:tentative="1">
      <w:start w:val="1"/>
      <w:numFmt w:val="bullet"/>
      <w:lvlText w:val="o"/>
      <w:lvlJc w:val="left"/>
      <w:pPr>
        <w:ind w:left="5760" w:hanging="360"/>
      </w:pPr>
      <w:rPr>
        <w:rFonts w:ascii="Courier New" w:hAnsi="Courier New" w:cs="Courier New" w:hint="default"/>
      </w:rPr>
    </w:lvl>
    <w:lvl w:ilvl="8" w:tplc="B42A61D8" w:tentative="1">
      <w:start w:val="1"/>
      <w:numFmt w:val="bullet"/>
      <w:lvlText w:val=""/>
      <w:lvlJc w:val="left"/>
      <w:pPr>
        <w:ind w:left="6480" w:hanging="360"/>
      </w:pPr>
      <w:rPr>
        <w:rFonts w:ascii="Wingdings" w:hAnsi="Wingdings" w:hint="default"/>
      </w:rPr>
    </w:lvl>
  </w:abstractNum>
  <w:abstractNum w:abstractNumId="17">
    <w:nsid w:val="6F351A55"/>
    <w:multiLevelType w:val="hybridMultilevel"/>
    <w:tmpl w:val="D4901814"/>
    <w:lvl w:ilvl="0" w:tplc="25F0F1CA">
      <w:start w:val="1"/>
      <w:numFmt w:val="bullet"/>
      <w:lvlText w:val=""/>
      <w:lvlJc w:val="left"/>
      <w:pPr>
        <w:ind w:left="720" w:hanging="360"/>
      </w:pPr>
      <w:rPr>
        <w:rFonts w:ascii="Symbol" w:hAnsi="Symbol" w:hint="default"/>
      </w:rPr>
    </w:lvl>
    <w:lvl w:ilvl="1" w:tplc="6574892E" w:tentative="1">
      <w:start w:val="1"/>
      <w:numFmt w:val="bullet"/>
      <w:lvlText w:val="o"/>
      <w:lvlJc w:val="left"/>
      <w:pPr>
        <w:ind w:left="1440" w:hanging="360"/>
      </w:pPr>
      <w:rPr>
        <w:rFonts w:ascii="Courier New" w:hAnsi="Courier New" w:cs="Courier New" w:hint="default"/>
      </w:rPr>
    </w:lvl>
    <w:lvl w:ilvl="2" w:tplc="3C46A4E8" w:tentative="1">
      <w:start w:val="1"/>
      <w:numFmt w:val="bullet"/>
      <w:lvlText w:val=""/>
      <w:lvlJc w:val="left"/>
      <w:pPr>
        <w:ind w:left="2160" w:hanging="360"/>
      </w:pPr>
      <w:rPr>
        <w:rFonts w:ascii="Wingdings" w:hAnsi="Wingdings" w:hint="default"/>
      </w:rPr>
    </w:lvl>
    <w:lvl w:ilvl="3" w:tplc="C756D146" w:tentative="1">
      <w:start w:val="1"/>
      <w:numFmt w:val="bullet"/>
      <w:lvlText w:val=""/>
      <w:lvlJc w:val="left"/>
      <w:pPr>
        <w:ind w:left="2880" w:hanging="360"/>
      </w:pPr>
      <w:rPr>
        <w:rFonts w:ascii="Symbol" w:hAnsi="Symbol" w:hint="default"/>
      </w:rPr>
    </w:lvl>
    <w:lvl w:ilvl="4" w:tplc="16063A48" w:tentative="1">
      <w:start w:val="1"/>
      <w:numFmt w:val="bullet"/>
      <w:lvlText w:val="o"/>
      <w:lvlJc w:val="left"/>
      <w:pPr>
        <w:ind w:left="3600" w:hanging="360"/>
      </w:pPr>
      <w:rPr>
        <w:rFonts w:ascii="Courier New" w:hAnsi="Courier New" w:cs="Courier New" w:hint="default"/>
      </w:rPr>
    </w:lvl>
    <w:lvl w:ilvl="5" w:tplc="27506E74" w:tentative="1">
      <w:start w:val="1"/>
      <w:numFmt w:val="bullet"/>
      <w:lvlText w:val=""/>
      <w:lvlJc w:val="left"/>
      <w:pPr>
        <w:ind w:left="4320" w:hanging="360"/>
      </w:pPr>
      <w:rPr>
        <w:rFonts w:ascii="Wingdings" w:hAnsi="Wingdings" w:hint="default"/>
      </w:rPr>
    </w:lvl>
    <w:lvl w:ilvl="6" w:tplc="DFDCA9F6" w:tentative="1">
      <w:start w:val="1"/>
      <w:numFmt w:val="bullet"/>
      <w:lvlText w:val=""/>
      <w:lvlJc w:val="left"/>
      <w:pPr>
        <w:ind w:left="5040" w:hanging="360"/>
      </w:pPr>
      <w:rPr>
        <w:rFonts w:ascii="Symbol" w:hAnsi="Symbol" w:hint="default"/>
      </w:rPr>
    </w:lvl>
    <w:lvl w:ilvl="7" w:tplc="EEEC933A" w:tentative="1">
      <w:start w:val="1"/>
      <w:numFmt w:val="bullet"/>
      <w:lvlText w:val="o"/>
      <w:lvlJc w:val="left"/>
      <w:pPr>
        <w:ind w:left="5760" w:hanging="360"/>
      </w:pPr>
      <w:rPr>
        <w:rFonts w:ascii="Courier New" w:hAnsi="Courier New" w:cs="Courier New" w:hint="default"/>
      </w:rPr>
    </w:lvl>
    <w:lvl w:ilvl="8" w:tplc="8642315E" w:tentative="1">
      <w:start w:val="1"/>
      <w:numFmt w:val="bullet"/>
      <w:lvlText w:val=""/>
      <w:lvlJc w:val="left"/>
      <w:pPr>
        <w:ind w:left="6480" w:hanging="360"/>
      </w:pPr>
      <w:rPr>
        <w:rFonts w:ascii="Wingdings" w:hAnsi="Wingdings" w:hint="default"/>
      </w:rPr>
    </w:lvl>
  </w:abstractNum>
  <w:abstractNum w:abstractNumId="18">
    <w:nsid w:val="6F351A56"/>
    <w:multiLevelType w:val="hybridMultilevel"/>
    <w:tmpl w:val="E328F9F2"/>
    <w:lvl w:ilvl="0" w:tplc="1752FB6C">
      <w:start w:val="1"/>
      <w:numFmt w:val="bullet"/>
      <w:lvlText w:val=""/>
      <w:lvlJc w:val="left"/>
      <w:pPr>
        <w:ind w:left="360" w:hanging="360"/>
      </w:pPr>
      <w:rPr>
        <w:rFonts w:ascii="Symbol" w:hAnsi="Symbol" w:hint="default"/>
      </w:rPr>
    </w:lvl>
    <w:lvl w:ilvl="1" w:tplc="F9B67A5E" w:tentative="1">
      <w:start w:val="1"/>
      <w:numFmt w:val="bullet"/>
      <w:lvlText w:val="o"/>
      <w:lvlJc w:val="left"/>
      <w:pPr>
        <w:ind w:left="1080" w:hanging="360"/>
      </w:pPr>
      <w:rPr>
        <w:rFonts w:ascii="Courier New" w:hAnsi="Courier New" w:cs="Courier New" w:hint="default"/>
      </w:rPr>
    </w:lvl>
    <w:lvl w:ilvl="2" w:tplc="F580B658" w:tentative="1">
      <w:start w:val="1"/>
      <w:numFmt w:val="bullet"/>
      <w:lvlText w:val=""/>
      <w:lvlJc w:val="left"/>
      <w:pPr>
        <w:ind w:left="1800" w:hanging="360"/>
      </w:pPr>
      <w:rPr>
        <w:rFonts w:ascii="Wingdings" w:hAnsi="Wingdings" w:hint="default"/>
      </w:rPr>
    </w:lvl>
    <w:lvl w:ilvl="3" w:tplc="012E78B8" w:tentative="1">
      <w:start w:val="1"/>
      <w:numFmt w:val="bullet"/>
      <w:lvlText w:val=""/>
      <w:lvlJc w:val="left"/>
      <w:pPr>
        <w:ind w:left="2520" w:hanging="360"/>
      </w:pPr>
      <w:rPr>
        <w:rFonts w:ascii="Symbol" w:hAnsi="Symbol" w:hint="default"/>
      </w:rPr>
    </w:lvl>
    <w:lvl w:ilvl="4" w:tplc="ADECA97E" w:tentative="1">
      <w:start w:val="1"/>
      <w:numFmt w:val="bullet"/>
      <w:lvlText w:val="o"/>
      <w:lvlJc w:val="left"/>
      <w:pPr>
        <w:ind w:left="3240" w:hanging="360"/>
      </w:pPr>
      <w:rPr>
        <w:rFonts w:ascii="Courier New" w:hAnsi="Courier New" w:cs="Courier New" w:hint="default"/>
      </w:rPr>
    </w:lvl>
    <w:lvl w:ilvl="5" w:tplc="E17612EE" w:tentative="1">
      <w:start w:val="1"/>
      <w:numFmt w:val="bullet"/>
      <w:lvlText w:val=""/>
      <w:lvlJc w:val="left"/>
      <w:pPr>
        <w:ind w:left="3960" w:hanging="360"/>
      </w:pPr>
      <w:rPr>
        <w:rFonts w:ascii="Wingdings" w:hAnsi="Wingdings" w:hint="default"/>
      </w:rPr>
    </w:lvl>
    <w:lvl w:ilvl="6" w:tplc="7E48ECDC" w:tentative="1">
      <w:start w:val="1"/>
      <w:numFmt w:val="bullet"/>
      <w:lvlText w:val=""/>
      <w:lvlJc w:val="left"/>
      <w:pPr>
        <w:ind w:left="4680" w:hanging="360"/>
      </w:pPr>
      <w:rPr>
        <w:rFonts w:ascii="Symbol" w:hAnsi="Symbol" w:hint="default"/>
      </w:rPr>
    </w:lvl>
    <w:lvl w:ilvl="7" w:tplc="503A343A" w:tentative="1">
      <w:start w:val="1"/>
      <w:numFmt w:val="bullet"/>
      <w:lvlText w:val="o"/>
      <w:lvlJc w:val="left"/>
      <w:pPr>
        <w:ind w:left="5400" w:hanging="360"/>
      </w:pPr>
      <w:rPr>
        <w:rFonts w:ascii="Courier New" w:hAnsi="Courier New" w:cs="Courier New" w:hint="default"/>
      </w:rPr>
    </w:lvl>
    <w:lvl w:ilvl="8" w:tplc="F2FAFBB8" w:tentative="1">
      <w:start w:val="1"/>
      <w:numFmt w:val="bullet"/>
      <w:lvlText w:val=""/>
      <w:lvlJc w:val="left"/>
      <w:pPr>
        <w:ind w:left="6120" w:hanging="360"/>
      </w:pPr>
      <w:rPr>
        <w:rFonts w:ascii="Wingdings" w:hAnsi="Wingdings" w:hint="default"/>
      </w:rPr>
    </w:lvl>
  </w:abstractNum>
  <w:abstractNum w:abstractNumId="19">
    <w:nsid w:val="6F351A57"/>
    <w:multiLevelType w:val="hybridMultilevel"/>
    <w:tmpl w:val="08D2AED2"/>
    <w:lvl w:ilvl="0" w:tplc="20104C3A">
      <w:start w:val="1"/>
      <w:numFmt w:val="bullet"/>
      <w:lvlText w:val=""/>
      <w:lvlJc w:val="left"/>
      <w:pPr>
        <w:ind w:left="720" w:hanging="360"/>
      </w:pPr>
      <w:rPr>
        <w:rFonts w:ascii="Symbol" w:hAnsi="Symbol" w:hint="default"/>
      </w:rPr>
    </w:lvl>
    <w:lvl w:ilvl="1" w:tplc="A434CDE0" w:tentative="1">
      <w:start w:val="1"/>
      <w:numFmt w:val="bullet"/>
      <w:lvlText w:val="o"/>
      <w:lvlJc w:val="left"/>
      <w:pPr>
        <w:ind w:left="1440" w:hanging="360"/>
      </w:pPr>
      <w:rPr>
        <w:rFonts w:ascii="Courier New" w:hAnsi="Courier New" w:cs="Courier New" w:hint="default"/>
      </w:rPr>
    </w:lvl>
    <w:lvl w:ilvl="2" w:tplc="9C889598" w:tentative="1">
      <w:start w:val="1"/>
      <w:numFmt w:val="bullet"/>
      <w:lvlText w:val=""/>
      <w:lvlJc w:val="left"/>
      <w:pPr>
        <w:ind w:left="2160" w:hanging="360"/>
      </w:pPr>
      <w:rPr>
        <w:rFonts w:ascii="Wingdings" w:hAnsi="Wingdings" w:hint="default"/>
      </w:rPr>
    </w:lvl>
    <w:lvl w:ilvl="3" w:tplc="90801560" w:tentative="1">
      <w:start w:val="1"/>
      <w:numFmt w:val="bullet"/>
      <w:lvlText w:val=""/>
      <w:lvlJc w:val="left"/>
      <w:pPr>
        <w:ind w:left="2880" w:hanging="360"/>
      </w:pPr>
      <w:rPr>
        <w:rFonts w:ascii="Symbol" w:hAnsi="Symbol" w:hint="default"/>
      </w:rPr>
    </w:lvl>
    <w:lvl w:ilvl="4" w:tplc="7E32D456" w:tentative="1">
      <w:start w:val="1"/>
      <w:numFmt w:val="bullet"/>
      <w:lvlText w:val="o"/>
      <w:lvlJc w:val="left"/>
      <w:pPr>
        <w:ind w:left="3600" w:hanging="360"/>
      </w:pPr>
      <w:rPr>
        <w:rFonts w:ascii="Courier New" w:hAnsi="Courier New" w:cs="Courier New" w:hint="default"/>
      </w:rPr>
    </w:lvl>
    <w:lvl w:ilvl="5" w:tplc="A900F8C8" w:tentative="1">
      <w:start w:val="1"/>
      <w:numFmt w:val="bullet"/>
      <w:lvlText w:val=""/>
      <w:lvlJc w:val="left"/>
      <w:pPr>
        <w:ind w:left="4320" w:hanging="360"/>
      </w:pPr>
      <w:rPr>
        <w:rFonts w:ascii="Wingdings" w:hAnsi="Wingdings" w:hint="default"/>
      </w:rPr>
    </w:lvl>
    <w:lvl w:ilvl="6" w:tplc="929020F4" w:tentative="1">
      <w:start w:val="1"/>
      <w:numFmt w:val="bullet"/>
      <w:lvlText w:val=""/>
      <w:lvlJc w:val="left"/>
      <w:pPr>
        <w:ind w:left="5040" w:hanging="360"/>
      </w:pPr>
      <w:rPr>
        <w:rFonts w:ascii="Symbol" w:hAnsi="Symbol" w:hint="default"/>
      </w:rPr>
    </w:lvl>
    <w:lvl w:ilvl="7" w:tplc="9B2C7206" w:tentative="1">
      <w:start w:val="1"/>
      <w:numFmt w:val="bullet"/>
      <w:lvlText w:val="o"/>
      <w:lvlJc w:val="left"/>
      <w:pPr>
        <w:ind w:left="5760" w:hanging="360"/>
      </w:pPr>
      <w:rPr>
        <w:rFonts w:ascii="Courier New" w:hAnsi="Courier New" w:cs="Courier New" w:hint="default"/>
      </w:rPr>
    </w:lvl>
    <w:lvl w:ilvl="8" w:tplc="F3686A1A" w:tentative="1">
      <w:start w:val="1"/>
      <w:numFmt w:val="bullet"/>
      <w:lvlText w:val=""/>
      <w:lvlJc w:val="left"/>
      <w:pPr>
        <w:ind w:left="6480" w:hanging="360"/>
      </w:pPr>
      <w:rPr>
        <w:rFonts w:ascii="Wingdings" w:hAnsi="Wingdings" w:hint="default"/>
      </w:rPr>
    </w:lvl>
  </w:abstractNum>
  <w:abstractNum w:abstractNumId="20">
    <w:nsid w:val="6F351A58"/>
    <w:multiLevelType w:val="hybridMultilevel"/>
    <w:tmpl w:val="C7DE0E2E"/>
    <w:lvl w:ilvl="0" w:tplc="D8389C30">
      <w:start w:val="1"/>
      <w:numFmt w:val="bullet"/>
      <w:lvlText w:val=""/>
      <w:lvlJc w:val="left"/>
      <w:pPr>
        <w:ind w:left="720" w:hanging="360"/>
      </w:pPr>
      <w:rPr>
        <w:rFonts w:ascii="Symbol" w:hAnsi="Symbol" w:hint="default"/>
      </w:rPr>
    </w:lvl>
    <w:lvl w:ilvl="1" w:tplc="661A91A8" w:tentative="1">
      <w:start w:val="1"/>
      <w:numFmt w:val="bullet"/>
      <w:lvlText w:val="o"/>
      <w:lvlJc w:val="left"/>
      <w:pPr>
        <w:ind w:left="1440" w:hanging="360"/>
      </w:pPr>
      <w:rPr>
        <w:rFonts w:ascii="Courier New" w:hAnsi="Courier New" w:cs="Courier New" w:hint="default"/>
      </w:rPr>
    </w:lvl>
    <w:lvl w:ilvl="2" w:tplc="460249FE" w:tentative="1">
      <w:start w:val="1"/>
      <w:numFmt w:val="bullet"/>
      <w:lvlText w:val=""/>
      <w:lvlJc w:val="left"/>
      <w:pPr>
        <w:ind w:left="2160" w:hanging="360"/>
      </w:pPr>
      <w:rPr>
        <w:rFonts w:ascii="Wingdings" w:hAnsi="Wingdings" w:hint="default"/>
      </w:rPr>
    </w:lvl>
    <w:lvl w:ilvl="3" w:tplc="FCB8E258" w:tentative="1">
      <w:start w:val="1"/>
      <w:numFmt w:val="bullet"/>
      <w:lvlText w:val=""/>
      <w:lvlJc w:val="left"/>
      <w:pPr>
        <w:ind w:left="2880" w:hanging="360"/>
      </w:pPr>
      <w:rPr>
        <w:rFonts w:ascii="Symbol" w:hAnsi="Symbol" w:hint="default"/>
      </w:rPr>
    </w:lvl>
    <w:lvl w:ilvl="4" w:tplc="E3747F78" w:tentative="1">
      <w:start w:val="1"/>
      <w:numFmt w:val="bullet"/>
      <w:lvlText w:val="o"/>
      <w:lvlJc w:val="left"/>
      <w:pPr>
        <w:ind w:left="3600" w:hanging="360"/>
      </w:pPr>
      <w:rPr>
        <w:rFonts w:ascii="Courier New" w:hAnsi="Courier New" w:cs="Courier New" w:hint="default"/>
      </w:rPr>
    </w:lvl>
    <w:lvl w:ilvl="5" w:tplc="8A8EEAC4" w:tentative="1">
      <w:start w:val="1"/>
      <w:numFmt w:val="bullet"/>
      <w:lvlText w:val=""/>
      <w:lvlJc w:val="left"/>
      <w:pPr>
        <w:ind w:left="4320" w:hanging="360"/>
      </w:pPr>
      <w:rPr>
        <w:rFonts w:ascii="Wingdings" w:hAnsi="Wingdings" w:hint="default"/>
      </w:rPr>
    </w:lvl>
    <w:lvl w:ilvl="6" w:tplc="29FE8186" w:tentative="1">
      <w:start w:val="1"/>
      <w:numFmt w:val="bullet"/>
      <w:lvlText w:val=""/>
      <w:lvlJc w:val="left"/>
      <w:pPr>
        <w:ind w:left="5040" w:hanging="360"/>
      </w:pPr>
      <w:rPr>
        <w:rFonts w:ascii="Symbol" w:hAnsi="Symbol" w:hint="default"/>
      </w:rPr>
    </w:lvl>
    <w:lvl w:ilvl="7" w:tplc="7F020D6A" w:tentative="1">
      <w:start w:val="1"/>
      <w:numFmt w:val="bullet"/>
      <w:lvlText w:val="o"/>
      <w:lvlJc w:val="left"/>
      <w:pPr>
        <w:ind w:left="5760" w:hanging="360"/>
      </w:pPr>
      <w:rPr>
        <w:rFonts w:ascii="Courier New" w:hAnsi="Courier New" w:cs="Courier New" w:hint="default"/>
      </w:rPr>
    </w:lvl>
    <w:lvl w:ilvl="8" w:tplc="F1D081AE" w:tentative="1">
      <w:start w:val="1"/>
      <w:numFmt w:val="bullet"/>
      <w:lvlText w:val=""/>
      <w:lvlJc w:val="left"/>
      <w:pPr>
        <w:ind w:left="6480" w:hanging="360"/>
      </w:pPr>
      <w:rPr>
        <w:rFonts w:ascii="Wingdings" w:hAnsi="Wingdings" w:hint="default"/>
      </w:rPr>
    </w:lvl>
  </w:abstractNum>
  <w:abstractNum w:abstractNumId="21">
    <w:nsid w:val="6F351A59"/>
    <w:multiLevelType w:val="hybridMultilevel"/>
    <w:tmpl w:val="4136191E"/>
    <w:lvl w:ilvl="0" w:tplc="7A1028CC">
      <w:start w:val="1"/>
      <w:numFmt w:val="bullet"/>
      <w:lvlText w:val=""/>
      <w:lvlJc w:val="left"/>
      <w:pPr>
        <w:ind w:left="720" w:hanging="360"/>
      </w:pPr>
      <w:rPr>
        <w:rFonts w:ascii="Symbol" w:hAnsi="Symbol" w:hint="default"/>
      </w:rPr>
    </w:lvl>
    <w:lvl w:ilvl="1" w:tplc="7BE0E416" w:tentative="1">
      <w:start w:val="1"/>
      <w:numFmt w:val="bullet"/>
      <w:lvlText w:val="o"/>
      <w:lvlJc w:val="left"/>
      <w:pPr>
        <w:ind w:left="1440" w:hanging="360"/>
      </w:pPr>
      <w:rPr>
        <w:rFonts w:ascii="Courier New" w:hAnsi="Courier New" w:cs="Courier New" w:hint="default"/>
      </w:rPr>
    </w:lvl>
    <w:lvl w:ilvl="2" w:tplc="BA88774E" w:tentative="1">
      <w:start w:val="1"/>
      <w:numFmt w:val="bullet"/>
      <w:lvlText w:val=""/>
      <w:lvlJc w:val="left"/>
      <w:pPr>
        <w:ind w:left="2160" w:hanging="360"/>
      </w:pPr>
      <w:rPr>
        <w:rFonts w:ascii="Wingdings" w:hAnsi="Wingdings" w:hint="default"/>
      </w:rPr>
    </w:lvl>
    <w:lvl w:ilvl="3" w:tplc="6BA4CDAC" w:tentative="1">
      <w:start w:val="1"/>
      <w:numFmt w:val="bullet"/>
      <w:lvlText w:val=""/>
      <w:lvlJc w:val="left"/>
      <w:pPr>
        <w:ind w:left="2880" w:hanging="360"/>
      </w:pPr>
      <w:rPr>
        <w:rFonts w:ascii="Symbol" w:hAnsi="Symbol" w:hint="default"/>
      </w:rPr>
    </w:lvl>
    <w:lvl w:ilvl="4" w:tplc="BACA6AF0" w:tentative="1">
      <w:start w:val="1"/>
      <w:numFmt w:val="bullet"/>
      <w:lvlText w:val="o"/>
      <w:lvlJc w:val="left"/>
      <w:pPr>
        <w:ind w:left="3600" w:hanging="360"/>
      </w:pPr>
      <w:rPr>
        <w:rFonts w:ascii="Courier New" w:hAnsi="Courier New" w:cs="Courier New" w:hint="default"/>
      </w:rPr>
    </w:lvl>
    <w:lvl w:ilvl="5" w:tplc="FD761A8E" w:tentative="1">
      <w:start w:val="1"/>
      <w:numFmt w:val="bullet"/>
      <w:lvlText w:val=""/>
      <w:lvlJc w:val="left"/>
      <w:pPr>
        <w:ind w:left="4320" w:hanging="360"/>
      </w:pPr>
      <w:rPr>
        <w:rFonts w:ascii="Wingdings" w:hAnsi="Wingdings" w:hint="default"/>
      </w:rPr>
    </w:lvl>
    <w:lvl w:ilvl="6" w:tplc="25D6EF88" w:tentative="1">
      <w:start w:val="1"/>
      <w:numFmt w:val="bullet"/>
      <w:lvlText w:val=""/>
      <w:lvlJc w:val="left"/>
      <w:pPr>
        <w:ind w:left="5040" w:hanging="360"/>
      </w:pPr>
      <w:rPr>
        <w:rFonts w:ascii="Symbol" w:hAnsi="Symbol" w:hint="default"/>
      </w:rPr>
    </w:lvl>
    <w:lvl w:ilvl="7" w:tplc="CB18CEDC" w:tentative="1">
      <w:start w:val="1"/>
      <w:numFmt w:val="bullet"/>
      <w:lvlText w:val="o"/>
      <w:lvlJc w:val="left"/>
      <w:pPr>
        <w:ind w:left="5760" w:hanging="360"/>
      </w:pPr>
      <w:rPr>
        <w:rFonts w:ascii="Courier New" w:hAnsi="Courier New" w:cs="Courier New" w:hint="default"/>
      </w:rPr>
    </w:lvl>
    <w:lvl w:ilvl="8" w:tplc="5DC6DF68" w:tentative="1">
      <w:start w:val="1"/>
      <w:numFmt w:val="bullet"/>
      <w:lvlText w:val=""/>
      <w:lvlJc w:val="left"/>
      <w:pPr>
        <w:ind w:left="6480" w:hanging="360"/>
      </w:pPr>
      <w:rPr>
        <w:rFonts w:ascii="Wingdings" w:hAnsi="Wingdings" w:hint="default"/>
      </w:rPr>
    </w:lvl>
  </w:abstractNum>
  <w:abstractNum w:abstractNumId="22">
    <w:nsid w:val="6F351A5A"/>
    <w:multiLevelType w:val="hybridMultilevel"/>
    <w:tmpl w:val="3EC20C2E"/>
    <w:lvl w:ilvl="0" w:tplc="895AE21C">
      <w:start w:val="1"/>
      <w:numFmt w:val="bullet"/>
      <w:lvlText w:val=""/>
      <w:lvlJc w:val="left"/>
      <w:pPr>
        <w:ind w:left="720" w:hanging="360"/>
      </w:pPr>
      <w:rPr>
        <w:rFonts w:ascii="Symbol" w:hAnsi="Symbol" w:hint="default"/>
      </w:rPr>
    </w:lvl>
    <w:lvl w:ilvl="1" w:tplc="10E69572" w:tentative="1">
      <w:start w:val="1"/>
      <w:numFmt w:val="bullet"/>
      <w:lvlText w:val="o"/>
      <w:lvlJc w:val="left"/>
      <w:pPr>
        <w:ind w:left="1440" w:hanging="360"/>
      </w:pPr>
      <w:rPr>
        <w:rFonts w:ascii="Courier New" w:hAnsi="Courier New" w:cs="Courier New" w:hint="default"/>
      </w:rPr>
    </w:lvl>
    <w:lvl w:ilvl="2" w:tplc="C7349256" w:tentative="1">
      <w:start w:val="1"/>
      <w:numFmt w:val="bullet"/>
      <w:lvlText w:val=""/>
      <w:lvlJc w:val="left"/>
      <w:pPr>
        <w:ind w:left="2160" w:hanging="360"/>
      </w:pPr>
      <w:rPr>
        <w:rFonts w:ascii="Wingdings" w:hAnsi="Wingdings" w:hint="default"/>
      </w:rPr>
    </w:lvl>
    <w:lvl w:ilvl="3" w:tplc="87346C3C" w:tentative="1">
      <w:start w:val="1"/>
      <w:numFmt w:val="bullet"/>
      <w:lvlText w:val=""/>
      <w:lvlJc w:val="left"/>
      <w:pPr>
        <w:ind w:left="2880" w:hanging="360"/>
      </w:pPr>
      <w:rPr>
        <w:rFonts w:ascii="Symbol" w:hAnsi="Symbol" w:hint="default"/>
      </w:rPr>
    </w:lvl>
    <w:lvl w:ilvl="4" w:tplc="C82AA368" w:tentative="1">
      <w:start w:val="1"/>
      <w:numFmt w:val="bullet"/>
      <w:lvlText w:val="o"/>
      <w:lvlJc w:val="left"/>
      <w:pPr>
        <w:ind w:left="3600" w:hanging="360"/>
      </w:pPr>
      <w:rPr>
        <w:rFonts w:ascii="Courier New" w:hAnsi="Courier New" w:cs="Courier New" w:hint="default"/>
      </w:rPr>
    </w:lvl>
    <w:lvl w:ilvl="5" w:tplc="385EFD4C" w:tentative="1">
      <w:start w:val="1"/>
      <w:numFmt w:val="bullet"/>
      <w:lvlText w:val=""/>
      <w:lvlJc w:val="left"/>
      <w:pPr>
        <w:ind w:left="4320" w:hanging="360"/>
      </w:pPr>
      <w:rPr>
        <w:rFonts w:ascii="Wingdings" w:hAnsi="Wingdings" w:hint="default"/>
      </w:rPr>
    </w:lvl>
    <w:lvl w:ilvl="6" w:tplc="E806D2AE" w:tentative="1">
      <w:start w:val="1"/>
      <w:numFmt w:val="bullet"/>
      <w:lvlText w:val=""/>
      <w:lvlJc w:val="left"/>
      <w:pPr>
        <w:ind w:left="5040" w:hanging="360"/>
      </w:pPr>
      <w:rPr>
        <w:rFonts w:ascii="Symbol" w:hAnsi="Symbol" w:hint="default"/>
      </w:rPr>
    </w:lvl>
    <w:lvl w:ilvl="7" w:tplc="E3A26848" w:tentative="1">
      <w:start w:val="1"/>
      <w:numFmt w:val="bullet"/>
      <w:lvlText w:val="o"/>
      <w:lvlJc w:val="left"/>
      <w:pPr>
        <w:ind w:left="5760" w:hanging="360"/>
      </w:pPr>
      <w:rPr>
        <w:rFonts w:ascii="Courier New" w:hAnsi="Courier New" w:cs="Courier New" w:hint="default"/>
      </w:rPr>
    </w:lvl>
    <w:lvl w:ilvl="8" w:tplc="2B14E34A" w:tentative="1">
      <w:start w:val="1"/>
      <w:numFmt w:val="bullet"/>
      <w:lvlText w:val=""/>
      <w:lvlJc w:val="left"/>
      <w:pPr>
        <w:ind w:left="6480" w:hanging="360"/>
      </w:pPr>
      <w:rPr>
        <w:rFonts w:ascii="Wingdings" w:hAnsi="Wingdings" w:hint="default"/>
      </w:rPr>
    </w:lvl>
  </w:abstractNum>
  <w:abstractNum w:abstractNumId="23">
    <w:nsid w:val="6F351A5B"/>
    <w:multiLevelType w:val="hybridMultilevel"/>
    <w:tmpl w:val="D2A218AA"/>
    <w:lvl w:ilvl="0" w:tplc="BC7A2B42">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DE8422C0" w:tentative="1">
      <w:start w:val="1"/>
      <w:numFmt w:val="lowerLetter"/>
      <w:lvlText w:val="%2."/>
      <w:lvlJc w:val="left"/>
      <w:pPr>
        <w:ind w:left="1440" w:hanging="360"/>
      </w:pPr>
    </w:lvl>
    <w:lvl w:ilvl="2" w:tplc="A7283192" w:tentative="1">
      <w:start w:val="1"/>
      <w:numFmt w:val="lowerRoman"/>
      <w:lvlText w:val="%3."/>
      <w:lvlJc w:val="right"/>
      <w:pPr>
        <w:ind w:left="2160" w:hanging="180"/>
      </w:pPr>
    </w:lvl>
    <w:lvl w:ilvl="3" w:tplc="112040E8" w:tentative="1">
      <w:start w:val="1"/>
      <w:numFmt w:val="decimal"/>
      <w:lvlText w:val="%4."/>
      <w:lvlJc w:val="left"/>
      <w:pPr>
        <w:ind w:left="2880" w:hanging="360"/>
      </w:pPr>
    </w:lvl>
    <w:lvl w:ilvl="4" w:tplc="812C0B4E" w:tentative="1">
      <w:start w:val="1"/>
      <w:numFmt w:val="lowerLetter"/>
      <w:lvlText w:val="%5."/>
      <w:lvlJc w:val="left"/>
      <w:pPr>
        <w:ind w:left="3600" w:hanging="360"/>
      </w:pPr>
    </w:lvl>
    <w:lvl w:ilvl="5" w:tplc="2EAE4AA2" w:tentative="1">
      <w:start w:val="1"/>
      <w:numFmt w:val="lowerRoman"/>
      <w:lvlText w:val="%6."/>
      <w:lvlJc w:val="right"/>
      <w:pPr>
        <w:ind w:left="4320" w:hanging="180"/>
      </w:pPr>
    </w:lvl>
    <w:lvl w:ilvl="6" w:tplc="BBF41B62" w:tentative="1">
      <w:start w:val="1"/>
      <w:numFmt w:val="decimal"/>
      <w:lvlText w:val="%7."/>
      <w:lvlJc w:val="left"/>
      <w:pPr>
        <w:ind w:left="5040" w:hanging="360"/>
      </w:pPr>
    </w:lvl>
    <w:lvl w:ilvl="7" w:tplc="CDDE77E6" w:tentative="1">
      <w:start w:val="1"/>
      <w:numFmt w:val="lowerLetter"/>
      <w:lvlText w:val="%8."/>
      <w:lvlJc w:val="left"/>
      <w:pPr>
        <w:ind w:left="5760" w:hanging="360"/>
      </w:pPr>
    </w:lvl>
    <w:lvl w:ilvl="8" w:tplc="456A71C0" w:tentative="1">
      <w:start w:val="1"/>
      <w:numFmt w:val="lowerRoman"/>
      <w:lvlText w:val="%9."/>
      <w:lvlJc w:val="right"/>
      <w:pPr>
        <w:ind w:left="6480" w:hanging="180"/>
      </w:pPr>
    </w:lvl>
  </w:abstractNum>
  <w:abstractNum w:abstractNumId="24">
    <w:nsid w:val="6F351A5C"/>
    <w:multiLevelType w:val="hybridMultilevel"/>
    <w:tmpl w:val="79981F02"/>
    <w:lvl w:ilvl="0" w:tplc="BC7A2B42">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B8CE6804" w:tentative="1">
      <w:start w:val="1"/>
      <w:numFmt w:val="lowerLetter"/>
      <w:lvlText w:val="%2."/>
      <w:lvlJc w:val="left"/>
      <w:pPr>
        <w:ind w:left="1440" w:hanging="360"/>
      </w:pPr>
    </w:lvl>
    <w:lvl w:ilvl="2" w:tplc="BC4E7BC4" w:tentative="1">
      <w:start w:val="1"/>
      <w:numFmt w:val="lowerRoman"/>
      <w:lvlText w:val="%3."/>
      <w:lvlJc w:val="right"/>
      <w:pPr>
        <w:ind w:left="2160" w:hanging="180"/>
      </w:pPr>
    </w:lvl>
    <w:lvl w:ilvl="3" w:tplc="91805944" w:tentative="1">
      <w:start w:val="1"/>
      <w:numFmt w:val="decimal"/>
      <w:lvlText w:val="%4."/>
      <w:lvlJc w:val="left"/>
      <w:pPr>
        <w:ind w:left="2880" w:hanging="360"/>
      </w:pPr>
    </w:lvl>
    <w:lvl w:ilvl="4" w:tplc="20C224F0" w:tentative="1">
      <w:start w:val="1"/>
      <w:numFmt w:val="lowerLetter"/>
      <w:lvlText w:val="%5."/>
      <w:lvlJc w:val="left"/>
      <w:pPr>
        <w:ind w:left="3600" w:hanging="360"/>
      </w:pPr>
    </w:lvl>
    <w:lvl w:ilvl="5" w:tplc="6CE6509A" w:tentative="1">
      <w:start w:val="1"/>
      <w:numFmt w:val="lowerRoman"/>
      <w:lvlText w:val="%6."/>
      <w:lvlJc w:val="right"/>
      <w:pPr>
        <w:ind w:left="4320" w:hanging="180"/>
      </w:pPr>
    </w:lvl>
    <w:lvl w:ilvl="6" w:tplc="B380EAF6" w:tentative="1">
      <w:start w:val="1"/>
      <w:numFmt w:val="decimal"/>
      <w:lvlText w:val="%7."/>
      <w:lvlJc w:val="left"/>
      <w:pPr>
        <w:ind w:left="5040" w:hanging="360"/>
      </w:pPr>
    </w:lvl>
    <w:lvl w:ilvl="7" w:tplc="738E7076" w:tentative="1">
      <w:start w:val="1"/>
      <w:numFmt w:val="lowerLetter"/>
      <w:lvlText w:val="%8."/>
      <w:lvlJc w:val="left"/>
      <w:pPr>
        <w:ind w:left="5760" w:hanging="360"/>
      </w:pPr>
    </w:lvl>
    <w:lvl w:ilvl="8" w:tplc="FBE06D16" w:tentative="1">
      <w:start w:val="1"/>
      <w:numFmt w:val="lowerRoman"/>
      <w:lvlText w:val="%9."/>
      <w:lvlJc w:val="right"/>
      <w:pPr>
        <w:ind w:left="6480" w:hanging="180"/>
      </w:pPr>
    </w:lvl>
  </w:abstractNum>
  <w:abstractNum w:abstractNumId="25">
    <w:nsid w:val="6F351A5D"/>
    <w:multiLevelType w:val="hybridMultilevel"/>
    <w:tmpl w:val="39804DFE"/>
    <w:lvl w:ilvl="0" w:tplc="F25408A4">
      <w:start w:val="1"/>
      <w:numFmt w:val="bullet"/>
      <w:lvlText w:val=""/>
      <w:lvlJc w:val="left"/>
      <w:pPr>
        <w:ind w:left="720" w:hanging="360"/>
      </w:pPr>
      <w:rPr>
        <w:rFonts w:ascii="Symbol" w:hAnsi="Symbol" w:hint="default"/>
      </w:rPr>
    </w:lvl>
    <w:lvl w:ilvl="1" w:tplc="D02E109A" w:tentative="1">
      <w:start w:val="1"/>
      <w:numFmt w:val="bullet"/>
      <w:lvlText w:val="o"/>
      <w:lvlJc w:val="left"/>
      <w:pPr>
        <w:ind w:left="1440" w:hanging="360"/>
      </w:pPr>
      <w:rPr>
        <w:rFonts w:ascii="Courier New" w:hAnsi="Courier New" w:cs="Courier New" w:hint="default"/>
      </w:rPr>
    </w:lvl>
    <w:lvl w:ilvl="2" w:tplc="5672BA50" w:tentative="1">
      <w:start w:val="1"/>
      <w:numFmt w:val="bullet"/>
      <w:lvlText w:val=""/>
      <w:lvlJc w:val="left"/>
      <w:pPr>
        <w:ind w:left="2160" w:hanging="360"/>
      </w:pPr>
      <w:rPr>
        <w:rFonts w:ascii="Wingdings" w:hAnsi="Wingdings" w:hint="default"/>
      </w:rPr>
    </w:lvl>
    <w:lvl w:ilvl="3" w:tplc="2C5E896A" w:tentative="1">
      <w:start w:val="1"/>
      <w:numFmt w:val="bullet"/>
      <w:lvlText w:val=""/>
      <w:lvlJc w:val="left"/>
      <w:pPr>
        <w:ind w:left="2880" w:hanging="360"/>
      </w:pPr>
      <w:rPr>
        <w:rFonts w:ascii="Symbol" w:hAnsi="Symbol" w:hint="default"/>
      </w:rPr>
    </w:lvl>
    <w:lvl w:ilvl="4" w:tplc="2A3C8818" w:tentative="1">
      <w:start w:val="1"/>
      <w:numFmt w:val="bullet"/>
      <w:lvlText w:val="o"/>
      <w:lvlJc w:val="left"/>
      <w:pPr>
        <w:ind w:left="3600" w:hanging="360"/>
      </w:pPr>
      <w:rPr>
        <w:rFonts w:ascii="Courier New" w:hAnsi="Courier New" w:cs="Courier New" w:hint="default"/>
      </w:rPr>
    </w:lvl>
    <w:lvl w:ilvl="5" w:tplc="68064714" w:tentative="1">
      <w:start w:val="1"/>
      <w:numFmt w:val="bullet"/>
      <w:lvlText w:val=""/>
      <w:lvlJc w:val="left"/>
      <w:pPr>
        <w:ind w:left="4320" w:hanging="360"/>
      </w:pPr>
      <w:rPr>
        <w:rFonts w:ascii="Wingdings" w:hAnsi="Wingdings" w:hint="default"/>
      </w:rPr>
    </w:lvl>
    <w:lvl w:ilvl="6" w:tplc="3F6A2C28" w:tentative="1">
      <w:start w:val="1"/>
      <w:numFmt w:val="bullet"/>
      <w:lvlText w:val=""/>
      <w:lvlJc w:val="left"/>
      <w:pPr>
        <w:ind w:left="5040" w:hanging="360"/>
      </w:pPr>
      <w:rPr>
        <w:rFonts w:ascii="Symbol" w:hAnsi="Symbol" w:hint="default"/>
      </w:rPr>
    </w:lvl>
    <w:lvl w:ilvl="7" w:tplc="42EE269C" w:tentative="1">
      <w:start w:val="1"/>
      <w:numFmt w:val="bullet"/>
      <w:lvlText w:val="o"/>
      <w:lvlJc w:val="left"/>
      <w:pPr>
        <w:ind w:left="5760" w:hanging="360"/>
      </w:pPr>
      <w:rPr>
        <w:rFonts w:ascii="Courier New" w:hAnsi="Courier New" w:cs="Courier New" w:hint="default"/>
      </w:rPr>
    </w:lvl>
    <w:lvl w:ilvl="8" w:tplc="A7980042" w:tentative="1">
      <w:start w:val="1"/>
      <w:numFmt w:val="bullet"/>
      <w:lvlText w:val=""/>
      <w:lvlJc w:val="left"/>
      <w:pPr>
        <w:ind w:left="6480" w:hanging="360"/>
      </w:pPr>
      <w:rPr>
        <w:rFonts w:ascii="Wingdings" w:hAnsi="Wingdings" w:hint="default"/>
      </w:rPr>
    </w:lvl>
  </w:abstractNum>
  <w:abstractNum w:abstractNumId="26">
    <w:nsid w:val="6F351A5E"/>
    <w:multiLevelType w:val="hybridMultilevel"/>
    <w:tmpl w:val="6C3CB09C"/>
    <w:lvl w:ilvl="0" w:tplc="57280510">
      <w:start w:val="1"/>
      <w:numFmt w:val="bullet"/>
      <w:lvlText w:val=""/>
      <w:lvlJc w:val="left"/>
      <w:pPr>
        <w:ind w:left="720" w:hanging="360"/>
      </w:pPr>
      <w:rPr>
        <w:rFonts w:ascii="Symbol" w:hAnsi="Symbol" w:hint="default"/>
      </w:rPr>
    </w:lvl>
    <w:lvl w:ilvl="1" w:tplc="A1BE931C" w:tentative="1">
      <w:start w:val="1"/>
      <w:numFmt w:val="bullet"/>
      <w:lvlText w:val="o"/>
      <w:lvlJc w:val="left"/>
      <w:pPr>
        <w:ind w:left="1440" w:hanging="360"/>
      </w:pPr>
      <w:rPr>
        <w:rFonts w:ascii="Courier New" w:hAnsi="Courier New" w:cs="Courier New" w:hint="default"/>
      </w:rPr>
    </w:lvl>
    <w:lvl w:ilvl="2" w:tplc="081C583E" w:tentative="1">
      <w:start w:val="1"/>
      <w:numFmt w:val="bullet"/>
      <w:lvlText w:val=""/>
      <w:lvlJc w:val="left"/>
      <w:pPr>
        <w:ind w:left="2160" w:hanging="360"/>
      </w:pPr>
      <w:rPr>
        <w:rFonts w:ascii="Wingdings" w:hAnsi="Wingdings" w:hint="default"/>
      </w:rPr>
    </w:lvl>
    <w:lvl w:ilvl="3" w:tplc="B75845B2" w:tentative="1">
      <w:start w:val="1"/>
      <w:numFmt w:val="bullet"/>
      <w:lvlText w:val=""/>
      <w:lvlJc w:val="left"/>
      <w:pPr>
        <w:ind w:left="2880" w:hanging="360"/>
      </w:pPr>
      <w:rPr>
        <w:rFonts w:ascii="Symbol" w:hAnsi="Symbol" w:hint="default"/>
      </w:rPr>
    </w:lvl>
    <w:lvl w:ilvl="4" w:tplc="31D069EA" w:tentative="1">
      <w:start w:val="1"/>
      <w:numFmt w:val="bullet"/>
      <w:lvlText w:val="o"/>
      <w:lvlJc w:val="left"/>
      <w:pPr>
        <w:ind w:left="3600" w:hanging="360"/>
      </w:pPr>
      <w:rPr>
        <w:rFonts w:ascii="Courier New" w:hAnsi="Courier New" w:cs="Courier New" w:hint="default"/>
      </w:rPr>
    </w:lvl>
    <w:lvl w:ilvl="5" w:tplc="B31497E0" w:tentative="1">
      <w:start w:val="1"/>
      <w:numFmt w:val="bullet"/>
      <w:lvlText w:val=""/>
      <w:lvlJc w:val="left"/>
      <w:pPr>
        <w:ind w:left="4320" w:hanging="360"/>
      </w:pPr>
      <w:rPr>
        <w:rFonts w:ascii="Wingdings" w:hAnsi="Wingdings" w:hint="default"/>
      </w:rPr>
    </w:lvl>
    <w:lvl w:ilvl="6" w:tplc="E4AAF076" w:tentative="1">
      <w:start w:val="1"/>
      <w:numFmt w:val="bullet"/>
      <w:lvlText w:val=""/>
      <w:lvlJc w:val="left"/>
      <w:pPr>
        <w:ind w:left="5040" w:hanging="360"/>
      </w:pPr>
      <w:rPr>
        <w:rFonts w:ascii="Symbol" w:hAnsi="Symbol" w:hint="default"/>
      </w:rPr>
    </w:lvl>
    <w:lvl w:ilvl="7" w:tplc="8AE89148" w:tentative="1">
      <w:start w:val="1"/>
      <w:numFmt w:val="bullet"/>
      <w:lvlText w:val="o"/>
      <w:lvlJc w:val="left"/>
      <w:pPr>
        <w:ind w:left="5760" w:hanging="360"/>
      </w:pPr>
      <w:rPr>
        <w:rFonts w:ascii="Courier New" w:hAnsi="Courier New" w:cs="Courier New" w:hint="default"/>
      </w:rPr>
    </w:lvl>
    <w:lvl w:ilvl="8" w:tplc="02446484" w:tentative="1">
      <w:start w:val="1"/>
      <w:numFmt w:val="bullet"/>
      <w:lvlText w:val=""/>
      <w:lvlJc w:val="left"/>
      <w:pPr>
        <w:ind w:left="6480" w:hanging="360"/>
      </w:pPr>
      <w:rPr>
        <w:rFonts w:ascii="Wingdings" w:hAnsi="Wingdings" w:hint="default"/>
      </w:rPr>
    </w:lvl>
  </w:abstractNum>
  <w:abstractNum w:abstractNumId="27">
    <w:nsid w:val="6F351A5F"/>
    <w:multiLevelType w:val="hybridMultilevel"/>
    <w:tmpl w:val="0318EF0E"/>
    <w:lvl w:ilvl="0" w:tplc="A422478E">
      <w:start w:val="1"/>
      <w:numFmt w:val="bullet"/>
      <w:lvlText w:val=""/>
      <w:lvlJc w:val="left"/>
      <w:pPr>
        <w:ind w:left="720" w:hanging="360"/>
      </w:pPr>
      <w:rPr>
        <w:rFonts w:ascii="Symbol" w:hAnsi="Symbol" w:hint="default"/>
      </w:rPr>
    </w:lvl>
    <w:lvl w:ilvl="1" w:tplc="8096907C" w:tentative="1">
      <w:start w:val="1"/>
      <w:numFmt w:val="bullet"/>
      <w:lvlText w:val="o"/>
      <w:lvlJc w:val="left"/>
      <w:pPr>
        <w:ind w:left="1440" w:hanging="360"/>
      </w:pPr>
      <w:rPr>
        <w:rFonts w:ascii="Courier New" w:hAnsi="Courier New" w:cs="Courier New" w:hint="default"/>
      </w:rPr>
    </w:lvl>
    <w:lvl w:ilvl="2" w:tplc="47F850A2" w:tentative="1">
      <w:start w:val="1"/>
      <w:numFmt w:val="bullet"/>
      <w:lvlText w:val=""/>
      <w:lvlJc w:val="left"/>
      <w:pPr>
        <w:ind w:left="2160" w:hanging="360"/>
      </w:pPr>
      <w:rPr>
        <w:rFonts w:ascii="Wingdings" w:hAnsi="Wingdings" w:hint="default"/>
      </w:rPr>
    </w:lvl>
    <w:lvl w:ilvl="3" w:tplc="E224134E" w:tentative="1">
      <w:start w:val="1"/>
      <w:numFmt w:val="bullet"/>
      <w:lvlText w:val=""/>
      <w:lvlJc w:val="left"/>
      <w:pPr>
        <w:ind w:left="2880" w:hanging="360"/>
      </w:pPr>
      <w:rPr>
        <w:rFonts w:ascii="Symbol" w:hAnsi="Symbol" w:hint="default"/>
      </w:rPr>
    </w:lvl>
    <w:lvl w:ilvl="4" w:tplc="E9A04380" w:tentative="1">
      <w:start w:val="1"/>
      <w:numFmt w:val="bullet"/>
      <w:lvlText w:val="o"/>
      <w:lvlJc w:val="left"/>
      <w:pPr>
        <w:ind w:left="3600" w:hanging="360"/>
      </w:pPr>
      <w:rPr>
        <w:rFonts w:ascii="Courier New" w:hAnsi="Courier New" w:cs="Courier New" w:hint="default"/>
      </w:rPr>
    </w:lvl>
    <w:lvl w:ilvl="5" w:tplc="E144A77E" w:tentative="1">
      <w:start w:val="1"/>
      <w:numFmt w:val="bullet"/>
      <w:lvlText w:val=""/>
      <w:lvlJc w:val="left"/>
      <w:pPr>
        <w:ind w:left="4320" w:hanging="360"/>
      </w:pPr>
      <w:rPr>
        <w:rFonts w:ascii="Wingdings" w:hAnsi="Wingdings" w:hint="default"/>
      </w:rPr>
    </w:lvl>
    <w:lvl w:ilvl="6" w:tplc="19564E3E" w:tentative="1">
      <w:start w:val="1"/>
      <w:numFmt w:val="bullet"/>
      <w:lvlText w:val=""/>
      <w:lvlJc w:val="left"/>
      <w:pPr>
        <w:ind w:left="5040" w:hanging="360"/>
      </w:pPr>
      <w:rPr>
        <w:rFonts w:ascii="Symbol" w:hAnsi="Symbol" w:hint="default"/>
      </w:rPr>
    </w:lvl>
    <w:lvl w:ilvl="7" w:tplc="0136C108" w:tentative="1">
      <w:start w:val="1"/>
      <w:numFmt w:val="bullet"/>
      <w:lvlText w:val="o"/>
      <w:lvlJc w:val="left"/>
      <w:pPr>
        <w:ind w:left="5760" w:hanging="360"/>
      </w:pPr>
      <w:rPr>
        <w:rFonts w:ascii="Courier New" w:hAnsi="Courier New" w:cs="Courier New" w:hint="default"/>
      </w:rPr>
    </w:lvl>
    <w:lvl w:ilvl="8" w:tplc="09382028" w:tentative="1">
      <w:start w:val="1"/>
      <w:numFmt w:val="bullet"/>
      <w:lvlText w:val=""/>
      <w:lvlJc w:val="left"/>
      <w:pPr>
        <w:ind w:left="6480" w:hanging="360"/>
      </w:pPr>
      <w:rPr>
        <w:rFonts w:ascii="Wingdings" w:hAnsi="Wingdings" w:hint="default"/>
      </w:rPr>
    </w:lvl>
  </w:abstractNum>
  <w:abstractNum w:abstractNumId="28">
    <w:nsid w:val="6F351A60"/>
    <w:multiLevelType w:val="hybridMultilevel"/>
    <w:tmpl w:val="E6387B90"/>
    <w:lvl w:ilvl="0" w:tplc="504CD19C">
      <w:start w:val="1"/>
      <w:numFmt w:val="bullet"/>
      <w:lvlText w:val=""/>
      <w:lvlJc w:val="left"/>
      <w:pPr>
        <w:ind w:left="720" w:hanging="360"/>
      </w:pPr>
      <w:rPr>
        <w:rFonts w:ascii="Symbol" w:hAnsi="Symbol" w:hint="default"/>
      </w:rPr>
    </w:lvl>
    <w:lvl w:ilvl="1" w:tplc="DBDAF480" w:tentative="1">
      <w:start w:val="1"/>
      <w:numFmt w:val="bullet"/>
      <w:lvlText w:val="o"/>
      <w:lvlJc w:val="left"/>
      <w:pPr>
        <w:ind w:left="1440" w:hanging="360"/>
      </w:pPr>
      <w:rPr>
        <w:rFonts w:ascii="Courier New" w:hAnsi="Courier New" w:cs="Courier New" w:hint="default"/>
      </w:rPr>
    </w:lvl>
    <w:lvl w:ilvl="2" w:tplc="60423B2C" w:tentative="1">
      <w:start w:val="1"/>
      <w:numFmt w:val="bullet"/>
      <w:lvlText w:val=""/>
      <w:lvlJc w:val="left"/>
      <w:pPr>
        <w:ind w:left="2160" w:hanging="360"/>
      </w:pPr>
      <w:rPr>
        <w:rFonts w:ascii="Wingdings" w:hAnsi="Wingdings" w:hint="default"/>
      </w:rPr>
    </w:lvl>
    <w:lvl w:ilvl="3" w:tplc="62027FBA" w:tentative="1">
      <w:start w:val="1"/>
      <w:numFmt w:val="bullet"/>
      <w:lvlText w:val=""/>
      <w:lvlJc w:val="left"/>
      <w:pPr>
        <w:ind w:left="2880" w:hanging="360"/>
      </w:pPr>
      <w:rPr>
        <w:rFonts w:ascii="Symbol" w:hAnsi="Symbol" w:hint="default"/>
      </w:rPr>
    </w:lvl>
    <w:lvl w:ilvl="4" w:tplc="A89CE92E" w:tentative="1">
      <w:start w:val="1"/>
      <w:numFmt w:val="bullet"/>
      <w:lvlText w:val="o"/>
      <w:lvlJc w:val="left"/>
      <w:pPr>
        <w:ind w:left="3600" w:hanging="360"/>
      </w:pPr>
      <w:rPr>
        <w:rFonts w:ascii="Courier New" w:hAnsi="Courier New" w:cs="Courier New" w:hint="default"/>
      </w:rPr>
    </w:lvl>
    <w:lvl w:ilvl="5" w:tplc="464C6464" w:tentative="1">
      <w:start w:val="1"/>
      <w:numFmt w:val="bullet"/>
      <w:lvlText w:val=""/>
      <w:lvlJc w:val="left"/>
      <w:pPr>
        <w:ind w:left="4320" w:hanging="360"/>
      </w:pPr>
      <w:rPr>
        <w:rFonts w:ascii="Wingdings" w:hAnsi="Wingdings" w:hint="default"/>
      </w:rPr>
    </w:lvl>
    <w:lvl w:ilvl="6" w:tplc="C922BD4E" w:tentative="1">
      <w:start w:val="1"/>
      <w:numFmt w:val="bullet"/>
      <w:lvlText w:val=""/>
      <w:lvlJc w:val="left"/>
      <w:pPr>
        <w:ind w:left="5040" w:hanging="360"/>
      </w:pPr>
      <w:rPr>
        <w:rFonts w:ascii="Symbol" w:hAnsi="Symbol" w:hint="default"/>
      </w:rPr>
    </w:lvl>
    <w:lvl w:ilvl="7" w:tplc="E0A4B1E2" w:tentative="1">
      <w:start w:val="1"/>
      <w:numFmt w:val="bullet"/>
      <w:lvlText w:val="o"/>
      <w:lvlJc w:val="left"/>
      <w:pPr>
        <w:ind w:left="5760" w:hanging="360"/>
      </w:pPr>
      <w:rPr>
        <w:rFonts w:ascii="Courier New" w:hAnsi="Courier New" w:cs="Courier New" w:hint="default"/>
      </w:rPr>
    </w:lvl>
    <w:lvl w:ilvl="8" w:tplc="E1F86728" w:tentative="1">
      <w:start w:val="1"/>
      <w:numFmt w:val="bullet"/>
      <w:lvlText w:val=""/>
      <w:lvlJc w:val="left"/>
      <w:pPr>
        <w:ind w:left="6480" w:hanging="360"/>
      </w:pPr>
      <w:rPr>
        <w:rFonts w:ascii="Wingdings" w:hAnsi="Wingdings" w:hint="default"/>
      </w:rPr>
    </w:lvl>
  </w:abstractNum>
  <w:abstractNum w:abstractNumId="29">
    <w:nsid w:val="6F351A61"/>
    <w:multiLevelType w:val="hybridMultilevel"/>
    <w:tmpl w:val="7200EC64"/>
    <w:lvl w:ilvl="0" w:tplc="B8F4FD56">
      <w:start w:val="1"/>
      <w:numFmt w:val="bullet"/>
      <w:lvlText w:val=""/>
      <w:lvlJc w:val="left"/>
      <w:pPr>
        <w:ind w:left="720" w:hanging="360"/>
      </w:pPr>
      <w:rPr>
        <w:rFonts w:ascii="Symbol" w:hAnsi="Symbol" w:hint="default"/>
      </w:rPr>
    </w:lvl>
    <w:lvl w:ilvl="1" w:tplc="98240E02" w:tentative="1">
      <w:start w:val="1"/>
      <w:numFmt w:val="bullet"/>
      <w:lvlText w:val="o"/>
      <w:lvlJc w:val="left"/>
      <w:pPr>
        <w:ind w:left="1440" w:hanging="360"/>
      </w:pPr>
      <w:rPr>
        <w:rFonts w:ascii="Courier New" w:hAnsi="Courier New" w:cs="Courier New" w:hint="default"/>
      </w:rPr>
    </w:lvl>
    <w:lvl w:ilvl="2" w:tplc="9D16ECB0" w:tentative="1">
      <w:start w:val="1"/>
      <w:numFmt w:val="bullet"/>
      <w:lvlText w:val=""/>
      <w:lvlJc w:val="left"/>
      <w:pPr>
        <w:ind w:left="2160" w:hanging="360"/>
      </w:pPr>
      <w:rPr>
        <w:rFonts w:ascii="Wingdings" w:hAnsi="Wingdings" w:hint="default"/>
      </w:rPr>
    </w:lvl>
    <w:lvl w:ilvl="3" w:tplc="E1DEAA58" w:tentative="1">
      <w:start w:val="1"/>
      <w:numFmt w:val="bullet"/>
      <w:lvlText w:val=""/>
      <w:lvlJc w:val="left"/>
      <w:pPr>
        <w:ind w:left="2880" w:hanging="360"/>
      </w:pPr>
      <w:rPr>
        <w:rFonts w:ascii="Symbol" w:hAnsi="Symbol" w:hint="default"/>
      </w:rPr>
    </w:lvl>
    <w:lvl w:ilvl="4" w:tplc="8E921928" w:tentative="1">
      <w:start w:val="1"/>
      <w:numFmt w:val="bullet"/>
      <w:lvlText w:val="o"/>
      <w:lvlJc w:val="left"/>
      <w:pPr>
        <w:ind w:left="3600" w:hanging="360"/>
      </w:pPr>
      <w:rPr>
        <w:rFonts w:ascii="Courier New" w:hAnsi="Courier New" w:cs="Courier New" w:hint="default"/>
      </w:rPr>
    </w:lvl>
    <w:lvl w:ilvl="5" w:tplc="7988DCFC" w:tentative="1">
      <w:start w:val="1"/>
      <w:numFmt w:val="bullet"/>
      <w:lvlText w:val=""/>
      <w:lvlJc w:val="left"/>
      <w:pPr>
        <w:ind w:left="4320" w:hanging="360"/>
      </w:pPr>
      <w:rPr>
        <w:rFonts w:ascii="Wingdings" w:hAnsi="Wingdings" w:hint="default"/>
      </w:rPr>
    </w:lvl>
    <w:lvl w:ilvl="6" w:tplc="30766E10" w:tentative="1">
      <w:start w:val="1"/>
      <w:numFmt w:val="bullet"/>
      <w:lvlText w:val=""/>
      <w:lvlJc w:val="left"/>
      <w:pPr>
        <w:ind w:left="5040" w:hanging="360"/>
      </w:pPr>
      <w:rPr>
        <w:rFonts w:ascii="Symbol" w:hAnsi="Symbol" w:hint="default"/>
      </w:rPr>
    </w:lvl>
    <w:lvl w:ilvl="7" w:tplc="D84A423C" w:tentative="1">
      <w:start w:val="1"/>
      <w:numFmt w:val="bullet"/>
      <w:lvlText w:val="o"/>
      <w:lvlJc w:val="left"/>
      <w:pPr>
        <w:ind w:left="5760" w:hanging="360"/>
      </w:pPr>
      <w:rPr>
        <w:rFonts w:ascii="Courier New" w:hAnsi="Courier New" w:cs="Courier New" w:hint="default"/>
      </w:rPr>
    </w:lvl>
    <w:lvl w:ilvl="8" w:tplc="8676C9BC" w:tentative="1">
      <w:start w:val="1"/>
      <w:numFmt w:val="bullet"/>
      <w:lvlText w:val=""/>
      <w:lvlJc w:val="left"/>
      <w:pPr>
        <w:ind w:left="6480" w:hanging="360"/>
      </w:pPr>
      <w:rPr>
        <w:rFonts w:ascii="Wingdings" w:hAnsi="Wingdings" w:hint="default"/>
      </w:rPr>
    </w:lvl>
  </w:abstractNum>
  <w:abstractNum w:abstractNumId="30">
    <w:nsid w:val="6F351A62"/>
    <w:multiLevelType w:val="hybridMultilevel"/>
    <w:tmpl w:val="E9BA324C"/>
    <w:lvl w:ilvl="0" w:tplc="FB663B4C">
      <w:start w:val="1"/>
      <w:numFmt w:val="bullet"/>
      <w:lvlText w:val=""/>
      <w:lvlJc w:val="left"/>
      <w:pPr>
        <w:ind w:left="720" w:hanging="360"/>
      </w:pPr>
      <w:rPr>
        <w:rFonts w:ascii="Symbol" w:hAnsi="Symbol" w:hint="default"/>
      </w:rPr>
    </w:lvl>
    <w:lvl w:ilvl="1" w:tplc="45620D12" w:tentative="1">
      <w:start w:val="1"/>
      <w:numFmt w:val="bullet"/>
      <w:lvlText w:val="o"/>
      <w:lvlJc w:val="left"/>
      <w:pPr>
        <w:ind w:left="1440" w:hanging="360"/>
      </w:pPr>
      <w:rPr>
        <w:rFonts w:ascii="Courier New" w:hAnsi="Courier New" w:cs="Courier New" w:hint="default"/>
      </w:rPr>
    </w:lvl>
    <w:lvl w:ilvl="2" w:tplc="F0A6DAEA" w:tentative="1">
      <w:start w:val="1"/>
      <w:numFmt w:val="bullet"/>
      <w:lvlText w:val=""/>
      <w:lvlJc w:val="left"/>
      <w:pPr>
        <w:ind w:left="2160" w:hanging="360"/>
      </w:pPr>
      <w:rPr>
        <w:rFonts w:ascii="Wingdings" w:hAnsi="Wingdings" w:hint="default"/>
      </w:rPr>
    </w:lvl>
    <w:lvl w:ilvl="3" w:tplc="C83A166C" w:tentative="1">
      <w:start w:val="1"/>
      <w:numFmt w:val="bullet"/>
      <w:lvlText w:val=""/>
      <w:lvlJc w:val="left"/>
      <w:pPr>
        <w:ind w:left="2880" w:hanging="360"/>
      </w:pPr>
      <w:rPr>
        <w:rFonts w:ascii="Symbol" w:hAnsi="Symbol" w:hint="default"/>
      </w:rPr>
    </w:lvl>
    <w:lvl w:ilvl="4" w:tplc="A99A29E2" w:tentative="1">
      <w:start w:val="1"/>
      <w:numFmt w:val="bullet"/>
      <w:lvlText w:val="o"/>
      <w:lvlJc w:val="left"/>
      <w:pPr>
        <w:ind w:left="3600" w:hanging="360"/>
      </w:pPr>
      <w:rPr>
        <w:rFonts w:ascii="Courier New" w:hAnsi="Courier New" w:cs="Courier New" w:hint="default"/>
      </w:rPr>
    </w:lvl>
    <w:lvl w:ilvl="5" w:tplc="3C26031E" w:tentative="1">
      <w:start w:val="1"/>
      <w:numFmt w:val="bullet"/>
      <w:lvlText w:val=""/>
      <w:lvlJc w:val="left"/>
      <w:pPr>
        <w:ind w:left="4320" w:hanging="360"/>
      </w:pPr>
      <w:rPr>
        <w:rFonts w:ascii="Wingdings" w:hAnsi="Wingdings" w:hint="default"/>
      </w:rPr>
    </w:lvl>
    <w:lvl w:ilvl="6" w:tplc="D7AA1658" w:tentative="1">
      <w:start w:val="1"/>
      <w:numFmt w:val="bullet"/>
      <w:lvlText w:val=""/>
      <w:lvlJc w:val="left"/>
      <w:pPr>
        <w:ind w:left="5040" w:hanging="360"/>
      </w:pPr>
      <w:rPr>
        <w:rFonts w:ascii="Symbol" w:hAnsi="Symbol" w:hint="default"/>
      </w:rPr>
    </w:lvl>
    <w:lvl w:ilvl="7" w:tplc="6DF268D6" w:tentative="1">
      <w:start w:val="1"/>
      <w:numFmt w:val="bullet"/>
      <w:lvlText w:val="o"/>
      <w:lvlJc w:val="left"/>
      <w:pPr>
        <w:ind w:left="5760" w:hanging="360"/>
      </w:pPr>
      <w:rPr>
        <w:rFonts w:ascii="Courier New" w:hAnsi="Courier New" w:cs="Courier New" w:hint="default"/>
      </w:rPr>
    </w:lvl>
    <w:lvl w:ilvl="8" w:tplc="4B3CA068" w:tentative="1">
      <w:start w:val="1"/>
      <w:numFmt w:val="bullet"/>
      <w:lvlText w:val=""/>
      <w:lvlJc w:val="left"/>
      <w:pPr>
        <w:ind w:left="6480" w:hanging="360"/>
      </w:pPr>
      <w:rPr>
        <w:rFonts w:ascii="Wingdings" w:hAnsi="Wingdings" w:hint="default"/>
      </w:rPr>
    </w:lvl>
  </w:abstractNum>
  <w:abstractNum w:abstractNumId="31">
    <w:nsid w:val="6F351A63"/>
    <w:multiLevelType w:val="hybridMultilevel"/>
    <w:tmpl w:val="DAB2745E"/>
    <w:lvl w:ilvl="0" w:tplc="32067D1C">
      <w:start w:val="1"/>
      <w:numFmt w:val="bullet"/>
      <w:lvlText w:val=""/>
      <w:lvlJc w:val="left"/>
      <w:pPr>
        <w:ind w:left="720" w:hanging="360"/>
      </w:pPr>
      <w:rPr>
        <w:rFonts w:ascii="Symbol" w:hAnsi="Symbol" w:hint="default"/>
      </w:rPr>
    </w:lvl>
    <w:lvl w:ilvl="1" w:tplc="26CCAB98" w:tentative="1">
      <w:start w:val="1"/>
      <w:numFmt w:val="bullet"/>
      <w:lvlText w:val="o"/>
      <w:lvlJc w:val="left"/>
      <w:pPr>
        <w:ind w:left="1440" w:hanging="360"/>
      </w:pPr>
      <w:rPr>
        <w:rFonts w:ascii="Courier New" w:hAnsi="Courier New" w:cs="Courier New" w:hint="default"/>
      </w:rPr>
    </w:lvl>
    <w:lvl w:ilvl="2" w:tplc="8890A5C4" w:tentative="1">
      <w:start w:val="1"/>
      <w:numFmt w:val="bullet"/>
      <w:lvlText w:val=""/>
      <w:lvlJc w:val="left"/>
      <w:pPr>
        <w:ind w:left="2160" w:hanging="360"/>
      </w:pPr>
      <w:rPr>
        <w:rFonts w:ascii="Wingdings" w:hAnsi="Wingdings" w:hint="default"/>
      </w:rPr>
    </w:lvl>
    <w:lvl w:ilvl="3" w:tplc="C7BAA930" w:tentative="1">
      <w:start w:val="1"/>
      <w:numFmt w:val="bullet"/>
      <w:lvlText w:val=""/>
      <w:lvlJc w:val="left"/>
      <w:pPr>
        <w:ind w:left="2880" w:hanging="360"/>
      </w:pPr>
      <w:rPr>
        <w:rFonts w:ascii="Symbol" w:hAnsi="Symbol" w:hint="default"/>
      </w:rPr>
    </w:lvl>
    <w:lvl w:ilvl="4" w:tplc="05D4F348" w:tentative="1">
      <w:start w:val="1"/>
      <w:numFmt w:val="bullet"/>
      <w:lvlText w:val="o"/>
      <w:lvlJc w:val="left"/>
      <w:pPr>
        <w:ind w:left="3600" w:hanging="360"/>
      </w:pPr>
      <w:rPr>
        <w:rFonts w:ascii="Courier New" w:hAnsi="Courier New" w:cs="Courier New" w:hint="default"/>
      </w:rPr>
    </w:lvl>
    <w:lvl w:ilvl="5" w:tplc="94981472" w:tentative="1">
      <w:start w:val="1"/>
      <w:numFmt w:val="bullet"/>
      <w:lvlText w:val=""/>
      <w:lvlJc w:val="left"/>
      <w:pPr>
        <w:ind w:left="4320" w:hanging="360"/>
      </w:pPr>
      <w:rPr>
        <w:rFonts w:ascii="Wingdings" w:hAnsi="Wingdings" w:hint="default"/>
      </w:rPr>
    </w:lvl>
    <w:lvl w:ilvl="6" w:tplc="D8C81034" w:tentative="1">
      <w:start w:val="1"/>
      <w:numFmt w:val="bullet"/>
      <w:lvlText w:val=""/>
      <w:lvlJc w:val="left"/>
      <w:pPr>
        <w:ind w:left="5040" w:hanging="360"/>
      </w:pPr>
      <w:rPr>
        <w:rFonts w:ascii="Symbol" w:hAnsi="Symbol" w:hint="default"/>
      </w:rPr>
    </w:lvl>
    <w:lvl w:ilvl="7" w:tplc="F5F0B650" w:tentative="1">
      <w:start w:val="1"/>
      <w:numFmt w:val="bullet"/>
      <w:lvlText w:val="o"/>
      <w:lvlJc w:val="left"/>
      <w:pPr>
        <w:ind w:left="5760" w:hanging="360"/>
      </w:pPr>
      <w:rPr>
        <w:rFonts w:ascii="Courier New" w:hAnsi="Courier New" w:cs="Courier New" w:hint="default"/>
      </w:rPr>
    </w:lvl>
    <w:lvl w:ilvl="8" w:tplc="C9AEBF42" w:tentative="1">
      <w:start w:val="1"/>
      <w:numFmt w:val="bullet"/>
      <w:lvlText w:val=""/>
      <w:lvlJc w:val="left"/>
      <w:pPr>
        <w:ind w:left="6480" w:hanging="360"/>
      </w:pPr>
      <w:rPr>
        <w:rFonts w:ascii="Wingdings" w:hAnsi="Wingdings" w:hint="default"/>
      </w:rPr>
    </w:lvl>
  </w:abstractNum>
  <w:abstractNum w:abstractNumId="32">
    <w:nsid w:val="6F351A64"/>
    <w:multiLevelType w:val="hybridMultilevel"/>
    <w:tmpl w:val="A3662670"/>
    <w:lvl w:ilvl="0" w:tplc="4E709308">
      <w:start w:val="1"/>
      <w:numFmt w:val="bullet"/>
      <w:lvlText w:val=""/>
      <w:lvlJc w:val="left"/>
      <w:pPr>
        <w:ind w:left="720" w:hanging="360"/>
      </w:pPr>
      <w:rPr>
        <w:rFonts w:ascii="Symbol" w:hAnsi="Symbol" w:hint="default"/>
      </w:rPr>
    </w:lvl>
    <w:lvl w:ilvl="1" w:tplc="34503BBC" w:tentative="1">
      <w:start w:val="1"/>
      <w:numFmt w:val="bullet"/>
      <w:lvlText w:val="o"/>
      <w:lvlJc w:val="left"/>
      <w:pPr>
        <w:ind w:left="1440" w:hanging="360"/>
      </w:pPr>
      <w:rPr>
        <w:rFonts w:ascii="Courier New" w:hAnsi="Courier New" w:cs="Courier New" w:hint="default"/>
      </w:rPr>
    </w:lvl>
    <w:lvl w:ilvl="2" w:tplc="1D1043BA" w:tentative="1">
      <w:start w:val="1"/>
      <w:numFmt w:val="bullet"/>
      <w:lvlText w:val=""/>
      <w:lvlJc w:val="left"/>
      <w:pPr>
        <w:ind w:left="2160" w:hanging="360"/>
      </w:pPr>
      <w:rPr>
        <w:rFonts w:ascii="Wingdings" w:hAnsi="Wingdings" w:hint="default"/>
      </w:rPr>
    </w:lvl>
    <w:lvl w:ilvl="3" w:tplc="9EEC35D2" w:tentative="1">
      <w:start w:val="1"/>
      <w:numFmt w:val="bullet"/>
      <w:lvlText w:val=""/>
      <w:lvlJc w:val="left"/>
      <w:pPr>
        <w:ind w:left="2880" w:hanging="360"/>
      </w:pPr>
      <w:rPr>
        <w:rFonts w:ascii="Symbol" w:hAnsi="Symbol" w:hint="default"/>
      </w:rPr>
    </w:lvl>
    <w:lvl w:ilvl="4" w:tplc="0EF87CC0" w:tentative="1">
      <w:start w:val="1"/>
      <w:numFmt w:val="bullet"/>
      <w:lvlText w:val="o"/>
      <w:lvlJc w:val="left"/>
      <w:pPr>
        <w:ind w:left="3600" w:hanging="360"/>
      </w:pPr>
      <w:rPr>
        <w:rFonts w:ascii="Courier New" w:hAnsi="Courier New" w:cs="Courier New" w:hint="default"/>
      </w:rPr>
    </w:lvl>
    <w:lvl w:ilvl="5" w:tplc="2D9E7832" w:tentative="1">
      <w:start w:val="1"/>
      <w:numFmt w:val="bullet"/>
      <w:lvlText w:val=""/>
      <w:lvlJc w:val="left"/>
      <w:pPr>
        <w:ind w:left="4320" w:hanging="360"/>
      </w:pPr>
      <w:rPr>
        <w:rFonts w:ascii="Wingdings" w:hAnsi="Wingdings" w:hint="default"/>
      </w:rPr>
    </w:lvl>
    <w:lvl w:ilvl="6" w:tplc="9D78A0CA" w:tentative="1">
      <w:start w:val="1"/>
      <w:numFmt w:val="bullet"/>
      <w:lvlText w:val=""/>
      <w:lvlJc w:val="left"/>
      <w:pPr>
        <w:ind w:left="5040" w:hanging="360"/>
      </w:pPr>
      <w:rPr>
        <w:rFonts w:ascii="Symbol" w:hAnsi="Symbol" w:hint="default"/>
      </w:rPr>
    </w:lvl>
    <w:lvl w:ilvl="7" w:tplc="00D093A6" w:tentative="1">
      <w:start w:val="1"/>
      <w:numFmt w:val="bullet"/>
      <w:lvlText w:val="o"/>
      <w:lvlJc w:val="left"/>
      <w:pPr>
        <w:ind w:left="5760" w:hanging="360"/>
      </w:pPr>
      <w:rPr>
        <w:rFonts w:ascii="Courier New" w:hAnsi="Courier New" w:cs="Courier New" w:hint="default"/>
      </w:rPr>
    </w:lvl>
    <w:lvl w:ilvl="8" w:tplc="D030542E" w:tentative="1">
      <w:start w:val="1"/>
      <w:numFmt w:val="bullet"/>
      <w:lvlText w:val=""/>
      <w:lvlJc w:val="left"/>
      <w:pPr>
        <w:ind w:left="6480" w:hanging="360"/>
      </w:pPr>
      <w:rPr>
        <w:rFonts w:ascii="Wingdings" w:hAnsi="Wingdings" w:hint="default"/>
      </w:rPr>
    </w:lvl>
  </w:abstractNum>
  <w:abstractNum w:abstractNumId="33">
    <w:nsid w:val="6F351A65"/>
    <w:multiLevelType w:val="hybridMultilevel"/>
    <w:tmpl w:val="A81E17F6"/>
    <w:lvl w:ilvl="0" w:tplc="1758F242">
      <w:start w:val="1"/>
      <w:numFmt w:val="bullet"/>
      <w:lvlText w:val=""/>
      <w:lvlJc w:val="left"/>
      <w:pPr>
        <w:ind w:left="720" w:hanging="360"/>
      </w:pPr>
      <w:rPr>
        <w:rFonts w:ascii="Symbol" w:hAnsi="Symbol" w:hint="default"/>
      </w:rPr>
    </w:lvl>
    <w:lvl w:ilvl="1" w:tplc="815AFD5A" w:tentative="1">
      <w:start w:val="1"/>
      <w:numFmt w:val="bullet"/>
      <w:lvlText w:val="o"/>
      <w:lvlJc w:val="left"/>
      <w:pPr>
        <w:ind w:left="1440" w:hanging="360"/>
      </w:pPr>
      <w:rPr>
        <w:rFonts w:ascii="Courier New" w:hAnsi="Courier New" w:cs="Courier New" w:hint="default"/>
      </w:rPr>
    </w:lvl>
    <w:lvl w:ilvl="2" w:tplc="30801886" w:tentative="1">
      <w:start w:val="1"/>
      <w:numFmt w:val="bullet"/>
      <w:lvlText w:val=""/>
      <w:lvlJc w:val="left"/>
      <w:pPr>
        <w:ind w:left="2160" w:hanging="360"/>
      </w:pPr>
      <w:rPr>
        <w:rFonts w:ascii="Wingdings" w:hAnsi="Wingdings" w:hint="default"/>
      </w:rPr>
    </w:lvl>
    <w:lvl w:ilvl="3" w:tplc="1ECA6F40" w:tentative="1">
      <w:start w:val="1"/>
      <w:numFmt w:val="bullet"/>
      <w:lvlText w:val=""/>
      <w:lvlJc w:val="left"/>
      <w:pPr>
        <w:ind w:left="2880" w:hanging="360"/>
      </w:pPr>
      <w:rPr>
        <w:rFonts w:ascii="Symbol" w:hAnsi="Symbol" w:hint="default"/>
      </w:rPr>
    </w:lvl>
    <w:lvl w:ilvl="4" w:tplc="7F16F3F2" w:tentative="1">
      <w:start w:val="1"/>
      <w:numFmt w:val="bullet"/>
      <w:lvlText w:val="o"/>
      <w:lvlJc w:val="left"/>
      <w:pPr>
        <w:ind w:left="3600" w:hanging="360"/>
      </w:pPr>
      <w:rPr>
        <w:rFonts w:ascii="Courier New" w:hAnsi="Courier New" w:cs="Courier New" w:hint="default"/>
      </w:rPr>
    </w:lvl>
    <w:lvl w:ilvl="5" w:tplc="4AB43B48" w:tentative="1">
      <w:start w:val="1"/>
      <w:numFmt w:val="bullet"/>
      <w:lvlText w:val=""/>
      <w:lvlJc w:val="left"/>
      <w:pPr>
        <w:ind w:left="4320" w:hanging="360"/>
      </w:pPr>
      <w:rPr>
        <w:rFonts w:ascii="Wingdings" w:hAnsi="Wingdings" w:hint="default"/>
      </w:rPr>
    </w:lvl>
    <w:lvl w:ilvl="6" w:tplc="B0F2B980" w:tentative="1">
      <w:start w:val="1"/>
      <w:numFmt w:val="bullet"/>
      <w:lvlText w:val=""/>
      <w:lvlJc w:val="left"/>
      <w:pPr>
        <w:ind w:left="5040" w:hanging="360"/>
      </w:pPr>
      <w:rPr>
        <w:rFonts w:ascii="Symbol" w:hAnsi="Symbol" w:hint="default"/>
      </w:rPr>
    </w:lvl>
    <w:lvl w:ilvl="7" w:tplc="0F10442A" w:tentative="1">
      <w:start w:val="1"/>
      <w:numFmt w:val="bullet"/>
      <w:lvlText w:val="o"/>
      <w:lvlJc w:val="left"/>
      <w:pPr>
        <w:ind w:left="5760" w:hanging="360"/>
      </w:pPr>
      <w:rPr>
        <w:rFonts w:ascii="Courier New" w:hAnsi="Courier New" w:cs="Courier New" w:hint="default"/>
      </w:rPr>
    </w:lvl>
    <w:lvl w:ilvl="8" w:tplc="6B169C2C" w:tentative="1">
      <w:start w:val="1"/>
      <w:numFmt w:val="bullet"/>
      <w:lvlText w:val=""/>
      <w:lvlJc w:val="left"/>
      <w:pPr>
        <w:ind w:left="6480" w:hanging="360"/>
      </w:pPr>
      <w:rPr>
        <w:rFonts w:ascii="Wingdings" w:hAnsi="Wingdings" w:hint="default"/>
      </w:rPr>
    </w:lvl>
  </w:abstractNum>
  <w:abstractNum w:abstractNumId="34">
    <w:nsid w:val="6F351A66"/>
    <w:multiLevelType w:val="hybridMultilevel"/>
    <w:tmpl w:val="14BE167C"/>
    <w:lvl w:ilvl="0" w:tplc="B39859EE">
      <w:start w:val="1"/>
      <w:numFmt w:val="bullet"/>
      <w:lvlText w:val=""/>
      <w:lvlJc w:val="left"/>
      <w:pPr>
        <w:ind w:left="720" w:hanging="360"/>
      </w:pPr>
      <w:rPr>
        <w:rFonts w:ascii="Symbol" w:hAnsi="Symbol" w:hint="default"/>
      </w:rPr>
    </w:lvl>
    <w:lvl w:ilvl="1" w:tplc="6E540610" w:tentative="1">
      <w:start w:val="1"/>
      <w:numFmt w:val="bullet"/>
      <w:lvlText w:val="o"/>
      <w:lvlJc w:val="left"/>
      <w:pPr>
        <w:ind w:left="1440" w:hanging="360"/>
      </w:pPr>
      <w:rPr>
        <w:rFonts w:ascii="Courier New" w:hAnsi="Courier New" w:cs="Courier New" w:hint="default"/>
      </w:rPr>
    </w:lvl>
    <w:lvl w:ilvl="2" w:tplc="FAE60564" w:tentative="1">
      <w:start w:val="1"/>
      <w:numFmt w:val="bullet"/>
      <w:lvlText w:val=""/>
      <w:lvlJc w:val="left"/>
      <w:pPr>
        <w:ind w:left="2160" w:hanging="360"/>
      </w:pPr>
      <w:rPr>
        <w:rFonts w:ascii="Wingdings" w:hAnsi="Wingdings" w:hint="default"/>
      </w:rPr>
    </w:lvl>
    <w:lvl w:ilvl="3" w:tplc="4F48F8F4" w:tentative="1">
      <w:start w:val="1"/>
      <w:numFmt w:val="bullet"/>
      <w:lvlText w:val=""/>
      <w:lvlJc w:val="left"/>
      <w:pPr>
        <w:ind w:left="2880" w:hanging="360"/>
      </w:pPr>
      <w:rPr>
        <w:rFonts w:ascii="Symbol" w:hAnsi="Symbol" w:hint="default"/>
      </w:rPr>
    </w:lvl>
    <w:lvl w:ilvl="4" w:tplc="33A0E27C" w:tentative="1">
      <w:start w:val="1"/>
      <w:numFmt w:val="bullet"/>
      <w:lvlText w:val="o"/>
      <w:lvlJc w:val="left"/>
      <w:pPr>
        <w:ind w:left="3600" w:hanging="360"/>
      </w:pPr>
      <w:rPr>
        <w:rFonts w:ascii="Courier New" w:hAnsi="Courier New" w:cs="Courier New" w:hint="default"/>
      </w:rPr>
    </w:lvl>
    <w:lvl w:ilvl="5" w:tplc="7132047E" w:tentative="1">
      <w:start w:val="1"/>
      <w:numFmt w:val="bullet"/>
      <w:lvlText w:val=""/>
      <w:lvlJc w:val="left"/>
      <w:pPr>
        <w:ind w:left="4320" w:hanging="360"/>
      </w:pPr>
      <w:rPr>
        <w:rFonts w:ascii="Wingdings" w:hAnsi="Wingdings" w:hint="default"/>
      </w:rPr>
    </w:lvl>
    <w:lvl w:ilvl="6" w:tplc="C7FA4A18" w:tentative="1">
      <w:start w:val="1"/>
      <w:numFmt w:val="bullet"/>
      <w:lvlText w:val=""/>
      <w:lvlJc w:val="left"/>
      <w:pPr>
        <w:ind w:left="5040" w:hanging="360"/>
      </w:pPr>
      <w:rPr>
        <w:rFonts w:ascii="Symbol" w:hAnsi="Symbol" w:hint="default"/>
      </w:rPr>
    </w:lvl>
    <w:lvl w:ilvl="7" w:tplc="C8666C78" w:tentative="1">
      <w:start w:val="1"/>
      <w:numFmt w:val="bullet"/>
      <w:lvlText w:val="o"/>
      <w:lvlJc w:val="left"/>
      <w:pPr>
        <w:ind w:left="5760" w:hanging="360"/>
      </w:pPr>
      <w:rPr>
        <w:rFonts w:ascii="Courier New" w:hAnsi="Courier New" w:cs="Courier New" w:hint="default"/>
      </w:rPr>
    </w:lvl>
    <w:lvl w:ilvl="8" w:tplc="BA62E968" w:tentative="1">
      <w:start w:val="1"/>
      <w:numFmt w:val="bullet"/>
      <w:lvlText w:val=""/>
      <w:lvlJc w:val="left"/>
      <w:pPr>
        <w:ind w:left="6480" w:hanging="360"/>
      </w:pPr>
      <w:rPr>
        <w:rFonts w:ascii="Wingdings" w:hAnsi="Wingdings" w:hint="default"/>
      </w:rPr>
    </w:lvl>
  </w:abstractNum>
  <w:abstractNum w:abstractNumId="35">
    <w:nsid w:val="6F351A67"/>
    <w:multiLevelType w:val="hybridMultilevel"/>
    <w:tmpl w:val="487E9FC6"/>
    <w:lvl w:ilvl="0" w:tplc="5D7E47AE">
      <w:start w:val="1"/>
      <w:numFmt w:val="bullet"/>
      <w:lvlText w:val=""/>
      <w:lvlJc w:val="left"/>
      <w:pPr>
        <w:ind w:left="720" w:hanging="360"/>
      </w:pPr>
      <w:rPr>
        <w:rFonts w:ascii="Symbol" w:hAnsi="Symbol" w:hint="default"/>
      </w:rPr>
    </w:lvl>
    <w:lvl w:ilvl="1" w:tplc="44C45E70" w:tentative="1">
      <w:start w:val="1"/>
      <w:numFmt w:val="bullet"/>
      <w:lvlText w:val="o"/>
      <w:lvlJc w:val="left"/>
      <w:pPr>
        <w:ind w:left="1440" w:hanging="360"/>
      </w:pPr>
      <w:rPr>
        <w:rFonts w:ascii="Courier New" w:hAnsi="Courier New" w:cs="Courier New" w:hint="default"/>
      </w:rPr>
    </w:lvl>
    <w:lvl w:ilvl="2" w:tplc="5F6E9CBA" w:tentative="1">
      <w:start w:val="1"/>
      <w:numFmt w:val="bullet"/>
      <w:lvlText w:val=""/>
      <w:lvlJc w:val="left"/>
      <w:pPr>
        <w:ind w:left="2160" w:hanging="360"/>
      </w:pPr>
      <w:rPr>
        <w:rFonts w:ascii="Wingdings" w:hAnsi="Wingdings" w:hint="default"/>
      </w:rPr>
    </w:lvl>
    <w:lvl w:ilvl="3" w:tplc="0B5299AE" w:tentative="1">
      <w:start w:val="1"/>
      <w:numFmt w:val="bullet"/>
      <w:lvlText w:val=""/>
      <w:lvlJc w:val="left"/>
      <w:pPr>
        <w:ind w:left="2880" w:hanging="360"/>
      </w:pPr>
      <w:rPr>
        <w:rFonts w:ascii="Symbol" w:hAnsi="Symbol" w:hint="default"/>
      </w:rPr>
    </w:lvl>
    <w:lvl w:ilvl="4" w:tplc="1BDE566C" w:tentative="1">
      <w:start w:val="1"/>
      <w:numFmt w:val="bullet"/>
      <w:lvlText w:val="o"/>
      <w:lvlJc w:val="left"/>
      <w:pPr>
        <w:ind w:left="3600" w:hanging="360"/>
      </w:pPr>
      <w:rPr>
        <w:rFonts w:ascii="Courier New" w:hAnsi="Courier New" w:cs="Courier New" w:hint="default"/>
      </w:rPr>
    </w:lvl>
    <w:lvl w:ilvl="5" w:tplc="D9DAFEF2" w:tentative="1">
      <w:start w:val="1"/>
      <w:numFmt w:val="bullet"/>
      <w:lvlText w:val=""/>
      <w:lvlJc w:val="left"/>
      <w:pPr>
        <w:ind w:left="4320" w:hanging="360"/>
      </w:pPr>
      <w:rPr>
        <w:rFonts w:ascii="Wingdings" w:hAnsi="Wingdings" w:hint="default"/>
      </w:rPr>
    </w:lvl>
    <w:lvl w:ilvl="6" w:tplc="1EA02F7A" w:tentative="1">
      <w:start w:val="1"/>
      <w:numFmt w:val="bullet"/>
      <w:lvlText w:val=""/>
      <w:lvlJc w:val="left"/>
      <w:pPr>
        <w:ind w:left="5040" w:hanging="360"/>
      </w:pPr>
      <w:rPr>
        <w:rFonts w:ascii="Symbol" w:hAnsi="Symbol" w:hint="default"/>
      </w:rPr>
    </w:lvl>
    <w:lvl w:ilvl="7" w:tplc="A3F8F94A" w:tentative="1">
      <w:start w:val="1"/>
      <w:numFmt w:val="bullet"/>
      <w:lvlText w:val="o"/>
      <w:lvlJc w:val="left"/>
      <w:pPr>
        <w:ind w:left="5760" w:hanging="360"/>
      </w:pPr>
      <w:rPr>
        <w:rFonts w:ascii="Courier New" w:hAnsi="Courier New" w:cs="Courier New" w:hint="default"/>
      </w:rPr>
    </w:lvl>
    <w:lvl w:ilvl="8" w:tplc="101A128C" w:tentative="1">
      <w:start w:val="1"/>
      <w:numFmt w:val="bullet"/>
      <w:lvlText w:val=""/>
      <w:lvlJc w:val="left"/>
      <w:pPr>
        <w:ind w:left="6480" w:hanging="360"/>
      </w:pPr>
      <w:rPr>
        <w:rFonts w:ascii="Wingdings" w:hAnsi="Wingdings" w:hint="default"/>
      </w:rPr>
    </w:lvl>
  </w:abstractNum>
  <w:abstractNum w:abstractNumId="36">
    <w:nsid w:val="6F351A68"/>
    <w:multiLevelType w:val="hybridMultilevel"/>
    <w:tmpl w:val="B016E330"/>
    <w:lvl w:ilvl="0" w:tplc="AC2C92CC">
      <w:start w:val="1"/>
      <w:numFmt w:val="bullet"/>
      <w:lvlText w:val=""/>
      <w:lvlJc w:val="left"/>
      <w:pPr>
        <w:ind w:left="720" w:hanging="360"/>
      </w:pPr>
      <w:rPr>
        <w:rFonts w:ascii="Symbol" w:hAnsi="Symbol" w:hint="default"/>
      </w:rPr>
    </w:lvl>
    <w:lvl w:ilvl="1" w:tplc="07EE91B4" w:tentative="1">
      <w:start w:val="1"/>
      <w:numFmt w:val="bullet"/>
      <w:lvlText w:val="o"/>
      <w:lvlJc w:val="left"/>
      <w:pPr>
        <w:ind w:left="1440" w:hanging="360"/>
      </w:pPr>
      <w:rPr>
        <w:rFonts w:ascii="Courier New" w:hAnsi="Courier New" w:cs="Courier New" w:hint="default"/>
      </w:rPr>
    </w:lvl>
    <w:lvl w:ilvl="2" w:tplc="1AB616CE" w:tentative="1">
      <w:start w:val="1"/>
      <w:numFmt w:val="bullet"/>
      <w:lvlText w:val=""/>
      <w:lvlJc w:val="left"/>
      <w:pPr>
        <w:ind w:left="2160" w:hanging="360"/>
      </w:pPr>
      <w:rPr>
        <w:rFonts w:ascii="Wingdings" w:hAnsi="Wingdings" w:hint="default"/>
      </w:rPr>
    </w:lvl>
    <w:lvl w:ilvl="3" w:tplc="42BEC542" w:tentative="1">
      <w:start w:val="1"/>
      <w:numFmt w:val="bullet"/>
      <w:lvlText w:val=""/>
      <w:lvlJc w:val="left"/>
      <w:pPr>
        <w:ind w:left="2880" w:hanging="360"/>
      </w:pPr>
      <w:rPr>
        <w:rFonts w:ascii="Symbol" w:hAnsi="Symbol" w:hint="default"/>
      </w:rPr>
    </w:lvl>
    <w:lvl w:ilvl="4" w:tplc="0096D758" w:tentative="1">
      <w:start w:val="1"/>
      <w:numFmt w:val="bullet"/>
      <w:lvlText w:val="o"/>
      <w:lvlJc w:val="left"/>
      <w:pPr>
        <w:ind w:left="3600" w:hanging="360"/>
      </w:pPr>
      <w:rPr>
        <w:rFonts w:ascii="Courier New" w:hAnsi="Courier New" w:cs="Courier New" w:hint="default"/>
      </w:rPr>
    </w:lvl>
    <w:lvl w:ilvl="5" w:tplc="CBAAB1D4" w:tentative="1">
      <w:start w:val="1"/>
      <w:numFmt w:val="bullet"/>
      <w:lvlText w:val=""/>
      <w:lvlJc w:val="left"/>
      <w:pPr>
        <w:ind w:left="4320" w:hanging="360"/>
      </w:pPr>
      <w:rPr>
        <w:rFonts w:ascii="Wingdings" w:hAnsi="Wingdings" w:hint="default"/>
      </w:rPr>
    </w:lvl>
    <w:lvl w:ilvl="6" w:tplc="B05E7888" w:tentative="1">
      <w:start w:val="1"/>
      <w:numFmt w:val="bullet"/>
      <w:lvlText w:val=""/>
      <w:lvlJc w:val="left"/>
      <w:pPr>
        <w:ind w:left="5040" w:hanging="360"/>
      </w:pPr>
      <w:rPr>
        <w:rFonts w:ascii="Symbol" w:hAnsi="Symbol" w:hint="default"/>
      </w:rPr>
    </w:lvl>
    <w:lvl w:ilvl="7" w:tplc="7868990C" w:tentative="1">
      <w:start w:val="1"/>
      <w:numFmt w:val="bullet"/>
      <w:lvlText w:val="o"/>
      <w:lvlJc w:val="left"/>
      <w:pPr>
        <w:ind w:left="5760" w:hanging="360"/>
      </w:pPr>
      <w:rPr>
        <w:rFonts w:ascii="Courier New" w:hAnsi="Courier New" w:cs="Courier New" w:hint="default"/>
      </w:rPr>
    </w:lvl>
    <w:lvl w:ilvl="8" w:tplc="F99EB8E6" w:tentative="1">
      <w:start w:val="1"/>
      <w:numFmt w:val="bullet"/>
      <w:lvlText w:val=""/>
      <w:lvlJc w:val="left"/>
      <w:pPr>
        <w:ind w:left="6480" w:hanging="360"/>
      </w:pPr>
      <w:rPr>
        <w:rFonts w:ascii="Wingdings" w:hAnsi="Wingdings" w:hint="default"/>
      </w:rPr>
    </w:lvl>
  </w:abstractNum>
  <w:abstractNum w:abstractNumId="37">
    <w:nsid w:val="6F351A69"/>
    <w:multiLevelType w:val="hybridMultilevel"/>
    <w:tmpl w:val="F462088C"/>
    <w:lvl w:ilvl="0" w:tplc="FD1A68D6">
      <w:start w:val="1"/>
      <w:numFmt w:val="bullet"/>
      <w:lvlText w:val=""/>
      <w:lvlJc w:val="left"/>
      <w:pPr>
        <w:ind w:left="720" w:hanging="360"/>
      </w:pPr>
      <w:rPr>
        <w:rFonts w:ascii="Symbol" w:hAnsi="Symbol" w:hint="default"/>
      </w:rPr>
    </w:lvl>
    <w:lvl w:ilvl="1" w:tplc="3BB296C4" w:tentative="1">
      <w:start w:val="1"/>
      <w:numFmt w:val="bullet"/>
      <w:lvlText w:val="o"/>
      <w:lvlJc w:val="left"/>
      <w:pPr>
        <w:ind w:left="1440" w:hanging="360"/>
      </w:pPr>
      <w:rPr>
        <w:rFonts w:ascii="Courier New" w:hAnsi="Courier New" w:cs="Courier New" w:hint="default"/>
      </w:rPr>
    </w:lvl>
    <w:lvl w:ilvl="2" w:tplc="63C6FA8C" w:tentative="1">
      <w:start w:val="1"/>
      <w:numFmt w:val="bullet"/>
      <w:lvlText w:val=""/>
      <w:lvlJc w:val="left"/>
      <w:pPr>
        <w:ind w:left="2160" w:hanging="360"/>
      </w:pPr>
      <w:rPr>
        <w:rFonts w:ascii="Wingdings" w:hAnsi="Wingdings" w:hint="default"/>
      </w:rPr>
    </w:lvl>
    <w:lvl w:ilvl="3" w:tplc="916C733C" w:tentative="1">
      <w:start w:val="1"/>
      <w:numFmt w:val="bullet"/>
      <w:lvlText w:val=""/>
      <w:lvlJc w:val="left"/>
      <w:pPr>
        <w:ind w:left="2880" w:hanging="360"/>
      </w:pPr>
      <w:rPr>
        <w:rFonts w:ascii="Symbol" w:hAnsi="Symbol" w:hint="default"/>
      </w:rPr>
    </w:lvl>
    <w:lvl w:ilvl="4" w:tplc="66F8A0F6" w:tentative="1">
      <w:start w:val="1"/>
      <w:numFmt w:val="bullet"/>
      <w:lvlText w:val="o"/>
      <w:lvlJc w:val="left"/>
      <w:pPr>
        <w:ind w:left="3600" w:hanging="360"/>
      </w:pPr>
      <w:rPr>
        <w:rFonts w:ascii="Courier New" w:hAnsi="Courier New" w:cs="Courier New" w:hint="default"/>
      </w:rPr>
    </w:lvl>
    <w:lvl w:ilvl="5" w:tplc="9F10CC38" w:tentative="1">
      <w:start w:val="1"/>
      <w:numFmt w:val="bullet"/>
      <w:lvlText w:val=""/>
      <w:lvlJc w:val="left"/>
      <w:pPr>
        <w:ind w:left="4320" w:hanging="360"/>
      </w:pPr>
      <w:rPr>
        <w:rFonts w:ascii="Wingdings" w:hAnsi="Wingdings" w:hint="default"/>
      </w:rPr>
    </w:lvl>
    <w:lvl w:ilvl="6" w:tplc="0C7A1608" w:tentative="1">
      <w:start w:val="1"/>
      <w:numFmt w:val="bullet"/>
      <w:lvlText w:val=""/>
      <w:lvlJc w:val="left"/>
      <w:pPr>
        <w:ind w:left="5040" w:hanging="360"/>
      </w:pPr>
      <w:rPr>
        <w:rFonts w:ascii="Symbol" w:hAnsi="Symbol" w:hint="default"/>
      </w:rPr>
    </w:lvl>
    <w:lvl w:ilvl="7" w:tplc="9F808752" w:tentative="1">
      <w:start w:val="1"/>
      <w:numFmt w:val="bullet"/>
      <w:lvlText w:val="o"/>
      <w:lvlJc w:val="left"/>
      <w:pPr>
        <w:ind w:left="5760" w:hanging="360"/>
      </w:pPr>
      <w:rPr>
        <w:rFonts w:ascii="Courier New" w:hAnsi="Courier New" w:cs="Courier New" w:hint="default"/>
      </w:rPr>
    </w:lvl>
    <w:lvl w:ilvl="8" w:tplc="BDB45154" w:tentative="1">
      <w:start w:val="1"/>
      <w:numFmt w:val="bullet"/>
      <w:lvlText w:val=""/>
      <w:lvlJc w:val="left"/>
      <w:pPr>
        <w:ind w:left="6480" w:hanging="360"/>
      </w:pPr>
      <w:rPr>
        <w:rFonts w:ascii="Wingdings" w:hAnsi="Wingdings" w:hint="default"/>
      </w:rPr>
    </w:lvl>
  </w:abstractNum>
  <w:abstractNum w:abstractNumId="38">
    <w:nsid w:val="6F351A6A"/>
    <w:multiLevelType w:val="hybridMultilevel"/>
    <w:tmpl w:val="2C3EBA06"/>
    <w:lvl w:ilvl="0" w:tplc="313648A6">
      <w:start w:val="1"/>
      <w:numFmt w:val="bullet"/>
      <w:lvlText w:val=""/>
      <w:lvlJc w:val="left"/>
      <w:pPr>
        <w:ind w:left="720" w:hanging="360"/>
      </w:pPr>
      <w:rPr>
        <w:rFonts w:ascii="Symbol" w:hAnsi="Symbol" w:hint="default"/>
      </w:rPr>
    </w:lvl>
    <w:lvl w:ilvl="1" w:tplc="8586F2F6" w:tentative="1">
      <w:start w:val="1"/>
      <w:numFmt w:val="bullet"/>
      <w:lvlText w:val="o"/>
      <w:lvlJc w:val="left"/>
      <w:pPr>
        <w:ind w:left="1440" w:hanging="360"/>
      </w:pPr>
      <w:rPr>
        <w:rFonts w:ascii="Courier New" w:hAnsi="Courier New" w:cs="Courier New" w:hint="default"/>
      </w:rPr>
    </w:lvl>
    <w:lvl w:ilvl="2" w:tplc="86E219A6" w:tentative="1">
      <w:start w:val="1"/>
      <w:numFmt w:val="bullet"/>
      <w:lvlText w:val=""/>
      <w:lvlJc w:val="left"/>
      <w:pPr>
        <w:ind w:left="2160" w:hanging="360"/>
      </w:pPr>
      <w:rPr>
        <w:rFonts w:ascii="Wingdings" w:hAnsi="Wingdings" w:hint="default"/>
      </w:rPr>
    </w:lvl>
    <w:lvl w:ilvl="3" w:tplc="641ABDEE" w:tentative="1">
      <w:start w:val="1"/>
      <w:numFmt w:val="bullet"/>
      <w:lvlText w:val=""/>
      <w:lvlJc w:val="left"/>
      <w:pPr>
        <w:ind w:left="2880" w:hanging="360"/>
      </w:pPr>
      <w:rPr>
        <w:rFonts w:ascii="Symbol" w:hAnsi="Symbol" w:hint="default"/>
      </w:rPr>
    </w:lvl>
    <w:lvl w:ilvl="4" w:tplc="0A2ED47A" w:tentative="1">
      <w:start w:val="1"/>
      <w:numFmt w:val="bullet"/>
      <w:lvlText w:val="o"/>
      <w:lvlJc w:val="left"/>
      <w:pPr>
        <w:ind w:left="3600" w:hanging="360"/>
      </w:pPr>
      <w:rPr>
        <w:rFonts w:ascii="Courier New" w:hAnsi="Courier New" w:cs="Courier New" w:hint="default"/>
      </w:rPr>
    </w:lvl>
    <w:lvl w:ilvl="5" w:tplc="DA385A36" w:tentative="1">
      <w:start w:val="1"/>
      <w:numFmt w:val="bullet"/>
      <w:lvlText w:val=""/>
      <w:lvlJc w:val="left"/>
      <w:pPr>
        <w:ind w:left="4320" w:hanging="360"/>
      </w:pPr>
      <w:rPr>
        <w:rFonts w:ascii="Wingdings" w:hAnsi="Wingdings" w:hint="default"/>
      </w:rPr>
    </w:lvl>
    <w:lvl w:ilvl="6" w:tplc="2AF0A746" w:tentative="1">
      <w:start w:val="1"/>
      <w:numFmt w:val="bullet"/>
      <w:lvlText w:val=""/>
      <w:lvlJc w:val="left"/>
      <w:pPr>
        <w:ind w:left="5040" w:hanging="360"/>
      </w:pPr>
      <w:rPr>
        <w:rFonts w:ascii="Symbol" w:hAnsi="Symbol" w:hint="default"/>
      </w:rPr>
    </w:lvl>
    <w:lvl w:ilvl="7" w:tplc="DCE60608" w:tentative="1">
      <w:start w:val="1"/>
      <w:numFmt w:val="bullet"/>
      <w:lvlText w:val="o"/>
      <w:lvlJc w:val="left"/>
      <w:pPr>
        <w:ind w:left="5760" w:hanging="360"/>
      </w:pPr>
      <w:rPr>
        <w:rFonts w:ascii="Courier New" w:hAnsi="Courier New" w:cs="Courier New" w:hint="default"/>
      </w:rPr>
    </w:lvl>
    <w:lvl w:ilvl="8" w:tplc="B992CECE" w:tentative="1">
      <w:start w:val="1"/>
      <w:numFmt w:val="bullet"/>
      <w:lvlText w:val=""/>
      <w:lvlJc w:val="left"/>
      <w:pPr>
        <w:ind w:left="6480" w:hanging="360"/>
      </w:pPr>
      <w:rPr>
        <w:rFonts w:ascii="Wingdings" w:hAnsi="Wingdings" w:hint="default"/>
      </w:rPr>
    </w:lvl>
  </w:abstractNum>
  <w:abstractNum w:abstractNumId="39">
    <w:nsid w:val="6F351A6B"/>
    <w:multiLevelType w:val="hybridMultilevel"/>
    <w:tmpl w:val="6B704140"/>
    <w:lvl w:ilvl="0" w:tplc="79C4C9D0">
      <w:start w:val="1"/>
      <w:numFmt w:val="bullet"/>
      <w:lvlText w:val=""/>
      <w:lvlJc w:val="left"/>
      <w:pPr>
        <w:ind w:left="720" w:hanging="360"/>
      </w:pPr>
      <w:rPr>
        <w:rFonts w:ascii="Symbol" w:hAnsi="Symbol" w:hint="default"/>
      </w:rPr>
    </w:lvl>
    <w:lvl w:ilvl="1" w:tplc="AAC24170" w:tentative="1">
      <w:start w:val="1"/>
      <w:numFmt w:val="bullet"/>
      <w:lvlText w:val="o"/>
      <w:lvlJc w:val="left"/>
      <w:pPr>
        <w:ind w:left="1440" w:hanging="360"/>
      </w:pPr>
      <w:rPr>
        <w:rFonts w:ascii="Courier New" w:hAnsi="Courier New" w:cs="Courier New" w:hint="default"/>
      </w:rPr>
    </w:lvl>
    <w:lvl w:ilvl="2" w:tplc="C08065A4" w:tentative="1">
      <w:start w:val="1"/>
      <w:numFmt w:val="bullet"/>
      <w:lvlText w:val=""/>
      <w:lvlJc w:val="left"/>
      <w:pPr>
        <w:ind w:left="2160" w:hanging="360"/>
      </w:pPr>
      <w:rPr>
        <w:rFonts w:ascii="Wingdings" w:hAnsi="Wingdings" w:hint="default"/>
      </w:rPr>
    </w:lvl>
    <w:lvl w:ilvl="3" w:tplc="E026A19A" w:tentative="1">
      <w:start w:val="1"/>
      <w:numFmt w:val="bullet"/>
      <w:lvlText w:val=""/>
      <w:lvlJc w:val="left"/>
      <w:pPr>
        <w:ind w:left="2880" w:hanging="360"/>
      </w:pPr>
      <w:rPr>
        <w:rFonts w:ascii="Symbol" w:hAnsi="Symbol" w:hint="default"/>
      </w:rPr>
    </w:lvl>
    <w:lvl w:ilvl="4" w:tplc="000AE9CE" w:tentative="1">
      <w:start w:val="1"/>
      <w:numFmt w:val="bullet"/>
      <w:lvlText w:val="o"/>
      <w:lvlJc w:val="left"/>
      <w:pPr>
        <w:ind w:left="3600" w:hanging="360"/>
      </w:pPr>
      <w:rPr>
        <w:rFonts w:ascii="Courier New" w:hAnsi="Courier New" w:cs="Courier New" w:hint="default"/>
      </w:rPr>
    </w:lvl>
    <w:lvl w:ilvl="5" w:tplc="1E1A12DE" w:tentative="1">
      <w:start w:val="1"/>
      <w:numFmt w:val="bullet"/>
      <w:lvlText w:val=""/>
      <w:lvlJc w:val="left"/>
      <w:pPr>
        <w:ind w:left="4320" w:hanging="360"/>
      </w:pPr>
      <w:rPr>
        <w:rFonts w:ascii="Wingdings" w:hAnsi="Wingdings" w:hint="default"/>
      </w:rPr>
    </w:lvl>
    <w:lvl w:ilvl="6" w:tplc="54A476A6" w:tentative="1">
      <w:start w:val="1"/>
      <w:numFmt w:val="bullet"/>
      <w:lvlText w:val=""/>
      <w:lvlJc w:val="left"/>
      <w:pPr>
        <w:ind w:left="5040" w:hanging="360"/>
      </w:pPr>
      <w:rPr>
        <w:rFonts w:ascii="Symbol" w:hAnsi="Symbol" w:hint="default"/>
      </w:rPr>
    </w:lvl>
    <w:lvl w:ilvl="7" w:tplc="1DB04A5C" w:tentative="1">
      <w:start w:val="1"/>
      <w:numFmt w:val="bullet"/>
      <w:lvlText w:val="o"/>
      <w:lvlJc w:val="left"/>
      <w:pPr>
        <w:ind w:left="5760" w:hanging="360"/>
      </w:pPr>
      <w:rPr>
        <w:rFonts w:ascii="Courier New" w:hAnsi="Courier New" w:cs="Courier New" w:hint="default"/>
      </w:rPr>
    </w:lvl>
    <w:lvl w:ilvl="8" w:tplc="363876DA" w:tentative="1">
      <w:start w:val="1"/>
      <w:numFmt w:val="bullet"/>
      <w:lvlText w:val=""/>
      <w:lvlJc w:val="left"/>
      <w:pPr>
        <w:ind w:left="6480" w:hanging="360"/>
      </w:pPr>
      <w:rPr>
        <w:rFonts w:ascii="Wingdings" w:hAnsi="Wingdings" w:hint="default"/>
      </w:rPr>
    </w:lvl>
  </w:abstractNum>
  <w:abstractNum w:abstractNumId="40">
    <w:nsid w:val="6F351A6C"/>
    <w:multiLevelType w:val="hybridMultilevel"/>
    <w:tmpl w:val="6B423194"/>
    <w:lvl w:ilvl="0" w:tplc="7F6CE056">
      <w:start w:val="1"/>
      <w:numFmt w:val="bullet"/>
      <w:lvlText w:val=""/>
      <w:lvlJc w:val="left"/>
      <w:pPr>
        <w:ind w:left="720" w:hanging="360"/>
      </w:pPr>
      <w:rPr>
        <w:rFonts w:ascii="Symbol" w:hAnsi="Symbol" w:hint="default"/>
      </w:rPr>
    </w:lvl>
    <w:lvl w:ilvl="1" w:tplc="EF040A76" w:tentative="1">
      <w:start w:val="1"/>
      <w:numFmt w:val="bullet"/>
      <w:lvlText w:val="o"/>
      <w:lvlJc w:val="left"/>
      <w:pPr>
        <w:ind w:left="1440" w:hanging="360"/>
      </w:pPr>
      <w:rPr>
        <w:rFonts w:ascii="Courier New" w:hAnsi="Courier New" w:cs="Courier New" w:hint="default"/>
      </w:rPr>
    </w:lvl>
    <w:lvl w:ilvl="2" w:tplc="D08871F6" w:tentative="1">
      <w:start w:val="1"/>
      <w:numFmt w:val="bullet"/>
      <w:lvlText w:val=""/>
      <w:lvlJc w:val="left"/>
      <w:pPr>
        <w:ind w:left="2160" w:hanging="360"/>
      </w:pPr>
      <w:rPr>
        <w:rFonts w:ascii="Wingdings" w:hAnsi="Wingdings" w:hint="default"/>
      </w:rPr>
    </w:lvl>
    <w:lvl w:ilvl="3" w:tplc="7DC2E3BC" w:tentative="1">
      <w:start w:val="1"/>
      <w:numFmt w:val="bullet"/>
      <w:lvlText w:val=""/>
      <w:lvlJc w:val="left"/>
      <w:pPr>
        <w:ind w:left="2880" w:hanging="360"/>
      </w:pPr>
      <w:rPr>
        <w:rFonts w:ascii="Symbol" w:hAnsi="Symbol" w:hint="default"/>
      </w:rPr>
    </w:lvl>
    <w:lvl w:ilvl="4" w:tplc="42D68CB8" w:tentative="1">
      <w:start w:val="1"/>
      <w:numFmt w:val="bullet"/>
      <w:lvlText w:val="o"/>
      <w:lvlJc w:val="left"/>
      <w:pPr>
        <w:ind w:left="3600" w:hanging="360"/>
      </w:pPr>
      <w:rPr>
        <w:rFonts w:ascii="Courier New" w:hAnsi="Courier New" w:cs="Courier New" w:hint="default"/>
      </w:rPr>
    </w:lvl>
    <w:lvl w:ilvl="5" w:tplc="D67E60A8" w:tentative="1">
      <w:start w:val="1"/>
      <w:numFmt w:val="bullet"/>
      <w:lvlText w:val=""/>
      <w:lvlJc w:val="left"/>
      <w:pPr>
        <w:ind w:left="4320" w:hanging="360"/>
      </w:pPr>
      <w:rPr>
        <w:rFonts w:ascii="Wingdings" w:hAnsi="Wingdings" w:hint="default"/>
      </w:rPr>
    </w:lvl>
    <w:lvl w:ilvl="6" w:tplc="97CAAD02" w:tentative="1">
      <w:start w:val="1"/>
      <w:numFmt w:val="bullet"/>
      <w:lvlText w:val=""/>
      <w:lvlJc w:val="left"/>
      <w:pPr>
        <w:ind w:left="5040" w:hanging="360"/>
      </w:pPr>
      <w:rPr>
        <w:rFonts w:ascii="Symbol" w:hAnsi="Symbol" w:hint="default"/>
      </w:rPr>
    </w:lvl>
    <w:lvl w:ilvl="7" w:tplc="BE1CC4DE" w:tentative="1">
      <w:start w:val="1"/>
      <w:numFmt w:val="bullet"/>
      <w:lvlText w:val="o"/>
      <w:lvlJc w:val="left"/>
      <w:pPr>
        <w:ind w:left="5760" w:hanging="360"/>
      </w:pPr>
      <w:rPr>
        <w:rFonts w:ascii="Courier New" w:hAnsi="Courier New" w:cs="Courier New" w:hint="default"/>
      </w:rPr>
    </w:lvl>
    <w:lvl w:ilvl="8" w:tplc="F350C7E6" w:tentative="1">
      <w:start w:val="1"/>
      <w:numFmt w:val="bullet"/>
      <w:lvlText w:val=""/>
      <w:lvlJc w:val="left"/>
      <w:pPr>
        <w:ind w:left="6480" w:hanging="360"/>
      </w:pPr>
      <w:rPr>
        <w:rFonts w:ascii="Wingdings" w:hAnsi="Wingdings" w:hint="default"/>
      </w:rPr>
    </w:lvl>
  </w:abstractNum>
  <w:abstractNum w:abstractNumId="41">
    <w:nsid w:val="6F351A6D"/>
    <w:multiLevelType w:val="hybridMultilevel"/>
    <w:tmpl w:val="6CE4E562"/>
    <w:lvl w:ilvl="0" w:tplc="C0E6E2D0">
      <w:start w:val="1"/>
      <w:numFmt w:val="bullet"/>
      <w:lvlText w:val=""/>
      <w:lvlJc w:val="left"/>
      <w:pPr>
        <w:ind w:left="720" w:hanging="360"/>
      </w:pPr>
      <w:rPr>
        <w:rFonts w:ascii="Symbol" w:hAnsi="Symbol" w:hint="default"/>
      </w:rPr>
    </w:lvl>
    <w:lvl w:ilvl="1" w:tplc="EA1E1528" w:tentative="1">
      <w:start w:val="1"/>
      <w:numFmt w:val="bullet"/>
      <w:lvlText w:val="o"/>
      <w:lvlJc w:val="left"/>
      <w:pPr>
        <w:ind w:left="1440" w:hanging="360"/>
      </w:pPr>
      <w:rPr>
        <w:rFonts w:ascii="Courier New" w:hAnsi="Courier New" w:cs="Courier New" w:hint="default"/>
      </w:rPr>
    </w:lvl>
    <w:lvl w:ilvl="2" w:tplc="057249EE" w:tentative="1">
      <w:start w:val="1"/>
      <w:numFmt w:val="bullet"/>
      <w:lvlText w:val=""/>
      <w:lvlJc w:val="left"/>
      <w:pPr>
        <w:ind w:left="2160" w:hanging="360"/>
      </w:pPr>
      <w:rPr>
        <w:rFonts w:ascii="Wingdings" w:hAnsi="Wingdings" w:hint="default"/>
      </w:rPr>
    </w:lvl>
    <w:lvl w:ilvl="3" w:tplc="9F169080" w:tentative="1">
      <w:start w:val="1"/>
      <w:numFmt w:val="bullet"/>
      <w:lvlText w:val=""/>
      <w:lvlJc w:val="left"/>
      <w:pPr>
        <w:ind w:left="2880" w:hanging="360"/>
      </w:pPr>
      <w:rPr>
        <w:rFonts w:ascii="Symbol" w:hAnsi="Symbol" w:hint="default"/>
      </w:rPr>
    </w:lvl>
    <w:lvl w:ilvl="4" w:tplc="27E4D5C4" w:tentative="1">
      <w:start w:val="1"/>
      <w:numFmt w:val="bullet"/>
      <w:lvlText w:val="o"/>
      <w:lvlJc w:val="left"/>
      <w:pPr>
        <w:ind w:left="3600" w:hanging="360"/>
      </w:pPr>
      <w:rPr>
        <w:rFonts w:ascii="Courier New" w:hAnsi="Courier New" w:cs="Courier New" w:hint="default"/>
      </w:rPr>
    </w:lvl>
    <w:lvl w:ilvl="5" w:tplc="5B1A7478" w:tentative="1">
      <w:start w:val="1"/>
      <w:numFmt w:val="bullet"/>
      <w:lvlText w:val=""/>
      <w:lvlJc w:val="left"/>
      <w:pPr>
        <w:ind w:left="4320" w:hanging="360"/>
      </w:pPr>
      <w:rPr>
        <w:rFonts w:ascii="Wingdings" w:hAnsi="Wingdings" w:hint="default"/>
      </w:rPr>
    </w:lvl>
    <w:lvl w:ilvl="6" w:tplc="91CA59D6" w:tentative="1">
      <w:start w:val="1"/>
      <w:numFmt w:val="bullet"/>
      <w:lvlText w:val=""/>
      <w:lvlJc w:val="left"/>
      <w:pPr>
        <w:ind w:left="5040" w:hanging="360"/>
      </w:pPr>
      <w:rPr>
        <w:rFonts w:ascii="Symbol" w:hAnsi="Symbol" w:hint="default"/>
      </w:rPr>
    </w:lvl>
    <w:lvl w:ilvl="7" w:tplc="C4DCB66C" w:tentative="1">
      <w:start w:val="1"/>
      <w:numFmt w:val="bullet"/>
      <w:lvlText w:val="o"/>
      <w:lvlJc w:val="left"/>
      <w:pPr>
        <w:ind w:left="5760" w:hanging="360"/>
      </w:pPr>
      <w:rPr>
        <w:rFonts w:ascii="Courier New" w:hAnsi="Courier New" w:cs="Courier New" w:hint="default"/>
      </w:rPr>
    </w:lvl>
    <w:lvl w:ilvl="8" w:tplc="E662F6AC" w:tentative="1">
      <w:start w:val="1"/>
      <w:numFmt w:val="bullet"/>
      <w:lvlText w:val=""/>
      <w:lvlJc w:val="left"/>
      <w:pPr>
        <w:ind w:left="6480" w:hanging="360"/>
      </w:pPr>
      <w:rPr>
        <w:rFonts w:ascii="Wingdings" w:hAnsi="Wingdings" w:hint="default"/>
      </w:rPr>
    </w:lvl>
  </w:abstractNum>
  <w:abstractNum w:abstractNumId="42">
    <w:nsid w:val="6F351A6E"/>
    <w:multiLevelType w:val="hybridMultilevel"/>
    <w:tmpl w:val="F7122C9E"/>
    <w:lvl w:ilvl="0" w:tplc="AF12F5CC">
      <w:start w:val="1"/>
      <w:numFmt w:val="bullet"/>
      <w:lvlText w:val=""/>
      <w:lvlJc w:val="left"/>
      <w:pPr>
        <w:ind w:left="720" w:hanging="360"/>
      </w:pPr>
      <w:rPr>
        <w:rFonts w:ascii="Symbol" w:hAnsi="Symbol" w:hint="default"/>
      </w:rPr>
    </w:lvl>
    <w:lvl w:ilvl="1" w:tplc="3AF67D04" w:tentative="1">
      <w:start w:val="1"/>
      <w:numFmt w:val="bullet"/>
      <w:lvlText w:val="o"/>
      <w:lvlJc w:val="left"/>
      <w:pPr>
        <w:ind w:left="1440" w:hanging="360"/>
      </w:pPr>
      <w:rPr>
        <w:rFonts w:ascii="Courier New" w:hAnsi="Courier New" w:cs="Courier New" w:hint="default"/>
      </w:rPr>
    </w:lvl>
    <w:lvl w:ilvl="2" w:tplc="60F4DC7A" w:tentative="1">
      <w:start w:val="1"/>
      <w:numFmt w:val="bullet"/>
      <w:lvlText w:val=""/>
      <w:lvlJc w:val="left"/>
      <w:pPr>
        <w:ind w:left="2160" w:hanging="360"/>
      </w:pPr>
      <w:rPr>
        <w:rFonts w:ascii="Wingdings" w:hAnsi="Wingdings" w:hint="default"/>
      </w:rPr>
    </w:lvl>
    <w:lvl w:ilvl="3" w:tplc="D660A6A6" w:tentative="1">
      <w:start w:val="1"/>
      <w:numFmt w:val="bullet"/>
      <w:lvlText w:val=""/>
      <w:lvlJc w:val="left"/>
      <w:pPr>
        <w:ind w:left="2880" w:hanging="360"/>
      </w:pPr>
      <w:rPr>
        <w:rFonts w:ascii="Symbol" w:hAnsi="Symbol" w:hint="default"/>
      </w:rPr>
    </w:lvl>
    <w:lvl w:ilvl="4" w:tplc="A8DA52A2" w:tentative="1">
      <w:start w:val="1"/>
      <w:numFmt w:val="bullet"/>
      <w:lvlText w:val="o"/>
      <w:lvlJc w:val="left"/>
      <w:pPr>
        <w:ind w:left="3600" w:hanging="360"/>
      </w:pPr>
      <w:rPr>
        <w:rFonts w:ascii="Courier New" w:hAnsi="Courier New" w:cs="Courier New" w:hint="default"/>
      </w:rPr>
    </w:lvl>
    <w:lvl w:ilvl="5" w:tplc="AA8C3834" w:tentative="1">
      <w:start w:val="1"/>
      <w:numFmt w:val="bullet"/>
      <w:lvlText w:val=""/>
      <w:lvlJc w:val="left"/>
      <w:pPr>
        <w:ind w:left="4320" w:hanging="360"/>
      </w:pPr>
      <w:rPr>
        <w:rFonts w:ascii="Wingdings" w:hAnsi="Wingdings" w:hint="default"/>
      </w:rPr>
    </w:lvl>
    <w:lvl w:ilvl="6" w:tplc="714E1588" w:tentative="1">
      <w:start w:val="1"/>
      <w:numFmt w:val="bullet"/>
      <w:lvlText w:val=""/>
      <w:lvlJc w:val="left"/>
      <w:pPr>
        <w:ind w:left="5040" w:hanging="360"/>
      </w:pPr>
      <w:rPr>
        <w:rFonts w:ascii="Symbol" w:hAnsi="Symbol" w:hint="default"/>
      </w:rPr>
    </w:lvl>
    <w:lvl w:ilvl="7" w:tplc="62944E40" w:tentative="1">
      <w:start w:val="1"/>
      <w:numFmt w:val="bullet"/>
      <w:lvlText w:val="o"/>
      <w:lvlJc w:val="left"/>
      <w:pPr>
        <w:ind w:left="5760" w:hanging="360"/>
      </w:pPr>
      <w:rPr>
        <w:rFonts w:ascii="Courier New" w:hAnsi="Courier New" w:cs="Courier New" w:hint="default"/>
      </w:rPr>
    </w:lvl>
    <w:lvl w:ilvl="8" w:tplc="756A032A" w:tentative="1">
      <w:start w:val="1"/>
      <w:numFmt w:val="bullet"/>
      <w:lvlText w:val=""/>
      <w:lvlJc w:val="left"/>
      <w:pPr>
        <w:ind w:left="6480" w:hanging="360"/>
      </w:pPr>
      <w:rPr>
        <w:rFonts w:ascii="Wingdings" w:hAnsi="Wingdings" w:hint="default"/>
      </w:rPr>
    </w:lvl>
  </w:abstractNum>
  <w:abstractNum w:abstractNumId="43">
    <w:nsid w:val="6F351A6F"/>
    <w:multiLevelType w:val="hybridMultilevel"/>
    <w:tmpl w:val="40FC86D4"/>
    <w:lvl w:ilvl="0" w:tplc="D14AB7BE">
      <w:start w:val="1"/>
      <w:numFmt w:val="bullet"/>
      <w:lvlText w:val=""/>
      <w:lvlJc w:val="left"/>
      <w:pPr>
        <w:ind w:left="720" w:hanging="360"/>
      </w:pPr>
      <w:rPr>
        <w:rFonts w:ascii="Symbol" w:hAnsi="Symbol" w:hint="default"/>
      </w:rPr>
    </w:lvl>
    <w:lvl w:ilvl="1" w:tplc="A9AC9CCE" w:tentative="1">
      <w:start w:val="1"/>
      <w:numFmt w:val="bullet"/>
      <w:lvlText w:val="o"/>
      <w:lvlJc w:val="left"/>
      <w:pPr>
        <w:ind w:left="1440" w:hanging="360"/>
      </w:pPr>
      <w:rPr>
        <w:rFonts w:ascii="Courier New" w:hAnsi="Courier New" w:cs="Courier New" w:hint="default"/>
      </w:rPr>
    </w:lvl>
    <w:lvl w:ilvl="2" w:tplc="1B8C3236" w:tentative="1">
      <w:start w:val="1"/>
      <w:numFmt w:val="bullet"/>
      <w:lvlText w:val=""/>
      <w:lvlJc w:val="left"/>
      <w:pPr>
        <w:ind w:left="2160" w:hanging="360"/>
      </w:pPr>
      <w:rPr>
        <w:rFonts w:ascii="Wingdings" w:hAnsi="Wingdings" w:hint="default"/>
      </w:rPr>
    </w:lvl>
    <w:lvl w:ilvl="3" w:tplc="A8B80D10" w:tentative="1">
      <w:start w:val="1"/>
      <w:numFmt w:val="bullet"/>
      <w:lvlText w:val=""/>
      <w:lvlJc w:val="left"/>
      <w:pPr>
        <w:ind w:left="2880" w:hanging="360"/>
      </w:pPr>
      <w:rPr>
        <w:rFonts w:ascii="Symbol" w:hAnsi="Symbol" w:hint="default"/>
      </w:rPr>
    </w:lvl>
    <w:lvl w:ilvl="4" w:tplc="93A6E090" w:tentative="1">
      <w:start w:val="1"/>
      <w:numFmt w:val="bullet"/>
      <w:lvlText w:val="o"/>
      <w:lvlJc w:val="left"/>
      <w:pPr>
        <w:ind w:left="3600" w:hanging="360"/>
      </w:pPr>
      <w:rPr>
        <w:rFonts w:ascii="Courier New" w:hAnsi="Courier New" w:cs="Courier New" w:hint="default"/>
      </w:rPr>
    </w:lvl>
    <w:lvl w:ilvl="5" w:tplc="9508EA6C" w:tentative="1">
      <w:start w:val="1"/>
      <w:numFmt w:val="bullet"/>
      <w:lvlText w:val=""/>
      <w:lvlJc w:val="left"/>
      <w:pPr>
        <w:ind w:left="4320" w:hanging="360"/>
      </w:pPr>
      <w:rPr>
        <w:rFonts w:ascii="Wingdings" w:hAnsi="Wingdings" w:hint="default"/>
      </w:rPr>
    </w:lvl>
    <w:lvl w:ilvl="6" w:tplc="CA00DC00" w:tentative="1">
      <w:start w:val="1"/>
      <w:numFmt w:val="bullet"/>
      <w:lvlText w:val=""/>
      <w:lvlJc w:val="left"/>
      <w:pPr>
        <w:ind w:left="5040" w:hanging="360"/>
      </w:pPr>
      <w:rPr>
        <w:rFonts w:ascii="Symbol" w:hAnsi="Symbol" w:hint="default"/>
      </w:rPr>
    </w:lvl>
    <w:lvl w:ilvl="7" w:tplc="77AEC2A2" w:tentative="1">
      <w:start w:val="1"/>
      <w:numFmt w:val="bullet"/>
      <w:lvlText w:val="o"/>
      <w:lvlJc w:val="left"/>
      <w:pPr>
        <w:ind w:left="5760" w:hanging="360"/>
      </w:pPr>
      <w:rPr>
        <w:rFonts w:ascii="Courier New" w:hAnsi="Courier New" w:cs="Courier New" w:hint="default"/>
      </w:rPr>
    </w:lvl>
    <w:lvl w:ilvl="8" w:tplc="46360D70" w:tentative="1">
      <w:start w:val="1"/>
      <w:numFmt w:val="bullet"/>
      <w:lvlText w:val=""/>
      <w:lvlJc w:val="left"/>
      <w:pPr>
        <w:ind w:left="6480" w:hanging="360"/>
      </w:pPr>
      <w:rPr>
        <w:rFonts w:ascii="Wingdings" w:hAnsi="Wingdings" w:hint="default"/>
      </w:rPr>
    </w:lvl>
  </w:abstractNum>
  <w:abstractNum w:abstractNumId="44">
    <w:nsid w:val="6F351A70"/>
    <w:multiLevelType w:val="hybridMultilevel"/>
    <w:tmpl w:val="7A0489D2"/>
    <w:lvl w:ilvl="0" w:tplc="0930C2D0">
      <w:start w:val="1"/>
      <w:numFmt w:val="bullet"/>
      <w:lvlText w:val=""/>
      <w:lvlJc w:val="left"/>
      <w:pPr>
        <w:ind w:left="720" w:hanging="360"/>
      </w:pPr>
      <w:rPr>
        <w:rFonts w:ascii="Symbol" w:hAnsi="Symbol" w:hint="default"/>
      </w:rPr>
    </w:lvl>
    <w:lvl w:ilvl="1" w:tplc="2EE21AFE" w:tentative="1">
      <w:start w:val="1"/>
      <w:numFmt w:val="bullet"/>
      <w:lvlText w:val="o"/>
      <w:lvlJc w:val="left"/>
      <w:pPr>
        <w:ind w:left="1440" w:hanging="360"/>
      </w:pPr>
      <w:rPr>
        <w:rFonts w:ascii="Courier New" w:hAnsi="Courier New" w:cs="Courier New" w:hint="default"/>
      </w:rPr>
    </w:lvl>
    <w:lvl w:ilvl="2" w:tplc="F16440E6" w:tentative="1">
      <w:start w:val="1"/>
      <w:numFmt w:val="bullet"/>
      <w:lvlText w:val=""/>
      <w:lvlJc w:val="left"/>
      <w:pPr>
        <w:ind w:left="2160" w:hanging="360"/>
      </w:pPr>
      <w:rPr>
        <w:rFonts w:ascii="Wingdings" w:hAnsi="Wingdings" w:hint="default"/>
      </w:rPr>
    </w:lvl>
    <w:lvl w:ilvl="3" w:tplc="0B504F08" w:tentative="1">
      <w:start w:val="1"/>
      <w:numFmt w:val="bullet"/>
      <w:lvlText w:val=""/>
      <w:lvlJc w:val="left"/>
      <w:pPr>
        <w:ind w:left="2880" w:hanging="360"/>
      </w:pPr>
      <w:rPr>
        <w:rFonts w:ascii="Symbol" w:hAnsi="Symbol" w:hint="default"/>
      </w:rPr>
    </w:lvl>
    <w:lvl w:ilvl="4" w:tplc="5C14ED9A" w:tentative="1">
      <w:start w:val="1"/>
      <w:numFmt w:val="bullet"/>
      <w:lvlText w:val="o"/>
      <w:lvlJc w:val="left"/>
      <w:pPr>
        <w:ind w:left="3600" w:hanging="360"/>
      </w:pPr>
      <w:rPr>
        <w:rFonts w:ascii="Courier New" w:hAnsi="Courier New" w:cs="Courier New" w:hint="default"/>
      </w:rPr>
    </w:lvl>
    <w:lvl w:ilvl="5" w:tplc="D6E8FB0E" w:tentative="1">
      <w:start w:val="1"/>
      <w:numFmt w:val="bullet"/>
      <w:lvlText w:val=""/>
      <w:lvlJc w:val="left"/>
      <w:pPr>
        <w:ind w:left="4320" w:hanging="360"/>
      </w:pPr>
      <w:rPr>
        <w:rFonts w:ascii="Wingdings" w:hAnsi="Wingdings" w:hint="default"/>
      </w:rPr>
    </w:lvl>
    <w:lvl w:ilvl="6" w:tplc="0C5203EA" w:tentative="1">
      <w:start w:val="1"/>
      <w:numFmt w:val="bullet"/>
      <w:lvlText w:val=""/>
      <w:lvlJc w:val="left"/>
      <w:pPr>
        <w:ind w:left="5040" w:hanging="360"/>
      </w:pPr>
      <w:rPr>
        <w:rFonts w:ascii="Symbol" w:hAnsi="Symbol" w:hint="default"/>
      </w:rPr>
    </w:lvl>
    <w:lvl w:ilvl="7" w:tplc="A572AE5C" w:tentative="1">
      <w:start w:val="1"/>
      <w:numFmt w:val="bullet"/>
      <w:lvlText w:val="o"/>
      <w:lvlJc w:val="left"/>
      <w:pPr>
        <w:ind w:left="5760" w:hanging="360"/>
      </w:pPr>
      <w:rPr>
        <w:rFonts w:ascii="Courier New" w:hAnsi="Courier New" w:cs="Courier New" w:hint="default"/>
      </w:rPr>
    </w:lvl>
    <w:lvl w:ilvl="8" w:tplc="9E22E5FC" w:tentative="1">
      <w:start w:val="1"/>
      <w:numFmt w:val="bullet"/>
      <w:lvlText w:val=""/>
      <w:lvlJc w:val="left"/>
      <w:pPr>
        <w:ind w:left="6480" w:hanging="360"/>
      </w:pPr>
      <w:rPr>
        <w:rFonts w:ascii="Wingdings" w:hAnsi="Wingdings" w:hint="default"/>
      </w:rPr>
    </w:lvl>
  </w:abstractNum>
  <w:abstractNum w:abstractNumId="45">
    <w:nsid w:val="6F351A71"/>
    <w:multiLevelType w:val="hybridMultilevel"/>
    <w:tmpl w:val="0A107A4A"/>
    <w:lvl w:ilvl="0" w:tplc="559E0904">
      <w:start w:val="1"/>
      <w:numFmt w:val="bullet"/>
      <w:lvlText w:val=""/>
      <w:lvlJc w:val="left"/>
      <w:pPr>
        <w:ind w:left="720" w:hanging="360"/>
      </w:pPr>
      <w:rPr>
        <w:rFonts w:ascii="Symbol" w:hAnsi="Symbol" w:hint="default"/>
      </w:rPr>
    </w:lvl>
    <w:lvl w:ilvl="1" w:tplc="38626A0A" w:tentative="1">
      <w:start w:val="1"/>
      <w:numFmt w:val="bullet"/>
      <w:lvlText w:val="o"/>
      <w:lvlJc w:val="left"/>
      <w:pPr>
        <w:ind w:left="1440" w:hanging="360"/>
      </w:pPr>
      <w:rPr>
        <w:rFonts w:ascii="Courier New" w:hAnsi="Courier New" w:cs="Courier New" w:hint="default"/>
      </w:rPr>
    </w:lvl>
    <w:lvl w:ilvl="2" w:tplc="63EA9226" w:tentative="1">
      <w:start w:val="1"/>
      <w:numFmt w:val="bullet"/>
      <w:lvlText w:val=""/>
      <w:lvlJc w:val="left"/>
      <w:pPr>
        <w:ind w:left="2160" w:hanging="360"/>
      </w:pPr>
      <w:rPr>
        <w:rFonts w:ascii="Wingdings" w:hAnsi="Wingdings" w:hint="default"/>
      </w:rPr>
    </w:lvl>
    <w:lvl w:ilvl="3" w:tplc="58FE8C06" w:tentative="1">
      <w:start w:val="1"/>
      <w:numFmt w:val="bullet"/>
      <w:lvlText w:val=""/>
      <w:lvlJc w:val="left"/>
      <w:pPr>
        <w:ind w:left="2880" w:hanging="360"/>
      </w:pPr>
      <w:rPr>
        <w:rFonts w:ascii="Symbol" w:hAnsi="Symbol" w:hint="default"/>
      </w:rPr>
    </w:lvl>
    <w:lvl w:ilvl="4" w:tplc="56DCAAC2" w:tentative="1">
      <w:start w:val="1"/>
      <w:numFmt w:val="bullet"/>
      <w:lvlText w:val="o"/>
      <w:lvlJc w:val="left"/>
      <w:pPr>
        <w:ind w:left="3600" w:hanging="360"/>
      </w:pPr>
      <w:rPr>
        <w:rFonts w:ascii="Courier New" w:hAnsi="Courier New" w:cs="Courier New" w:hint="default"/>
      </w:rPr>
    </w:lvl>
    <w:lvl w:ilvl="5" w:tplc="51B6377C" w:tentative="1">
      <w:start w:val="1"/>
      <w:numFmt w:val="bullet"/>
      <w:lvlText w:val=""/>
      <w:lvlJc w:val="left"/>
      <w:pPr>
        <w:ind w:left="4320" w:hanging="360"/>
      </w:pPr>
      <w:rPr>
        <w:rFonts w:ascii="Wingdings" w:hAnsi="Wingdings" w:hint="default"/>
      </w:rPr>
    </w:lvl>
    <w:lvl w:ilvl="6" w:tplc="15EC4BA2" w:tentative="1">
      <w:start w:val="1"/>
      <w:numFmt w:val="bullet"/>
      <w:lvlText w:val=""/>
      <w:lvlJc w:val="left"/>
      <w:pPr>
        <w:ind w:left="5040" w:hanging="360"/>
      </w:pPr>
      <w:rPr>
        <w:rFonts w:ascii="Symbol" w:hAnsi="Symbol" w:hint="default"/>
      </w:rPr>
    </w:lvl>
    <w:lvl w:ilvl="7" w:tplc="0F546880" w:tentative="1">
      <w:start w:val="1"/>
      <w:numFmt w:val="bullet"/>
      <w:lvlText w:val="o"/>
      <w:lvlJc w:val="left"/>
      <w:pPr>
        <w:ind w:left="5760" w:hanging="360"/>
      </w:pPr>
      <w:rPr>
        <w:rFonts w:ascii="Courier New" w:hAnsi="Courier New" w:cs="Courier New" w:hint="default"/>
      </w:rPr>
    </w:lvl>
    <w:lvl w:ilvl="8" w:tplc="65D65446" w:tentative="1">
      <w:start w:val="1"/>
      <w:numFmt w:val="bullet"/>
      <w:lvlText w:val=""/>
      <w:lvlJc w:val="left"/>
      <w:pPr>
        <w:ind w:left="6480" w:hanging="360"/>
      </w:pPr>
      <w:rPr>
        <w:rFonts w:ascii="Wingdings" w:hAnsi="Wingdings" w:hint="default"/>
      </w:rPr>
    </w:lvl>
  </w:abstractNum>
  <w:abstractNum w:abstractNumId="46">
    <w:nsid w:val="6F351A72"/>
    <w:multiLevelType w:val="hybridMultilevel"/>
    <w:tmpl w:val="0C4AF42A"/>
    <w:lvl w:ilvl="0" w:tplc="BACE1252">
      <w:start w:val="1"/>
      <w:numFmt w:val="bullet"/>
      <w:lvlText w:val=""/>
      <w:lvlJc w:val="left"/>
      <w:pPr>
        <w:ind w:left="720" w:hanging="360"/>
      </w:pPr>
      <w:rPr>
        <w:rFonts w:ascii="Symbol" w:hAnsi="Symbol" w:hint="default"/>
      </w:rPr>
    </w:lvl>
    <w:lvl w:ilvl="1" w:tplc="14987FF2" w:tentative="1">
      <w:start w:val="1"/>
      <w:numFmt w:val="bullet"/>
      <w:lvlText w:val="o"/>
      <w:lvlJc w:val="left"/>
      <w:pPr>
        <w:ind w:left="1440" w:hanging="360"/>
      </w:pPr>
      <w:rPr>
        <w:rFonts w:ascii="Courier New" w:hAnsi="Courier New" w:cs="Courier New" w:hint="default"/>
      </w:rPr>
    </w:lvl>
    <w:lvl w:ilvl="2" w:tplc="0D70DE8E" w:tentative="1">
      <w:start w:val="1"/>
      <w:numFmt w:val="bullet"/>
      <w:lvlText w:val=""/>
      <w:lvlJc w:val="left"/>
      <w:pPr>
        <w:ind w:left="2160" w:hanging="360"/>
      </w:pPr>
      <w:rPr>
        <w:rFonts w:ascii="Wingdings" w:hAnsi="Wingdings" w:hint="default"/>
      </w:rPr>
    </w:lvl>
    <w:lvl w:ilvl="3" w:tplc="86E447E2" w:tentative="1">
      <w:start w:val="1"/>
      <w:numFmt w:val="bullet"/>
      <w:lvlText w:val=""/>
      <w:lvlJc w:val="left"/>
      <w:pPr>
        <w:ind w:left="2880" w:hanging="360"/>
      </w:pPr>
      <w:rPr>
        <w:rFonts w:ascii="Symbol" w:hAnsi="Symbol" w:hint="default"/>
      </w:rPr>
    </w:lvl>
    <w:lvl w:ilvl="4" w:tplc="2D4E80A4" w:tentative="1">
      <w:start w:val="1"/>
      <w:numFmt w:val="bullet"/>
      <w:lvlText w:val="o"/>
      <w:lvlJc w:val="left"/>
      <w:pPr>
        <w:ind w:left="3600" w:hanging="360"/>
      </w:pPr>
      <w:rPr>
        <w:rFonts w:ascii="Courier New" w:hAnsi="Courier New" w:cs="Courier New" w:hint="default"/>
      </w:rPr>
    </w:lvl>
    <w:lvl w:ilvl="5" w:tplc="BC6E5454" w:tentative="1">
      <w:start w:val="1"/>
      <w:numFmt w:val="bullet"/>
      <w:lvlText w:val=""/>
      <w:lvlJc w:val="left"/>
      <w:pPr>
        <w:ind w:left="4320" w:hanging="360"/>
      </w:pPr>
      <w:rPr>
        <w:rFonts w:ascii="Wingdings" w:hAnsi="Wingdings" w:hint="default"/>
      </w:rPr>
    </w:lvl>
    <w:lvl w:ilvl="6" w:tplc="A726F0F4" w:tentative="1">
      <w:start w:val="1"/>
      <w:numFmt w:val="bullet"/>
      <w:lvlText w:val=""/>
      <w:lvlJc w:val="left"/>
      <w:pPr>
        <w:ind w:left="5040" w:hanging="360"/>
      </w:pPr>
      <w:rPr>
        <w:rFonts w:ascii="Symbol" w:hAnsi="Symbol" w:hint="default"/>
      </w:rPr>
    </w:lvl>
    <w:lvl w:ilvl="7" w:tplc="434E9280" w:tentative="1">
      <w:start w:val="1"/>
      <w:numFmt w:val="bullet"/>
      <w:lvlText w:val="o"/>
      <w:lvlJc w:val="left"/>
      <w:pPr>
        <w:ind w:left="5760" w:hanging="360"/>
      </w:pPr>
      <w:rPr>
        <w:rFonts w:ascii="Courier New" w:hAnsi="Courier New" w:cs="Courier New" w:hint="default"/>
      </w:rPr>
    </w:lvl>
    <w:lvl w:ilvl="8" w:tplc="D3E0CA58" w:tentative="1">
      <w:start w:val="1"/>
      <w:numFmt w:val="bullet"/>
      <w:lvlText w:val=""/>
      <w:lvlJc w:val="left"/>
      <w:pPr>
        <w:ind w:left="6480" w:hanging="360"/>
      </w:pPr>
      <w:rPr>
        <w:rFonts w:ascii="Wingdings" w:hAnsi="Wingdings" w:hint="default"/>
      </w:rPr>
    </w:lvl>
  </w:abstractNum>
  <w:abstractNum w:abstractNumId="47">
    <w:nsid w:val="6F351A73"/>
    <w:multiLevelType w:val="hybridMultilevel"/>
    <w:tmpl w:val="1B526418"/>
    <w:lvl w:ilvl="0" w:tplc="48F68BC4">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A0685FE">
      <w:start w:val="1"/>
      <w:numFmt w:val="bullet"/>
      <w:lvlText w:val="o"/>
      <w:lvlJc w:val="left"/>
      <w:pPr>
        <w:ind w:left="1440" w:hanging="360"/>
      </w:pPr>
      <w:rPr>
        <w:rFonts w:ascii="Courier New" w:hAnsi="Courier New" w:cs="Courier New" w:hint="default"/>
      </w:rPr>
    </w:lvl>
    <w:lvl w:ilvl="2" w:tplc="EA02EBD8" w:tentative="1">
      <w:start w:val="1"/>
      <w:numFmt w:val="bullet"/>
      <w:lvlText w:val=""/>
      <w:lvlJc w:val="left"/>
      <w:pPr>
        <w:ind w:left="2160" w:hanging="360"/>
      </w:pPr>
      <w:rPr>
        <w:rFonts w:ascii="Wingdings" w:hAnsi="Wingdings" w:hint="default"/>
      </w:rPr>
    </w:lvl>
    <w:lvl w:ilvl="3" w:tplc="6BDA1B0E" w:tentative="1">
      <w:start w:val="1"/>
      <w:numFmt w:val="bullet"/>
      <w:lvlText w:val=""/>
      <w:lvlJc w:val="left"/>
      <w:pPr>
        <w:ind w:left="2880" w:hanging="360"/>
      </w:pPr>
      <w:rPr>
        <w:rFonts w:ascii="Symbol" w:hAnsi="Symbol" w:hint="default"/>
      </w:rPr>
    </w:lvl>
    <w:lvl w:ilvl="4" w:tplc="630C1A28" w:tentative="1">
      <w:start w:val="1"/>
      <w:numFmt w:val="bullet"/>
      <w:lvlText w:val="o"/>
      <w:lvlJc w:val="left"/>
      <w:pPr>
        <w:ind w:left="3600" w:hanging="360"/>
      </w:pPr>
      <w:rPr>
        <w:rFonts w:ascii="Courier New" w:hAnsi="Courier New" w:cs="Courier New" w:hint="default"/>
      </w:rPr>
    </w:lvl>
    <w:lvl w:ilvl="5" w:tplc="E64485DE" w:tentative="1">
      <w:start w:val="1"/>
      <w:numFmt w:val="bullet"/>
      <w:lvlText w:val=""/>
      <w:lvlJc w:val="left"/>
      <w:pPr>
        <w:ind w:left="4320" w:hanging="360"/>
      </w:pPr>
      <w:rPr>
        <w:rFonts w:ascii="Wingdings" w:hAnsi="Wingdings" w:hint="default"/>
      </w:rPr>
    </w:lvl>
    <w:lvl w:ilvl="6" w:tplc="04BAC712" w:tentative="1">
      <w:start w:val="1"/>
      <w:numFmt w:val="bullet"/>
      <w:lvlText w:val=""/>
      <w:lvlJc w:val="left"/>
      <w:pPr>
        <w:ind w:left="5040" w:hanging="360"/>
      </w:pPr>
      <w:rPr>
        <w:rFonts w:ascii="Symbol" w:hAnsi="Symbol" w:hint="default"/>
      </w:rPr>
    </w:lvl>
    <w:lvl w:ilvl="7" w:tplc="70D86BFC" w:tentative="1">
      <w:start w:val="1"/>
      <w:numFmt w:val="bullet"/>
      <w:lvlText w:val="o"/>
      <w:lvlJc w:val="left"/>
      <w:pPr>
        <w:ind w:left="5760" w:hanging="360"/>
      </w:pPr>
      <w:rPr>
        <w:rFonts w:ascii="Courier New" w:hAnsi="Courier New" w:cs="Courier New" w:hint="default"/>
      </w:rPr>
    </w:lvl>
    <w:lvl w:ilvl="8" w:tplc="41A6F4F2"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0"/>
  </w:num>
  <w:num w:numId="7">
    <w:abstractNumId w:val="13"/>
  </w:num>
  <w:num w:numId="8">
    <w:abstractNumId w:val="4"/>
  </w:num>
  <w:num w:numId="9">
    <w:abstractNumId w:val="14"/>
  </w:num>
  <w:num w:numId="10">
    <w:abstractNumId w:val="11"/>
  </w:num>
  <w:num w:numId="11">
    <w:abstractNumId w:val="15"/>
  </w:num>
  <w:num w:numId="12">
    <w:abstractNumId w:val="2"/>
  </w:num>
  <w:num w:numId="13">
    <w:abstractNumId w:val="7"/>
  </w:num>
  <w:num w:numId="14">
    <w:abstractNumId w:val="12"/>
  </w:num>
  <w:num w:numId="15">
    <w:abstractNumId w:val="8"/>
  </w:num>
  <w:num w:numId="16">
    <w:abstractNumId w:val="9"/>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VERPAGE_EXISTS" w:val="True"/>
    <w:docVar w:name="LW_COVERPAGE_GUID" w:val="654FF583-3945-42A4-BBA0-EA5605084DD1"/>
    <w:docVar w:name="LW_COVERPAGE_TYPE" w:val="1"/>
    <w:docVar w:name="LW_CROSSREFERENCE" w:val="&lt;UNUSED&gt;"/>
    <w:docVar w:name="LW_DocType" w:val="NORMAL"/>
    <w:docVar w:name="LW_EMISSION" w:val="27.6.2018"/>
    <w:docVar w:name="LW_EMISSION_ISODATE" w:val="2018-06-27"/>
    <w:docVar w:name="LW_EMISSION_LOCATION" w:val="BRX"/>
    <w:docVar w:name="LW_EMISSION_PREFIX" w:val="Брюксел, "/>
    <w:docVar w:name="LW_EMISSION_SUFFIX" w:val=" \u1075?."/>
    <w:docVar w:name="LW_ID_DOCTYPE_NONLW" w:val="CP-040"/>
    <w:docVar w:name="LW_INTERETEEE.CP" w:val="&lt;UNUSED&gt;"/>
    <w:docVar w:name="LW_LANGUE" w:val="BG"/>
    <w:docVar w:name="LW_LANGUESFAISANTFOI.CP" w:val="&lt;UNUSED&gt;"/>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5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1050?\u1054?\u1053?\u1057?\u1054?\u1051?\u1048?\u1044?\u1048?\u1056?\u1040?\u1053?\u1048? \u1043?\u1054?\u1044?\u1048?\u1064?\u1053?\u1048? \u1054?\u1058?\u1063?\u1045?\u1058?\u1048?_x000b_\u1053?\u1040? \u1045?\u1042?\u1056?\u1054?\u1055?\u1045?\u1049?\u1057?\u1050?\u1048?\u1071? \u1057?\u1066?\u1070?\u1047? \u1047?\u1040? 2017 \u1043?."/>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8? \u1057?\u1052?\u1045?\u1058?\u1053?\u1040?\u1058?\u1040? \u1055?\u1040?\u1051?\u1040?\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bg-BG"/>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eastAsia="bg-BG"/>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rPr>
  </w:style>
  <w:style w:type="paragraph" w:customStyle="1" w:styleId="TextSubtitleItalicnumberinglettera">
    <w:name w:val="Text_Subtitle Italic numbering letter (a)"/>
    <w:basedOn w:val="Normal"/>
    <w:qFormat/>
    <w:pPr>
      <w:spacing w:after="0" w:line="240" w:lineRule="auto"/>
    </w:pPr>
    <w:rPr>
      <w:rFonts w:ascii="Verdana" w:eastAsia="Times New Roman" w:hAnsi="Verdana" w:cs="Times New Roman"/>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bg-BG"/>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bg-BG"/>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bg-BG"/>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eastAsia="bg-BG"/>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rPr>
  </w:style>
  <w:style w:type="paragraph" w:customStyle="1" w:styleId="TextSubtitleItalicnumberinglettera">
    <w:name w:val="Text_Subtitle Italic numbering letter (a)"/>
    <w:basedOn w:val="Normal"/>
    <w:qFormat/>
    <w:pPr>
      <w:spacing w:after="0" w:line="240" w:lineRule="auto"/>
    </w:pPr>
    <w:rPr>
      <w:rFonts w:ascii="Verdana" w:eastAsia="Times New Roman" w:hAnsi="Verdana" w:cs="Times New Roman"/>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bg-BG"/>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bg-BG"/>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99" Type="http://schemas.openxmlformats.org/officeDocument/2006/relationships/footer" Target="footer139.xml"/><Relationship Id="rId21" Type="http://schemas.openxmlformats.org/officeDocument/2006/relationships/footer" Target="footer6.xml"/><Relationship Id="rId63" Type="http://schemas.openxmlformats.org/officeDocument/2006/relationships/header" Target="header22.xml"/><Relationship Id="rId159" Type="http://schemas.openxmlformats.org/officeDocument/2006/relationships/header" Target="header70.xml"/><Relationship Id="rId324" Type="http://schemas.openxmlformats.org/officeDocument/2006/relationships/footer" Target="footer151.xml"/><Relationship Id="rId366" Type="http://schemas.openxmlformats.org/officeDocument/2006/relationships/footer" Target="footer172.xml"/><Relationship Id="rId531" Type="http://schemas.openxmlformats.org/officeDocument/2006/relationships/footer" Target="footer248.xml"/><Relationship Id="rId170" Type="http://schemas.openxmlformats.org/officeDocument/2006/relationships/footer" Target="footer75.xml"/><Relationship Id="rId226" Type="http://schemas.openxmlformats.org/officeDocument/2006/relationships/header" Target="header104.xml"/><Relationship Id="rId433" Type="http://schemas.openxmlformats.org/officeDocument/2006/relationships/header" Target="header200.xml"/><Relationship Id="rId268" Type="http://schemas.openxmlformats.org/officeDocument/2006/relationships/header" Target="header125.xml"/><Relationship Id="rId475" Type="http://schemas.openxmlformats.org/officeDocument/2006/relationships/header" Target="header221.xml"/><Relationship Id="rId32" Type="http://schemas.openxmlformats.org/officeDocument/2006/relationships/footer" Target="footer11.xml"/><Relationship Id="rId74" Type="http://schemas.openxmlformats.org/officeDocument/2006/relationships/footer" Target="footer27.xml"/><Relationship Id="rId128" Type="http://schemas.openxmlformats.org/officeDocument/2006/relationships/footer" Target="footer54.xml"/><Relationship Id="rId335" Type="http://schemas.openxmlformats.org/officeDocument/2006/relationships/header" Target="header158.xml"/><Relationship Id="rId377" Type="http://schemas.openxmlformats.org/officeDocument/2006/relationships/header" Target="header179.xml"/><Relationship Id="rId500" Type="http://schemas.openxmlformats.org/officeDocument/2006/relationships/footer" Target="footer232.xml"/><Relationship Id="rId5" Type="http://schemas.openxmlformats.org/officeDocument/2006/relationships/settings" Target="settings.xml"/><Relationship Id="rId181" Type="http://schemas.openxmlformats.org/officeDocument/2006/relationships/header" Target="header81.xml"/><Relationship Id="rId237" Type="http://schemas.openxmlformats.org/officeDocument/2006/relationships/header" Target="header109.xml"/><Relationship Id="rId402" Type="http://schemas.openxmlformats.org/officeDocument/2006/relationships/header" Target="header184.xml"/><Relationship Id="rId279" Type="http://schemas.openxmlformats.org/officeDocument/2006/relationships/header" Target="header130.xml"/><Relationship Id="rId444" Type="http://schemas.openxmlformats.org/officeDocument/2006/relationships/header" Target="header205.xml"/><Relationship Id="rId486" Type="http://schemas.openxmlformats.org/officeDocument/2006/relationships/header" Target="header226.xml"/><Relationship Id="rId43" Type="http://schemas.openxmlformats.org/officeDocument/2006/relationships/image" Target="media/image11.png"/><Relationship Id="rId139" Type="http://schemas.openxmlformats.org/officeDocument/2006/relationships/header" Target="header60.xml"/><Relationship Id="rId290" Type="http://schemas.openxmlformats.org/officeDocument/2006/relationships/footer" Target="footer135.xml"/><Relationship Id="rId304" Type="http://schemas.openxmlformats.org/officeDocument/2006/relationships/header" Target="header143.xml"/><Relationship Id="rId346" Type="http://schemas.openxmlformats.org/officeDocument/2006/relationships/header" Target="header163.xml"/><Relationship Id="rId388" Type="http://schemas.openxmlformats.org/officeDocument/2006/relationships/chart" Target="charts/chart2.xml"/><Relationship Id="rId511" Type="http://schemas.openxmlformats.org/officeDocument/2006/relationships/header" Target="header239.xml"/><Relationship Id="rId85" Type="http://schemas.openxmlformats.org/officeDocument/2006/relationships/header" Target="header33.xml"/><Relationship Id="rId150" Type="http://schemas.openxmlformats.org/officeDocument/2006/relationships/footer" Target="footer65.xml"/><Relationship Id="rId192" Type="http://schemas.openxmlformats.org/officeDocument/2006/relationships/footer" Target="footer86.xml"/><Relationship Id="rId206" Type="http://schemas.openxmlformats.org/officeDocument/2006/relationships/footer" Target="footer93.xml"/><Relationship Id="rId413" Type="http://schemas.openxmlformats.org/officeDocument/2006/relationships/footer" Target="footer189.xml"/><Relationship Id="rId248" Type="http://schemas.openxmlformats.org/officeDocument/2006/relationships/footer" Target="footer114.xml"/><Relationship Id="rId455" Type="http://schemas.openxmlformats.org/officeDocument/2006/relationships/footer" Target="footer210.xml"/><Relationship Id="rId497" Type="http://schemas.openxmlformats.org/officeDocument/2006/relationships/footer" Target="footer231.xml"/><Relationship Id="rId12" Type="http://schemas.openxmlformats.org/officeDocument/2006/relationships/footer" Target="footer1.xml"/><Relationship Id="rId108" Type="http://schemas.openxmlformats.org/officeDocument/2006/relationships/footer" Target="footer44.xml"/><Relationship Id="rId315" Type="http://schemas.openxmlformats.org/officeDocument/2006/relationships/header" Target="header148.xml"/><Relationship Id="rId357" Type="http://schemas.openxmlformats.org/officeDocument/2006/relationships/footer" Target="footer168.xml"/><Relationship Id="rId522" Type="http://schemas.openxmlformats.org/officeDocument/2006/relationships/header" Target="header244.xml"/><Relationship Id="rId54" Type="http://schemas.openxmlformats.org/officeDocument/2006/relationships/footer" Target="footer17.xml"/><Relationship Id="rId96" Type="http://schemas.openxmlformats.org/officeDocument/2006/relationships/footer" Target="footer38.xml"/><Relationship Id="rId161" Type="http://schemas.openxmlformats.org/officeDocument/2006/relationships/footer" Target="footer70.xml"/><Relationship Id="rId217" Type="http://schemas.openxmlformats.org/officeDocument/2006/relationships/header" Target="header99.xml"/><Relationship Id="rId399" Type="http://schemas.openxmlformats.org/officeDocument/2006/relationships/footer" Target="footer182.xml"/><Relationship Id="rId259" Type="http://schemas.openxmlformats.org/officeDocument/2006/relationships/header" Target="header120.xml"/><Relationship Id="rId424" Type="http://schemas.openxmlformats.org/officeDocument/2006/relationships/header" Target="header195.xml"/><Relationship Id="rId466" Type="http://schemas.openxmlformats.org/officeDocument/2006/relationships/header" Target="header216.xml"/><Relationship Id="rId23" Type="http://schemas.openxmlformats.org/officeDocument/2006/relationships/header" Target="header8.xml"/><Relationship Id="rId119" Type="http://schemas.openxmlformats.org/officeDocument/2006/relationships/footer" Target="footer49.xml"/><Relationship Id="rId270" Type="http://schemas.openxmlformats.org/officeDocument/2006/relationships/footer" Target="footer125.xml"/><Relationship Id="rId326" Type="http://schemas.openxmlformats.org/officeDocument/2006/relationships/header" Target="header153.xml"/><Relationship Id="rId533" Type="http://schemas.openxmlformats.org/officeDocument/2006/relationships/footer" Target="footer249.xml"/><Relationship Id="rId65" Type="http://schemas.openxmlformats.org/officeDocument/2006/relationships/footer" Target="footer22.xml"/><Relationship Id="rId130" Type="http://schemas.openxmlformats.org/officeDocument/2006/relationships/header" Target="header56.xml"/><Relationship Id="rId368" Type="http://schemas.openxmlformats.org/officeDocument/2006/relationships/header" Target="header174.xml"/><Relationship Id="rId172" Type="http://schemas.openxmlformats.org/officeDocument/2006/relationships/header" Target="header77.xml"/><Relationship Id="rId228" Type="http://schemas.openxmlformats.org/officeDocument/2006/relationships/footer" Target="footer104.xml"/><Relationship Id="rId435" Type="http://schemas.openxmlformats.org/officeDocument/2006/relationships/footer" Target="footer200.xml"/><Relationship Id="rId477" Type="http://schemas.openxmlformats.org/officeDocument/2006/relationships/footer" Target="footer221.xml"/><Relationship Id="rId281" Type="http://schemas.openxmlformats.org/officeDocument/2006/relationships/footer" Target="footer130.xml"/><Relationship Id="rId337" Type="http://schemas.openxmlformats.org/officeDocument/2006/relationships/footer" Target="footer158.xml"/><Relationship Id="rId502" Type="http://schemas.openxmlformats.org/officeDocument/2006/relationships/header" Target="header234.xml"/><Relationship Id="rId34" Type="http://schemas.openxmlformats.org/officeDocument/2006/relationships/footer" Target="footer12.xml"/><Relationship Id="rId76" Type="http://schemas.openxmlformats.org/officeDocument/2006/relationships/header" Target="header29.xml"/><Relationship Id="rId141" Type="http://schemas.openxmlformats.org/officeDocument/2006/relationships/header" Target="header61.xml"/><Relationship Id="rId379" Type="http://schemas.openxmlformats.org/officeDocument/2006/relationships/footer" Target="footer179.xml"/><Relationship Id="rId7" Type="http://schemas.openxmlformats.org/officeDocument/2006/relationships/footnotes" Target="footnotes.xml"/><Relationship Id="rId183" Type="http://schemas.openxmlformats.org/officeDocument/2006/relationships/header" Target="header82.xml"/><Relationship Id="rId239" Type="http://schemas.openxmlformats.org/officeDocument/2006/relationships/footer" Target="footer109.xml"/><Relationship Id="rId390" Type="http://schemas.openxmlformats.org/officeDocument/2006/relationships/diagramLayout" Target="diagrams/layout1.xml"/><Relationship Id="rId404" Type="http://schemas.openxmlformats.org/officeDocument/2006/relationships/footer" Target="footer184.xml"/><Relationship Id="rId446" Type="http://schemas.openxmlformats.org/officeDocument/2006/relationships/footer" Target="footer205.xml"/><Relationship Id="rId250" Type="http://schemas.openxmlformats.org/officeDocument/2006/relationships/header" Target="header116.xml"/><Relationship Id="rId292" Type="http://schemas.openxmlformats.org/officeDocument/2006/relationships/header" Target="header137.xml"/><Relationship Id="rId306" Type="http://schemas.openxmlformats.org/officeDocument/2006/relationships/footer" Target="footer143.xml"/><Relationship Id="rId488" Type="http://schemas.openxmlformats.org/officeDocument/2006/relationships/footer" Target="footer226.xml"/><Relationship Id="rId45" Type="http://schemas.openxmlformats.org/officeDocument/2006/relationships/header" Target="header13.xml"/><Relationship Id="rId87" Type="http://schemas.openxmlformats.org/officeDocument/2006/relationships/header" Target="header34.xml"/><Relationship Id="rId110" Type="http://schemas.openxmlformats.org/officeDocument/2006/relationships/footer" Target="footer45.xml"/><Relationship Id="rId348" Type="http://schemas.openxmlformats.org/officeDocument/2006/relationships/footer" Target="footer163.xml"/><Relationship Id="rId513" Type="http://schemas.openxmlformats.org/officeDocument/2006/relationships/footer" Target="footer239.xml"/><Relationship Id="rId152" Type="http://schemas.openxmlformats.org/officeDocument/2006/relationships/footer" Target="footer66.xml"/><Relationship Id="rId194" Type="http://schemas.openxmlformats.org/officeDocument/2006/relationships/footer" Target="footer87.xml"/><Relationship Id="rId208" Type="http://schemas.openxmlformats.org/officeDocument/2006/relationships/header" Target="header95.xml"/><Relationship Id="rId415" Type="http://schemas.openxmlformats.org/officeDocument/2006/relationships/header" Target="header191.xml"/><Relationship Id="rId457" Type="http://schemas.openxmlformats.org/officeDocument/2006/relationships/header" Target="header212.xml"/><Relationship Id="rId261" Type="http://schemas.openxmlformats.org/officeDocument/2006/relationships/header" Target="header121.xml"/><Relationship Id="rId499" Type="http://schemas.openxmlformats.org/officeDocument/2006/relationships/header" Target="header233.xml"/><Relationship Id="rId14" Type="http://schemas.openxmlformats.org/officeDocument/2006/relationships/header" Target="header3.xml"/><Relationship Id="rId56" Type="http://schemas.openxmlformats.org/officeDocument/2006/relationships/footer" Target="footer18.xml"/><Relationship Id="rId317" Type="http://schemas.openxmlformats.org/officeDocument/2006/relationships/footer" Target="footer148.xml"/><Relationship Id="rId359" Type="http://schemas.openxmlformats.org/officeDocument/2006/relationships/header" Target="header170.xml"/><Relationship Id="rId524" Type="http://schemas.openxmlformats.org/officeDocument/2006/relationships/footer" Target="footer244.xml"/><Relationship Id="rId98" Type="http://schemas.openxmlformats.org/officeDocument/2006/relationships/footer" Target="footer39.xml"/><Relationship Id="rId121" Type="http://schemas.openxmlformats.org/officeDocument/2006/relationships/header" Target="header51.xml"/><Relationship Id="rId163" Type="http://schemas.openxmlformats.org/officeDocument/2006/relationships/header" Target="header72.xml"/><Relationship Id="rId219" Type="http://schemas.openxmlformats.org/officeDocument/2006/relationships/header" Target="header100.xml"/><Relationship Id="rId370" Type="http://schemas.openxmlformats.org/officeDocument/2006/relationships/header" Target="header175.xml"/><Relationship Id="rId426" Type="http://schemas.openxmlformats.org/officeDocument/2006/relationships/header" Target="header196.xml"/><Relationship Id="rId230" Type="http://schemas.openxmlformats.org/officeDocument/2006/relationships/footer" Target="footer105.xml"/><Relationship Id="rId468" Type="http://schemas.openxmlformats.org/officeDocument/2006/relationships/header" Target="header217.xml"/><Relationship Id="rId25" Type="http://schemas.openxmlformats.org/officeDocument/2006/relationships/footer" Target="footer8.xml"/><Relationship Id="rId46" Type="http://schemas.openxmlformats.org/officeDocument/2006/relationships/header" Target="header14.xml"/><Relationship Id="rId67" Type="http://schemas.openxmlformats.org/officeDocument/2006/relationships/header" Target="header24.xml"/><Relationship Id="rId272" Type="http://schemas.openxmlformats.org/officeDocument/2006/relationships/footer" Target="footer126.xml"/><Relationship Id="rId293" Type="http://schemas.openxmlformats.org/officeDocument/2006/relationships/footer" Target="footer136.xml"/><Relationship Id="rId307" Type="http://schemas.openxmlformats.org/officeDocument/2006/relationships/header" Target="header144.xml"/><Relationship Id="rId328" Type="http://schemas.openxmlformats.org/officeDocument/2006/relationships/header" Target="header154.xml"/><Relationship Id="rId349" Type="http://schemas.openxmlformats.org/officeDocument/2006/relationships/footer" Target="footer164.xml"/><Relationship Id="rId514" Type="http://schemas.openxmlformats.org/officeDocument/2006/relationships/header" Target="header240.xml"/><Relationship Id="rId535" Type="http://schemas.openxmlformats.org/officeDocument/2006/relationships/theme" Target="theme/theme1.xml"/><Relationship Id="rId88" Type="http://schemas.openxmlformats.org/officeDocument/2006/relationships/header" Target="header35.xml"/><Relationship Id="rId111" Type="http://schemas.openxmlformats.org/officeDocument/2006/relationships/header" Target="header46.xml"/><Relationship Id="rId132" Type="http://schemas.openxmlformats.org/officeDocument/2006/relationships/footer" Target="footer56.xml"/><Relationship Id="rId153" Type="http://schemas.openxmlformats.org/officeDocument/2006/relationships/header" Target="header67.xml"/><Relationship Id="rId174" Type="http://schemas.openxmlformats.org/officeDocument/2006/relationships/footer" Target="footer77.xml"/><Relationship Id="rId195" Type="http://schemas.openxmlformats.org/officeDocument/2006/relationships/header" Target="header88.xml"/><Relationship Id="rId209" Type="http://schemas.openxmlformats.org/officeDocument/2006/relationships/footer" Target="footer94.xml"/><Relationship Id="rId360" Type="http://schemas.openxmlformats.org/officeDocument/2006/relationships/footer" Target="footer169.xml"/><Relationship Id="rId381" Type="http://schemas.openxmlformats.org/officeDocument/2006/relationships/footer" Target="footer180.xml"/><Relationship Id="rId416" Type="http://schemas.openxmlformats.org/officeDocument/2006/relationships/footer" Target="footer190.xml"/><Relationship Id="rId220" Type="http://schemas.openxmlformats.org/officeDocument/2006/relationships/header" Target="header101.xml"/><Relationship Id="rId241" Type="http://schemas.openxmlformats.org/officeDocument/2006/relationships/header" Target="header111.xml"/><Relationship Id="rId437" Type="http://schemas.openxmlformats.org/officeDocument/2006/relationships/footer" Target="footer201.xml"/><Relationship Id="rId458" Type="http://schemas.openxmlformats.org/officeDocument/2006/relationships/footer" Target="footer211.xml"/><Relationship Id="rId479" Type="http://schemas.openxmlformats.org/officeDocument/2006/relationships/footer" Target="footer222.xml"/><Relationship Id="rId15" Type="http://schemas.openxmlformats.org/officeDocument/2006/relationships/footer" Target="footer3.xml"/><Relationship Id="rId36" Type="http://schemas.openxmlformats.org/officeDocument/2006/relationships/image" Target="media/image4.png"/><Relationship Id="rId57" Type="http://schemas.openxmlformats.org/officeDocument/2006/relationships/header" Target="header19.xml"/><Relationship Id="rId262" Type="http://schemas.openxmlformats.org/officeDocument/2006/relationships/header" Target="header122.xml"/><Relationship Id="rId283" Type="http://schemas.openxmlformats.org/officeDocument/2006/relationships/header" Target="header132.xml"/><Relationship Id="rId318" Type="http://schemas.openxmlformats.org/officeDocument/2006/relationships/footer" Target="footer149.xml"/><Relationship Id="rId339" Type="http://schemas.openxmlformats.org/officeDocument/2006/relationships/footer" Target="footer159.xml"/><Relationship Id="rId490" Type="http://schemas.openxmlformats.org/officeDocument/2006/relationships/header" Target="header228.xml"/><Relationship Id="rId504" Type="http://schemas.openxmlformats.org/officeDocument/2006/relationships/header" Target="header235.xml"/><Relationship Id="rId525" Type="http://schemas.openxmlformats.org/officeDocument/2006/relationships/footer" Target="footer245.xml"/><Relationship Id="rId78" Type="http://schemas.openxmlformats.org/officeDocument/2006/relationships/footer" Target="footer29.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51.xml"/><Relationship Id="rId143" Type="http://schemas.openxmlformats.org/officeDocument/2006/relationships/footer" Target="footer61.xml"/><Relationship Id="rId164" Type="http://schemas.openxmlformats.org/officeDocument/2006/relationships/footer" Target="footer72.xml"/><Relationship Id="rId185" Type="http://schemas.openxmlformats.org/officeDocument/2006/relationships/footer" Target="footer82.xml"/><Relationship Id="rId350" Type="http://schemas.openxmlformats.org/officeDocument/2006/relationships/header" Target="header165.xml"/><Relationship Id="rId371" Type="http://schemas.openxmlformats.org/officeDocument/2006/relationships/header" Target="header176.xml"/><Relationship Id="rId406" Type="http://schemas.openxmlformats.org/officeDocument/2006/relationships/header" Target="header186.xml"/><Relationship Id="rId9" Type="http://schemas.openxmlformats.org/officeDocument/2006/relationships/image" Target="media/image1.emf"/><Relationship Id="rId210" Type="http://schemas.openxmlformats.org/officeDocument/2006/relationships/footer" Target="footer95.xml"/><Relationship Id="rId392" Type="http://schemas.openxmlformats.org/officeDocument/2006/relationships/diagramColors" Target="diagrams/colors1.xml"/><Relationship Id="rId427" Type="http://schemas.openxmlformats.org/officeDocument/2006/relationships/header" Target="header197.xml"/><Relationship Id="rId448" Type="http://schemas.openxmlformats.org/officeDocument/2006/relationships/header" Target="header207.xml"/><Relationship Id="rId469" Type="http://schemas.openxmlformats.org/officeDocument/2006/relationships/header" Target="header218.xml"/><Relationship Id="rId26" Type="http://schemas.openxmlformats.org/officeDocument/2006/relationships/header" Target="header9.xml"/><Relationship Id="rId231" Type="http://schemas.openxmlformats.org/officeDocument/2006/relationships/header" Target="header106.xml"/><Relationship Id="rId252" Type="http://schemas.openxmlformats.org/officeDocument/2006/relationships/footer" Target="footer116.xml"/><Relationship Id="rId273" Type="http://schemas.openxmlformats.org/officeDocument/2006/relationships/header" Target="header127.xml"/><Relationship Id="rId294" Type="http://schemas.openxmlformats.org/officeDocument/2006/relationships/footer" Target="footer137.xml"/><Relationship Id="rId308" Type="http://schemas.openxmlformats.org/officeDocument/2006/relationships/footer" Target="footer144.xml"/><Relationship Id="rId329" Type="http://schemas.openxmlformats.org/officeDocument/2006/relationships/header" Target="header155.xml"/><Relationship Id="rId480" Type="http://schemas.openxmlformats.org/officeDocument/2006/relationships/header" Target="header223.xml"/><Relationship Id="rId515" Type="http://schemas.openxmlformats.org/officeDocument/2006/relationships/footer" Target="footer240.xml"/><Relationship Id="rId47" Type="http://schemas.openxmlformats.org/officeDocument/2006/relationships/footer" Target="footer13.xml"/><Relationship Id="rId68" Type="http://schemas.openxmlformats.org/officeDocument/2006/relationships/footer" Target="footer24.xml"/><Relationship Id="rId89" Type="http://schemas.openxmlformats.org/officeDocument/2006/relationships/footer" Target="footer34.xml"/><Relationship Id="rId112" Type="http://schemas.openxmlformats.org/officeDocument/2006/relationships/header" Target="header47.xml"/><Relationship Id="rId133" Type="http://schemas.openxmlformats.org/officeDocument/2006/relationships/header" Target="header57.xml"/><Relationship Id="rId154" Type="http://schemas.openxmlformats.org/officeDocument/2006/relationships/header" Target="header68.xml"/><Relationship Id="rId175" Type="http://schemas.openxmlformats.org/officeDocument/2006/relationships/header" Target="header78.xml"/><Relationship Id="rId340" Type="http://schemas.openxmlformats.org/officeDocument/2006/relationships/header" Target="header160.xml"/><Relationship Id="rId361" Type="http://schemas.openxmlformats.org/officeDocument/2006/relationships/footer" Target="footer170.xml"/><Relationship Id="rId196" Type="http://schemas.openxmlformats.org/officeDocument/2006/relationships/header" Target="header89.xml"/><Relationship Id="rId200" Type="http://schemas.openxmlformats.org/officeDocument/2006/relationships/footer" Target="footer90.xml"/><Relationship Id="rId382" Type="http://schemas.openxmlformats.org/officeDocument/2006/relationships/image" Target="media/image13.png"/><Relationship Id="rId417" Type="http://schemas.openxmlformats.org/officeDocument/2006/relationships/footer" Target="footer191.xml"/><Relationship Id="rId438" Type="http://schemas.openxmlformats.org/officeDocument/2006/relationships/header" Target="header202.xml"/><Relationship Id="rId459" Type="http://schemas.openxmlformats.org/officeDocument/2006/relationships/footer" Target="footer212.xml"/><Relationship Id="rId16" Type="http://schemas.openxmlformats.org/officeDocument/2006/relationships/header" Target="header4.xml"/><Relationship Id="rId221" Type="http://schemas.openxmlformats.org/officeDocument/2006/relationships/footer" Target="footer100.xml"/><Relationship Id="rId242" Type="http://schemas.openxmlformats.org/officeDocument/2006/relationships/footer" Target="footer111.xml"/><Relationship Id="rId263" Type="http://schemas.openxmlformats.org/officeDocument/2006/relationships/footer" Target="footer121.xml"/><Relationship Id="rId284" Type="http://schemas.openxmlformats.org/officeDocument/2006/relationships/footer" Target="footer132.xml"/><Relationship Id="rId319" Type="http://schemas.openxmlformats.org/officeDocument/2006/relationships/header" Target="header150.xml"/><Relationship Id="rId470" Type="http://schemas.openxmlformats.org/officeDocument/2006/relationships/footer" Target="footer217.xml"/><Relationship Id="rId491" Type="http://schemas.openxmlformats.org/officeDocument/2006/relationships/footer" Target="footer228.xml"/><Relationship Id="rId505" Type="http://schemas.openxmlformats.org/officeDocument/2006/relationships/header" Target="header236.xml"/><Relationship Id="rId526" Type="http://schemas.openxmlformats.org/officeDocument/2006/relationships/header" Target="header246.xml"/><Relationship Id="rId37" Type="http://schemas.openxmlformats.org/officeDocument/2006/relationships/image" Target="media/image5.png"/><Relationship Id="rId58" Type="http://schemas.openxmlformats.org/officeDocument/2006/relationships/header" Target="header20.xml"/><Relationship Id="rId79" Type="http://schemas.openxmlformats.org/officeDocument/2006/relationships/header" Target="header30.xml"/><Relationship Id="rId102" Type="http://schemas.openxmlformats.org/officeDocument/2006/relationships/footer" Target="footer41.xml"/><Relationship Id="rId123" Type="http://schemas.openxmlformats.org/officeDocument/2006/relationships/header" Target="header52.xml"/><Relationship Id="rId144" Type="http://schemas.openxmlformats.org/officeDocument/2006/relationships/footer" Target="footer62.xml"/><Relationship Id="rId330" Type="http://schemas.openxmlformats.org/officeDocument/2006/relationships/footer" Target="footer154.xml"/><Relationship Id="rId90" Type="http://schemas.openxmlformats.org/officeDocument/2006/relationships/footer" Target="footer35.xml"/><Relationship Id="rId165" Type="http://schemas.openxmlformats.org/officeDocument/2006/relationships/header" Target="header73.xml"/><Relationship Id="rId186" Type="http://schemas.openxmlformats.org/officeDocument/2006/relationships/footer" Target="footer83.xml"/><Relationship Id="rId351" Type="http://schemas.openxmlformats.org/officeDocument/2006/relationships/footer" Target="footer165.xml"/><Relationship Id="rId372" Type="http://schemas.openxmlformats.org/officeDocument/2006/relationships/footer" Target="footer175.xml"/><Relationship Id="rId393" Type="http://schemas.microsoft.com/office/2007/relationships/diagramDrawing" Target="diagrams/drawing1.xml"/><Relationship Id="rId407" Type="http://schemas.openxmlformats.org/officeDocument/2006/relationships/footer" Target="footer186.xml"/><Relationship Id="rId428" Type="http://schemas.openxmlformats.org/officeDocument/2006/relationships/footer" Target="footer196.xml"/><Relationship Id="rId449" Type="http://schemas.openxmlformats.org/officeDocument/2006/relationships/footer" Target="footer207.xml"/><Relationship Id="rId211" Type="http://schemas.openxmlformats.org/officeDocument/2006/relationships/header" Target="header96.xml"/><Relationship Id="rId232" Type="http://schemas.openxmlformats.org/officeDocument/2006/relationships/header" Target="header107.xml"/><Relationship Id="rId253" Type="http://schemas.openxmlformats.org/officeDocument/2006/relationships/header" Target="header117.xml"/><Relationship Id="rId274" Type="http://schemas.openxmlformats.org/officeDocument/2006/relationships/header" Target="header128.xml"/><Relationship Id="rId295" Type="http://schemas.openxmlformats.org/officeDocument/2006/relationships/header" Target="header138.xml"/><Relationship Id="rId309" Type="http://schemas.openxmlformats.org/officeDocument/2006/relationships/header" Target="header145.xml"/><Relationship Id="rId460" Type="http://schemas.openxmlformats.org/officeDocument/2006/relationships/header" Target="header213.xml"/><Relationship Id="rId481" Type="http://schemas.openxmlformats.org/officeDocument/2006/relationships/header" Target="header224.xml"/><Relationship Id="rId516" Type="http://schemas.openxmlformats.org/officeDocument/2006/relationships/header" Target="header241.xml"/><Relationship Id="rId27" Type="http://schemas.openxmlformats.org/officeDocument/2006/relationships/footer" Target="footer9.xml"/><Relationship Id="rId48" Type="http://schemas.openxmlformats.org/officeDocument/2006/relationships/footer" Target="footer14.xml"/><Relationship Id="rId69" Type="http://schemas.openxmlformats.org/officeDocument/2006/relationships/header" Target="header25.xml"/><Relationship Id="rId113" Type="http://schemas.openxmlformats.org/officeDocument/2006/relationships/footer" Target="footer46.xml"/><Relationship Id="rId134" Type="http://schemas.openxmlformats.org/officeDocument/2006/relationships/footer" Target="footer57.xml"/><Relationship Id="rId320" Type="http://schemas.openxmlformats.org/officeDocument/2006/relationships/footer" Target="footer150.xml"/><Relationship Id="rId80" Type="http://schemas.openxmlformats.org/officeDocument/2006/relationships/footer" Target="footer30.xml"/><Relationship Id="rId155" Type="http://schemas.openxmlformats.org/officeDocument/2006/relationships/footer" Target="footer67.xml"/><Relationship Id="rId176" Type="http://schemas.openxmlformats.org/officeDocument/2006/relationships/footer" Target="footer78.xml"/><Relationship Id="rId197" Type="http://schemas.openxmlformats.org/officeDocument/2006/relationships/footer" Target="footer88.xml"/><Relationship Id="rId341" Type="http://schemas.openxmlformats.org/officeDocument/2006/relationships/header" Target="header161.xml"/><Relationship Id="rId362" Type="http://schemas.openxmlformats.org/officeDocument/2006/relationships/header" Target="header171.xml"/><Relationship Id="rId383" Type="http://schemas.openxmlformats.org/officeDocument/2006/relationships/image" Target="media/image14.png"/><Relationship Id="rId418" Type="http://schemas.openxmlformats.org/officeDocument/2006/relationships/header" Target="header192.xml"/><Relationship Id="rId439" Type="http://schemas.openxmlformats.org/officeDocument/2006/relationships/header" Target="header203.xml"/><Relationship Id="rId201" Type="http://schemas.openxmlformats.org/officeDocument/2006/relationships/header" Target="header91.xml"/><Relationship Id="rId222" Type="http://schemas.openxmlformats.org/officeDocument/2006/relationships/footer" Target="footer101.xml"/><Relationship Id="rId243" Type="http://schemas.openxmlformats.org/officeDocument/2006/relationships/header" Target="header112.xml"/><Relationship Id="rId264" Type="http://schemas.openxmlformats.org/officeDocument/2006/relationships/footer" Target="footer122.xml"/><Relationship Id="rId285" Type="http://schemas.openxmlformats.org/officeDocument/2006/relationships/header" Target="header133.xml"/><Relationship Id="rId450" Type="http://schemas.openxmlformats.org/officeDocument/2006/relationships/header" Target="header208.xml"/><Relationship Id="rId471" Type="http://schemas.openxmlformats.org/officeDocument/2006/relationships/footer" Target="footer218.xml"/><Relationship Id="rId506" Type="http://schemas.openxmlformats.org/officeDocument/2006/relationships/footer" Target="footer235.xml"/><Relationship Id="rId17" Type="http://schemas.openxmlformats.org/officeDocument/2006/relationships/header" Target="header5.xml"/><Relationship Id="rId38" Type="http://schemas.openxmlformats.org/officeDocument/2006/relationships/image" Target="media/image6.png"/><Relationship Id="rId59" Type="http://schemas.openxmlformats.org/officeDocument/2006/relationships/footer" Target="footer19.xml"/><Relationship Id="rId103" Type="http://schemas.openxmlformats.org/officeDocument/2006/relationships/header" Target="header42.xml"/><Relationship Id="rId124" Type="http://schemas.openxmlformats.org/officeDocument/2006/relationships/header" Target="header53.xml"/><Relationship Id="rId310" Type="http://schemas.openxmlformats.org/officeDocument/2006/relationships/header" Target="header146.xml"/><Relationship Id="rId492" Type="http://schemas.openxmlformats.org/officeDocument/2006/relationships/header" Target="header229.xml"/><Relationship Id="rId527" Type="http://schemas.openxmlformats.org/officeDocument/2006/relationships/footer" Target="footer246.xml"/><Relationship Id="rId70" Type="http://schemas.openxmlformats.org/officeDocument/2006/relationships/header" Target="header26.xml"/><Relationship Id="rId91" Type="http://schemas.openxmlformats.org/officeDocument/2006/relationships/header" Target="header36.xml"/><Relationship Id="rId145" Type="http://schemas.openxmlformats.org/officeDocument/2006/relationships/header" Target="header63.xml"/><Relationship Id="rId166" Type="http://schemas.openxmlformats.org/officeDocument/2006/relationships/header" Target="header74.xml"/><Relationship Id="rId187" Type="http://schemas.openxmlformats.org/officeDocument/2006/relationships/header" Target="header84.xml"/><Relationship Id="rId331" Type="http://schemas.openxmlformats.org/officeDocument/2006/relationships/footer" Target="footer155.xml"/><Relationship Id="rId352" Type="http://schemas.openxmlformats.org/officeDocument/2006/relationships/header" Target="header166.xml"/><Relationship Id="rId373" Type="http://schemas.openxmlformats.org/officeDocument/2006/relationships/footer" Target="footer176.xml"/><Relationship Id="rId394" Type="http://schemas.openxmlformats.org/officeDocument/2006/relationships/image" Target="media/image18.png"/><Relationship Id="rId408" Type="http://schemas.openxmlformats.org/officeDocument/2006/relationships/header" Target="header187.xml"/><Relationship Id="rId429"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footer" Target="footer96.xml"/><Relationship Id="rId233" Type="http://schemas.openxmlformats.org/officeDocument/2006/relationships/footer" Target="footer106.xml"/><Relationship Id="rId254" Type="http://schemas.openxmlformats.org/officeDocument/2006/relationships/footer" Target="footer117.xml"/><Relationship Id="rId440" Type="http://schemas.openxmlformats.org/officeDocument/2006/relationships/footer" Target="footer202.xml"/><Relationship Id="rId28" Type="http://schemas.openxmlformats.org/officeDocument/2006/relationships/image" Target="media/image2.jpeg"/><Relationship Id="rId49" Type="http://schemas.openxmlformats.org/officeDocument/2006/relationships/header" Target="header15.xml"/><Relationship Id="rId114" Type="http://schemas.openxmlformats.org/officeDocument/2006/relationships/footer" Target="footer47.xml"/><Relationship Id="rId275" Type="http://schemas.openxmlformats.org/officeDocument/2006/relationships/footer" Target="footer127.xml"/><Relationship Id="rId296" Type="http://schemas.openxmlformats.org/officeDocument/2006/relationships/footer" Target="footer138.xml"/><Relationship Id="rId300" Type="http://schemas.openxmlformats.org/officeDocument/2006/relationships/footer" Target="footer140.xml"/><Relationship Id="rId461" Type="http://schemas.openxmlformats.org/officeDocument/2006/relationships/footer" Target="footer213.xml"/><Relationship Id="rId482" Type="http://schemas.openxmlformats.org/officeDocument/2006/relationships/footer" Target="footer223.xml"/><Relationship Id="rId517" Type="http://schemas.openxmlformats.org/officeDocument/2006/relationships/header" Target="header242.xml"/><Relationship Id="rId60" Type="http://schemas.openxmlformats.org/officeDocument/2006/relationships/footer" Target="footer20.xml"/><Relationship Id="rId81" Type="http://schemas.openxmlformats.org/officeDocument/2006/relationships/header" Target="header31.xml"/><Relationship Id="rId135" Type="http://schemas.openxmlformats.org/officeDocument/2006/relationships/header" Target="header58.xml"/><Relationship Id="rId156" Type="http://schemas.openxmlformats.org/officeDocument/2006/relationships/footer" Target="footer68.xml"/><Relationship Id="rId177" Type="http://schemas.openxmlformats.org/officeDocument/2006/relationships/header" Target="header79.xml"/><Relationship Id="rId198" Type="http://schemas.openxmlformats.org/officeDocument/2006/relationships/footer" Target="footer89.xml"/><Relationship Id="rId321" Type="http://schemas.openxmlformats.org/officeDocument/2006/relationships/hyperlink" Target="http://eur-lex.europa.eu/legal-content/EN/AUTO/?uri=uriserv:OJ.L_.2015.277.01.0004.01.ENG&amp;toc=OJ:L:2015:277:TOC" TargetMode="External"/><Relationship Id="rId342" Type="http://schemas.openxmlformats.org/officeDocument/2006/relationships/footer" Target="footer160.xml"/><Relationship Id="rId363" Type="http://schemas.openxmlformats.org/officeDocument/2006/relationships/footer" Target="footer171.xml"/><Relationship Id="rId384" Type="http://schemas.openxmlformats.org/officeDocument/2006/relationships/image" Target="media/image15.png"/><Relationship Id="rId419" Type="http://schemas.openxmlformats.org/officeDocument/2006/relationships/footer" Target="footer192.xml"/><Relationship Id="rId202" Type="http://schemas.openxmlformats.org/officeDocument/2006/relationships/header" Target="header92.xml"/><Relationship Id="rId223" Type="http://schemas.openxmlformats.org/officeDocument/2006/relationships/header" Target="header102.xml"/><Relationship Id="rId244" Type="http://schemas.openxmlformats.org/officeDocument/2006/relationships/header" Target="header113.xml"/><Relationship Id="rId430" Type="http://schemas.openxmlformats.org/officeDocument/2006/relationships/header" Target="header198.xml"/><Relationship Id="rId18" Type="http://schemas.openxmlformats.org/officeDocument/2006/relationships/footer" Target="footer4.xml"/><Relationship Id="rId39" Type="http://schemas.openxmlformats.org/officeDocument/2006/relationships/image" Target="media/image7.png"/><Relationship Id="rId265" Type="http://schemas.openxmlformats.org/officeDocument/2006/relationships/header" Target="header123.xml"/><Relationship Id="rId286" Type="http://schemas.openxmlformats.org/officeDocument/2006/relationships/header" Target="header134.xml"/><Relationship Id="rId451" Type="http://schemas.openxmlformats.org/officeDocument/2006/relationships/header" Target="header209.xml"/><Relationship Id="rId472" Type="http://schemas.openxmlformats.org/officeDocument/2006/relationships/header" Target="header219.xml"/><Relationship Id="rId493" Type="http://schemas.openxmlformats.org/officeDocument/2006/relationships/header" Target="header230.xml"/><Relationship Id="rId507" Type="http://schemas.openxmlformats.org/officeDocument/2006/relationships/footer" Target="footer236.xml"/><Relationship Id="rId528" Type="http://schemas.openxmlformats.org/officeDocument/2006/relationships/header" Target="header247.xml"/><Relationship Id="rId50" Type="http://schemas.openxmlformats.org/officeDocument/2006/relationships/footer" Target="footer15.xml"/><Relationship Id="rId104" Type="http://schemas.openxmlformats.org/officeDocument/2006/relationships/footer" Target="footer42.xml"/><Relationship Id="rId125" Type="http://schemas.openxmlformats.org/officeDocument/2006/relationships/footer" Target="footer52.xml"/><Relationship Id="rId146" Type="http://schemas.openxmlformats.org/officeDocument/2006/relationships/footer" Target="footer63.xml"/><Relationship Id="rId167" Type="http://schemas.openxmlformats.org/officeDocument/2006/relationships/footer" Target="footer73.xml"/><Relationship Id="rId188" Type="http://schemas.openxmlformats.org/officeDocument/2006/relationships/footer" Target="footer84.xml"/><Relationship Id="rId311" Type="http://schemas.openxmlformats.org/officeDocument/2006/relationships/footer" Target="footer145.xml"/><Relationship Id="rId332" Type="http://schemas.openxmlformats.org/officeDocument/2006/relationships/header" Target="header156.xml"/><Relationship Id="rId353" Type="http://schemas.openxmlformats.org/officeDocument/2006/relationships/header" Target="header167.xml"/><Relationship Id="rId374" Type="http://schemas.openxmlformats.org/officeDocument/2006/relationships/header" Target="header177.xml"/><Relationship Id="rId395" Type="http://schemas.openxmlformats.org/officeDocument/2006/relationships/image" Target="media/image19.png"/><Relationship Id="rId409" Type="http://schemas.openxmlformats.org/officeDocument/2006/relationships/header" Target="header188.xml"/><Relationship Id="rId71" Type="http://schemas.openxmlformats.org/officeDocument/2006/relationships/footer" Target="footer25.xml"/><Relationship Id="rId92" Type="http://schemas.openxmlformats.org/officeDocument/2006/relationships/footer" Target="footer36.xml"/><Relationship Id="rId213" Type="http://schemas.openxmlformats.org/officeDocument/2006/relationships/header" Target="header97.xml"/><Relationship Id="rId234" Type="http://schemas.openxmlformats.org/officeDocument/2006/relationships/footer" Target="footer107.xml"/><Relationship Id="rId420" Type="http://schemas.openxmlformats.org/officeDocument/2006/relationships/header" Target="header193.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18.xml"/><Relationship Id="rId276" Type="http://schemas.openxmlformats.org/officeDocument/2006/relationships/footer" Target="footer128.xml"/><Relationship Id="rId297" Type="http://schemas.openxmlformats.org/officeDocument/2006/relationships/header" Target="header139.xml"/><Relationship Id="rId441" Type="http://schemas.openxmlformats.org/officeDocument/2006/relationships/footer" Target="footer203.xml"/><Relationship Id="rId462" Type="http://schemas.openxmlformats.org/officeDocument/2006/relationships/header" Target="header214.xml"/><Relationship Id="rId483" Type="http://schemas.openxmlformats.org/officeDocument/2006/relationships/footer" Target="footer224.xml"/><Relationship Id="rId518" Type="http://schemas.openxmlformats.org/officeDocument/2006/relationships/footer" Target="footer241.xml"/><Relationship Id="rId40" Type="http://schemas.openxmlformats.org/officeDocument/2006/relationships/image" Target="media/image8.png"/><Relationship Id="rId115" Type="http://schemas.openxmlformats.org/officeDocument/2006/relationships/header" Target="header48.xml"/><Relationship Id="rId136" Type="http://schemas.openxmlformats.org/officeDocument/2006/relationships/header" Target="header59.xml"/><Relationship Id="rId157" Type="http://schemas.openxmlformats.org/officeDocument/2006/relationships/header" Target="header69.xml"/><Relationship Id="rId178" Type="http://schemas.openxmlformats.org/officeDocument/2006/relationships/header" Target="header80.xml"/><Relationship Id="rId301" Type="http://schemas.openxmlformats.org/officeDocument/2006/relationships/header" Target="header141.xml"/><Relationship Id="rId322" Type="http://schemas.openxmlformats.org/officeDocument/2006/relationships/header" Target="header151.xml"/><Relationship Id="rId343" Type="http://schemas.openxmlformats.org/officeDocument/2006/relationships/footer" Target="footer161.xml"/><Relationship Id="rId364" Type="http://schemas.openxmlformats.org/officeDocument/2006/relationships/header" Target="header172.xml"/><Relationship Id="rId61" Type="http://schemas.openxmlformats.org/officeDocument/2006/relationships/header" Target="header21.xml"/><Relationship Id="rId82" Type="http://schemas.openxmlformats.org/officeDocument/2006/relationships/header" Target="header32.xml"/><Relationship Id="rId199" Type="http://schemas.openxmlformats.org/officeDocument/2006/relationships/header" Target="header90.xml"/><Relationship Id="rId203" Type="http://schemas.openxmlformats.org/officeDocument/2006/relationships/footer" Target="footer91.xml"/><Relationship Id="rId385" Type="http://schemas.openxmlformats.org/officeDocument/2006/relationships/image" Target="media/image16.png"/><Relationship Id="rId19" Type="http://schemas.openxmlformats.org/officeDocument/2006/relationships/footer" Target="footer5.xml"/><Relationship Id="rId224" Type="http://schemas.openxmlformats.org/officeDocument/2006/relationships/footer" Target="footer102.xml"/><Relationship Id="rId245" Type="http://schemas.openxmlformats.org/officeDocument/2006/relationships/footer" Target="footer112.xml"/><Relationship Id="rId266" Type="http://schemas.openxmlformats.org/officeDocument/2006/relationships/footer" Target="footer123.xml"/><Relationship Id="rId287" Type="http://schemas.openxmlformats.org/officeDocument/2006/relationships/footer" Target="footer133.xml"/><Relationship Id="rId410" Type="http://schemas.openxmlformats.org/officeDocument/2006/relationships/footer" Target="footer187.xml"/><Relationship Id="rId431" Type="http://schemas.openxmlformats.org/officeDocument/2006/relationships/footer" Target="footer198.xml"/><Relationship Id="rId452" Type="http://schemas.openxmlformats.org/officeDocument/2006/relationships/footer" Target="footer208.xml"/><Relationship Id="rId473" Type="http://schemas.openxmlformats.org/officeDocument/2006/relationships/footer" Target="footer219.xml"/><Relationship Id="rId494" Type="http://schemas.openxmlformats.org/officeDocument/2006/relationships/footer" Target="footer229.xml"/><Relationship Id="rId508" Type="http://schemas.openxmlformats.org/officeDocument/2006/relationships/header" Target="header237.xml"/><Relationship Id="rId529" Type="http://schemas.openxmlformats.org/officeDocument/2006/relationships/header" Target="header248.xml"/><Relationship Id="rId30" Type="http://schemas.openxmlformats.org/officeDocument/2006/relationships/header" Target="header11.xml"/><Relationship Id="rId105" Type="http://schemas.openxmlformats.org/officeDocument/2006/relationships/header" Target="header43.xml"/><Relationship Id="rId126" Type="http://schemas.openxmlformats.org/officeDocument/2006/relationships/footer" Target="footer53.xml"/><Relationship Id="rId147" Type="http://schemas.openxmlformats.org/officeDocument/2006/relationships/header" Target="header64.xml"/><Relationship Id="rId168" Type="http://schemas.openxmlformats.org/officeDocument/2006/relationships/footer" Target="footer74.xml"/><Relationship Id="rId312" Type="http://schemas.openxmlformats.org/officeDocument/2006/relationships/footer" Target="footer146.xml"/><Relationship Id="rId333" Type="http://schemas.openxmlformats.org/officeDocument/2006/relationships/footer" Target="footer156.xml"/><Relationship Id="rId354" Type="http://schemas.openxmlformats.org/officeDocument/2006/relationships/footer" Target="footer166.xml"/><Relationship Id="rId51" Type="http://schemas.openxmlformats.org/officeDocument/2006/relationships/header" Target="header16.xml"/><Relationship Id="rId72" Type="http://schemas.openxmlformats.org/officeDocument/2006/relationships/footer" Target="footer26.xml"/><Relationship Id="rId93" Type="http://schemas.openxmlformats.org/officeDocument/2006/relationships/header" Target="header37.xml"/><Relationship Id="rId189" Type="http://schemas.openxmlformats.org/officeDocument/2006/relationships/header" Target="header85.xml"/><Relationship Id="rId375" Type="http://schemas.openxmlformats.org/officeDocument/2006/relationships/footer" Target="footer177.xml"/><Relationship Id="rId396" Type="http://schemas.openxmlformats.org/officeDocument/2006/relationships/header" Target="header181.xml"/><Relationship Id="rId3" Type="http://schemas.openxmlformats.org/officeDocument/2006/relationships/styles" Target="styles.xml"/><Relationship Id="rId214" Type="http://schemas.openxmlformats.org/officeDocument/2006/relationships/header" Target="header98.xml"/><Relationship Id="rId235" Type="http://schemas.openxmlformats.org/officeDocument/2006/relationships/header" Target="header108.xml"/><Relationship Id="rId256" Type="http://schemas.openxmlformats.org/officeDocument/2006/relationships/header" Target="header119.xml"/><Relationship Id="rId277" Type="http://schemas.openxmlformats.org/officeDocument/2006/relationships/header" Target="header129.xml"/><Relationship Id="rId298" Type="http://schemas.openxmlformats.org/officeDocument/2006/relationships/header" Target="header140.xml"/><Relationship Id="rId400" Type="http://schemas.openxmlformats.org/officeDocument/2006/relationships/header" Target="header183.xml"/><Relationship Id="rId421" Type="http://schemas.openxmlformats.org/officeDocument/2006/relationships/header" Target="header194.xml"/><Relationship Id="rId442" Type="http://schemas.openxmlformats.org/officeDocument/2006/relationships/header" Target="header204.xml"/><Relationship Id="rId463" Type="http://schemas.openxmlformats.org/officeDocument/2006/relationships/header" Target="header215.xml"/><Relationship Id="rId484" Type="http://schemas.openxmlformats.org/officeDocument/2006/relationships/header" Target="header225.xml"/><Relationship Id="rId519" Type="http://schemas.openxmlformats.org/officeDocument/2006/relationships/footer" Target="footer242.xml"/><Relationship Id="rId116" Type="http://schemas.openxmlformats.org/officeDocument/2006/relationships/footer" Target="footer48.xml"/><Relationship Id="rId137" Type="http://schemas.openxmlformats.org/officeDocument/2006/relationships/footer" Target="footer58.xml"/><Relationship Id="rId158" Type="http://schemas.openxmlformats.org/officeDocument/2006/relationships/footer" Target="footer69.xml"/><Relationship Id="rId302" Type="http://schemas.openxmlformats.org/officeDocument/2006/relationships/footer" Target="footer141.xml"/><Relationship Id="rId323" Type="http://schemas.openxmlformats.org/officeDocument/2006/relationships/header" Target="header152.xml"/><Relationship Id="rId344" Type="http://schemas.openxmlformats.org/officeDocument/2006/relationships/header" Target="header162.xml"/><Relationship Id="rId530" Type="http://schemas.openxmlformats.org/officeDocument/2006/relationships/footer" Target="footer247.xml"/><Relationship Id="rId20" Type="http://schemas.openxmlformats.org/officeDocument/2006/relationships/header" Target="header6.xml"/><Relationship Id="rId41" Type="http://schemas.openxmlformats.org/officeDocument/2006/relationships/image" Target="media/image9.png"/><Relationship Id="rId62" Type="http://schemas.openxmlformats.org/officeDocument/2006/relationships/footer" Target="footer21.xml"/><Relationship Id="rId83" Type="http://schemas.openxmlformats.org/officeDocument/2006/relationships/footer" Target="footer31.xml"/><Relationship Id="rId179" Type="http://schemas.openxmlformats.org/officeDocument/2006/relationships/footer" Target="footer79.xml"/><Relationship Id="rId365" Type="http://schemas.openxmlformats.org/officeDocument/2006/relationships/header" Target="header173.xml"/><Relationship Id="rId386" Type="http://schemas.openxmlformats.org/officeDocument/2006/relationships/chart" Target="charts/chart1.xml"/><Relationship Id="rId190" Type="http://schemas.openxmlformats.org/officeDocument/2006/relationships/header" Target="header86.xml"/><Relationship Id="rId204" Type="http://schemas.openxmlformats.org/officeDocument/2006/relationships/footer" Target="footer92.xml"/><Relationship Id="rId225" Type="http://schemas.openxmlformats.org/officeDocument/2006/relationships/header" Target="header103.xml"/><Relationship Id="rId246" Type="http://schemas.openxmlformats.org/officeDocument/2006/relationships/footer" Target="footer113.xml"/><Relationship Id="rId267" Type="http://schemas.openxmlformats.org/officeDocument/2006/relationships/header" Target="header124.xml"/><Relationship Id="rId288" Type="http://schemas.openxmlformats.org/officeDocument/2006/relationships/footer" Target="footer134.xml"/><Relationship Id="rId411" Type="http://schemas.openxmlformats.org/officeDocument/2006/relationships/footer" Target="footer188.xml"/><Relationship Id="rId432" Type="http://schemas.openxmlformats.org/officeDocument/2006/relationships/header" Target="header199.xml"/><Relationship Id="rId453" Type="http://schemas.openxmlformats.org/officeDocument/2006/relationships/footer" Target="footer209.xml"/><Relationship Id="rId474" Type="http://schemas.openxmlformats.org/officeDocument/2006/relationships/header" Target="header220.xml"/><Relationship Id="rId509" Type="http://schemas.openxmlformats.org/officeDocument/2006/relationships/footer" Target="footer237.xml"/><Relationship Id="rId106" Type="http://schemas.openxmlformats.org/officeDocument/2006/relationships/header" Target="header44.xml"/><Relationship Id="rId127" Type="http://schemas.openxmlformats.org/officeDocument/2006/relationships/header" Target="header54.xml"/><Relationship Id="rId313" Type="http://schemas.openxmlformats.org/officeDocument/2006/relationships/header" Target="header147.xml"/><Relationship Id="rId495" Type="http://schemas.openxmlformats.org/officeDocument/2006/relationships/footer" Target="footer230.xm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header" Target="header17.xml"/><Relationship Id="rId73" Type="http://schemas.openxmlformats.org/officeDocument/2006/relationships/header" Target="header27.xml"/><Relationship Id="rId94" Type="http://schemas.openxmlformats.org/officeDocument/2006/relationships/header" Target="header38.xml"/><Relationship Id="rId148" Type="http://schemas.openxmlformats.org/officeDocument/2006/relationships/header" Target="header65.xml"/><Relationship Id="rId169" Type="http://schemas.openxmlformats.org/officeDocument/2006/relationships/header" Target="header75.xml"/><Relationship Id="rId334" Type="http://schemas.openxmlformats.org/officeDocument/2006/relationships/header" Target="header157.xml"/><Relationship Id="rId355" Type="http://schemas.openxmlformats.org/officeDocument/2006/relationships/footer" Target="footer167.xml"/><Relationship Id="rId376" Type="http://schemas.openxmlformats.org/officeDocument/2006/relationships/header" Target="header178.xml"/><Relationship Id="rId397" Type="http://schemas.openxmlformats.org/officeDocument/2006/relationships/header" Target="header182.xml"/><Relationship Id="rId520" Type="http://schemas.openxmlformats.org/officeDocument/2006/relationships/header" Target="header243.xml"/><Relationship Id="rId4" Type="http://schemas.microsoft.com/office/2007/relationships/stylesWithEffects" Target="stylesWithEffects.xml"/><Relationship Id="rId180" Type="http://schemas.openxmlformats.org/officeDocument/2006/relationships/footer" Target="footer80.xml"/><Relationship Id="rId215" Type="http://schemas.openxmlformats.org/officeDocument/2006/relationships/footer" Target="footer97.xml"/><Relationship Id="rId236" Type="http://schemas.openxmlformats.org/officeDocument/2006/relationships/footer" Target="footer108.xml"/><Relationship Id="rId257" Type="http://schemas.openxmlformats.org/officeDocument/2006/relationships/footer" Target="footer118.xml"/><Relationship Id="rId278" Type="http://schemas.openxmlformats.org/officeDocument/2006/relationships/footer" Target="footer129.xml"/><Relationship Id="rId401" Type="http://schemas.openxmlformats.org/officeDocument/2006/relationships/footer" Target="footer183.xml"/><Relationship Id="rId422" Type="http://schemas.openxmlformats.org/officeDocument/2006/relationships/footer" Target="footer193.xml"/><Relationship Id="rId443" Type="http://schemas.openxmlformats.org/officeDocument/2006/relationships/footer" Target="footer204.xml"/><Relationship Id="rId464" Type="http://schemas.openxmlformats.org/officeDocument/2006/relationships/footer" Target="footer214.xml"/><Relationship Id="rId303" Type="http://schemas.openxmlformats.org/officeDocument/2006/relationships/header" Target="header142.xml"/><Relationship Id="rId485" Type="http://schemas.openxmlformats.org/officeDocument/2006/relationships/footer" Target="footer225.xml"/><Relationship Id="rId42" Type="http://schemas.openxmlformats.org/officeDocument/2006/relationships/image" Target="media/image10.png"/><Relationship Id="rId84" Type="http://schemas.openxmlformats.org/officeDocument/2006/relationships/footer" Target="footer32.xml"/><Relationship Id="rId138" Type="http://schemas.openxmlformats.org/officeDocument/2006/relationships/footer" Target="footer59.xml"/><Relationship Id="rId345" Type="http://schemas.openxmlformats.org/officeDocument/2006/relationships/footer" Target="footer162.xml"/><Relationship Id="rId387" Type="http://schemas.openxmlformats.org/officeDocument/2006/relationships/image" Target="media/image17.png"/><Relationship Id="rId510" Type="http://schemas.openxmlformats.org/officeDocument/2006/relationships/header" Target="header238.xml"/><Relationship Id="rId191" Type="http://schemas.openxmlformats.org/officeDocument/2006/relationships/footer" Target="footer85.xml"/><Relationship Id="rId205" Type="http://schemas.openxmlformats.org/officeDocument/2006/relationships/header" Target="header93.xml"/><Relationship Id="rId247" Type="http://schemas.openxmlformats.org/officeDocument/2006/relationships/header" Target="header114.xml"/><Relationship Id="rId412" Type="http://schemas.openxmlformats.org/officeDocument/2006/relationships/header" Target="header189.xml"/><Relationship Id="rId107" Type="http://schemas.openxmlformats.org/officeDocument/2006/relationships/footer" Target="footer43.xml"/><Relationship Id="rId289" Type="http://schemas.openxmlformats.org/officeDocument/2006/relationships/header" Target="header135.xml"/><Relationship Id="rId454" Type="http://schemas.openxmlformats.org/officeDocument/2006/relationships/header" Target="header210.xml"/><Relationship Id="rId496" Type="http://schemas.openxmlformats.org/officeDocument/2006/relationships/header" Target="header231.xml"/><Relationship Id="rId11" Type="http://schemas.openxmlformats.org/officeDocument/2006/relationships/header" Target="header2.xml"/><Relationship Id="rId53" Type="http://schemas.openxmlformats.org/officeDocument/2006/relationships/footer" Target="footer16.xml"/><Relationship Id="rId149" Type="http://schemas.openxmlformats.org/officeDocument/2006/relationships/footer" Target="footer64.xml"/><Relationship Id="rId314" Type="http://schemas.openxmlformats.org/officeDocument/2006/relationships/footer" Target="footer147.xml"/><Relationship Id="rId356" Type="http://schemas.openxmlformats.org/officeDocument/2006/relationships/header" Target="header168.xml"/><Relationship Id="rId398" Type="http://schemas.openxmlformats.org/officeDocument/2006/relationships/footer" Target="footer181.xml"/><Relationship Id="rId521" Type="http://schemas.openxmlformats.org/officeDocument/2006/relationships/footer" Target="footer243.xml"/><Relationship Id="rId95" Type="http://schemas.openxmlformats.org/officeDocument/2006/relationships/footer" Target="footer37.xml"/><Relationship Id="rId160" Type="http://schemas.openxmlformats.org/officeDocument/2006/relationships/header" Target="header71.xml"/><Relationship Id="rId216" Type="http://schemas.openxmlformats.org/officeDocument/2006/relationships/footer" Target="footer98.xml"/><Relationship Id="rId423" Type="http://schemas.openxmlformats.org/officeDocument/2006/relationships/footer" Target="footer194.xml"/><Relationship Id="rId258" Type="http://schemas.openxmlformats.org/officeDocument/2006/relationships/footer" Target="footer119.xml"/><Relationship Id="rId465" Type="http://schemas.openxmlformats.org/officeDocument/2006/relationships/footer" Target="footer215.xml"/><Relationship Id="rId22" Type="http://schemas.openxmlformats.org/officeDocument/2006/relationships/header" Target="header7.xml"/><Relationship Id="rId64" Type="http://schemas.openxmlformats.org/officeDocument/2006/relationships/header" Target="header23.xml"/><Relationship Id="rId118" Type="http://schemas.openxmlformats.org/officeDocument/2006/relationships/header" Target="header50.xml"/><Relationship Id="rId325" Type="http://schemas.openxmlformats.org/officeDocument/2006/relationships/footer" Target="footer152.xml"/><Relationship Id="rId367" Type="http://schemas.openxmlformats.org/officeDocument/2006/relationships/footer" Target="footer173.xml"/><Relationship Id="rId532" Type="http://schemas.openxmlformats.org/officeDocument/2006/relationships/header" Target="header249.xml"/><Relationship Id="rId171" Type="http://schemas.openxmlformats.org/officeDocument/2006/relationships/header" Target="header76.xml"/><Relationship Id="rId227" Type="http://schemas.openxmlformats.org/officeDocument/2006/relationships/footer" Target="footer103.xml"/><Relationship Id="rId269" Type="http://schemas.openxmlformats.org/officeDocument/2006/relationships/footer" Target="footer124.xml"/><Relationship Id="rId434" Type="http://schemas.openxmlformats.org/officeDocument/2006/relationships/footer" Target="footer199.xml"/><Relationship Id="rId476" Type="http://schemas.openxmlformats.org/officeDocument/2006/relationships/footer" Target="footer220.xml"/><Relationship Id="rId33" Type="http://schemas.openxmlformats.org/officeDocument/2006/relationships/header" Target="header12.xml"/><Relationship Id="rId129" Type="http://schemas.openxmlformats.org/officeDocument/2006/relationships/header" Target="header55.xml"/><Relationship Id="rId280" Type="http://schemas.openxmlformats.org/officeDocument/2006/relationships/header" Target="header131.xml"/><Relationship Id="rId336" Type="http://schemas.openxmlformats.org/officeDocument/2006/relationships/footer" Target="footer157.xml"/><Relationship Id="rId501" Type="http://schemas.openxmlformats.org/officeDocument/2006/relationships/footer" Target="footer233.xml"/><Relationship Id="rId75" Type="http://schemas.openxmlformats.org/officeDocument/2006/relationships/header" Target="header28.xml"/><Relationship Id="rId140" Type="http://schemas.openxmlformats.org/officeDocument/2006/relationships/footer" Target="footer60.xml"/><Relationship Id="rId182" Type="http://schemas.openxmlformats.org/officeDocument/2006/relationships/footer" Target="footer81.xml"/><Relationship Id="rId378" Type="http://schemas.openxmlformats.org/officeDocument/2006/relationships/footer" Target="footer178.xml"/><Relationship Id="rId403" Type="http://schemas.openxmlformats.org/officeDocument/2006/relationships/header" Target="header185.xml"/><Relationship Id="rId6" Type="http://schemas.openxmlformats.org/officeDocument/2006/relationships/webSettings" Target="webSettings.xml"/><Relationship Id="rId238" Type="http://schemas.openxmlformats.org/officeDocument/2006/relationships/header" Target="header110.xml"/><Relationship Id="rId445" Type="http://schemas.openxmlformats.org/officeDocument/2006/relationships/header" Target="header206.xml"/><Relationship Id="rId487" Type="http://schemas.openxmlformats.org/officeDocument/2006/relationships/header" Target="header227.xml"/><Relationship Id="rId291" Type="http://schemas.openxmlformats.org/officeDocument/2006/relationships/header" Target="header136.xml"/><Relationship Id="rId305" Type="http://schemas.openxmlformats.org/officeDocument/2006/relationships/footer" Target="footer142.xml"/><Relationship Id="rId347" Type="http://schemas.openxmlformats.org/officeDocument/2006/relationships/header" Target="header164.xml"/><Relationship Id="rId512" Type="http://schemas.openxmlformats.org/officeDocument/2006/relationships/footer" Target="footer238.xml"/><Relationship Id="rId44" Type="http://schemas.openxmlformats.org/officeDocument/2006/relationships/image" Target="media/image12.png"/><Relationship Id="rId86" Type="http://schemas.openxmlformats.org/officeDocument/2006/relationships/footer" Target="footer33.xml"/><Relationship Id="rId151" Type="http://schemas.openxmlformats.org/officeDocument/2006/relationships/header" Target="header66.xml"/><Relationship Id="rId389" Type="http://schemas.openxmlformats.org/officeDocument/2006/relationships/diagramData" Target="diagrams/data1.xml"/><Relationship Id="rId193" Type="http://schemas.openxmlformats.org/officeDocument/2006/relationships/header" Target="header87.xml"/><Relationship Id="rId207" Type="http://schemas.openxmlformats.org/officeDocument/2006/relationships/header" Target="header94.xml"/><Relationship Id="rId249" Type="http://schemas.openxmlformats.org/officeDocument/2006/relationships/header" Target="header115.xml"/><Relationship Id="rId414" Type="http://schemas.openxmlformats.org/officeDocument/2006/relationships/header" Target="header190.xml"/><Relationship Id="rId456" Type="http://schemas.openxmlformats.org/officeDocument/2006/relationships/header" Target="header211.xml"/><Relationship Id="rId498" Type="http://schemas.openxmlformats.org/officeDocument/2006/relationships/header" Target="header232.xml"/><Relationship Id="rId13" Type="http://schemas.openxmlformats.org/officeDocument/2006/relationships/footer" Target="footer2.xml"/><Relationship Id="rId109" Type="http://schemas.openxmlformats.org/officeDocument/2006/relationships/header" Target="header45.xml"/><Relationship Id="rId260" Type="http://schemas.openxmlformats.org/officeDocument/2006/relationships/footer" Target="footer120.xml"/><Relationship Id="rId316" Type="http://schemas.openxmlformats.org/officeDocument/2006/relationships/header" Target="header149.xml"/><Relationship Id="rId523" Type="http://schemas.openxmlformats.org/officeDocument/2006/relationships/header" Target="header245.xml"/><Relationship Id="rId55" Type="http://schemas.openxmlformats.org/officeDocument/2006/relationships/header" Target="header18.xml"/><Relationship Id="rId97" Type="http://schemas.openxmlformats.org/officeDocument/2006/relationships/header" Target="header39.xml"/><Relationship Id="rId120" Type="http://schemas.openxmlformats.org/officeDocument/2006/relationships/footer" Target="footer50.xml"/><Relationship Id="rId358" Type="http://schemas.openxmlformats.org/officeDocument/2006/relationships/header" Target="header169.xml"/><Relationship Id="rId162" Type="http://schemas.openxmlformats.org/officeDocument/2006/relationships/footer" Target="footer71.xml"/><Relationship Id="rId218" Type="http://schemas.openxmlformats.org/officeDocument/2006/relationships/footer" Target="footer99.xml"/><Relationship Id="rId425" Type="http://schemas.openxmlformats.org/officeDocument/2006/relationships/footer" Target="footer195.xml"/><Relationship Id="rId467" Type="http://schemas.openxmlformats.org/officeDocument/2006/relationships/footer" Target="footer216.xml"/><Relationship Id="rId271" Type="http://schemas.openxmlformats.org/officeDocument/2006/relationships/header" Target="header126.xml"/><Relationship Id="rId24" Type="http://schemas.openxmlformats.org/officeDocument/2006/relationships/footer" Target="footer7.xml"/><Relationship Id="rId66" Type="http://schemas.openxmlformats.org/officeDocument/2006/relationships/footer" Target="footer23.xml"/><Relationship Id="rId131" Type="http://schemas.openxmlformats.org/officeDocument/2006/relationships/footer" Target="footer55.xml"/><Relationship Id="rId327" Type="http://schemas.openxmlformats.org/officeDocument/2006/relationships/footer" Target="footer153.xml"/><Relationship Id="rId369" Type="http://schemas.openxmlformats.org/officeDocument/2006/relationships/footer" Target="footer174.xml"/><Relationship Id="rId534" Type="http://schemas.openxmlformats.org/officeDocument/2006/relationships/fontTable" Target="fontTable.xml"/><Relationship Id="rId173" Type="http://schemas.openxmlformats.org/officeDocument/2006/relationships/footer" Target="footer76.xml"/><Relationship Id="rId229" Type="http://schemas.openxmlformats.org/officeDocument/2006/relationships/header" Target="header105.xml"/><Relationship Id="rId380" Type="http://schemas.openxmlformats.org/officeDocument/2006/relationships/header" Target="header180.xml"/><Relationship Id="rId436" Type="http://schemas.openxmlformats.org/officeDocument/2006/relationships/header" Target="header201.xml"/><Relationship Id="rId240" Type="http://schemas.openxmlformats.org/officeDocument/2006/relationships/footer" Target="footer110.xml"/><Relationship Id="rId478" Type="http://schemas.openxmlformats.org/officeDocument/2006/relationships/header" Target="header222.xml"/><Relationship Id="rId35" Type="http://schemas.openxmlformats.org/officeDocument/2006/relationships/image" Target="media/image3.png"/><Relationship Id="rId77" Type="http://schemas.openxmlformats.org/officeDocument/2006/relationships/footer" Target="footer28.xml"/><Relationship Id="rId100" Type="http://schemas.openxmlformats.org/officeDocument/2006/relationships/header" Target="header41.xml"/><Relationship Id="rId282" Type="http://schemas.openxmlformats.org/officeDocument/2006/relationships/footer" Target="footer131.xml"/><Relationship Id="rId338" Type="http://schemas.openxmlformats.org/officeDocument/2006/relationships/header" Target="header159.xml"/><Relationship Id="rId503" Type="http://schemas.openxmlformats.org/officeDocument/2006/relationships/footer" Target="footer234.xml"/><Relationship Id="rId8" Type="http://schemas.openxmlformats.org/officeDocument/2006/relationships/endnotes" Target="endnotes.xml"/><Relationship Id="rId142" Type="http://schemas.openxmlformats.org/officeDocument/2006/relationships/header" Target="header62.xml"/><Relationship Id="rId184" Type="http://schemas.openxmlformats.org/officeDocument/2006/relationships/header" Target="header83.xml"/><Relationship Id="rId391" Type="http://schemas.openxmlformats.org/officeDocument/2006/relationships/diagramQuickStyle" Target="diagrams/quickStyle1.xml"/><Relationship Id="rId405" Type="http://schemas.openxmlformats.org/officeDocument/2006/relationships/footer" Target="footer185.xml"/><Relationship Id="rId447" Type="http://schemas.openxmlformats.org/officeDocument/2006/relationships/footer" Target="footer206.xml"/><Relationship Id="rId251" Type="http://schemas.openxmlformats.org/officeDocument/2006/relationships/footer" Target="footer115.xml"/><Relationship Id="rId489" Type="http://schemas.openxmlformats.org/officeDocument/2006/relationships/footer" Target="footer227.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bg-BG" sz="900" b="0" i="1" baseline="0">
                <a:latin typeface="Verdana" panose="020B0604030504040204" pitchFamily="34" charset="0"/>
                <a:ea typeface="Verdana" panose="020B0604030504040204" pitchFamily="34" charset="0"/>
              </a:rPr>
              <a:t>милиони евро</a:t>
            </a: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tx>
            <c:strRef>
              <c:f>FI!$A$5</c:f>
              <c:strCache>
                <c:ptCount val="1"/>
                <c:pt idx="0">
                  <c:v>EU less CECA, BUFI, EBRD, GF</c:v>
                </c:pt>
              </c:strCache>
            </c:strRef>
          </c:tx>
          <c:invertIfNegative val="0"/>
          <c:cat>
            <c:numRef>
              <c:f>FI!$E$2:$I$2</c:f>
              <c:numCache>
                <c:formatCode>General</c:formatCode>
                <c:ptCount val="5"/>
                <c:pt idx="0">
                  <c:v>2013</c:v>
                </c:pt>
                <c:pt idx="1">
                  <c:v>2014</c:v>
                </c:pt>
                <c:pt idx="2">
                  <c:v>2015</c:v>
                </c:pt>
                <c:pt idx="3">
                  <c:v>2016</c:v>
                </c:pt>
                <c:pt idx="4">
                  <c:v>2017</c:v>
                </c:pt>
              </c:numCache>
            </c:numRef>
          </c:cat>
          <c:val>
            <c:numRef>
              <c:f>FI!$E$5:$I$5</c:f>
              <c:numCache>
                <c:formatCode>#\ ##0;\(#\ ##0\);\-</c:formatCode>
                <c:ptCount val="5"/>
                <c:pt idx="0">
                  <c:v>2226</c:v>
                </c:pt>
                <c:pt idx="1">
                  <c:v>2626</c:v>
                </c:pt>
                <c:pt idx="2">
                  <c:v>3084</c:v>
                </c:pt>
                <c:pt idx="3" formatCode="General">
                  <c:v>3539</c:v>
                </c:pt>
                <c:pt idx="4" formatCode="0">
                  <c:v>4014.2570000000005</c:v>
                </c:pt>
              </c:numCache>
            </c:numRef>
          </c:val>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xmlns:c16r2="http://schemas.microsoft.com/office/drawing/2015/06/chart">
            <c:ext xmlns:c16="http://schemas.microsoft.com/office/drawing/2014/chart" uri="{C3380CC4-5D6E-409C-BE32-E72D297353CC}">
              <c16:uniqueId val="{00000000-B879-4C15-9942-6EA1D8F17B2D}"/>
            </c:ext>
          </c:extLst>
        </c:ser>
        <c:dLbls>
          <c:showLegendKey val="0"/>
          <c:showVal val="0"/>
          <c:showCatName val="0"/>
          <c:showSerName val="0"/>
          <c:showPercent val="0"/>
          <c:showBubbleSize val="0"/>
        </c:dLbls>
        <c:gapWidth val="150"/>
        <c:axId val="75571584"/>
        <c:axId val="75573120"/>
      </c:barChart>
      <c:catAx>
        <c:axId val="75571584"/>
        <c:scaling>
          <c:orientation val="minMax"/>
        </c:scaling>
        <c:delete val="0"/>
        <c:axPos val="b"/>
        <c:numFmt formatCode="General" sourceLinked="1"/>
        <c:majorTickMark val="out"/>
        <c:minorTickMark val="none"/>
        <c:tickLblPos val="nextTo"/>
        <c:crossAx val="75573120"/>
        <c:crosses val="autoZero"/>
        <c:auto val="1"/>
        <c:lblAlgn val="ctr"/>
        <c:lblOffset val="100"/>
        <c:noMultiLvlLbl val="0"/>
      </c:catAx>
      <c:valAx>
        <c:axId val="75573120"/>
        <c:scaling>
          <c:orientation val="minMax"/>
        </c:scaling>
        <c:delete val="0"/>
        <c:axPos val="l"/>
        <c:numFmt formatCode="#\ ##0;\(#\ ##0\);\-" sourceLinked="1"/>
        <c:majorTickMark val="out"/>
        <c:minorTickMark val="none"/>
        <c:tickLblPos val="nextTo"/>
        <c:crossAx val="75571584"/>
        <c:crosses val="autoZero"/>
        <c:crossBetween val="between"/>
      </c:valAx>
    </c:plotArea>
    <c:plotVisOnly val="1"/>
    <c:dispBlanksAs val="gap"/>
    <c:showDLblsOverMax val="0"/>
  </c:chart>
  <c:spPr>
    <a:ln w="9525">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bg-BG" sz="900" b="0" i="1" baseline="0">
                <a:latin typeface="Verdana" panose="020B0604030504040204" pitchFamily="34" charset="0"/>
                <a:ea typeface="Verdana" panose="020B0604030504040204" pitchFamily="34" charset="0"/>
              </a:rPr>
              <a:t>милиони евро</a:t>
            </a: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invertIfNegative val="0"/>
          <c:cat>
            <c:numRef>
              <c:f>'Cost claims'!$C$3:$F$3</c:f>
              <c:numCache>
                <c:formatCode>General</c:formatCode>
                <c:ptCount val="4"/>
                <c:pt idx="0">
                  <c:v>2014</c:v>
                </c:pt>
                <c:pt idx="1">
                  <c:v>2015</c:v>
                </c:pt>
                <c:pt idx="2">
                  <c:v>2016</c:v>
                </c:pt>
                <c:pt idx="3">
                  <c:v>2017</c:v>
                </c:pt>
              </c:numCache>
            </c:numRef>
          </c:cat>
          <c:val>
            <c:numRef>
              <c:f>'Cost claims'!$C$4:$F$4</c:f>
              <c:numCache>
                <c:formatCode>#\ ##0;\(#\ ##0\);\-</c:formatCode>
                <c:ptCount val="4"/>
                <c:pt idx="0">
                  <c:v>25808</c:v>
                </c:pt>
                <c:pt idx="1">
                  <c:v>15192</c:v>
                </c:pt>
                <c:pt idx="2">
                  <c:v>16641</c:v>
                </c:pt>
                <c:pt idx="3">
                  <c:v>18004</c:v>
                </c:pt>
              </c:numCache>
            </c:numRef>
          </c:val>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xmlns:c16r2="http://schemas.microsoft.com/office/drawing/2015/06/chart">
            <c:ext xmlns:c16="http://schemas.microsoft.com/office/drawing/2014/chart" uri="{C3380CC4-5D6E-409C-BE32-E72D297353CC}">
              <c16:uniqueId val="{00000000-2F77-45B1-A7C8-7BAC42AC80CD}"/>
            </c:ext>
          </c:extLst>
        </c:ser>
        <c:dLbls>
          <c:showLegendKey val="0"/>
          <c:showVal val="0"/>
          <c:showCatName val="0"/>
          <c:showSerName val="0"/>
          <c:showPercent val="0"/>
          <c:showBubbleSize val="0"/>
        </c:dLbls>
        <c:gapWidth val="150"/>
        <c:axId val="75605888"/>
        <c:axId val="75607424"/>
      </c:barChart>
      <c:catAx>
        <c:axId val="75605888"/>
        <c:scaling>
          <c:orientation val="minMax"/>
        </c:scaling>
        <c:delete val="0"/>
        <c:axPos val="b"/>
        <c:numFmt formatCode="General" sourceLinked="1"/>
        <c:majorTickMark val="out"/>
        <c:minorTickMark val="none"/>
        <c:tickLblPos val="nextTo"/>
        <c:crossAx val="75607424"/>
        <c:crosses val="autoZero"/>
        <c:auto val="1"/>
        <c:lblAlgn val="ctr"/>
        <c:lblOffset val="100"/>
        <c:noMultiLvlLbl val="0"/>
      </c:catAx>
      <c:valAx>
        <c:axId val="75607424"/>
        <c:scaling>
          <c:orientation val="minMax"/>
        </c:scaling>
        <c:delete val="0"/>
        <c:axPos val="l"/>
        <c:numFmt formatCode="#\ ##0;\(#\ ##0\);\-" sourceLinked="1"/>
        <c:majorTickMark val="out"/>
        <c:minorTickMark val="none"/>
        <c:tickLblPos val="nextTo"/>
        <c:crossAx val="75605888"/>
        <c:crosses val="autoZero"/>
        <c:crossBetween val="between"/>
      </c:valAx>
      <c:spPr>
        <a:noFill/>
        <a:ln w="25400">
          <a:noFill/>
        </a:ln>
      </c:spPr>
    </c:plotArea>
    <c:plotVisOnly val="1"/>
    <c:dispBlanksAs val="gap"/>
    <c:showDLblsOverMax val="0"/>
  </c:chart>
  <c:spPr>
    <a:ln w="9525">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bg-BG"/>
            <a:t>Последващи проверки и одити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bg-BG"/>
            <a:t>В ход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bg-BG"/>
            <a:t>Потвърдени</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bg-BG" b="0" i="0"/>
            <a:t>Извършени</a:t>
          </a:r>
          <a:r>
            <a:rPr lang="bg-BG"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A3FACC07-0DD9-4677-BF79-9E74A6C8A150}" srcId="{E1C25BA4-CD94-48AD-AE50-64AE48F13B24}" destId="{CE7D345B-4382-40B7-8AE5-3C560131C26B}" srcOrd="0" destOrd="0" parTransId="{D9262A82-C4DC-4FBF-8A9C-A5FD3941FB93}" sibTransId="{9D510870-6695-4296-A195-8C06AFE2296A}"/>
    <dgm:cxn modelId="{7349E0F7-45AD-4D5B-B8F7-146977EBAC9E}" type="presOf" srcId="{F6C9324B-55E1-4C53-A6B9-E90359BF7543}" destId="{2BA60F5D-2D40-4CE6-9D07-3515F01652FD}"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B9200AAF-A1A3-4B11-8E24-40FE4DFC75F6}" type="presOf" srcId="{20CC9278-1A5F-4B76-B2AA-59FA8426B074}" destId="{6E872551-BC66-474E-9080-DF01D418D413}" srcOrd="0" destOrd="0" presId="urn:microsoft.com/office/officeart/2005/8/layout/chevron1"/>
    <dgm:cxn modelId="{FCC2679A-A57B-4A86-A277-EAC6B5B87844}" type="presOf" srcId="{E1C25BA4-CD94-48AD-AE50-64AE48F13B24}" destId="{28EF3502-A5CE-4BF1-80B1-CA7E0202B890}" srcOrd="0" destOrd="0" presId="urn:microsoft.com/office/officeart/2005/8/layout/chevron1"/>
    <dgm:cxn modelId="{9EE3E977-3E7A-465A-AF0C-220EADD84680}" type="presOf" srcId="{5E616404-2CD3-4779-9033-735D650D5CB5}" destId="{DF1B5E6B-E404-4038-8C22-E9AECF6B8108}" srcOrd="0" destOrd="0" presId="urn:microsoft.com/office/officeart/2005/8/layout/chevron1"/>
    <dgm:cxn modelId="{DE38F97C-1C58-4432-A1D4-5D574E87AF64}" type="presOf" srcId="{CE7D345B-4382-40B7-8AE5-3C560131C26B}" destId="{191FECF2-A521-4F46-A93A-2BBD80BE276F}" srcOrd="0" destOrd="0" presId="urn:microsoft.com/office/officeart/2005/8/layout/chevron1"/>
    <dgm:cxn modelId="{932A081B-D865-4535-B7D2-8952C7F835F3}" type="presParOf" srcId="{28EF3502-A5CE-4BF1-80B1-CA7E0202B890}" destId="{191FECF2-A521-4F46-A93A-2BBD80BE276F}" srcOrd="0" destOrd="0" presId="urn:microsoft.com/office/officeart/2005/8/layout/chevron1"/>
    <dgm:cxn modelId="{31810597-4498-4053-B984-7CDDC46634E8}" type="presParOf" srcId="{28EF3502-A5CE-4BF1-80B1-CA7E0202B890}" destId="{02AD3CC4-9DFF-43CD-981A-7C4AB4B49B41}" srcOrd="1" destOrd="0" presId="urn:microsoft.com/office/officeart/2005/8/layout/chevron1"/>
    <dgm:cxn modelId="{1E509C3A-1EBD-4AD5-9281-9AF2BBE25D61}" type="presParOf" srcId="{28EF3502-A5CE-4BF1-80B1-CA7E0202B890}" destId="{6E872551-BC66-474E-9080-DF01D418D413}" srcOrd="2" destOrd="0" presId="urn:microsoft.com/office/officeart/2005/8/layout/chevron1"/>
    <dgm:cxn modelId="{A54AFFB1-7A68-4F3F-8D05-1005B5FE0465}" type="presParOf" srcId="{28EF3502-A5CE-4BF1-80B1-CA7E0202B890}" destId="{12B97AD2-D582-40D7-B04F-958FF16B139F}" srcOrd="3" destOrd="0" presId="urn:microsoft.com/office/officeart/2005/8/layout/chevron1"/>
    <dgm:cxn modelId="{3C5305B4-EEC5-497B-8EF4-3B55D46D57EF}" type="presParOf" srcId="{28EF3502-A5CE-4BF1-80B1-CA7E0202B890}" destId="{2BA60F5D-2D40-4CE6-9D07-3515F01652FD}" srcOrd="4" destOrd="0" presId="urn:microsoft.com/office/officeart/2005/8/layout/chevron1"/>
    <dgm:cxn modelId="{63FB555B-9B78-4763-8244-EC6828D85876}" type="presParOf" srcId="{28EF3502-A5CE-4BF1-80B1-CA7E0202B890}" destId="{50193686-C14E-4A4D-9A32-A08E74E3283C}" srcOrd="5" destOrd="0" presId="urn:microsoft.com/office/officeart/2005/8/layout/chevron1"/>
    <dgm:cxn modelId="{F4F90505-B224-498D-BEA9-C980C75229F6}"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3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4" y="0"/>
          <a:ext cx="1528021" cy="38818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bg-BG" sz="1100" kern="1200"/>
            <a:t>Последващи проверки и одити </a:t>
          </a:r>
        </a:p>
      </dsp:txBody>
      <dsp:txXfrm>
        <a:off x="196718" y="0"/>
        <a:ext cx="1139834" cy="388187"/>
      </dsp:txXfrm>
    </dsp:sp>
    <dsp:sp modelId="{6E872551-BC66-474E-9080-DF01D418D413}">
      <dsp:nvSpPr>
        <dsp:cNvPr id="0" name=""/>
        <dsp:cNvSpPr/>
      </dsp:nvSpPr>
      <dsp:spPr>
        <a:xfrm>
          <a:off x="1377843" y="0"/>
          <a:ext cx="1528021" cy="38818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bg-BG" sz="1100" kern="1200"/>
            <a:t>В ход </a:t>
          </a:r>
        </a:p>
      </dsp:txBody>
      <dsp:txXfrm>
        <a:off x="1571937" y="0"/>
        <a:ext cx="1139834" cy="388187"/>
      </dsp:txXfrm>
    </dsp:sp>
    <dsp:sp modelId="{2BA60F5D-2D40-4CE6-9D07-3515F01652FD}">
      <dsp:nvSpPr>
        <dsp:cNvPr id="0" name=""/>
        <dsp:cNvSpPr/>
      </dsp:nvSpPr>
      <dsp:spPr>
        <a:xfrm>
          <a:off x="2753062" y="0"/>
          <a:ext cx="1528021" cy="38818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bg-BG" sz="1100" kern="1200"/>
            <a:t>Потвърдени</a:t>
          </a:r>
        </a:p>
      </dsp:txBody>
      <dsp:txXfrm>
        <a:off x="2947156" y="0"/>
        <a:ext cx="1139834" cy="388187"/>
      </dsp:txXfrm>
    </dsp:sp>
    <dsp:sp modelId="{DF1B5E6B-E404-4038-8C22-E9AECF6B8108}">
      <dsp:nvSpPr>
        <dsp:cNvPr id="0" name=""/>
        <dsp:cNvSpPr/>
      </dsp:nvSpPr>
      <dsp:spPr>
        <a:xfrm>
          <a:off x="4128281" y="0"/>
          <a:ext cx="1528021" cy="38818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bg-BG" sz="1100" b="0" i="0" kern="1200"/>
            <a:t>Извършени</a:t>
          </a:r>
          <a:r>
            <a:rPr lang="bg-BG" sz="1100" i="1" kern="1200"/>
            <a:t> </a:t>
          </a:r>
        </a:p>
      </dsp:txBody>
      <dsp:txXfrm>
        <a:off x="4322375" y="0"/>
        <a:ext cx="1139834" cy="388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5B4D7-2459-49C0-91D7-8AC465C95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28</Pages>
  <Words>68706</Words>
  <Characters>362772</Characters>
  <Application>Microsoft Office Word</Application>
  <DocSecurity>0</DocSecurity>
  <Lines>21339</Lines>
  <Paragraphs>14878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84</cp:revision>
  <cp:lastPrinted>2018-08-29T12:48:00Z</cp:lastPrinted>
  <dcterms:created xsi:type="dcterms:W3CDTF">2018-08-17T12:21:00Z</dcterms:created>
  <dcterms:modified xsi:type="dcterms:W3CDTF">2018-09-04T12:47:00Z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