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254F1E4A-3BAE-4DDD-9116-F2CFBBB179F6" style="width:451.25pt;height:3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r>
        <w:rPr>
          <w:noProof/>
        </w:rPr>
        <w:t>The status agreement shall cover all aspects that are necessary for carrying out the actions. It shall in particular set out the scope of the operation, civil and criminal liability and the tasks and powers of the members of the teams. The status agreement shall ensure the full respect of fundamental rights during these operations.</w:t>
      </w:r>
    </w:p>
    <w:p>
      <w:pPr>
        <w:rPr>
          <w:iCs/>
          <w:noProof/>
          <w:szCs w:val="24"/>
        </w:rPr>
      </w:pPr>
      <w:r>
        <w:rPr>
          <w:noProof/>
          <w:szCs w:val="24"/>
        </w:rPr>
        <w:t xml:space="preserve">On the basis of negotiating directives adopted by the Council, the European Commission has negotiated with the former Yugoslav Republic of Macedonia a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2015/16, organised crime networks adapt quickly their routes and methods for smuggling migrants to any new circumstances. With the status agreement in place, the responsible authorities of the former Yugoslav Republic of Macedonia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the signing of the status agreement between the European Union and the former Yugoslav Republic of Macedonia. </w:t>
      </w:r>
    </w:p>
    <w:p>
      <w:pPr>
        <w:rPr>
          <w:noProof/>
        </w:rPr>
      </w:pPr>
      <w:r>
        <w:rPr>
          <w:noProof/>
        </w:rPr>
        <w:t xml:space="preserve">On 21 February 2017 the Commission received the Council authorisation to open negotiations with the former Yugoslav Republic of Macedonia on a status agreement on actions carried out by the European Border and Coast Guard Agency in the former Yugoslav Republic of Macedonia. </w:t>
      </w:r>
    </w:p>
    <w:p>
      <w:pPr>
        <w:rPr>
          <w:iCs/>
          <w:noProof/>
          <w:szCs w:val="24"/>
        </w:rPr>
      </w:pPr>
      <w:r>
        <w:rPr>
          <w:noProof/>
        </w:rPr>
        <w:t xml:space="preserve">Negotiations on the status agreement have been opened on 15 September 2017, a second round took place on 24 November 2017 and a final round took place on 30 April 2018. Negotiations were successfully finalised by the initialling </w:t>
      </w:r>
      <w:r>
        <w:rPr>
          <w:iCs/>
          <w:noProof/>
          <w:szCs w:val="24"/>
        </w:rPr>
        <w:t>of the draft status agreement by Commissioner for Migration, Home Affairs and Citizenship D. Avramopoulos and the Minister of Interior of the former Yugoslav Republic of Macedonia O. Spasovski on 18 July 2018 in Brussels.</w:t>
      </w:r>
    </w:p>
    <w:p>
      <w:pPr>
        <w:rPr>
          <w:iCs/>
          <w:noProof/>
          <w:szCs w:val="24"/>
        </w:rPr>
      </w:pPr>
      <w:r>
        <w:rPr>
          <w:iCs/>
          <w:noProof/>
          <w:szCs w:val="24"/>
        </w:rPr>
        <w:t xml:space="preserve">The Commission considers that the objectives set by the Council in its negotiating directives were attained and that the draft status agreement is acceptable for the Union. </w:t>
      </w:r>
    </w:p>
    <w:p>
      <w:pPr>
        <w:spacing w:after="240"/>
        <w:rPr>
          <w:iCs/>
          <w:noProof/>
          <w:szCs w:val="24"/>
        </w:rPr>
      </w:pPr>
      <w:r>
        <w:rPr>
          <w:iCs/>
          <w:noProof/>
          <w:szCs w:val="24"/>
        </w:rPr>
        <w:t xml:space="preserve">Member States have been informed and consulted in the relevant Council Working Group.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40"/>
        <w:rPr>
          <w:iCs/>
          <w:noProof/>
          <w:szCs w:val="24"/>
        </w:rPr>
      </w:pPr>
      <w:r>
        <w:rPr>
          <w:iCs/>
          <w:noProof/>
          <w:szCs w:val="24"/>
        </w:rPr>
        <w:t>Thirteen Member States have bilateral agreements currently in place with the former Yugoslav Republic of Macedonia: those include a series of joint measures such as border checks, surveillance, patrolling, return etc. A working arrangement (which is being updated) between the Ministry of Internal Affairs of the former Yugoslav Republic of Macedonia and the European Border and Coast Guard Agency is also already in place, that includes in particular regular participation of the representatives from the Sector for Border Affairs and Migration in European Border and Coast Guard Agency coordinated joint operations, as observers on Member States' territory, upon agreement of the hosting Member State.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 xml:space="preserve">The European Agenda on Migration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the former Yugoslav Republic of Macedonia</w:t>
      </w:r>
      <w:r>
        <w:rPr>
          <w:noProof/>
          <w:szCs w:val="24"/>
          <w:lang w:val="en"/>
        </w:rPr>
        <w:t xml:space="preserve">'s borders will also positively impact the EU external borders, in particular the external borders of Bulgaria and Greece, as well as the borders of </w:t>
      </w:r>
      <w:r>
        <w:rPr>
          <w:noProof/>
          <w:szCs w:val="24"/>
        </w:rPr>
        <w:t>the former Yugoslav Republic of Macedonia</w:t>
      </w:r>
      <w:r>
        <w:rPr>
          <w:noProof/>
          <w:szCs w:val="24"/>
          <w:lang w:val="en"/>
        </w:rPr>
        <w:t xml:space="preserve">. </w:t>
      </w:r>
      <w:r>
        <w:rPr>
          <w:noProof/>
          <w:szCs w:val="24"/>
        </w:rPr>
        <w:t xml:space="preserve">Further strengthening security at the external borders is also in line with the European Agenda on Security.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218(5) TFEU. </w:t>
      </w:r>
    </w:p>
    <w:p>
      <w:pPr>
        <w:autoSpaceDE w:val="0"/>
        <w:autoSpaceDN w:val="0"/>
        <w:adjustRightInd w:val="0"/>
        <w:rPr>
          <w:noProof/>
          <w:szCs w:val="24"/>
        </w:rPr>
      </w:pPr>
      <w:r>
        <w:rPr>
          <w:noProof/>
          <w:szCs w:val="24"/>
        </w:rPr>
        <w:t xml:space="preserve">The competence of the EU to conclude a status agreement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the former Yugoslav Republic of Macedonia falls within the exclusive competence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A status agreement will allow for the deployment of European Border and Coast Guard teams by the European Border and Coast Guard Agency in the former Yugoslav Republic of Macedonia instead of bilateral deployment by Member States in case of a sudden influx of migrants. </w:t>
      </w:r>
    </w:p>
    <w:p>
      <w:pPr>
        <w:spacing w:after="240"/>
        <w:rPr>
          <w:noProof/>
          <w:szCs w:val="24"/>
        </w:rPr>
      </w:pPr>
      <w:r>
        <w:rPr>
          <w:noProof/>
          <w:szCs w:val="24"/>
        </w:rPr>
        <w:t>A common approach is therefore needed to better manage the borders of the former Yugoslav Republic of Macedonia.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218(5) TFEU, which envisages the adoption by the Council of decisions on international agreements.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after="240"/>
        <w:rPr>
          <w:noProof/>
          <w:szCs w:val="24"/>
        </w:rPr>
      </w:pPr>
      <w:r>
        <w:rPr>
          <w:noProof/>
          <w:szCs w:val="24"/>
        </w:rPr>
        <w:t>The draft status agreement contains provisions ensuring that fundamental rights of persons affected by the actions of members of the team involved in an action coordinated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European Border and Coast Guard teams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autoSpaceDE w:val="0"/>
        <w:autoSpaceDN w:val="0"/>
        <w:rPr>
          <w:noProof/>
          <w:szCs w:val="24"/>
        </w:rPr>
      </w:pPr>
      <w:r>
        <w:rPr>
          <w:iCs/>
          <w:noProof/>
          <w:szCs w:val="24"/>
        </w:rPr>
        <w:t>The financial statement annexed to the proposal for a Regulation on a European Border and Coast Guard on the expenditure of the European Border and Coast Guard Agency evaluated at EUR 6.090 million on average each year for 2017-2020 the reinforced cooperation with third countries (including possible joint operations with neighbouring countries)</w:t>
      </w:r>
      <w:r>
        <w:rPr>
          <w:noProof/>
          <w:szCs w:val="24"/>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lastRenderedPageBreak/>
        <w:t xml:space="preserve">The former Yugoslav Republic of Macedonia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t xml:space="preserve">In particular, the European Border and Coast Guard Agency, the former Yugoslav Republic of Macedonia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Under this Agreement, the European Border and Coast Guard Agency shall be able to deploy European Border and Coast Guard teams with executive powers in the former Yugoslav Republic of Macedonia to carry out joint operations and rapid border interventions. While this agreement does not extend the scope of the Agreement between the European Community and the former Yugoslav Republic of Macedonia on the readmission of persons residing without authorisation ('EC-former Yugoslav Republic of Macedonia readmission agreement')</w:t>
      </w:r>
      <w:r>
        <w:rPr>
          <w:rStyle w:val="FootnoteReference"/>
          <w:rFonts w:eastAsia="Times New Roman"/>
          <w:noProof/>
          <w:lang w:eastAsia="en-GB"/>
        </w:rPr>
        <w:footnoteReference w:id="2"/>
      </w:r>
      <w:r>
        <w:rPr>
          <w:rFonts w:eastAsia="Times New Roman"/>
          <w:noProof/>
          <w:lang w:eastAsia="en-GB"/>
        </w:rPr>
        <w:t xml:space="preserve">, teams of the European Border and Coast Guard Agency shall also be allowed, </w:t>
      </w:r>
      <w:r>
        <w:rPr>
          <w:noProof/>
          <w:szCs w:val="24"/>
        </w:rPr>
        <w:t xml:space="preserve">in the course of a specific return operation, to assist the former Yugoslav Republic of Macedonia in identifying the persons to be readmitted to the former Yugoslav Republic of Macedonia, in line with the </w:t>
      </w:r>
      <w:r>
        <w:rPr>
          <w:noProof/>
        </w:rPr>
        <w:t>EC-former Yugoslav Republic of Macedonia readmission agreement</w:t>
      </w:r>
      <w:r>
        <w:rPr>
          <w:rStyle w:val="Hyperlink"/>
          <w:noProof/>
          <w:color w:val="auto"/>
          <w:szCs w:val="24"/>
        </w:rPr>
        <w:t>.</w:t>
      </w:r>
    </w:p>
    <w:p>
      <w:pPr>
        <w:spacing w:after="240"/>
        <w:rPr>
          <w:rFonts w:eastAsia="Times New Roman"/>
          <w:noProof/>
          <w:lang w:eastAsia="en-GB"/>
        </w:rPr>
      </w:pPr>
      <w:r>
        <w:rPr>
          <w:rFonts w:eastAsia="Times New Roman"/>
          <w:noProof/>
          <w:lang w:eastAsia="en-GB"/>
        </w:rPr>
        <w:t>European Border and Coast Guard teams may be deployed on the territory of the former Yugoslav Republic of Macedonia only in regions bordering the EU external borders and members of the team shall have executive powers in those areas of the former Yugoslav Republic of Macedonia as set out in the Operational Plan.</w:t>
      </w:r>
    </w:p>
    <w:p>
      <w:pPr>
        <w:rPr>
          <w:rFonts w:eastAsia="Times New Roman"/>
          <w:i/>
          <w:noProof/>
          <w:lang w:eastAsia="en-GB"/>
        </w:rPr>
      </w:pPr>
      <w:r>
        <w:rPr>
          <w:rFonts w:eastAsia="Times New Roman"/>
          <w:i/>
          <w:noProof/>
          <w:lang w:eastAsia="en-GB"/>
        </w:rPr>
        <w:t>Launching an action</w:t>
      </w:r>
    </w:p>
    <w:p>
      <w:pPr>
        <w:rPr>
          <w:rFonts w:eastAsia="Times New Roman"/>
          <w:noProof/>
          <w:lang w:eastAsia="en-GB"/>
        </w:rPr>
      </w:pPr>
      <w:r>
        <w:rPr>
          <w:rFonts w:eastAsia="Times New Roman"/>
          <w:noProof/>
          <w:lang w:eastAsia="en-GB"/>
        </w:rPr>
        <w:t xml:space="preserve">The initiative to launch an action can be proposed by the Agency. The competent authorities of the former Yugoslav Republic of Macedonia may request the Agency to consider launching an action. Carrying out an action requires the consent of the competent authorities of the former Yugoslav Republic of Macedonia and the Agency. </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the former Yugoslav Republic of Macedonia.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lastRenderedPageBreak/>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laws and regulations of the former Yugoslav Republic of Macedonia.</w:t>
      </w:r>
    </w:p>
    <w:p>
      <w:pPr>
        <w:rPr>
          <w:noProof/>
          <w:lang w:eastAsia="en-GB"/>
        </w:rPr>
      </w:pPr>
      <w:r>
        <w:rPr>
          <w:rFonts w:eastAsia="Times New Roman"/>
          <w:noProof/>
          <w:lang w:eastAsia="en-GB"/>
        </w:rPr>
        <w:t>Teams shall only act in the territory of the former Yugoslav Republic of Macedonia under instructions from and in the presence of border guards or other relevant staff of the former Yugoslav Republic of Macedonia.</w:t>
      </w:r>
    </w:p>
    <w:p>
      <w:pPr>
        <w:rPr>
          <w:rFonts w:eastAsia="Times New Roman"/>
          <w:noProof/>
          <w:lang w:eastAsia="en-GB"/>
        </w:rPr>
      </w:pPr>
      <w:r>
        <w:rPr>
          <w:rFonts w:eastAsia="Times New Roman"/>
          <w:noProof/>
          <w:lang w:eastAsia="en-GB"/>
        </w:rPr>
        <w:t>Members of the team shall wear where appropriate their own uniform, visible personal identification and a blue armband with the insignias of the European Union and of the Agency on their uniforms. They shall also carry an accreditation document in order to be clearly identified by the national authorities of the former Yugoslav Republic of Macedonia.</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and the law of the former Yugoslav Republic of Macedonia. The Agency shall be beforehand notified by the authorites of the former Yugoslav Republic of Macedonia of the permissible service weapons, ammunition and equipment and of the relevant legal framework and conditions for their use. </w:t>
      </w:r>
    </w:p>
    <w:p>
      <w:pPr>
        <w:rPr>
          <w:rFonts w:eastAsia="Times New Roman"/>
          <w:noProof/>
          <w:lang w:eastAsia="en-GB"/>
        </w:rPr>
      </w:pPr>
      <w:r>
        <w:rPr>
          <w:rFonts w:eastAsia="Times New Roman"/>
          <w:noProof/>
          <w:lang w:eastAsia="en-GB"/>
        </w:rPr>
        <w:t>Members of the team may use force, including service weapons, ammunition and equipment, with the consent of their own State and of the authorities of the former Yugoslav Republic of Macedonia, in the presence of border guards or other relevant staff of the former Yugoslav Republic of Macedonia, and in accordance with the national law of the former Yugoslav Republic of Macedonia. The authorities of the former Yugoslav Republic of Macedonia may authorise members of the team to use force also in the absence of their border guards. The Agency shall be beforehand notified by the authorites of the former Yugoslav Republic of Macedonia of the permissible use of physical force and means of coercion, as well as the conditions for their use.</w:t>
      </w:r>
    </w:p>
    <w:p>
      <w:pPr>
        <w:spacing w:after="240"/>
        <w:rPr>
          <w:rFonts w:eastAsia="Times New Roman"/>
          <w:iCs/>
          <w:noProof/>
          <w:lang w:eastAsia="en-GB"/>
        </w:rPr>
      </w:pPr>
      <w:r>
        <w:rPr>
          <w:rFonts w:eastAsia="Times New Roman"/>
          <w:iCs/>
          <w:noProof/>
          <w:lang w:eastAsia="en-GB"/>
        </w:rPr>
        <w:t>Prior to the deployment of the deployment of the members of the team, the authorities of the the former Yugoslav Republic of Macedonia shall inform the Agency of the national databases which may be consulted in accordance with the national legislation of the former Yugoslav Republic of Macedonia. National databases shall be accessed only by authorized persons from the former Yugoslav Republic of Macedonia and data may only be shared with members of the team if necessary.</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authorities of the former Yugoslav Republic of Macedonia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the former Yugoslav Republic of Macedonia in respect of all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the former Yugoslav Republic of Macedonia. </w:t>
      </w:r>
    </w:p>
    <w:p>
      <w:pPr>
        <w:rPr>
          <w:rFonts w:eastAsia="Times New Roman"/>
          <w:noProof/>
          <w:color w:val="000000"/>
          <w:szCs w:val="24"/>
        </w:rPr>
      </w:pPr>
      <w:r>
        <w:rPr>
          <w:rFonts w:eastAsia="Times New Roman"/>
          <w:noProof/>
          <w:color w:val="000000"/>
          <w:szCs w:val="24"/>
        </w:rPr>
        <w:t xml:space="preserve">In the event of an allegation of a criminal offence being committed by a member of the team, the Executive Director of the Agency, prior to the initiation of the proceeding before the </w:t>
      </w:r>
      <w:r>
        <w:rPr>
          <w:rFonts w:eastAsia="Times New Roman"/>
          <w:noProof/>
          <w:color w:val="000000"/>
          <w:szCs w:val="24"/>
        </w:rPr>
        <w:lastRenderedPageBreak/>
        <w:t>court, shall certify to the competent judicial authorities of the former Yugoslav Republic of Macedonia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border guard or other relevant staff and the competent authorities of the former Yugoslav Republic of Macedonia. The certification by the Executive Director of the Agency shall be binding upon the jurisdiction of the former Yugoslav Republic of Macedonia.</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the former Yugoslav Republic of Macedonia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The immunity of members of the teams from the criminal, civil and administrative jurisdiction of the former Yugoslav Republic of Macedonia may be waived by the Member State which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aiming at compensating damages. The compensation mechanism is based on Article 42 of the Regulation (EU) 2016/1624 on the European Border and Coast Guard. If the damage is caused by a member of a team 'on duty', the former Yugoslav Republic of Macedonia shall be liable. If the damage is caused 'on duty' by a member of a team from a participating Member State by gross negligence or wilful misconduct or if the act was committed 'off duty', the former Yugoslav Republic of Macedonia may request via the Executive Director of the Agency that compensation be paid by the participating Member State concerned. If the damage is caused by a staff of the Agency, the former Yugoslav Republic of Macedonia may request that compensation be paid by the Agency. </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which may be in force in the former Yugoslav Republic of Macedonia with respect to services rendered for the Agency. They shall also be exempt from any form of taxation in the former Yugoslav Republic of Macedonia on the salary and emoluments paid to them by the Agency or their Member States, as well as on any income received from outside the former Yugoslav Republic of Macedonia.</w:t>
      </w:r>
    </w:p>
    <w:p>
      <w:pPr>
        <w:rPr>
          <w:rFonts w:eastAsia="Times New Roman"/>
          <w:noProof/>
          <w:color w:val="000000"/>
          <w:szCs w:val="24"/>
        </w:rPr>
      </w:pPr>
      <w:r>
        <w:rPr>
          <w:rFonts w:eastAsia="Times New Roman"/>
          <w:noProof/>
          <w:color w:val="000000"/>
          <w:szCs w:val="24"/>
        </w:rPr>
        <w:t xml:space="preserve">The authorities of the former Yugoslav Republic of Macedonia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shall not be inspected, unless there are serious grounds or considering that it contains articles that are not for the personal use of members of the team, or articles whose import or export is prohibited by the law or subject to quarantine regulations of the former Yugoslav Republic of Macedonia.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lastRenderedPageBreak/>
        <w:t>Papers, correspondence and property of members of the team shall be inviolable, except in case of measures of execution. Members of the team shall not be obliged to give evidence as witnesses.</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the former Yugoslav Republic of Macedonia, issue an accreditation document to members of the team for the purposes of identification vis-à-vis the authorities of the former Yugoslav Republic of Macedonia as proof of the holder’s rights to perform the tasks and exercise the powers conferred under this Agreement and in the Operational Plan. The accreditation document, in combination with a valid travel document, grants the member of the team access to the former Yugoslav Republic of Macedonia without the need for a visa or prior authorisation.</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sexual orientation or gender identity.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complaints mechanism referred to in Article 72 of the Regulation (EU) 2016/1624 on the European Border and Coast Guard and therefore satisfies this obligation. The Ombudsman of the former Yugoslav Republic of Macedonia could deal with such allegations, except if the authorities of the former Yugoslav Republic of Macedonia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Personal data shall be processed by members of the team when necessary in accordance with the rules applicable to the Agency and the EU Member States. Processing of personal data by the authorities of the former Yugoslav Republic of Macedonia shall be subject to its national laws.</w:t>
      </w:r>
    </w:p>
    <w:p>
      <w:pPr>
        <w:spacing w:after="240"/>
        <w:rPr>
          <w:rFonts w:eastAsia="Times New Roman"/>
          <w:i/>
          <w:noProof/>
          <w:color w:val="000000"/>
          <w:szCs w:val="24"/>
        </w:rPr>
      </w:pPr>
      <w:r>
        <w:rPr>
          <w:rFonts w:eastAsia="Times New Roman"/>
          <w:noProof/>
          <w:color w:val="000000"/>
          <w:szCs w:val="24"/>
        </w:rPr>
        <w:t>The Agency, the participating Member States and the authorities of the former Yugoslav Republic of Macedonia shall draw up a common report on the processing of personal data by members of the team at the end of each action. This report shall be sent to the Agency's Fundamental Rights Officer and Data Protection Officer, as well as to the competent authority for the protection of personal data in the former Yugoslav Republic of Macedonia. The Agency's Fundamental Rights Officer and Data Protection Officer shall report to the Executive Director of the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the competent authorities of the former Yugoslav Republic of Macedonia and by </w:t>
      </w:r>
      <w:r>
        <w:rPr>
          <w:rFonts w:eastAsia="Times New Roman"/>
          <w:noProof/>
          <w:color w:val="000000"/>
          <w:szCs w:val="24"/>
        </w:rPr>
        <w:lastRenderedPageBreak/>
        <w:t xml:space="preserve">representatives of the Agency, which shall consult the Member State or Member States neighbouring the former Yugoslav Republic of Macedonia. </w:t>
      </w:r>
    </w:p>
    <w:p>
      <w:pPr>
        <w:spacing w:before="0"/>
        <w:rPr>
          <w:rFonts w:eastAsia="Times New Roman"/>
          <w:noProof/>
          <w:color w:val="000000"/>
          <w:szCs w:val="24"/>
        </w:rPr>
      </w:pPr>
      <w:r>
        <w:rPr>
          <w:rFonts w:eastAsia="Times New Roman"/>
          <w:noProof/>
          <w:color w:val="000000"/>
          <w:szCs w:val="24"/>
        </w:rPr>
        <w:t>Failing any prior settlement, disputes concerning the interpretation or application of this Agreement shall be settled exclusively by negotiation between the former Yugoslav Republic of Macedonia and the European Commission, which shall consult any Member State neighbouring the former Yugoslav Republic of Macedonia.</w:t>
      </w:r>
    </w:p>
    <w:p>
      <w:pPr>
        <w:rPr>
          <w:rFonts w:eastAsia="Times New Roman"/>
          <w:i/>
          <w:noProof/>
          <w:color w:val="000000"/>
          <w:szCs w:val="24"/>
        </w:rPr>
      </w:pPr>
      <w:r>
        <w:rPr>
          <w:rFonts w:eastAsia="Times New Roman"/>
          <w:i/>
          <w:noProof/>
          <w:color w:val="000000"/>
          <w:szCs w:val="24"/>
        </w:rPr>
        <w:t>Competent authorities for the implementation of the Agreement</w:t>
      </w:r>
    </w:p>
    <w:p>
      <w:pPr>
        <w:spacing w:after="240"/>
        <w:rPr>
          <w:rFonts w:eastAsia="Times New Roman"/>
          <w:b/>
          <w:noProof/>
          <w:color w:val="000000"/>
          <w:szCs w:val="24"/>
        </w:rPr>
      </w:pPr>
      <w:r>
        <w:rPr>
          <w:rFonts w:eastAsia="Times New Roman"/>
          <w:noProof/>
          <w:color w:val="000000"/>
          <w:szCs w:val="24"/>
        </w:rPr>
        <w:t>For the former Yugoslav Republic of Macedonia, the competent authority for the implementation of this Agreement is the Ministry of Internal Affairs. For the European Union, it is the European Border and Coast Guard Agency.</w:t>
      </w:r>
    </w:p>
    <w:p>
      <w:pPr>
        <w:rPr>
          <w:rFonts w:eastAsia="Times New Roman"/>
          <w:i/>
          <w:noProof/>
          <w:color w:val="000000"/>
          <w:szCs w:val="24"/>
        </w:rPr>
      </w:pPr>
      <w:r>
        <w:rPr>
          <w:rFonts w:eastAsia="Times New Roman"/>
          <w:i/>
          <w:noProof/>
          <w:color w:val="000000"/>
          <w:szCs w:val="24"/>
        </w:rPr>
        <w:t>Joint Declaration</w:t>
      </w:r>
    </w:p>
    <w:p>
      <w:pPr>
        <w:spacing w:after="240"/>
        <w:rPr>
          <w:rFonts w:eastAsia="Times New Roman"/>
          <w:noProof/>
          <w:color w:val="000000"/>
          <w:szCs w:val="24"/>
        </w:rPr>
      </w:pPr>
      <w:r>
        <w:rPr>
          <w:rFonts w:eastAsia="Times New Roman"/>
          <w:noProof/>
          <w:color w:val="000000"/>
          <w:szCs w:val="24"/>
        </w:rPr>
        <w:t>Both parties agree that refraining from taking any measure likely to jeopardise possible subsequent criminal prosecution of the member of the team by the competent authorities of the host State includes refraining from actively facilitating the return of the member of the team concerned from the European Border and Coast Guard operation premises in the former Yugoslav Republic of Macedonia to his/her home Member State, pending the certification of the Executive Director of the Agency.</w:t>
      </w:r>
    </w:p>
    <w:p>
      <w:pPr>
        <w:spacing w:after="240" w:line="360" w:lineRule="auto"/>
        <w:jc w:val="center"/>
        <w:rPr>
          <w:rFonts w:eastAsia="Times New Roman"/>
          <w:noProof/>
          <w:color w:val="000000"/>
          <w:szCs w:val="24"/>
        </w:rPr>
      </w:pPr>
    </w:p>
    <w:p>
      <w:pPr>
        <w:spacing w:after="240" w:line="360" w:lineRule="auto"/>
        <w:jc w:val="center"/>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2018/0319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Union, of the status agreement between the European Union and the former Yugoslav Republic of Macedonia on actions carried out by the European Border and Coast Guard Agency in the former Yugoslav Republic of Macedonia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The status agreement shall cover all aspects that are necessary for carrying out the actions.</w:t>
      </w:r>
    </w:p>
    <w:p>
      <w:pPr>
        <w:pStyle w:val="ManualConsidrant"/>
        <w:rPr>
          <w:noProof/>
        </w:rPr>
      </w:pPr>
      <w:r>
        <w:t>(2)</w:t>
      </w:r>
      <w:r>
        <w:tab/>
      </w:r>
      <w:r>
        <w:rPr>
          <w:noProof/>
        </w:rPr>
        <w:t xml:space="preserve">On 21 February 2017, the Council authorised the Commission to open negotiations with the former Yugoslav Republic of Macedonia for a status agreement on actions carried out by the European Border and Coast Guard Agency in the former Yugoslav Republic of Macedonia. </w:t>
      </w:r>
    </w:p>
    <w:p>
      <w:pPr>
        <w:pStyle w:val="ManualConsidrant"/>
        <w:rPr>
          <w:noProof/>
        </w:rPr>
      </w:pPr>
      <w:r>
        <w:t>(3)</w:t>
      </w:r>
      <w:r>
        <w:tab/>
      </w:r>
      <w:r>
        <w:rPr>
          <w:noProof/>
        </w:rPr>
        <w:t>Negotiations on the status agreement were opened on 15 September 2017 and were successfully finalised by the initialling of the Agreement on 18 July 2018.</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Cs w:val="24"/>
        </w:rPr>
        <w:footnoteReference w:id="3"/>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Cs w:val="24"/>
        </w:rPr>
        <w:footnoteReference w:id="4"/>
      </w:r>
      <w:r>
        <w:rPr>
          <w:noProof/>
        </w:rPr>
        <w:t>; Ireland is therefore not taking part in the adoption of this Decision and is not bound by it or subject to its application.</w:t>
      </w:r>
    </w:p>
    <w:p>
      <w:pPr>
        <w:pStyle w:val="ManualConsidrant"/>
        <w:rPr>
          <w:noProof/>
        </w:rPr>
      </w:pPr>
      <w:r>
        <w:t>(6)</w:t>
      </w:r>
      <w:r>
        <w:tab/>
      </w:r>
      <w:r>
        <w:rPr>
          <w:noProof/>
        </w:rPr>
        <w:t xml:space="preserve">In accordance with Articles 1 and 2 of Protocol No 22 on the position of Denmark, annexed to the Treaty on European Union and to the Treaty on the Functioning of the </w:t>
      </w:r>
      <w:r>
        <w:rPr>
          <w:noProof/>
        </w:rPr>
        <w:lastRenderedPageBreak/>
        <w:t>European Union, Denmark is not taking part in the adoption of this Decision and is not bound by it or subject to its application.</w:t>
      </w:r>
    </w:p>
    <w:p>
      <w:pPr>
        <w:pStyle w:val="ManualConsidrant"/>
        <w:rPr>
          <w:noProof/>
        </w:rPr>
      </w:pPr>
      <w:r>
        <w:t>(7)</w:t>
      </w:r>
      <w:r>
        <w:tab/>
      </w:r>
      <w:r>
        <w:rPr>
          <w:noProof/>
        </w:rPr>
        <w:t>The status agreement should be signed and the declaration attached to the agreement should be approved,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on behalf of the Union, of the status agreement between the European Union and the former Yugoslav Republic of Macedonia on actions carried out by the European Border and Coast Guard Agency in the former Yugoslav Republic of Macedonia, is hereby authorised, subject to the conclusion of the said agreement.</w:t>
      </w:r>
    </w:p>
    <w:p>
      <w:pPr>
        <w:rPr>
          <w:noProof/>
        </w:rPr>
      </w:pPr>
      <w:r>
        <w:rPr>
          <w:noProof/>
        </w:rPr>
        <w:t xml:space="preserve">The text of the agreement is attached to this Decision. </w:t>
      </w:r>
    </w:p>
    <w:p>
      <w:pPr>
        <w:pStyle w:val="Titrearticle"/>
        <w:keepNext w:val="0"/>
      </w:pPr>
      <w:r>
        <w:rPr>
          <w:noProof/>
        </w:rPr>
        <w:t>Article 2</w:t>
      </w:r>
    </w:p>
    <w:p>
      <w:pPr>
        <w:rPr>
          <w:noProof/>
        </w:rPr>
      </w:pPr>
      <w:r>
        <w:rPr>
          <w:noProof/>
        </w:rPr>
        <w:t xml:space="preserve">The declaration attached to this Decision shall be approved on behalf of the Union. </w:t>
      </w:r>
    </w:p>
    <w:p>
      <w:pPr>
        <w:pStyle w:val="Titrearticle"/>
        <w:keepNext w:val="0"/>
      </w:pPr>
      <w:r>
        <w:rPr>
          <w:noProof/>
        </w:rPr>
        <w:t xml:space="preserve">Article 3 </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4</w:t>
      </w:r>
    </w:p>
    <w:p>
      <w:pPr>
        <w:keepLines/>
        <w:rPr>
          <w:noProof/>
        </w:rPr>
      </w:pPr>
      <w:r>
        <w:rPr>
          <w:noProof/>
        </w:rPr>
        <w:t xml:space="preserve">This Decision shall enter into force on the date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2550F" w15:done="0"/>
  <w15:commentEx w15:paraId="4108DC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16.9.2016, L 251/1.</w:t>
      </w:r>
    </w:p>
  </w:footnote>
  <w:footnote w:id="2">
    <w:p>
      <w:pPr>
        <w:pStyle w:val="FootnoteText"/>
      </w:pPr>
      <w:r>
        <w:rPr>
          <w:rStyle w:val="FootnoteReference"/>
        </w:rPr>
        <w:footnoteRef/>
      </w:r>
      <w:r>
        <w:tab/>
        <w:t>O.J., 19.12.2007, L 334/7.</w:t>
      </w:r>
    </w:p>
  </w:footnote>
  <w:footnote w:id="3">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1.6.2000, L 131/43).</w:t>
      </w:r>
    </w:p>
  </w:footnote>
  <w:footnote w:id="4">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7.3.2002, L 64/20).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C490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D008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6AC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0A4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426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034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6A9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84EA93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 Geert (SJ)">
    <w15:presenceInfo w15:providerId="None" w15:userId="WILS Ge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5: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54F1E4A-3BAE-4DDD-9116-F2CFBBB179F6"/>
    <w:docVar w:name="LW_COVERPAGE_TYPE" w:val="1"/>
    <w:docVar w:name="LW_CROSSREFERENCE" w:val="&lt;UNUSED&gt;"/>
    <w:docVar w:name="LW_DocType" w:val="COM"/>
    <w:docVar w:name="LW_EMISSION" w:val="5.9.2018"/>
    <w:docVar w:name="LW_EMISSION_ISODATE" w:val="2018-09-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9"/>
    <w:docVar w:name="LW_REF.II.NEW.CP_YEAR" w:val="2018"/>
    <w:docVar w:name="LW_REF.INST.NEW" w:val="COM"/>
    <w:docVar w:name="LW_REF.INST.NEW_ADOPTED" w:val="final"/>
    <w:docVar w:name="LW_REF.INST.NEW_TEXT" w:val="(2018)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Union, of the status agreement between the European Union and the former Yugoslav Republic of Macedonia on actions carried out by the European Border and Coast Guard Agency in the former Yugoslav Republic of Macedonia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307">
      <w:bodyDiv w:val="1"/>
      <w:marLeft w:val="0"/>
      <w:marRight w:val="0"/>
      <w:marTop w:val="0"/>
      <w:marBottom w:val="0"/>
      <w:divBdr>
        <w:top w:val="none" w:sz="0" w:space="0" w:color="auto"/>
        <w:left w:val="none" w:sz="0" w:space="0" w:color="auto"/>
        <w:bottom w:val="none" w:sz="0" w:space="0" w:color="auto"/>
        <w:right w:val="none" w:sz="0" w:space="0" w:color="auto"/>
      </w:divBdr>
    </w:div>
    <w:div w:id="1168207489">
      <w:bodyDiv w:val="1"/>
      <w:marLeft w:val="0"/>
      <w:marRight w:val="0"/>
      <w:marTop w:val="0"/>
      <w:marBottom w:val="0"/>
      <w:divBdr>
        <w:top w:val="none" w:sz="0" w:space="0" w:color="auto"/>
        <w:left w:val="none" w:sz="0" w:space="0" w:color="auto"/>
        <w:bottom w:val="none" w:sz="0" w:space="0" w:color="auto"/>
        <w:right w:val="none" w:sz="0" w:space="0" w:color="auto"/>
      </w:divBdr>
    </w:div>
    <w:div w:id="20169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95BF-2690-4BE6-9063-AE09713E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4263</Words>
  <Characters>22724</Characters>
  <Application>Microsoft Office Word</Application>
  <DocSecurity>0</DocSecurity>
  <Lines>378</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2018-07-24T08:06:00Z</cp:lastPrinted>
  <dcterms:created xsi:type="dcterms:W3CDTF">2018-07-24T12:18:00Z</dcterms:created>
  <dcterms:modified xsi:type="dcterms:W3CDTF">2018-08-28T10:25:00Z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