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C569AC-690D-460F-86CF-64F3223B97E6"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rFonts w:eastAsia="Calibri"/>
          <w:b/>
          <w:noProof/>
          <w:u w:val="single"/>
          <w:lang w:eastAsia="en-GB"/>
        </w:rPr>
      </w:pPr>
      <w:r>
        <w:rPr>
          <w:rFonts w:eastAsia="Calibri"/>
          <w:b/>
          <w:noProof/>
          <w:u w:val="single"/>
          <w:lang w:eastAsia="en-GB"/>
        </w:rPr>
        <w:t>EU TERMS OF AUSTRALIA’s ACCESSION TO THE GPA</w:t>
      </w:r>
    </w:p>
    <w:p>
      <w:pPr>
        <w:spacing w:before="360" w:after="360"/>
        <w:rPr>
          <w:rFonts w:eastAsia="Times New Roman"/>
          <w:noProof/>
          <w:sz w:val="22"/>
          <w:szCs w:val="24"/>
          <w:lang w:eastAsia="en-GB"/>
        </w:rPr>
      </w:pPr>
      <w:r>
        <w:rPr>
          <w:rFonts w:eastAsia="Calibri"/>
          <w:noProof/>
          <w:sz w:val="22"/>
          <w:lang w:eastAsia="en-GB"/>
        </w:rPr>
        <w:t xml:space="preserve">Upon Australia's accession to the </w:t>
      </w:r>
      <w:r>
        <w:rPr>
          <w:rFonts w:eastAsia="Times New Roman"/>
          <w:noProof/>
          <w:sz w:val="22"/>
          <w:szCs w:val="24"/>
          <w:lang w:eastAsia="en-GB"/>
        </w:rPr>
        <w:t>Agreement on Government Procurement:</w:t>
      </w:r>
    </w:p>
    <w:p>
      <w:pPr>
        <w:spacing w:before="360" w:after="360"/>
        <w:rPr>
          <w:rFonts w:eastAsia="Times New Roman"/>
          <w:noProof/>
          <w:sz w:val="22"/>
          <w:szCs w:val="24"/>
          <w:lang w:eastAsia="en-GB"/>
        </w:rPr>
      </w:pPr>
      <w:r>
        <w:rPr>
          <w:rFonts w:eastAsia="Times New Roman"/>
          <w:noProof/>
          <w:sz w:val="22"/>
          <w:szCs w:val="24"/>
          <w:lang w:eastAsia="en-GB"/>
        </w:rPr>
        <w:t xml:space="preserve">- </w:t>
      </w:r>
      <w:r>
        <w:rPr>
          <w:rFonts w:eastAsia="Calibri"/>
          <w:noProof/>
          <w:sz w:val="22"/>
          <w:lang w:eastAsia="en-GB"/>
        </w:rPr>
        <w:t xml:space="preserve"> point 3 of section 2 (“The Central Government contracting authorities of the EU Member States”) of Annex 1 to Appendix I Commitments of the European Union shall read as follows: </w:t>
      </w:r>
    </w:p>
    <w:p>
      <w:pPr>
        <w:ind w:left="850" w:hanging="850"/>
        <w:rPr>
          <w:rFonts w:eastAsia="Calibri"/>
          <w:noProof/>
          <w:lang w:eastAsia="en-GB"/>
        </w:rPr>
      </w:pPr>
      <w:r>
        <w:rPr>
          <w:rFonts w:eastAsia="Calibri"/>
          <w:noProof/>
          <w:lang w:eastAsia="en-GB"/>
        </w:rPr>
        <w:t>‘ 3.</w:t>
      </w:r>
      <w:r>
        <w:rPr>
          <w:rFonts w:eastAsia="Calibri"/>
          <w:noProof/>
          <w:lang w:eastAsia="en-GB"/>
        </w:rPr>
        <w:tab/>
        <w:t>For the goods, services, suppliers and service providers of the United States; Canada; Japan; Hong Kong, China; Singapore; Korea; Armenia; the Separate Customs Territory of Taiwan, Penghu, Kinmen and Matsu, New Zealand and Australia, procurement by the following central government contracting authorities, provided they are not marked by an asterisk.'</w:t>
      </w:r>
    </w:p>
    <w:p>
      <w:pPr>
        <w:ind w:left="850" w:hanging="850"/>
        <w:rPr>
          <w:rFonts w:eastAsia="Calibri"/>
          <w:noProof/>
          <w:sz w:val="22"/>
          <w:lang w:eastAsia="en-GB"/>
        </w:rPr>
      </w:pPr>
      <w:r>
        <w:rPr>
          <w:rFonts w:eastAsia="Calibri"/>
          <w:noProof/>
          <w:sz w:val="22"/>
          <w:lang w:eastAsia="en-GB"/>
        </w:rPr>
        <w:t>- Note 2 of the Notes to Annex 1 to Appendix I Commitments of the European Union shall be modified as follows:</w:t>
      </w:r>
    </w:p>
    <w:p>
      <w:pPr>
        <w:ind w:left="850" w:hanging="850"/>
        <w:rPr>
          <w:rFonts w:eastAsia="Calibri"/>
          <w:noProof/>
          <w:lang w:eastAsia="en-GB"/>
        </w:rPr>
      </w:pPr>
      <w:r>
        <w:rPr>
          <w:rFonts w:eastAsia="Calibri"/>
          <w:noProof/>
          <w:lang w:eastAsia="en-GB"/>
        </w:rPr>
        <w:t>‘2.</w:t>
      </w:r>
      <w:r>
        <w:rPr>
          <w:rFonts w:eastAsia="Calibri"/>
          <w:noProof/>
          <w:lang w:eastAsia="en-GB"/>
        </w:rPr>
        <w:tab/>
        <w:t>The provisions of Article XVIII shall not apply to suppliers and service providers of Japan, Korea, US and Australia in contesting the award of contracts to a supplier or service provider of Parties other than those mentioned, which are small or medium sized enterprises under the relevant provisions of EU law, until such time as the EU accepts that they no longer operate discriminatory measures in favour of certain domestic small and minority businesses.'</w:t>
      </w:r>
    </w:p>
    <w:p>
      <w:pPr>
        <w:spacing w:before="360" w:after="360"/>
        <w:rPr>
          <w:rFonts w:eastAsia="Calibri"/>
          <w:noProof/>
          <w:sz w:val="22"/>
          <w:lang w:eastAsia="en-GB"/>
        </w:rPr>
      </w:pPr>
      <w:r>
        <w:rPr>
          <w:rFonts w:eastAsia="Calibri"/>
          <w:noProof/>
          <w:sz w:val="22"/>
          <w:lang w:eastAsia="en-GB"/>
        </w:rPr>
        <w:t xml:space="preserve">Upon Australia's accession to the </w:t>
      </w:r>
      <w:r>
        <w:rPr>
          <w:rFonts w:eastAsia="Times New Roman"/>
          <w:noProof/>
          <w:sz w:val="22"/>
          <w:szCs w:val="24"/>
          <w:lang w:eastAsia="en-GB"/>
        </w:rPr>
        <w:t>Agreement on Government Procurement:</w:t>
      </w:r>
      <w:r>
        <w:rPr>
          <w:rFonts w:eastAsia="Calibri"/>
          <w:noProof/>
          <w:sz w:val="22"/>
          <w:lang w:eastAsia="en-GB"/>
        </w:rPr>
        <w:t xml:space="preserve"> </w:t>
      </w:r>
    </w:p>
    <w:p>
      <w:pPr>
        <w:spacing w:before="360" w:after="360"/>
        <w:rPr>
          <w:rFonts w:eastAsia="Calibri"/>
          <w:noProof/>
          <w:sz w:val="22"/>
          <w:lang w:eastAsia="en-GB"/>
        </w:rPr>
      </w:pPr>
      <w:r>
        <w:rPr>
          <w:rFonts w:eastAsia="Calibri"/>
          <w:noProof/>
          <w:sz w:val="22"/>
          <w:lang w:eastAsia="en-GB"/>
        </w:rPr>
        <w:t xml:space="preserve">- Note 1 of the Notes to Annex 2 to Appendix I Commitments of the European Union shall include the following points after the point g): </w:t>
      </w:r>
    </w:p>
    <w:p>
      <w:pPr>
        <w:ind w:left="850" w:hanging="850"/>
        <w:rPr>
          <w:rFonts w:eastAsia="Calibri"/>
          <w:noProof/>
          <w:lang w:eastAsia="en-GB"/>
        </w:rPr>
      </w:pPr>
      <w:r>
        <w:rPr>
          <w:rFonts w:eastAsia="Calibri"/>
          <w:noProof/>
          <w:lang w:eastAsia="en-GB"/>
        </w:rPr>
        <w:t>' (h)</w:t>
      </w:r>
      <w:bookmarkStart w:id="1" w:name="_Toc320546152"/>
      <w:r>
        <w:rPr>
          <w:rFonts w:eastAsia="Times New Roman"/>
          <w:noProof/>
          <w:sz w:val="22"/>
          <w:szCs w:val="20"/>
        </w:rPr>
        <w:tab/>
      </w:r>
      <w:bookmarkStart w:id="2" w:name="_Toc320546154"/>
      <w:bookmarkEnd w:id="1"/>
      <w:r>
        <w:rPr>
          <w:rFonts w:eastAsia="Calibri"/>
          <w:noProof/>
          <w:lang w:eastAsia="en-GB"/>
        </w:rPr>
        <w:t>procurement by regional and local contracting authorities (contracting authorities of administrative units listed under NUTS 2 and 3 and smaller administrative units, as referred to in Regulation 1059/2003 (as amended)) in regard of goods, services, suppliers and service providers from Australia;</w:t>
      </w:r>
      <w:bookmarkEnd w:id="2"/>
    </w:p>
    <w:p>
      <w:pPr>
        <w:ind w:left="850" w:hanging="850"/>
        <w:rPr>
          <w:rFonts w:eastAsia="Calibri"/>
          <w:noProof/>
          <w:lang w:eastAsia="en-GB"/>
        </w:rPr>
      </w:pPr>
      <w:r>
        <w:rPr>
          <w:rFonts w:eastAsia="Calibri"/>
          <w:noProof/>
          <w:lang w:eastAsia="en-GB"/>
        </w:rPr>
        <w:t>(i)</w:t>
      </w:r>
      <w:r>
        <w:rPr>
          <w:rFonts w:eastAsia="Calibri"/>
          <w:noProof/>
          <w:lang w:eastAsia="en-GB"/>
        </w:rPr>
        <w:tab/>
      </w:r>
      <w:bookmarkStart w:id="3" w:name="_Toc320546156"/>
      <w:r>
        <w:rPr>
          <w:rFonts w:eastAsia="Calibri"/>
          <w:noProof/>
          <w:lang w:eastAsia="en-GB"/>
        </w:rPr>
        <w:t>procurement between 200,000 SDR and 355,000 SDR by regional contracting authorities and between 200,000 SDR and 400.000 SDR for bodies governed by public law covered under this Annex of goods and services for suppliers and service providers from Australia</w:t>
      </w:r>
      <w:bookmarkEnd w:id="3"/>
      <w:r>
        <w:rPr>
          <w:rFonts w:eastAsia="Calibri"/>
          <w:noProof/>
          <w:lang w:eastAsia="en-GB"/>
        </w:rPr>
        <w:t>;</w:t>
      </w:r>
    </w:p>
    <w:p>
      <w:pPr>
        <w:ind w:left="850" w:hanging="850"/>
        <w:rPr>
          <w:rFonts w:eastAsia="Calibri"/>
          <w:noProof/>
          <w:lang w:eastAsia="en-GB"/>
        </w:rPr>
      </w:pPr>
      <w:r>
        <w:rPr>
          <w:rFonts w:eastAsia="Calibri"/>
          <w:noProof/>
          <w:lang w:eastAsia="en-GB"/>
        </w:rPr>
        <w:t xml:space="preserve">(j) </w:t>
      </w:r>
      <w:r>
        <w:rPr>
          <w:rFonts w:eastAsia="Calibri"/>
          <w:noProof/>
          <w:lang w:eastAsia="en-GB"/>
        </w:rPr>
        <w:tab/>
        <w:t>procurement by procuring entities covered under this Annex of:</w:t>
      </w:r>
    </w:p>
    <w:p>
      <w:pPr>
        <w:pStyle w:val="Point1"/>
        <w:rPr>
          <w:rFonts w:eastAsia="Times New Roman"/>
          <w:noProof/>
          <w:szCs w:val="24"/>
        </w:rPr>
      </w:pPr>
      <w:r>
        <w:rPr>
          <w:noProof/>
          <w:lang w:eastAsia="en-GB"/>
        </w:rPr>
        <w:t>i</w:t>
      </w:r>
      <w:r>
        <w:rPr>
          <w:noProof/>
          <w:lang w:eastAsia="en-GB"/>
        </w:rPr>
        <w:tab/>
        <w:t>motor vehicles, as described in the Chapters of the Combined Nomenclature (CN) specified below:</w:t>
      </w:r>
    </w:p>
    <w:p>
      <w:pPr>
        <w:ind w:left="2160" w:hanging="913"/>
        <w:rPr>
          <w:rFonts w:eastAsia="Calibri"/>
          <w:noProof/>
          <w:lang w:eastAsia="en-GB"/>
        </w:rPr>
      </w:pPr>
      <w:r>
        <w:rPr>
          <w:rFonts w:eastAsia="Calibri"/>
          <w:noProof/>
          <w:lang w:eastAsia="en-GB"/>
        </w:rPr>
        <w:t>8702</w:t>
      </w:r>
      <w:r>
        <w:rPr>
          <w:rFonts w:eastAsia="Calibri"/>
          <w:noProof/>
          <w:lang w:eastAsia="en-GB"/>
        </w:rPr>
        <w:tab/>
        <w:t>Motor vehicles for the transport of ten or more persons, including the driver</w:t>
      </w:r>
    </w:p>
    <w:p>
      <w:pPr>
        <w:ind w:left="2160" w:hanging="913"/>
        <w:rPr>
          <w:rFonts w:eastAsia="Calibri"/>
          <w:noProof/>
          <w:lang w:eastAsia="en-GB"/>
        </w:rPr>
      </w:pPr>
      <w:r>
        <w:rPr>
          <w:rFonts w:eastAsia="Calibri"/>
          <w:noProof/>
          <w:lang w:eastAsia="en-GB"/>
        </w:rPr>
        <w:t>8703</w:t>
      </w:r>
      <w:r>
        <w:rPr>
          <w:rFonts w:eastAsia="Calibri"/>
          <w:noProof/>
          <w:lang w:eastAsia="en-GB"/>
        </w:rPr>
        <w:tab/>
        <w:t>Motor cars and other motor vehicles principally designed for the transport of persons (other than those of heading 8702), including station wagons and racing cars</w:t>
      </w:r>
    </w:p>
    <w:p>
      <w:pPr>
        <w:ind w:left="1247"/>
        <w:rPr>
          <w:rFonts w:eastAsia="Calibri"/>
          <w:noProof/>
          <w:lang w:eastAsia="en-GB"/>
        </w:rPr>
      </w:pPr>
      <w:r>
        <w:rPr>
          <w:rFonts w:eastAsia="Calibri"/>
          <w:noProof/>
          <w:lang w:eastAsia="en-GB"/>
        </w:rPr>
        <w:t>8704</w:t>
      </w:r>
      <w:r>
        <w:rPr>
          <w:rFonts w:eastAsia="Calibri"/>
          <w:noProof/>
          <w:lang w:eastAsia="en-GB"/>
        </w:rPr>
        <w:tab/>
        <w:t xml:space="preserve">Motor vehicles for the transport of goods </w:t>
      </w:r>
    </w:p>
    <w:p>
      <w:pPr>
        <w:ind w:left="2160" w:hanging="913"/>
        <w:rPr>
          <w:rFonts w:eastAsia="Calibri"/>
          <w:noProof/>
          <w:lang w:eastAsia="en-GB"/>
        </w:rPr>
      </w:pPr>
      <w:r>
        <w:rPr>
          <w:rFonts w:eastAsia="Calibri"/>
          <w:noProof/>
          <w:lang w:eastAsia="en-GB"/>
        </w:rPr>
        <w:lastRenderedPageBreak/>
        <w:t>8705</w:t>
      </w:r>
      <w:r>
        <w:rPr>
          <w:rFonts w:eastAsia="Calibri"/>
          <w:noProof/>
          <w:lang w:eastAsia="en-GB"/>
        </w:rPr>
        <w:tab/>
        <w:t xml:space="preserve">Special purpose motor vehicles, other than those principally designed for the transport of persons or goods (for example, breakdown lorries, crane lorries, fire fighting vehicles, concrete-mixer lorries, road sweeper lorries, spraying lorries, mobile workshops, mobile radiological units) </w:t>
      </w:r>
    </w:p>
    <w:p>
      <w:pPr>
        <w:ind w:left="2160" w:hanging="913"/>
        <w:rPr>
          <w:rFonts w:eastAsia="Calibri"/>
          <w:noProof/>
          <w:lang w:eastAsia="en-GB"/>
        </w:rPr>
      </w:pPr>
      <w:r>
        <w:rPr>
          <w:rFonts w:eastAsia="Calibri"/>
          <w:noProof/>
          <w:lang w:eastAsia="en-GB"/>
        </w:rPr>
        <w:t>8711</w:t>
      </w:r>
      <w:r>
        <w:rPr>
          <w:rFonts w:eastAsia="Calibri"/>
          <w:noProof/>
          <w:lang w:eastAsia="en-GB"/>
        </w:rPr>
        <w:tab/>
        <w:t xml:space="preserve">Motorcycles (including mopeds) and cycles fitted with an auxiliary motor, with or without side-cars; side cars </w:t>
      </w:r>
    </w:p>
    <w:p>
      <w:pPr>
        <w:ind w:left="2160" w:hanging="913"/>
        <w:rPr>
          <w:rFonts w:eastAsia="Times New Roman"/>
          <w:noProof/>
          <w:szCs w:val="24"/>
        </w:rPr>
      </w:pPr>
      <w:r>
        <w:rPr>
          <w:rFonts w:eastAsia="Calibri"/>
          <w:noProof/>
          <w:lang w:eastAsia="en-GB"/>
        </w:rPr>
        <w:t>8713</w:t>
      </w:r>
      <w:r>
        <w:rPr>
          <w:rFonts w:eastAsia="Calibri"/>
          <w:noProof/>
          <w:lang w:eastAsia="en-GB"/>
        </w:rPr>
        <w:tab/>
        <w:t xml:space="preserve">Carriages for disabled persons, whether or not motorised or otherwise mechanically propelled </w:t>
      </w:r>
    </w:p>
    <w:p>
      <w:pPr>
        <w:pStyle w:val="Point1"/>
        <w:rPr>
          <w:noProof/>
          <w:lang w:eastAsia="en-GB"/>
        </w:rPr>
      </w:pPr>
      <w:r>
        <w:rPr>
          <w:noProof/>
          <w:lang w:eastAsia="en-GB"/>
        </w:rPr>
        <w:t>ii</w:t>
      </w:r>
      <w:r>
        <w:rPr>
          <w:noProof/>
          <w:lang w:eastAsia="en-GB"/>
        </w:rPr>
        <w:tab/>
        <w:t>components for motor vehicles, as described in the Chapters of the Combined Nomenclature (CN) specified below:</w:t>
      </w:r>
    </w:p>
    <w:p>
      <w:pPr>
        <w:ind w:left="2160" w:hanging="913"/>
        <w:rPr>
          <w:rFonts w:eastAsia="Calibri"/>
          <w:noProof/>
          <w:lang w:eastAsia="en-GB"/>
        </w:rPr>
      </w:pPr>
      <w:r>
        <w:rPr>
          <w:rFonts w:eastAsia="Calibri"/>
          <w:noProof/>
          <w:lang w:eastAsia="en-GB"/>
        </w:rPr>
        <w:t>8706 00</w:t>
      </w:r>
      <w:r>
        <w:rPr>
          <w:rFonts w:eastAsia="Calibri"/>
          <w:noProof/>
          <w:lang w:eastAsia="en-GB"/>
        </w:rPr>
        <w:tab/>
        <w:t>Chassis fitted with engines, for the motor vehicles of headings 8701 to 8705</w:t>
      </w:r>
    </w:p>
    <w:p>
      <w:pPr>
        <w:ind w:left="2160" w:hanging="913"/>
        <w:rPr>
          <w:rFonts w:eastAsia="Calibri"/>
          <w:noProof/>
          <w:lang w:eastAsia="en-GB"/>
        </w:rPr>
      </w:pPr>
      <w:r>
        <w:rPr>
          <w:rFonts w:eastAsia="Calibri"/>
          <w:noProof/>
          <w:lang w:eastAsia="en-GB"/>
        </w:rPr>
        <w:t>8707</w:t>
      </w:r>
      <w:r>
        <w:rPr>
          <w:rFonts w:eastAsia="Calibri"/>
          <w:noProof/>
          <w:lang w:eastAsia="en-GB"/>
        </w:rPr>
        <w:tab/>
        <w:t>Bodies (including cabs), for the motor vehicles of headings 8701 to 8705</w:t>
      </w:r>
    </w:p>
    <w:p>
      <w:pPr>
        <w:ind w:left="1247"/>
        <w:rPr>
          <w:rFonts w:eastAsia="Calibri"/>
          <w:noProof/>
          <w:lang w:eastAsia="en-GB"/>
        </w:rPr>
      </w:pPr>
      <w:r>
        <w:rPr>
          <w:rFonts w:eastAsia="Calibri"/>
          <w:noProof/>
          <w:lang w:eastAsia="en-GB"/>
        </w:rPr>
        <w:t>8708</w:t>
      </w:r>
      <w:r>
        <w:rPr>
          <w:rFonts w:eastAsia="Calibri"/>
          <w:noProof/>
          <w:lang w:eastAsia="en-GB"/>
        </w:rPr>
        <w:tab/>
        <w:t xml:space="preserve">Parts and accessories of the motor vehicles of headings 8701 to 8705 </w:t>
      </w:r>
    </w:p>
    <w:p>
      <w:pPr>
        <w:ind w:left="1247"/>
        <w:rPr>
          <w:rFonts w:eastAsia="Calibri"/>
          <w:noProof/>
          <w:lang w:eastAsia="en-GB"/>
        </w:rPr>
      </w:pPr>
      <w:r>
        <w:rPr>
          <w:rFonts w:eastAsia="Calibri"/>
          <w:noProof/>
          <w:lang w:eastAsia="en-GB"/>
        </w:rPr>
        <w:t>8714</w:t>
      </w:r>
      <w:r>
        <w:rPr>
          <w:rFonts w:eastAsia="Calibri"/>
          <w:noProof/>
          <w:lang w:eastAsia="en-GB"/>
        </w:rPr>
        <w:tab/>
        <w:t>Parts and accessories of vehicles of headings 8711 to 8713</w:t>
      </w:r>
    </w:p>
    <w:p>
      <w:pPr>
        <w:ind w:left="2160" w:hanging="913"/>
        <w:rPr>
          <w:rFonts w:eastAsia="Times New Roman"/>
          <w:noProof/>
          <w:szCs w:val="24"/>
        </w:rPr>
      </w:pPr>
      <w:r>
        <w:rPr>
          <w:rFonts w:eastAsia="Calibri"/>
          <w:noProof/>
          <w:lang w:eastAsia="en-GB"/>
        </w:rPr>
        <w:t>8716</w:t>
      </w:r>
      <w:r>
        <w:rPr>
          <w:rFonts w:eastAsia="Calibri"/>
          <w:noProof/>
          <w:lang w:eastAsia="en-GB"/>
        </w:rPr>
        <w:tab/>
        <w:t>Trailers and semi-trailers; other vehicles, not mechanically propelled; parts thereof</w:t>
      </w:r>
    </w:p>
    <w:p>
      <w:pPr>
        <w:ind w:left="850"/>
        <w:rPr>
          <w:rFonts w:eastAsia="Calibri"/>
          <w:noProof/>
          <w:lang w:eastAsia="en-GB"/>
        </w:rPr>
      </w:pPr>
      <w:r>
        <w:rPr>
          <w:rFonts w:eastAsia="Calibri"/>
          <w:noProof/>
          <w:lang w:eastAsia="en-GB"/>
        </w:rPr>
        <w:t xml:space="preserve"> in regard of suppliers and service providers from Australia.' </w:t>
      </w:r>
    </w:p>
    <w:p>
      <w:pPr>
        <w:ind w:left="850" w:hanging="850"/>
        <w:rPr>
          <w:rFonts w:eastAsia="Calibri"/>
          <w:noProof/>
          <w:sz w:val="22"/>
          <w:lang w:eastAsia="en-GB"/>
        </w:rPr>
      </w:pPr>
      <w:r>
        <w:rPr>
          <w:rFonts w:eastAsia="Calibri"/>
          <w:noProof/>
          <w:sz w:val="22"/>
          <w:lang w:eastAsia="en-GB"/>
        </w:rPr>
        <w:t xml:space="preserve">- Note 2 of the Notes to Annex 2 to Appendix I Commitments of the European Union shall be modified as follows: </w:t>
      </w:r>
    </w:p>
    <w:p>
      <w:pPr>
        <w:ind w:left="850" w:hanging="850"/>
        <w:rPr>
          <w:rFonts w:eastAsia="Calibri"/>
          <w:noProof/>
          <w:lang w:eastAsia="en-GB"/>
        </w:rPr>
      </w:pPr>
      <w:r>
        <w:rPr>
          <w:rFonts w:eastAsia="Calibri"/>
          <w:noProof/>
          <w:lang w:eastAsia="en-GB"/>
        </w:rPr>
        <w:t>‘(2)</w:t>
      </w:r>
      <w:r>
        <w:rPr>
          <w:rFonts w:eastAsia="Calibri"/>
          <w:noProof/>
          <w:lang w:eastAsia="en-GB"/>
        </w:rPr>
        <w:tab/>
        <w:t>The provisions of Article XVIII shall not apply to suppliers and service providers of Japan, Korea, US and Australia in contesting the award of contracts to a supplier or service provider of Parties other than those mentioned, which are small or medium sized enterprises under the relevant provisions of EU law, until such time as the EU accepts that they no longer operate discriminatory measures in favour of certain domestic small and minority businesses.'</w:t>
      </w:r>
    </w:p>
    <w:p>
      <w:pPr>
        <w:spacing w:before="360" w:after="360"/>
        <w:rPr>
          <w:rFonts w:eastAsia="Calibri"/>
          <w:noProof/>
          <w:sz w:val="22"/>
          <w:lang w:eastAsia="en-GB"/>
        </w:rPr>
      </w:pPr>
      <w:r>
        <w:rPr>
          <w:rFonts w:eastAsia="Calibri"/>
          <w:noProof/>
          <w:sz w:val="22"/>
          <w:lang w:eastAsia="en-GB"/>
        </w:rPr>
        <w:t xml:space="preserve">Upon Australia's accession to the </w:t>
      </w:r>
      <w:r>
        <w:rPr>
          <w:rFonts w:eastAsia="Times New Roman"/>
          <w:noProof/>
          <w:sz w:val="22"/>
          <w:szCs w:val="24"/>
          <w:lang w:eastAsia="en-GB"/>
        </w:rPr>
        <w:t>Agreement on Government Procurement</w:t>
      </w:r>
      <w:r>
        <w:rPr>
          <w:rFonts w:eastAsia="Calibri"/>
          <w:noProof/>
          <w:sz w:val="22"/>
          <w:lang w:eastAsia="en-GB"/>
        </w:rPr>
        <w:t xml:space="preserve"> Note 6 of the Notes to Annex 3 to Appendix I Commitments of the European Union shall include the following points after the point r): </w:t>
      </w:r>
    </w:p>
    <w:p>
      <w:pPr>
        <w:ind w:left="850" w:hanging="850"/>
        <w:rPr>
          <w:rFonts w:eastAsia="Times New Roman"/>
          <w:noProof/>
          <w:szCs w:val="24"/>
        </w:rPr>
      </w:pPr>
      <w:r>
        <w:rPr>
          <w:rFonts w:eastAsia="Times New Roman"/>
          <w:noProof/>
          <w:sz w:val="22"/>
          <w:szCs w:val="20"/>
        </w:rPr>
        <w:t>'(s)</w:t>
      </w:r>
      <w:r>
        <w:rPr>
          <w:rFonts w:eastAsia="Times New Roman"/>
          <w:noProof/>
          <w:sz w:val="22"/>
          <w:szCs w:val="20"/>
        </w:rPr>
        <w:tab/>
      </w:r>
      <w:r>
        <w:rPr>
          <w:rFonts w:eastAsia="Times New Roman"/>
          <w:noProof/>
          <w:szCs w:val="24"/>
        </w:rPr>
        <w:t>procurement by procuring entities operating in the fields of:</w:t>
      </w:r>
    </w:p>
    <w:p>
      <w:pPr>
        <w:pStyle w:val="Point1"/>
        <w:rPr>
          <w:noProof/>
          <w:lang w:eastAsia="en-GB"/>
        </w:rPr>
      </w:pPr>
      <w:r>
        <w:rPr>
          <w:noProof/>
          <w:lang w:eastAsia="en-GB"/>
        </w:rPr>
        <w:t>i</w:t>
      </w:r>
      <w:r>
        <w:rPr>
          <w:noProof/>
          <w:lang w:eastAsia="en-GB"/>
        </w:rPr>
        <w:tab/>
        <w:t>production, transport or distribution of drinking water covered under this Annex;</w:t>
      </w:r>
    </w:p>
    <w:p>
      <w:pPr>
        <w:pStyle w:val="Point1"/>
        <w:rPr>
          <w:noProof/>
          <w:lang w:eastAsia="en-GB"/>
        </w:rPr>
      </w:pPr>
      <w:r>
        <w:rPr>
          <w:noProof/>
          <w:lang w:eastAsia="en-GB"/>
        </w:rPr>
        <w:t>ii</w:t>
      </w:r>
      <w:r>
        <w:rPr>
          <w:noProof/>
          <w:lang w:eastAsia="en-GB"/>
        </w:rPr>
        <w:tab/>
        <w:t>production, transport or distribution of electricity covered under this Annex;</w:t>
      </w:r>
    </w:p>
    <w:p>
      <w:pPr>
        <w:pStyle w:val="Point1"/>
        <w:rPr>
          <w:noProof/>
          <w:lang w:eastAsia="en-GB"/>
        </w:rPr>
      </w:pPr>
      <w:r>
        <w:rPr>
          <w:noProof/>
          <w:lang w:eastAsia="en-GB"/>
        </w:rPr>
        <w:t>iii</w:t>
      </w:r>
      <w:r>
        <w:rPr>
          <w:noProof/>
          <w:lang w:eastAsia="en-GB"/>
        </w:rPr>
        <w:tab/>
        <w:t>airport facilities covered under this Annex;</w:t>
      </w:r>
    </w:p>
    <w:p>
      <w:pPr>
        <w:pStyle w:val="Point1"/>
        <w:rPr>
          <w:noProof/>
          <w:lang w:eastAsia="en-GB"/>
        </w:rPr>
      </w:pPr>
      <w:r>
        <w:rPr>
          <w:noProof/>
          <w:lang w:eastAsia="en-GB"/>
        </w:rPr>
        <w:t>iv</w:t>
      </w:r>
      <w:r>
        <w:rPr>
          <w:noProof/>
          <w:lang w:eastAsia="en-GB"/>
        </w:rPr>
        <w:tab/>
        <w:t xml:space="preserve">maritime or inland port or other terminal facilities covered under this Annex; </w:t>
      </w:r>
    </w:p>
    <w:p>
      <w:pPr>
        <w:pStyle w:val="Point1"/>
        <w:rPr>
          <w:noProof/>
          <w:lang w:eastAsia="en-GB"/>
        </w:rPr>
      </w:pPr>
      <w:r>
        <w:rPr>
          <w:noProof/>
          <w:lang w:eastAsia="en-GB"/>
        </w:rPr>
        <w:t>v</w:t>
      </w:r>
      <w:r>
        <w:rPr>
          <w:noProof/>
          <w:lang w:eastAsia="en-GB"/>
        </w:rPr>
        <w:tab/>
        <w:t xml:space="preserve">urban railway, tramway, trolley bus or bus services covered under this Annex; and </w:t>
      </w:r>
    </w:p>
    <w:p>
      <w:pPr>
        <w:pStyle w:val="Point1"/>
        <w:rPr>
          <w:noProof/>
          <w:lang w:eastAsia="en-GB"/>
        </w:rPr>
      </w:pPr>
      <w:r>
        <w:rPr>
          <w:noProof/>
          <w:lang w:eastAsia="en-GB"/>
        </w:rPr>
        <w:t>vi</w:t>
      </w:r>
      <w:r>
        <w:rPr>
          <w:noProof/>
          <w:lang w:eastAsia="en-GB"/>
        </w:rPr>
        <w:tab/>
        <w:t xml:space="preserve">transport by railways covered under this Annex; </w:t>
      </w:r>
    </w:p>
    <w:p>
      <w:pPr>
        <w:pStyle w:val="Point1"/>
        <w:rPr>
          <w:noProof/>
          <w:lang w:eastAsia="en-GB"/>
        </w:rPr>
      </w:pPr>
      <w:r>
        <w:rPr>
          <w:noProof/>
          <w:lang w:eastAsia="en-GB"/>
        </w:rPr>
        <w:t>in regard of supplies, services, suppliers and service providers from Australia.'</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0EBF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5C88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FE63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CCE1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AE7C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8AE5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3A7E76"/>
    <w:lvl w:ilvl="0">
      <w:start w:val="1"/>
      <w:numFmt w:val="decimal"/>
      <w:pStyle w:val="ListNumber"/>
      <w:lvlText w:val="%1."/>
      <w:lvlJc w:val="left"/>
      <w:pPr>
        <w:tabs>
          <w:tab w:val="num" w:pos="360"/>
        </w:tabs>
        <w:ind w:left="360" w:hanging="360"/>
      </w:pPr>
    </w:lvl>
  </w:abstractNum>
  <w:abstractNum w:abstractNumId="7">
    <w:nsid w:val="FFFFFF89"/>
    <w:multiLevelType w:val="singleLevel"/>
    <w:tmpl w:val="2A102F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551E12"/>
    <w:multiLevelType w:val="multilevel"/>
    <w:tmpl w:val="98628F2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1418"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5:07: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4C569AC-690D-460F-86CF-64F3223B97E6"/>
    <w:docVar w:name="LW_COVERPAGE_TYPE" w:val="1"/>
    <w:docVar w:name="LW_CROSSREFERENCE" w:val="&lt;UNUSED&gt;"/>
    <w:docVar w:name="LW_DocType" w:val="ANNEX"/>
    <w:docVar w:name="LW_EMISSION" w:val="7.9.2018"/>
    <w:docVar w:name="LW_EMISSION_ISODATE" w:val="2018-09-07"/>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taken on behalf of the European Union within the Committee on Government Procurement on the accession of Australia to the Agreement on Government Procurement"/>
    <w:docVar w:name="LW_OBJETACTEPRINCIPAL.CP" w:val="establishing the position to be taken on behalf of the European Union within the Committee on Government Procurement on the accession of Australia to the Agreement on Government Procurement"/>
    <w:docVar w:name="LW_PART_NBR" w:val="1"/>
    <w:docVar w:name="LW_PART_NBR_TOTAL" w:val="1"/>
    <w:docVar w:name="LW_REF.INST.NEW" w:val="COM"/>
    <w:docVar w:name="LW_REF.INST.NEW_ADOPTED" w:val="final"/>
    <w:docVar w:name="LW_REF.INST.NEW_TEXT" w:val="(2018)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en-GB"/>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en-GB"/>
    </w:rPr>
  </w:style>
  <w:style w:type="paragraph" w:styleId="BodyText">
    <w:name w:val="Body Text"/>
    <w:basedOn w:val="Normal"/>
    <w:link w:val="BodyTextChar"/>
    <w:uiPriority w:val="1"/>
    <w:qFormat/>
    <w:pPr>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en-GB"/>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lang w:eastAsia="en-GB"/>
    </w:rPr>
  </w:style>
  <w:style w:type="character" w:customStyle="1" w:styleId="BodyText2Char">
    <w:name w:val="Body Text 2 Char"/>
    <w:basedOn w:val="DefaultParagraphFont"/>
    <w:link w:val="BodyText2"/>
    <w:uiPriority w:val="1"/>
    <w:rPr>
      <w:rFonts w:ascii="Verdana" w:eastAsia="Calibri" w:hAnsi="Verdana" w:cs="Times New Roman"/>
      <w:sz w:val="18"/>
      <w:lang w:val="en-GB" w:eastAsia="en-GB"/>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lang w:eastAsia="en-GB"/>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en-GB" w:eastAsia="en-GB"/>
    </w:rPr>
  </w:style>
  <w:style w:type="numbering" w:customStyle="1" w:styleId="LegalHeadings">
    <w:name w:val="LegalHeadings"/>
    <w:uiPriority w:val="99"/>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en-GB"/>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en-GB"/>
    </w:rPr>
  </w:style>
  <w:style w:type="paragraph" w:styleId="BodyText">
    <w:name w:val="Body Text"/>
    <w:basedOn w:val="Normal"/>
    <w:link w:val="BodyTextChar"/>
    <w:uiPriority w:val="1"/>
    <w:qFormat/>
    <w:pPr>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en-GB"/>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lang w:eastAsia="en-GB"/>
    </w:rPr>
  </w:style>
  <w:style w:type="character" w:customStyle="1" w:styleId="BodyText2Char">
    <w:name w:val="Body Text 2 Char"/>
    <w:basedOn w:val="DefaultParagraphFont"/>
    <w:link w:val="BodyText2"/>
    <w:uiPriority w:val="1"/>
    <w:rPr>
      <w:rFonts w:ascii="Verdana" w:eastAsia="Calibri" w:hAnsi="Verdana" w:cs="Times New Roman"/>
      <w:sz w:val="18"/>
      <w:lang w:val="en-GB" w:eastAsia="en-GB"/>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lang w:eastAsia="en-GB"/>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en-GB" w:eastAsia="en-GB"/>
    </w:rPr>
  </w:style>
  <w:style w:type="numbering" w:customStyle="1" w:styleId="LegalHeadings">
    <w:name w:val="LegalHeadings"/>
    <w:uiPriority w:val="99"/>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766</Words>
  <Characters>4161</Characters>
  <Application>Microsoft Office Word</Application>
  <DocSecurity>0</DocSecurity>
  <Lines>81</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ALESSANDRI Gregoire (ENTR)</dc:creator>
  <cp:lastModifiedBy>DIGIT/A3</cp:lastModifiedBy>
  <cp:revision>7</cp:revision>
  <cp:lastPrinted>2018-07-18T15:32:00Z</cp:lastPrinted>
  <dcterms:created xsi:type="dcterms:W3CDTF">2018-08-09T08:06:00Z</dcterms:created>
  <dcterms:modified xsi:type="dcterms:W3CDTF">2018-08-31T13:07:00Z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