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A162F1A-5A45-4C3B-B1BA-60811CF60170"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Arial Unicode MS"/>
          <w:noProof/>
        </w:rPr>
      </w:pPr>
      <w:r>
        <w:rPr>
          <w:noProof/>
        </w:rPr>
        <w:t>Данните показват, че годишното предварително финансиране, изплащано на държавите членки за дадена счетоводна година и уравнявано с приемането на отчетите, води до годишни нареждания за събиране на вземания в значителни размери (например 6,6 млрд. EUR през 2017 г.). На практика това означава, че държавите членки заявяват средства от бюджетните кредити за плащания в бюджета на Съюза, за да им бъде изплатено годишно предварително финансиране, което година по-късно те трябва в значителна степен да възстановят.</w:t>
      </w:r>
    </w:p>
    <w:p>
      <w:pPr>
        <w:pBdr>
          <w:top w:val="nil"/>
          <w:left w:val="nil"/>
          <w:bottom w:val="nil"/>
          <w:right w:val="nil"/>
          <w:between w:val="nil"/>
          <w:bar w:val="nil"/>
        </w:pBdr>
        <w:spacing w:before="0" w:after="240"/>
        <w:rPr>
          <w:rFonts w:eastAsia="Arial Unicode MS"/>
          <w:noProof/>
        </w:rPr>
      </w:pPr>
      <w:r>
        <w:rPr>
          <w:noProof/>
        </w:rPr>
        <w:t>Поради това и с оглед на една по-голяма прозрачност, по-предсказуемо бюджетно планиране и по-стабилен и предвидим профил на плащанията, се предлага за последните три години от текущия период на изпълнение 2021—2023 г., които се припокриват със следващия период на изпълнение, започващ през 2021 г., годишното предварително финансиране да бъде сведено до необходимия минимум. Този подход отчита също така нуждите от плащания, произтичащи от споразуменията за предварително финансиране, предложени за програмите за периода 2021—2027 г., по които ще бъде изплатено само първоначалното предварително финансиране на шест годишни транша</w:t>
      </w:r>
      <w:r>
        <w:rPr>
          <w:rStyle w:val="FootnoteReference"/>
          <w:noProof/>
        </w:rPr>
        <w:footnoteReference w:id="1"/>
      </w:r>
      <w:r>
        <w:rPr>
          <w:noProof/>
        </w:rPr>
        <w:t>. Комисията вече обяви това свое намерение</w:t>
      </w:r>
      <w:r>
        <w:rPr>
          <w:rStyle w:val="FootnoteReference"/>
          <w:noProof/>
        </w:rPr>
        <w:footnoteReference w:id="2"/>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sz w:val="23"/>
          <w:szCs w:val="23"/>
        </w:rPr>
      </w:pPr>
      <w:r>
        <w:rPr>
          <w:noProof/>
          <w:sz w:val="23"/>
        </w:rPr>
        <w:t>Предложението е съгласувано с разпоредбите относно бюджетното управление на европейските структурни и инвестиционни фондове (ЕСИФ) в Регламент (ЕС) № 1303/2013</w:t>
      </w:r>
      <w:r>
        <w:rPr>
          <w:rStyle w:val="FootnoteReference"/>
          <w:noProof/>
          <w:sz w:val="23"/>
        </w:rPr>
        <w:footnoteReference w:id="3"/>
      </w:r>
      <w:r>
        <w:rPr>
          <w:noProof/>
          <w:sz w:val="23"/>
        </w:rPr>
        <w:t>. Изменението не въвежда структурна промяна в тези разпоредби.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Предложението е съгласувано с </w:t>
      </w:r>
      <w:r>
        <w:rPr>
          <w:noProof/>
          <w:sz w:val="23"/>
        </w:rPr>
        <w:t>други предложения и инициативи, приети от Европейската комисия</w:t>
      </w:r>
      <w:r>
        <w:rPr>
          <w:noProof/>
        </w:rPr>
        <w:t>.</w:t>
      </w:r>
      <w:r>
        <w:rPr>
          <w:noProof/>
          <w:sz w:val="23"/>
        </w:rPr>
        <w:t xml:space="preserve"> То отговаря също така на изискванията за добро бюджетно управление.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sz w:val="23"/>
        </w:rPr>
        <w:t>Регламент (ЕС) № 1303/2013 установява общите правила, приложими за ЕСИФ. Като се основава на принципа на споделено управление между Европейската комисия и държавите членки, настоящият регламент включва разпоредби по отношение на процеса на планиране, както и правила за управление (включително финансово) на програмите, мониторинг, финансов контрол и оценка на проектите.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sz w:val="23"/>
          <w:szCs w:val="23"/>
        </w:rPr>
      </w:pPr>
      <w:r>
        <w:rPr>
          <w:noProof/>
          <w:sz w:val="23"/>
        </w:rPr>
        <w:t xml:space="preserve">Предложението се отнася до намаляване на годишното предварително финансиране, което Комисията предоставя от бюджета на Съюза на държавите членки. Ставките на годишното предварително финансиране са определени на равнище Съюз с Регламент (ЕС) № 1303/2013. Следователно всяка промяна в разпоредбите на посочения регламент изисква неговото изменение. В случая не са подходящи национални или регионални мерки. Следователно предложението е в съответствие с принципа на субсидиарност.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sz w:val="23"/>
          <w:szCs w:val="23"/>
        </w:rPr>
      </w:pPr>
      <w:r>
        <w:rPr>
          <w:noProof/>
          <w:sz w:val="23"/>
        </w:rPr>
        <w:t>Предложението отговаря на принципа на пропорционалност, тъй като се вмества в минимално необходимото за постигането на заявената цел на съюзно равнище. Ставката на годишното предварително финансиране се намалява, за да съответства на необходимите парични потоци, отчитайки тяхното нарастване на базата на заявленията за междинни плащания, което произтича от по-бързото усвояване на средствата от европейските структурни и инвестиционни фондове. При определянето на предлаганата ставка Комисията отчете, че за разглежданите години в базата, за която се отнасят процентите, вече е включен резервът за изпълнение и следователно един по-малък дял може да гарантира същия размер на предварително финансиране.</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sz w:val="23"/>
        </w:rPr>
        <w:t xml:space="preserve">Предлаган инструмент: изменение на действащия регламент. </w:t>
      </w:r>
      <w:r>
        <w:rPr>
          <w:noProof/>
        </w:rPr>
        <w:t>Комисията разгледа всички възможности за действие съгласно нормативната уредба и счита, че е необходимо да бъдат предложени изменения на Регламент (ЕС) № 1303/2013.</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sz w:val="23"/>
        </w:rPr>
        <w:t>Не беше правена последваща оценка или проверки за пригодност на действащото законодателство.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sz w:val="23"/>
          <w:szCs w:val="23"/>
        </w:rPr>
      </w:pPr>
      <w:r>
        <w:rPr>
          <w:noProof/>
          <w:sz w:val="23"/>
        </w:rPr>
        <w:t>Не бяха проведени консултации с външни заинтересовани страни.</w:t>
      </w:r>
    </w:p>
    <w:p>
      <w:pPr>
        <w:pStyle w:val="ManualHeading2"/>
        <w:rPr>
          <w:rFonts w:eastAsia="Arial Unicode MS"/>
          <w:noProof/>
          <w:u w:color="000000"/>
          <w:bdr w:val="nil"/>
        </w:rPr>
      </w:pPr>
      <w:r>
        <w:rPr>
          <w:noProof/>
        </w:rPr>
        <w:t>•</w:t>
      </w:r>
      <w:r>
        <w:rPr>
          <w:noProof/>
        </w:rPr>
        <w:tab/>
        <w:t>Събиране и използване на експертен опит</w:t>
      </w:r>
    </w:p>
    <w:p>
      <w:pPr>
        <w:pBdr>
          <w:top w:val="nil"/>
          <w:left w:val="nil"/>
          <w:bottom w:val="nil"/>
          <w:right w:val="nil"/>
          <w:between w:val="nil"/>
          <w:bar w:val="nil"/>
        </w:pBdr>
        <w:spacing w:before="0" w:after="240"/>
        <w:rPr>
          <w:rFonts w:eastAsia="Arial Unicode MS"/>
          <w:noProof/>
        </w:rPr>
      </w:pPr>
      <w:r>
        <w:rPr>
          <w:noProof/>
          <w:sz w:val="23"/>
        </w:rPr>
        <w:t>Не беше необходимо използването на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 w:val="23"/>
          <w:szCs w:val="23"/>
        </w:rPr>
      </w:pPr>
      <w:r>
        <w:rPr>
          <w:noProof/>
          <w:sz w:val="23"/>
        </w:rPr>
        <w:t>Не се очаква предложението да има значително икономическо и социално въздействие или да се отрази съществено върху околната среда. То ще доведе до намаляване на годишното предварително финансиране — от 3 % от размера на подпомагането от фондовете и Европейския фонд за морско дело и рибарство (ЕФМДР) за оперативната програма през целия програмен период на 1 % за периода 2021—2023 г., което подхожда повече на необходимите парични потоци, произтичащи от изпълнението на програмите. Това по-ниско предварително финансиране отчита очакваното засилено подаване на заявления за междинни плащания; факта, че през тези години базата за изчисление на размера на годишното предварително финансиране е увеличена с размера на резерва за изпълнение, който дотогава ще бъде окончателно предоставен; както и предварителното финансиране за държавите членки от програмния период 2021—2027 г.</w:t>
      </w:r>
    </w:p>
    <w:p>
      <w:pPr>
        <w:pBdr>
          <w:top w:val="nil"/>
          <w:left w:val="nil"/>
          <w:bottom w:val="nil"/>
          <w:right w:val="nil"/>
          <w:between w:val="nil"/>
          <w:bar w:val="nil"/>
        </w:pBdr>
        <w:spacing w:before="0" w:after="240"/>
        <w:rPr>
          <w:noProof/>
          <w:sz w:val="23"/>
          <w:szCs w:val="23"/>
        </w:rPr>
      </w:pPr>
      <w:r>
        <w:rPr>
          <w:noProof/>
          <w:sz w:val="23"/>
        </w:rPr>
        <w:t xml:space="preserve">Като се има предвид, че годишното предварително финансиране се предоставя за счетоводна година, която обхваща две календарни бюджетни години, надплатената сума през година N, изплатена като годишно предварително финансиране, ще бъде уравнена през година N+1, което води до ненужни и недопринасящи с нищо платежни потоци. </w:t>
      </w:r>
      <w:r>
        <w:rPr>
          <w:noProof/>
        </w:rPr>
        <w:t>Намаляването на ставката на годишното предварително финансиране за предлаганите години ще допринесе за по-предсказуемо бюджетно планиране и по-стабилен и предвидим профил на плащанията, за намаляване на риска от забавяне на плащанията, за по-голяма прозрачност по отношение на нуждите от плащания и следователно за  по-добро управление на бюджета.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sz w:val="23"/>
        </w:rPr>
        <w:t>Това не е инициатива по линия на Програмата за пригодност и резултатност на регулаторната рамка (REFIT).</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sz w:val="23"/>
        </w:rPr>
        <w:t>Предложението няма последствия за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sz w:val="23"/>
          <w:szCs w:val="23"/>
        </w:rPr>
      </w:pPr>
      <w:r>
        <w:rPr>
          <w:noProof/>
          <w:sz w:val="23"/>
        </w:rPr>
        <w:t xml:space="preserve">Няма отражение върху бюджетните кредити за поети задължения, тъй като не се предлага промяна в максималните суми на финансирането по линия на ЕСИФ, предвидени в оперативните програми за програмния период 2014—2020 г. </w:t>
      </w:r>
    </w:p>
    <w:p>
      <w:pPr>
        <w:pBdr>
          <w:top w:val="nil"/>
          <w:left w:val="nil"/>
          <w:bottom w:val="nil"/>
          <w:right w:val="nil"/>
          <w:between w:val="nil"/>
          <w:bar w:val="nil"/>
        </w:pBdr>
        <w:spacing w:before="0" w:after="240"/>
        <w:rPr>
          <w:noProof/>
          <w:sz w:val="23"/>
          <w:szCs w:val="23"/>
        </w:rPr>
      </w:pPr>
      <w:r>
        <w:rPr>
          <w:noProof/>
          <w:sz w:val="23"/>
        </w:rPr>
        <w:t xml:space="preserve">Цялостното въздействие върху бюджетните кредити за плащания се неутрализира. Както е описано подробно във финансовата обосновка, приложена към предложението, предлаганата промяна ще допринесе за намаляване на бюджетните кредити за плащания за 2021 г., което се дължи изцяло на намалението на годишните суми за предварително финансиране, което ще бъде компенсирано с по-големи нужди от плащания за 2024 г. За 2022 г. и 2023 г. по-ниското годишно предварително финансиране ще бъде компенсирано в рамките на разглеждането и приемането на отчетите, следователно ефектът е неутрален.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sz w:val="23"/>
        </w:rPr>
        <w:t>Не се прилага. Съществуващите системи за изпълнение на ЕСИФ могат да се използват за наблюдение на изпълнението на настоящото предложение.</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sz w:val="23"/>
        </w:rPr>
        <w:t>Не се прилага.</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sz w:val="23"/>
          <w:szCs w:val="23"/>
        </w:rPr>
      </w:pPr>
      <w:r>
        <w:rPr>
          <w:noProof/>
          <w:sz w:val="23"/>
        </w:rPr>
        <w:t xml:space="preserve">Член 134, параграф 2 ще бъде изменен — годишното предварително финансиране за периода 2021—2023 г. ще бъде намалено на 1 % от прилаганите понастоящем 3 % от размера на подпомагането от фондовете и ЕФМДР за оперативната програма през целия програмен период. </w:t>
      </w:r>
      <w:r>
        <w:rPr>
          <w:noProof/>
        </w:rPr>
        <w:t>Размерът на годишното предварително финансиране за 2020 г. ще се запази на 3 % от размера на подпомагането от фондовете и ЕФМДР за оперативната програма през целия програмен период.</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2018/0322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за адаптиране на равнището на годишното предварително финансиране за периода 2021—2023 г.</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w:t>
      </w:r>
    </w:p>
    <w:p>
      <w:pPr>
        <w:rPr>
          <w:noProof/>
        </w:rPr>
      </w:pPr>
      <w:r>
        <w:rPr>
          <w:noProof/>
        </w:rPr>
        <w:t>като взеха предвид становището на Комитета на регионите</w:t>
      </w:r>
      <w:r>
        <w:rPr>
          <w:rStyle w:val="FootnoteReference"/>
          <w:noProof/>
        </w:rPr>
        <w:footnoteReference w:id="5"/>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Регламент (ЕС) № 1303/2013 на Европейския парламент и на Съвета</w:t>
      </w:r>
      <w:r>
        <w:rPr>
          <w:rStyle w:val="FootnoteReference"/>
          <w:noProof/>
        </w:rPr>
        <w:footnoteReference w:id="6"/>
      </w:r>
      <w:r>
        <w:rPr>
          <w:noProof/>
        </w:rPr>
        <w:t xml:space="preserve"> се определят общоприложимите и общите разпоредби, приложими за европейските структурни и инвестиционни фондове. </w:t>
      </w:r>
    </w:p>
    <w:p>
      <w:pPr>
        <w:pStyle w:val="ManualConsidrant"/>
        <w:rPr>
          <w:noProof/>
        </w:rPr>
      </w:pPr>
      <w:r>
        <w:t>(2)</w:t>
      </w:r>
      <w:r>
        <w:tab/>
      </w:r>
      <w:r>
        <w:rPr>
          <w:noProof/>
        </w:rPr>
        <w:t>Данните сочат, че годишното предварително финансиране е особено високо в сравнение с изискванията за финансовото управление, произтичащи от изпълнението на оперативните програми. Такъв е по-специално случаят с бюджетните години 2021—2023.</w:t>
      </w:r>
    </w:p>
    <w:p>
      <w:pPr>
        <w:pStyle w:val="ManualConsidrant"/>
        <w:rPr>
          <w:noProof/>
        </w:rPr>
      </w:pPr>
      <w:r>
        <w:t>(3)</w:t>
      </w:r>
      <w:r>
        <w:tab/>
      </w:r>
      <w:r>
        <w:rPr>
          <w:noProof/>
        </w:rPr>
        <w:t xml:space="preserve">За да се намали натискът върху бюджетните кредити за плащания в бюджета на Съюза за бюджетните години 2021—2023 и за повече предсказуемост за необходимите плащания и съответно — повече прозрачност в бюджетното планиране и по-организиран профил на плащанията, ставката на годишното предварително финансиране за посочените години следва да бъде намалена. </w:t>
      </w:r>
    </w:p>
    <w:p>
      <w:pPr>
        <w:pStyle w:val="ManualConsidrant"/>
        <w:rPr>
          <w:noProof/>
          <w:szCs w:val="24"/>
        </w:rPr>
      </w:pPr>
      <w:r>
        <w:t>(4)</w:t>
      </w:r>
      <w:r>
        <w:tab/>
      </w:r>
      <w:r>
        <w:rPr>
          <w:noProof/>
        </w:rPr>
        <w:t>Поради това Регламент (ЕС) № 1303/2013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keepNext/>
        <w:jc w:val="left"/>
        <w:rPr>
          <w:noProof/>
        </w:rPr>
      </w:pPr>
      <w:r>
        <w:rPr>
          <w:noProof/>
        </w:rPr>
        <w:t>Член 134, параграф 2 от Регламент (ЕС) № 1303/2013, се изменя както следва:</w:t>
      </w:r>
    </w:p>
    <w:p>
      <w:pPr>
        <w:rPr>
          <w:noProof/>
        </w:rPr>
      </w:pPr>
      <w:r>
        <w:rPr>
          <w:noProof/>
        </w:rPr>
        <w:t>а)</w:t>
      </w:r>
      <w:r>
        <w:rPr>
          <w:noProof/>
        </w:rPr>
        <w:tab/>
        <w:t>Петото тире се заменя със следното:</w:t>
      </w:r>
    </w:p>
    <w:p>
      <w:pPr>
        <w:pStyle w:val="Text1"/>
        <w:rPr>
          <w:noProof/>
        </w:rPr>
      </w:pPr>
      <w:r>
        <w:rPr>
          <w:noProof/>
        </w:rPr>
        <w:t>„— 2020 г.: 3 %“;</w:t>
      </w:r>
    </w:p>
    <w:p>
      <w:pPr>
        <w:rPr>
          <w:noProof/>
        </w:rPr>
      </w:pPr>
      <w:r>
        <w:rPr>
          <w:noProof/>
        </w:rPr>
        <w:t>б)</w:t>
      </w:r>
      <w:r>
        <w:rPr>
          <w:noProof/>
        </w:rPr>
        <w:tab/>
        <w:t>Добавя се следното тире:</w:t>
      </w:r>
    </w:p>
    <w:p>
      <w:pPr>
        <w:pStyle w:val="Text1"/>
        <w:rPr>
          <w:noProof/>
        </w:rPr>
      </w:pPr>
      <w:r>
        <w:rPr>
          <w:noProof/>
        </w:rPr>
        <w:t>„— 2021—2023 г.: 1 %.“</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Продължителност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footnotePr>
            <w:numRestart w:val="eachSect"/>
          </w:footnote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(ЕС) № 1303/2013 за адаптиране на равнището на годишното предварително финансиране за периода 2021—2023 г.</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ТРУДОВА ЗАЕТОСТ, СОЦИАЛНИ ВЪПРОСИ И ПРИОБЩАВАНЕ, РЕГИОНАЛНА И СЕЛИЩНА ПОЛИТИКА</w:t>
      </w:r>
    </w:p>
    <w:p>
      <w:pPr>
        <w:pStyle w:val="Text1"/>
        <w:pBdr>
          <w:top w:val="single" w:sz="4" w:space="1" w:color="auto"/>
          <w:left w:val="single" w:sz="4" w:space="4" w:color="auto"/>
          <w:bottom w:val="single" w:sz="4" w:space="1" w:color="auto"/>
          <w:right w:val="single" w:sz="4" w:space="4" w:color="auto"/>
        </w:pBdr>
        <w:rPr>
          <w:noProof/>
        </w:rPr>
      </w:pPr>
      <w:r>
        <w:rPr>
          <w:noProof/>
        </w:rPr>
        <w:t>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7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на предложението/инициативата върху бенефициерите/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t>1.4.4.</w:t>
      </w:r>
      <w:r>
        <w:tab/>
      </w:r>
      <w:r>
        <w:rPr>
          <w:noProof/>
        </w:rPr>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t>1.5.3.</w:t>
      </w:r>
      <w:r>
        <w:tab/>
      </w:r>
      <w:r>
        <w:rPr>
          <w:noProof/>
        </w:rPr>
        <w:t>Поуки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t>1.5.4.</w:t>
      </w:r>
      <w:r>
        <w:tab/>
      </w:r>
      <w:r>
        <w:rPr>
          <w:noProof/>
        </w:rPr>
        <w:t>Съгласуваност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br w:type="page"/>
      </w:r>
      <w:r>
        <w:t>1.6.</w:t>
      </w:r>
      <w:r>
        <w:tab/>
      </w:r>
      <w:r>
        <w:rPr>
          <w:noProof/>
        </w:rPr>
        <w:t xml:space="preserve">Продължителност и финансово отражение </w:t>
      </w:r>
    </w:p>
    <w:p>
      <w:pPr>
        <w:pStyle w:val="Text1"/>
        <w:rPr>
          <w:noProof/>
        </w:rPr>
      </w:pPr>
      <w:r>
        <w:rPr>
          <w:noProof/>
        </w:rPr>
        <w:sym w:font="Wingdings" w:char="F078"/>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78"/>
      </w:r>
      <w:r>
        <w:rPr>
          <w:noProof/>
        </w:rPr>
        <w:tab/>
        <w:t>Предложение/инициатива в сила от 2021 г. до 2024 г.</w:t>
      </w:r>
    </w:p>
    <w:p>
      <w:pPr>
        <w:pStyle w:val="ListDash2"/>
        <w:rPr>
          <w:noProof/>
        </w:rPr>
      </w:pPr>
      <w:r>
        <w:rPr>
          <w:noProof/>
        </w:rPr>
        <w:sym w:font="Wingdings" w:char="F078"/>
      </w:r>
      <w:r>
        <w:rPr>
          <w:noProof/>
        </w:rPr>
        <w:tab/>
        <w:t xml:space="preserve">Финансово отражение от 2021 г. до 2024 г.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9"/>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от изпълнителните агенции </w:t>
      </w:r>
    </w:p>
    <w:p>
      <w:pPr>
        <w:pStyle w:val="Text1"/>
        <w:rPr>
          <w:noProof/>
        </w:rPr>
      </w:pPr>
      <w:r>
        <w:rPr>
          <w:noProof/>
        </w:rPr>
        <w:sym w:font="Wingdings" w:char="F07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трети държави или на органите, определени от тях;</w:t>
      </w:r>
    </w:p>
    <w:p>
      <w:pPr>
        <w:pStyle w:val="ListDash2"/>
        <w:rPr>
          <w:noProof/>
        </w:rPr>
      </w:pPr>
      <w:r>
        <w:rPr>
          <w:noProof/>
        </w:rPr>
        <w:sym w:font="Wingdings" w:char="F0A8"/>
      </w:r>
      <w:r>
        <w:rPr>
          <w:noProof/>
        </w:rPr>
        <w:t>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органите, посочени в членове 208 и 209 от Финансовия регламент;</w:t>
      </w:r>
    </w:p>
    <w:p>
      <w:pPr>
        <w:pStyle w:val="ListDash2"/>
        <w:rPr>
          <w:noProof/>
        </w:rPr>
      </w:pPr>
      <w:r>
        <w:rPr>
          <w:noProof/>
        </w:rPr>
        <w:sym w:font="Wingdings" w:char="F0A8"/>
      </w:r>
      <w:r>
        <w:rPr>
          <w:noProof/>
        </w:rPr>
        <w:t>публичноправни органи;</w:t>
      </w:r>
    </w:p>
    <w:p>
      <w:pPr>
        <w:pStyle w:val="ListDash2"/>
        <w:rPr>
          <w:noProof/>
        </w:rPr>
      </w:pPr>
      <w:r>
        <w:rPr>
          <w:noProof/>
        </w:rPr>
        <w:sym w:font="Wingdings" w:char="F0A8"/>
      </w:r>
      <w:r>
        <w:rPr>
          <w:noProof/>
        </w:rPr>
        <w:t>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r>
        <w:t>2.2.3.</w:t>
      </w:r>
      <w:r>
        <w:tab/>
      </w:r>
      <w:r>
        <w:rPr>
          <w:noProof/>
        </w:rPr>
        <w:t xml:space="preserve">Оценка на разходите и ползите от проверките и на очакваната степен на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3546"/>
        <w:gridCol w:w="1080"/>
        <w:gridCol w:w="956"/>
        <w:gridCol w:w="1080"/>
        <w:gridCol w:w="956"/>
        <w:gridCol w:w="1448"/>
      </w:tblGrid>
      <w:tr>
        <w:tc>
          <w:tcPr>
            <w:tcW w:w="1494"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546"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494" w:type="dxa"/>
            <w:vMerge/>
            <w:vAlign w:val="center"/>
          </w:tcPr>
          <w:p>
            <w:pPr>
              <w:jc w:val="center"/>
              <w:rPr>
                <w:noProof/>
                <w:sz w:val="22"/>
              </w:rPr>
            </w:pPr>
          </w:p>
        </w:tc>
        <w:tc>
          <w:tcPr>
            <w:tcW w:w="3546" w:type="dxa"/>
            <w:vAlign w:val="center"/>
          </w:tcPr>
          <w:p>
            <w:pPr>
              <w:rPr>
                <w:noProof/>
                <w:sz w:val="22"/>
              </w:rPr>
            </w:pPr>
            <w:r>
              <w:rPr>
                <w:noProof/>
                <w:sz w:val="20"/>
              </w:rPr>
              <w:t>Номер</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10"/>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494" w:type="dxa"/>
            <w:vMerge w:val="restart"/>
            <w:vAlign w:val="center"/>
          </w:tcPr>
          <w:p>
            <w:pPr>
              <w:jc w:val="center"/>
              <w:rPr>
                <w:noProof/>
                <w:sz w:val="22"/>
              </w:rPr>
            </w:pPr>
            <w:r>
              <w:rPr>
                <w:noProof/>
                <w:sz w:val="22"/>
              </w:rPr>
              <w:t xml:space="preserve">1Б — </w:t>
            </w:r>
            <w:r>
              <w:rPr>
                <w:noProof/>
                <w:sz w:val="22"/>
              </w:rPr>
              <w:br/>
              <w:t>Икономическо, социално и териториално сближаване</w:t>
            </w:r>
          </w:p>
        </w:tc>
        <w:tc>
          <w:tcPr>
            <w:tcW w:w="3546" w:type="dxa"/>
            <w:vAlign w:val="center"/>
          </w:tcPr>
          <w:p>
            <w:pPr>
              <w:spacing w:before="60"/>
              <w:rPr>
                <w:noProof/>
                <w:sz w:val="22"/>
              </w:rPr>
            </w:pPr>
            <w:r>
              <w:rPr>
                <w:noProof/>
              </w:rPr>
              <w:t>04 02 60 — Европейски социален фонд — По-слабо развити региони</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pPr>
            <w:r>
              <w:rPr>
                <w:noProof/>
              </w:rPr>
              <w:t>04 02 61 — Европейски социален фонд — Региони в преход</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pPr>
            <w:r>
              <w:rPr>
                <w:noProof/>
              </w:rPr>
              <w:t>04 02 62 — Европейски социален фонд — По-силно развити региони</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04 02 64 — Инициатива за младежка заетост (ИМЗ)</w:t>
            </w:r>
          </w:p>
          <w:p>
            <w:pPr>
              <w:spacing w:before="60"/>
            </w:pPr>
            <w:r>
              <w:rPr>
                <w:noProof/>
              </w:rPr>
              <w:t>Инициатива</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 xml:space="preserve">13 03 60 — Европейски фонд </w:t>
            </w:r>
          </w:p>
          <w:p>
            <w:pPr>
              <w:spacing w:before="60"/>
              <w:rPr>
                <w:noProof/>
              </w:rPr>
            </w:pPr>
            <w:r>
              <w:rPr>
                <w:noProof/>
              </w:rPr>
              <w:t xml:space="preserve">за регионално развитие (ЕФРР) — По-слабо </w:t>
            </w:r>
          </w:p>
          <w:p>
            <w:pPr>
              <w:spacing w:before="60"/>
            </w:pPr>
            <w:r>
              <w:rPr>
                <w:noProof/>
              </w:rPr>
              <w:t>развити региони</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61 — Европейски фонд</w:t>
            </w:r>
          </w:p>
          <w:p>
            <w:pPr>
              <w:spacing w:before="60"/>
              <w:rPr>
                <w:noProof/>
              </w:rPr>
            </w:pPr>
            <w:r>
              <w:rPr>
                <w:noProof/>
              </w:rPr>
              <w:t>за регионално развитие (ЕФРР) — Региони</w:t>
            </w:r>
          </w:p>
          <w:p>
            <w:pPr>
              <w:spacing w:before="60"/>
            </w:pPr>
            <w:r>
              <w:rPr>
                <w:noProof/>
              </w:rPr>
              <w:t>в преход</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62 — Европейски фонд</w:t>
            </w:r>
          </w:p>
          <w:p>
            <w:pPr>
              <w:spacing w:before="60"/>
              <w:rPr>
                <w:noProof/>
              </w:rPr>
            </w:pPr>
            <w:r>
              <w:rPr>
                <w:noProof/>
              </w:rPr>
              <w:t>за регионално развитие (ЕФРР) — По-силно</w:t>
            </w:r>
          </w:p>
          <w:p>
            <w:pPr>
              <w:spacing w:before="60"/>
            </w:pPr>
            <w:r>
              <w:rPr>
                <w:noProof/>
              </w:rPr>
              <w:t>развити региони</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63 — Европейски фонд</w:t>
            </w:r>
          </w:p>
          <w:p>
            <w:pPr>
              <w:spacing w:before="60"/>
              <w:rPr>
                <w:noProof/>
              </w:rPr>
            </w:pPr>
            <w:r>
              <w:rPr>
                <w:noProof/>
              </w:rPr>
              <w:t>за регионално развитие (ЕФРР) — Допълнителни</w:t>
            </w:r>
          </w:p>
          <w:p>
            <w:pPr>
              <w:spacing w:before="60"/>
              <w:rPr>
                <w:noProof/>
              </w:rPr>
            </w:pPr>
            <w:r>
              <w:rPr>
                <w:noProof/>
              </w:rPr>
              <w:t>средства за най-отдалечените</w:t>
            </w:r>
          </w:p>
          <w:p>
            <w:pPr>
              <w:spacing w:before="60"/>
            </w:pPr>
            <w:r>
              <w:rPr>
                <w:noProof/>
              </w:rPr>
              <w:t>и слабо населените региони</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pPr>
            <w:r>
              <w:rPr>
                <w:noProof/>
              </w:rPr>
              <w:t>13 03 64 01 — Европейски фонд за регионално развитие — Европейско териториално сътрудничество</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Merge/>
            <w:vAlign w:val="center"/>
          </w:tcPr>
          <w:p>
            <w:pPr>
              <w:jc w:val="center"/>
              <w:rPr>
                <w:noProof/>
                <w:sz w:val="22"/>
              </w:rPr>
            </w:pPr>
          </w:p>
        </w:tc>
        <w:tc>
          <w:tcPr>
            <w:tcW w:w="3546" w:type="dxa"/>
            <w:vAlign w:val="center"/>
          </w:tcPr>
          <w:p>
            <w:pPr>
              <w:spacing w:before="60"/>
            </w:pPr>
            <w:r>
              <w:rPr>
                <w:noProof/>
              </w:rPr>
              <w:t>13 04 60 — Кохезионен фонд</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494" w:type="dxa"/>
            <w:vAlign w:val="center"/>
          </w:tcPr>
          <w:p>
            <w:pPr>
              <w:jc w:val="center"/>
              <w:rPr>
                <w:noProof/>
                <w:sz w:val="22"/>
              </w:rPr>
            </w:pPr>
            <w:r>
              <w:rPr>
                <w:noProof/>
                <w:sz w:val="22"/>
              </w:rPr>
              <w:t>2 — Устойчив растеж: Природни ресурси</w:t>
            </w:r>
          </w:p>
        </w:tc>
        <w:tc>
          <w:tcPr>
            <w:tcW w:w="3546" w:type="dxa"/>
            <w:vAlign w:val="center"/>
          </w:tcPr>
          <w:p>
            <w:pPr>
              <w:spacing w:before="60"/>
              <w:rPr>
                <w:noProof/>
              </w:rPr>
            </w:pPr>
            <w:r>
              <w:rPr>
                <w:noProof/>
              </w:rPr>
              <w:t>11 06 60 — Насърчаване на устойчиво и конкурентоспособно рибарство</w:t>
            </w:r>
          </w:p>
          <w:p>
            <w:pPr>
              <w:spacing w:before="60"/>
              <w:rPr>
                <w:noProof/>
              </w:rPr>
            </w:pPr>
            <w:r>
              <w:rPr>
                <w:noProof/>
              </w:rPr>
              <w:t>и аквакултури, балансирано и</w:t>
            </w:r>
          </w:p>
          <w:p>
            <w:pPr>
              <w:spacing w:before="60"/>
              <w:rPr>
                <w:noProof/>
              </w:rPr>
            </w:pPr>
            <w:r>
              <w:rPr>
                <w:noProof/>
              </w:rPr>
              <w:t>приобщаващо териториално развитие</w:t>
            </w:r>
          </w:p>
          <w:p>
            <w:pPr>
              <w:spacing w:before="60"/>
              <w:rPr>
                <w:noProof/>
              </w:rPr>
            </w:pPr>
            <w:r>
              <w:rPr>
                <w:noProof/>
              </w:rPr>
              <w:t>на рибарските райони и поощряване на прилагането на Общата</w:t>
            </w:r>
          </w:p>
          <w:p>
            <w:pPr>
              <w:spacing w:before="60"/>
            </w:pPr>
            <w:r>
              <w:rPr>
                <w:noProof/>
              </w:rPr>
              <w:t>политика в областта на рибарството</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Поискани нови бюджетни редове: Не е приложимо</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1Б</w:t>
            </w:r>
          </w:p>
        </w:tc>
        <w:tc>
          <w:tcPr>
            <w:tcW w:w="7817" w:type="dxa"/>
            <w:vAlign w:val="center"/>
          </w:tcPr>
          <w:p>
            <w:pPr>
              <w:spacing w:before="60" w:after="60"/>
              <w:rPr>
                <w:b/>
                <w:noProof/>
                <w:sz w:val="22"/>
              </w:rPr>
            </w:pPr>
            <w:r>
              <w:rPr>
                <w:noProof/>
              </w:rPr>
              <w:t>Икономическо, социално и териториално сближаване</w:t>
            </w:r>
          </w:p>
        </w:tc>
      </w:tr>
    </w:tbl>
    <w:p>
      <w:pPr>
        <w:rPr>
          <w:noProof/>
          <w:sz w:val="16"/>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ГД „Трудова заетост, социални въпроси и приобщаване“</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sz w:val="20"/>
              </w:rPr>
              <w:t>Година</w:t>
            </w:r>
            <w:r>
              <w:rPr>
                <w:noProof/>
                <w:sz w:val="22"/>
              </w:rPr>
              <w:br/>
            </w:r>
            <w:r>
              <w:rPr>
                <w:b/>
                <w:noProof/>
                <w:sz w:val="20"/>
              </w:rPr>
              <w:t>2021</w:t>
            </w:r>
          </w:p>
        </w:tc>
        <w:tc>
          <w:tcPr>
            <w:tcW w:w="1418" w:type="dxa"/>
            <w:vAlign w:val="center"/>
          </w:tcPr>
          <w:p>
            <w:pPr>
              <w:jc w:val="center"/>
              <w:rPr>
                <w:noProof/>
                <w:sz w:val="20"/>
              </w:rPr>
            </w:pPr>
            <w:r>
              <w:rPr>
                <w:noProof/>
                <w:sz w:val="20"/>
              </w:rPr>
              <w:t>Година</w:t>
            </w:r>
            <w:r>
              <w:rPr>
                <w:noProof/>
                <w:sz w:val="22"/>
              </w:rPr>
              <w:br/>
            </w:r>
            <w:r>
              <w:rPr>
                <w:b/>
                <w:noProof/>
                <w:sz w:val="20"/>
              </w:rPr>
              <w:t>2022</w:t>
            </w:r>
          </w:p>
        </w:tc>
        <w:tc>
          <w:tcPr>
            <w:tcW w:w="1559" w:type="dxa"/>
            <w:vAlign w:val="center"/>
          </w:tcPr>
          <w:p>
            <w:pPr>
              <w:jc w:val="center"/>
              <w:rPr>
                <w:noProof/>
                <w:sz w:val="20"/>
              </w:rPr>
            </w:pPr>
            <w:r>
              <w:rPr>
                <w:noProof/>
                <w:sz w:val="20"/>
              </w:rPr>
              <w:t>Година</w:t>
            </w:r>
            <w:r>
              <w:rPr>
                <w:noProof/>
                <w:sz w:val="22"/>
              </w:rPr>
              <w:br/>
            </w:r>
            <w:r>
              <w:rPr>
                <w:b/>
                <w:noProof/>
                <w:sz w:val="20"/>
              </w:rPr>
              <w:t>2023</w:t>
            </w:r>
          </w:p>
        </w:tc>
        <w:tc>
          <w:tcPr>
            <w:tcW w:w="1985" w:type="dxa"/>
            <w:vAlign w:val="center"/>
          </w:tcPr>
          <w:p>
            <w:pPr>
              <w:jc w:val="center"/>
              <w:rPr>
                <w:noProof/>
                <w:sz w:val="20"/>
              </w:rPr>
            </w:pPr>
            <w:r>
              <w:rPr>
                <w:noProof/>
                <w:sz w:val="20"/>
              </w:rPr>
              <w:t>Година</w:t>
            </w:r>
            <w:r>
              <w:rPr>
                <w:noProof/>
                <w:sz w:val="22"/>
              </w:rPr>
              <w:br/>
            </w:r>
            <w:r>
              <w:rPr>
                <w:b/>
                <w:noProof/>
                <w:sz w:val="20"/>
              </w:rPr>
              <w:t>2024</w:t>
            </w:r>
          </w:p>
        </w:tc>
        <w:tc>
          <w:tcPr>
            <w:tcW w:w="141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vAlign w:val="center"/>
          </w:tcPr>
          <w:p>
            <w:pPr>
              <w:rPr>
                <w:noProof/>
                <w:sz w:val="22"/>
              </w:rPr>
            </w:pPr>
            <w:r>
              <w:rPr>
                <w:noProof/>
                <w:sz w:val="20"/>
              </w:rPr>
              <w:t>04 02 60</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-1 013,958</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1 013,958</w:t>
            </w:r>
          </w:p>
        </w:tc>
        <w:tc>
          <w:tcPr>
            <w:tcW w:w="1417" w:type="dxa"/>
          </w:tcPr>
          <w:p>
            <w:pPr>
              <w:rPr>
                <w:noProof/>
              </w:rPr>
            </w:pPr>
            <w:r>
              <w:rPr>
                <w:noProof/>
              </w:rPr>
              <w:t>0,000</w:t>
            </w:r>
          </w:p>
        </w:tc>
      </w:tr>
      <w:tr>
        <w:tc>
          <w:tcPr>
            <w:tcW w:w="3960" w:type="dxa"/>
            <w:vAlign w:val="center"/>
          </w:tcPr>
          <w:p>
            <w:pPr>
              <w:rPr>
                <w:noProof/>
                <w:sz w:val="20"/>
              </w:rPr>
            </w:pPr>
            <w:r>
              <w:rPr>
                <w:noProof/>
                <w:sz w:val="20"/>
              </w:rPr>
              <w:t>04 02 61</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1677" w:type="dxa"/>
          </w:tcPr>
          <w:p>
            <w:pPr>
              <w:rPr>
                <w:noProof/>
              </w:rPr>
            </w:pPr>
            <w:r>
              <w:rPr>
                <w:noProof/>
              </w:rPr>
              <w:t>-249,832</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249,832</w:t>
            </w:r>
          </w:p>
        </w:tc>
        <w:tc>
          <w:tcPr>
            <w:tcW w:w="1417" w:type="dxa"/>
          </w:tcPr>
          <w:p>
            <w:pPr>
              <w:rPr>
                <w:noProof/>
              </w:rPr>
            </w:pPr>
            <w:r>
              <w:rPr>
                <w:noProof/>
              </w:rPr>
              <w:t>0,000</w:t>
            </w:r>
          </w:p>
        </w:tc>
      </w:tr>
      <w:tr>
        <w:tc>
          <w:tcPr>
            <w:tcW w:w="3960" w:type="dxa"/>
            <w:vAlign w:val="center"/>
          </w:tcPr>
          <w:p>
            <w:pPr>
              <w:rPr>
                <w:noProof/>
                <w:sz w:val="20"/>
              </w:rPr>
            </w:pPr>
            <w:r>
              <w:rPr>
                <w:noProof/>
                <w:sz w:val="20"/>
              </w:rPr>
              <w:t>04 02 62</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3)</w:t>
            </w:r>
          </w:p>
        </w:tc>
        <w:tc>
          <w:tcPr>
            <w:tcW w:w="1677" w:type="dxa"/>
          </w:tcPr>
          <w:p>
            <w:pPr>
              <w:rPr>
                <w:noProof/>
              </w:rPr>
            </w:pPr>
            <w:r>
              <w:rPr>
                <w:noProof/>
              </w:rPr>
              <w:t>-504,477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504,477</w:t>
            </w:r>
          </w:p>
        </w:tc>
        <w:tc>
          <w:tcPr>
            <w:tcW w:w="1417" w:type="dxa"/>
          </w:tcPr>
          <w:p>
            <w:pPr>
              <w:rPr>
                <w:noProof/>
              </w:rPr>
            </w:pPr>
            <w:r>
              <w:rPr>
                <w:noProof/>
              </w:rPr>
              <w:t>0,000</w:t>
            </w:r>
          </w:p>
        </w:tc>
      </w:tr>
      <w:tr>
        <w:tc>
          <w:tcPr>
            <w:tcW w:w="3960" w:type="dxa"/>
            <w:vAlign w:val="center"/>
          </w:tcPr>
          <w:p>
            <w:pPr>
              <w:rPr>
                <w:noProof/>
                <w:sz w:val="22"/>
              </w:rPr>
            </w:pPr>
            <w:r>
              <w:rPr>
                <w:noProof/>
                <w:sz w:val="20"/>
              </w:rPr>
              <w:t>04 02 64</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4)</w:t>
            </w:r>
          </w:p>
        </w:tc>
        <w:tc>
          <w:tcPr>
            <w:tcW w:w="1677" w:type="dxa"/>
          </w:tcPr>
          <w:p>
            <w:pPr>
              <w:rPr>
                <w:noProof/>
              </w:rPr>
            </w:pPr>
            <w:r>
              <w:rPr>
                <w:noProof/>
              </w:rPr>
              <w:t>-88,224</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88,224</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конкретни програми</w:t>
            </w:r>
            <w:r>
              <w:rPr>
                <w:rStyle w:val="FootnoteReference"/>
                <w:noProof/>
                <w:sz w:val="21"/>
              </w:rPr>
              <w:footnoteReference w:id="13"/>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Не е приложимо</w:t>
            </w:r>
          </w:p>
        </w:tc>
        <w:tc>
          <w:tcPr>
            <w:tcW w:w="1418" w:type="dxa"/>
            <w:vAlign w:val="center"/>
          </w:tcPr>
          <w:p>
            <w:pPr>
              <w:rPr>
                <w:b/>
                <w:noProof/>
                <w:sz w:val="20"/>
              </w:rPr>
            </w:pPr>
            <w:r>
              <w:rPr>
                <w:b/>
                <w:noProof/>
                <w:sz w:val="20"/>
              </w:rPr>
              <w:t>Не е приложимо</w:t>
            </w:r>
          </w:p>
        </w:tc>
        <w:tc>
          <w:tcPr>
            <w:tcW w:w="1559" w:type="dxa"/>
            <w:vAlign w:val="center"/>
          </w:tcPr>
          <w:p>
            <w:pPr>
              <w:rPr>
                <w:b/>
                <w:noProof/>
                <w:sz w:val="20"/>
              </w:rPr>
            </w:pPr>
            <w:r>
              <w:rPr>
                <w:b/>
                <w:noProof/>
                <w:sz w:val="20"/>
              </w:rPr>
              <w:t>Не е приложимо</w:t>
            </w:r>
          </w:p>
        </w:tc>
        <w:tc>
          <w:tcPr>
            <w:tcW w:w="1985" w:type="dxa"/>
            <w:vAlign w:val="center"/>
          </w:tcPr>
          <w:p>
            <w:pPr>
              <w:rPr>
                <w:b/>
                <w:noProof/>
                <w:sz w:val="20"/>
              </w:rPr>
            </w:pPr>
            <w:r>
              <w:rPr>
                <w:b/>
                <w:noProof/>
                <w:sz w:val="20"/>
              </w:rPr>
              <w:t>Не е приложимо</w:t>
            </w:r>
          </w:p>
        </w:tc>
        <w:tc>
          <w:tcPr>
            <w:tcW w:w="1417" w:type="dxa"/>
            <w:vAlign w:val="center"/>
          </w:tcPr>
          <w:p>
            <w:pPr>
              <w:rPr>
                <w:b/>
                <w:noProof/>
                <w:sz w:val="20"/>
              </w:rPr>
            </w:pPr>
            <w:r>
              <w:rPr>
                <w:b/>
                <w:noProof/>
                <w:sz w:val="20"/>
              </w:rPr>
              <w:t>Не е приложимо</w:t>
            </w:r>
          </w:p>
        </w:tc>
      </w:tr>
      <w:tr>
        <w:tc>
          <w:tcPr>
            <w:tcW w:w="3960" w:type="dxa"/>
            <w:vAlign w:val="center"/>
          </w:tcPr>
          <w:p>
            <w:pPr>
              <w:jc w:val="center"/>
              <w:rPr>
                <w:b/>
                <w:noProof/>
                <w:sz w:val="22"/>
              </w:rPr>
            </w:pPr>
            <w:r>
              <w:rPr>
                <w:b/>
                <w:noProof/>
                <w:sz w:val="22"/>
              </w:rPr>
              <w:t>ОБЩО бюджетни кредити</w:t>
            </w:r>
            <w:r>
              <w:rPr>
                <w:noProof/>
                <w:sz w:val="22"/>
              </w:rPr>
              <w:br/>
            </w:r>
            <w:r>
              <w:rPr>
                <w:b/>
                <w:noProof/>
                <w:sz w:val="22"/>
              </w:rPr>
              <w:t>за ГД „Трудова заетост, социални въпроси и приобщаване“</w:t>
            </w:r>
          </w:p>
        </w:tc>
        <w:tc>
          <w:tcPr>
            <w:tcW w:w="1440" w:type="dxa"/>
            <w:gridSpan w:val="2"/>
            <w:vAlign w:val="center"/>
          </w:tcPr>
          <w:p>
            <w:pPr>
              <w:rPr>
                <w:noProof/>
                <w:sz w:val="18"/>
              </w:rPr>
            </w:pPr>
            <w:r>
              <w:rPr>
                <w:noProof/>
                <w:sz w:val="18"/>
              </w:rPr>
              <w:t>Плащания</w:t>
            </w:r>
          </w:p>
        </w:tc>
        <w:tc>
          <w:tcPr>
            <w:tcW w:w="654" w:type="dxa"/>
            <w:vAlign w:val="center"/>
          </w:tcPr>
          <w:p>
            <w:pPr>
              <w:jc w:val="center"/>
              <w:rPr>
                <w:noProof/>
                <w:sz w:val="14"/>
              </w:rPr>
            </w:pPr>
          </w:p>
        </w:tc>
        <w:tc>
          <w:tcPr>
            <w:tcW w:w="1677" w:type="dxa"/>
          </w:tcPr>
          <w:p>
            <w:pPr>
              <w:rPr>
                <w:noProof/>
              </w:rPr>
            </w:pPr>
            <w:r>
              <w:rPr>
                <w:noProof/>
              </w:rPr>
              <w:t>-1 856,491</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1 856,491</w:t>
            </w:r>
          </w:p>
        </w:tc>
        <w:tc>
          <w:tcPr>
            <w:tcW w:w="1417" w:type="dxa"/>
          </w:tcPr>
          <w:p>
            <w:pPr>
              <w:rPr>
                <w:noProof/>
              </w:rPr>
            </w:pPr>
            <w:r>
              <w:rPr>
                <w:noProof/>
              </w:rPr>
              <w:t>0,000</w:t>
            </w:r>
          </w:p>
        </w:tc>
      </w:tr>
    </w:tbl>
    <w:p>
      <w:pPr>
        <w:rPr>
          <w:noProof/>
        </w:rPr>
      </w:pPr>
      <w:r>
        <w:rPr>
          <w:noProof/>
        </w:rPr>
        <w:br/>
      </w:r>
    </w:p>
    <w:p>
      <w:pPr>
        <w:rPr>
          <w:noProof/>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ГД „Регионална и селищна политика“</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sz w:val="20"/>
              </w:rPr>
              <w:t>Година</w:t>
            </w:r>
            <w:r>
              <w:rPr>
                <w:noProof/>
                <w:sz w:val="22"/>
              </w:rPr>
              <w:br/>
            </w:r>
            <w:r>
              <w:rPr>
                <w:b/>
                <w:noProof/>
                <w:sz w:val="20"/>
              </w:rPr>
              <w:t>2021</w:t>
            </w:r>
          </w:p>
        </w:tc>
        <w:tc>
          <w:tcPr>
            <w:tcW w:w="1418" w:type="dxa"/>
            <w:vAlign w:val="center"/>
          </w:tcPr>
          <w:p>
            <w:pPr>
              <w:jc w:val="center"/>
              <w:rPr>
                <w:noProof/>
                <w:sz w:val="20"/>
              </w:rPr>
            </w:pPr>
            <w:r>
              <w:rPr>
                <w:noProof/>
                <w:sz w:val="20"/>
              </w:rPr>
              <w:t>Година</w:t>
            </w:r>
            <w:r>
              <w:rPr>
                <w:noProof/>
                <w:sz w:val="22"/>
              </w:rPr>
              <w:br/>
            </w:r>
            <w:r>
              <w:rPr>
                <w:b/>
                <w:noProof/>
                <w:sz w:val="20"/>
              </w:rPr>
              <w:t>2022</w:t>
            </w:r>
          </w:p>
        </w:tc>
        <w:tc>
          <w:tcPr>
            <w:tcW w:w="1559" w:type="dxa"/>
            <w:vAlign w:val="center"/>
          </w:tcPr>
          <w:p>
            <w:pPr>
              <w:jc w:val="center"/>
              <w:rPr>
                <w:noProof/>
                <w:sz w:val="20"/>
              </w:rPr>
            </w:pPr>
            <w:r>
              <w:rPr>
                <w:noProof/>
                <w:sz w:val="20"/>
              </w:rPr>
              <w:t>Година</w:t>
            </w:r>
            <w:r>
              <w:rPr>
                <w:noProof/>
                <w:sz w:val="22"/>
              </w:rPr>
              <w:br/>
            </w:r>
            <w:r>
              <w:rPr>
                <w:b/>
                <w:noProof/>
                <w:sz w:val="20"/>
              </w:rPr>
              <w:t>2023</w:t>
            </w:r>
          </w:p>
        </w:tc>
        <w:tc>
          <w:tcPr>
            <w:tcW w:w="1985" w:type="dxa"/>
            <w:vAlign w:val="center"/>
          </w:tcPr>
          <w:p>
            <w:pPr>
              <w:jc w:val="center"/>
              <w:rPr>
                <w:noProof/>
                <w:sz w:val="20"/>
              </w:rPr>
            </w:pPr>
            <w:r>
              <w:rPr>
                <w:noProof/>
                <w:sz w:val="20"/>
              </w:rPr>
              <w:t>Година</w:t>
            </w:r>
            <w:r>
              <w:rPr>
                <w:noProof/>
                <w:sz w:val="22"/>
              </w:rPr>
              <w:br/>
            </w:r>
            <w:r>
              <w:rPr>
                <w:b/>
                <w:noProof/>
                <w:sz w:val="20"/>
              </w:rPr>
              <w:t>2024</w:t>
            </w:r>
          </w:p>
        </w:tc>
        <w:tc>
          <w:tcPr>
            <w:tcW w:w="141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tcPr>
          <w:p>
            <w:pPr>
              <w:rPr>
                <w:noProof/>
              </w:rPr>
            </w:pPr>
            <w:r>
              <w:rPr>
                <w:noProof/>
              </w:rPr>
              <w:t>13 03 60</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-2 608,675</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2 608,675</w:t>
            </w:r>
          </w:p>
        </w:tc>
        <w:tc>
          <w:tcPr>
            <w:tcW w:w="1417" w:type="dxa"/>
          </w:tcPr>
          <w:p>
            <w:pPr>
              <w:rPr>
                <w:noProof/>
              </w:rPr>
            </w:pPr>
            <w:r>
              <w:rPr>
                <w:noProof/>
              </w:rPr>
              <w:t>0,000</w:t>
            </w:r>
          </w:p>
        </w:tc>
      </w:tr>
      <w:tr>
        <w:tc>
          <w:tcPr>
            <w:tcW w:w="3960" w:type="dxa"/>
          </w:tcPr>
          <w:p>
            <w:pPr>
              <w:rPr>
                <w:noProof/>
              </w:rPr>
            </w:pPr>
            <w:r>
              <w:rPr>
                <w:noProof/>
              </w:rPr>
              <w:t>13 03 61</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1677" w:type="dxa"/>
          </w:tcPr>
          <w:p>
            <w:pPr>
              <w:rPr>
                <w:noProof/>
              </w:rPr>
            </w:pPr>
            <w:r>
              <w:rPr>
                <w:noProof/>
              </w:rPr>
              <w:t>-509,195</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509,195</w:t>
            </w:r>
          </w:p>
        </w:tc>
        <w:tc>
          <w:tcPr>
            <w:tcW w:w="1417" w:type="dxa"/>
          </w:tcPr>
          <w:p>
            <w:pPr>
              <w:rPr>
                <w:noProof/>
              </w:rPr>
            </w:pPr>
            <w:r>
              <w:rPr>
                <w:noProof/>
              </w:rPr>
              <w:t>0,000</w:t>
            </w:r>
          </w:p>
        </w:tc>
      </w:tr>
      <w:tr>
        <w:tc>
          <w:tcPr>
            <w:tcW w:w="3960" w:type="dxa"/>
          </w:tcPr>
          <w:p>
            <w:pPr>
              <w:rPr>
                <w:noProof/>
              </w:rPr>
            </w:pPr>
            <w:r>
              <w:rPr>
                <w:noProof/>
              </w:rPr>
              <w:t>13 03 62</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3)</w:t>
            </w:r>
          </w:p>
        </w:tc>
        <w:tc>
          <w:tcPr>
            <w:tcW w:w="1677" w:type="dxa"/>
          </w:tcPr>
          <w:p>
            <w:pPr>
              <w:rPr>
                <w:noProof/>
              </w:rPr>
            </w:pPr>
            <w:r>
              <w:rPr>
                <w:noProof/>
              </w:rPr>
              <w:t>-647,801</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647,801</w:t>
            </w:r>
          </w:p>
        </w:tc>
        <w:tc>
          <w:tcPr>
            <w:tcW w:w="1417" w:type="dxa"/>
          </w:tcPr>
          <w:p>
            <w:pPr>
              <w:rPr>
                <w:noProof/>
              </w:rPr>
            </w:pPr>
            <w:r>
              <w:rPr>
                <w:noProof/>
              </w:rPr>
              <w:t>0,000</w:t>
            </w:r>
          </w:p>
        </w:tc>
      </w:tr>
      <w:tr>
        <w:tc>
          <w:tcPr>
            <w:tcW w:w="3960" w:type="dxa"/>
          </w:tcPr>
          <w:p>
            <w:pPr>
              <w:rPr>
                <w:noProof/>
              </w:rPr>
            </w:pPr>
            <w:r>
              <w:rPr>
                <w:noProof/>
              </w:rPr>
              <w:t>13 03 63</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4)</w:t>
            </w:r>
          </w:p>
        </w:tc>
        <w:tc>
          <w:tcPr>
            <w:tcW w:w="1677" w:type="dxa"/>
          </w:tcPr>
          <w:p>
            <w:pPr>
              <w:rPr>
                <w:noProof/>
              </w:rPr>
            </w:pPr>
            <w:r>
              <w:rPr>
                <w:noProof/>
              </w:rPr>
              <w:t>-31,108</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31,108</w:t>
            </w:r>
          </w:p>
        </w:tc>
        <w:tc>
          <w:tcPr>
            <w:tcW w:w="1417" w:type="dxa"/>
          </w:tcPr>
          <w:p>
            <w:pPr>
              <w:rPr>
                <w:noProof/>
              </w:rPr>
            </w:pPr>
            <w:r>
              <w:rPr>
                <w:noProof/>
              </w:rPr>
              <w:t>0,000</w:t>
            </w:r>
          </w:p>
        </w:tc>
      </w:tr>
      <w:tr>
        <w:tc>
          <w:tcPr>
            <w:tcW w:w="3960" w:type="dxa"/>
          </w:tcPr>
          <w:p>
            <w:pPr>
              <w:rPr>
                <w:noProof/>
              </w:rPr>
            </w:pPr>
            <w:r>
              <w:rPr>
                <w:noProof/>
              </w:rPr>
              <w:t>13 03 64 01</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5)</w:t>
            </w:r>
          </w:p>
        </w:tc>
        <w:tc>
          <w:tcPr>
            <w:tcW w:w="1677" w:type="dxa"/>
          </w:tcPr>
          <w:p>
            <w:pPr>
              <w:rPr>
                <w:noProof/>
              </w:rPr>
            </w:pPr>
            <w:r>
              <w:rPr>
                <w:noProof/>
              </w:rPr>
              <w:t>-186,707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186,707</w:t>
            </w:r>
          </w:p>
        </w:tc>
        <w:tc>
          <w:tcPr>
            <w:tcW w:w="1417" w:type="dxa"/>
          </w:tcPr>
          <w:p>
            <w:pPr>
              <w:rPr>
                <w:noProof/>
              </w:rPr>
            </w:pPr>
            <w:r>
              <w:rPr>
                <w:noProof/>
              </w:rPr>
              <w:t>0,000</w:t>
            </w:r>
          </w:p>
        </w:tc>
      </w:tr>
      <w:tr>
        <w:tc>
          <w:tcPr>
            <w:tcW w:w="3960" w:type="dxa"/>
          </w:tcPr>
          <w:p>
            <w:pPr>
              <w:rPr>
                <w:noProof/>
              </w:rPr>
            </w:pPr>
            <w:r>
              <w:rPr>
                <w:noProof/>
              </w:rPr>
              <w:t>13 04 60</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6)</w:t>
            </w:r>
          </w:p>
        </w:tc>
        <w:tc>
          <w:tcPr>
            <w:tcW w:w="1677" w:type="dxa"/>
          </w:tcPr>
          <w:p>
            <w:pPr>
              <w:rPr>
                <w:noProof/>
              </w:rPr>
            </w:pPr>
            <w:r>
              <w:rPr>
                <w:noProof/>
              </w:rPr>
              <w:t>-1 265,652</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1 265,652</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конкретни програми</w:t>
            </w:r>
            <w:r>
              <w:rPr>
                <w:rStyle w:val="FootnoteReference"/>
                <w:noProof/>
                <w:sz w:val="21"/>
              </w:rPr>
              <w:footnoteReference w:id="14"/>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Не е приложимо</w:t>
            </w:r>
          </w:p>
        </w:tc>
        <w:tc>
          <w:tcPr>
            <w:tcW w:w="1418" w:type="dxa"/>
            <w:vAlign w:val="center"/>
          </w:tcPr>
          <w:p>
            <w:pPr>
              <w:rPr>
                <w:b/>
                <w:noProof/>
                <w:sz w:val="20"/>
              </w:rPr>
            </w:pPr>
            <w:r>
              <w:rPr>
                <w:b/>
                <w:noProof/>
                <w:sz w:val="20"/>
              </w:rPr>
              <w:t>Не е приложимо</w:t>
            </w:r>
          </w:p>
        </w:tc>
        <w:tc>
          <w:tcPr>
            <w:tcW w:w="1559" w:type="dxa"/>
            <w:vAlign w:val="center"/>
          </w:tcPr>
          <w:p>
            <w:pPr>
              <w:rPr>
                <w:b/>
                <w:noProof/>
                <w:sz w:val="20"/>
              </w:rPr>
            </w:pPr>
            <w:r>
              <w:rPr>
                <w:b/>
                <w:noProof/>
                <w:sz w:val="20"/>
              </w:rPr>
              <w:t>Не е приложимо</w:t>
            </w:r>
          </w:p>
        </w:tc>
        <w:tc>
          <w:tcPr>
            <w:tcW w:w="1985" w:type="dxa"/>
            <w:vAlign w:val="center"/>
          </w:tcPr>
          <w:p>
            <w:pPr>
              <w:rPr>
                <w:b/>
                <w:noProof/>
                <w:sz w:val="20"/>
              </w:rPr>
            </w:pPr>
            <w:r>
              <w:rPr>
                <w:b/>
                <w:noProof/>
                <w:sz w:val="20"/>
              </w:rPr>
              <w:t>Не е приложимо</w:t>
            </w:r>
          </w:p>
        </w:tc>
        <w:tc>
          <w:tcPr>
            <w:tcW w:w="1417" w:type="dxa"/>
            <w:vAlign w:val="center"/>
          </w:tcPr>
          <w:p>
            <w:pPr>
              <w:rPr>
                <w:b/>
                <w:noProof/>
                <w:sz w:val="20"/>
              </w:rPr>
            </w:pPr>
            <w:r>
              <w:rPr>
                <w:b/>
                <w:noProof/>
                <w:sz w:val="20"/>
              </w:rPr>
              <w:t>Не е приложимо</w:t>
            </w:r>
          </w:p>
        </w:tc>
      </w:tr>
      <w:tr>
        <w:tc>
          <w:tcPr>
            <w:tcW w:w="3960" w:type="dxa"/>
            <w:vAlign w:val="center"/>
          </w:tcPr>
          <w:p>
            <w:pPr>
              <w:jc w:val="center"/>
              <w:rPr>
                <w:b/>
                <w:noProof/>
                <w:sz w:val="22"/>
              </w:rPr>
            </w:pPr>
            <w:r>
              <w:rPr>
                <w:b/>
                <w:noProof/>
                <w:sz w:val="22"/>
              </w:rPr>
              <w:t>ОБЩО бюджетни кредити</w:t>
            </w:r>
            <w:r>
              <w:rPr>
                <w:noProof/>
                <w:sz w:val="22"/>
              </w:rPr>
              <w:br/>
            </w:r>
            <w:r>
              <w:rPr>
                <w:b/>
                <w:noProof/>
                <w:sz w:val="22"/>
              </w:rPr>
              <w:t>за ГД „Регионална и селищна политика“</w:t>
            </w:r>
          </w:p>
        </w:tc>
        <w:tc>
          <w:tcPr>
            <w:tcW w:w="1440" w:type="dxa"/>
            <w:gridSpan w:val="2"/>
            <w:vAlign w:val="center"/>
          </w:tcPr>
          <w:p>
            <w:pPr>
              <w:rPr>
                <w:noProof/>
                <w:sz w:val="18"/>
              </w:rPr>
            </w:pPr>
            <w:r>
              <w:rPr>
                <w:noProof/>
                <w:sz w:val="18"/>
              </w:rPr>
              <w:t>Плащания</w:t>
            </w:r>
          </w:p>
        </w:tc>
        <w:tc>
          <w:tcPr>
            <w:tcW w:w="654" w:type="dxa"/>
            <w:vAlign w:val="center"/>
          </w:tcPr>
          <w:p>
            <w:pPr>
              <w:jc w:val="center"/>
              <w:rPr>
                <w:noProof/>
                <w:sz w:val="14"/>
              </w:rPr>
            </w:pPr>
          </w:p>
        </w:tc>
        <w:tc>
          <w:tcPr>
            <w:tcW w:w="1677" w:type="dxa"/>
          </w:tcPr>
          <w:p>
            <w:pPr>
              <w:rPr>
                <w:noProof/>
              </w:rPr>
            </w:pPr>
            <w:r>
              <w:rPr>
                <w:noProof/>
              </w:rPr>
              <w:t>-5 249,139</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5 249,139</w:t>
            </w:r>
          </w:p>
        </w:tc>
        <w:tc>
          <w:tcPr>
            <w:tcW w:w="1417" w:type="dxa"/>
          </w:tcPr>
          <w:p>
            <w:pPr>
              <w:rPr>
                <w:noProof/>
              </w:rPr>
            </w:pPr>
            <w:r>
              <w:rPr>
                <w:noProof/>
              </w:rPr>
              <w:t>0,000</w:t>
            </w:r>
          </w:p>
        </w:tc>
      </w:tr>
    </w:tbl>
    <w:p>
      <w:pPr>
        <w:rPr>
          <w:noProof/>
        </w:rPr>
      </w:pPr>
    </w:p>
    <w:p>
      <w:pPr>
        <w:rPr>
          <w:noProof/>
        </w:rPr>
      </w:pPr>
    </w:p>
    <w:p>
      <w:pPr>
        <w:rPr>
          <w:noProof/>
        </w:rPr>
      </w:pPr>
    </w:p>
    <w:p>
      <w:pPr>
        <w:rPr>
          <w:noProof/>
        </w:rPr>
      </w:pPr>
    </w:p>
    <w:p>
      <w:pPr>
        <w:rPr>
          <w:noProof/>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77"/>
        <w:gridCol w:w="1276"/>
        <w:gridCol w:w="1843"/>
        <w:gridCol w:w="1843"/>
        <w:gridCol w:w="1417"/>
      </w:tblGrid>
      <w:tr>
        <w:trPr>
          <w:trHeight w:val="277"/>
        </w:trPr>
        <w:tc>
          <w:tcPr>
            <w:tcW w:w="3960" w:type="dxa"/>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p>
        </w:tc>
        <w:tc>
          <w:tcPr>
            <w:tcW w:w="1677" w:type="dxa"/>
          </w:tcPr>
          <w:p>
            <w:pPr>
              <w:rPr>
                <w:noProof/>
              </w:rPr>
            </w:pPr>
            <w:r>
              <w:rPr>
                <w:noProof/>
              </w:rPr>
              <w:t>-7 105,630</w:t>
            </w:r>
          </w:p>
        </w:tc>
        <w:tc>
          <w:tcPr>
            <w:tcW w:w="1276" w:type="dxa"/>
          </w:tcPr>
          <w:p>
            <w:pPr>
              <w:rPr>
                <w:noProof/>
              </w:rPr>
            </w:pPr>
            <w:r>
              <w:rPr>
                <w:noProof/>
              </w:rPr>
              <w:t>0,000</w:t>
            </w:r>
          </w:p>
        </w:tc>
        <w:tc>
          <w:tcPr>
            <w:tcW w:w="1843" w:type="dxa"/>
          </w:tcPr>
          <w:p>
            <w:pPr>
              <w:rPr>
                <w:noProof/>
              </w:rPr>
            </w:pPr>
            <w:r>
              <w:rPr>
                <w:noProof/>
              </w:rPr>
              <w:t>0,000</w:t>
            </w:r>
          </w:p>
        </w:tc>
        <w:tc>
          <w:tcPr>
            <w:tcW w:w="1843" w:type="dxa"/>
          </w:tcPr>
          <w:p>
            <w:pPr>
              <w:rPr>
                <w:noProof/>
              </w:rPr>
            </w:pPr>
            <w:r>
              <w:rPr>
                <w:noProof/>
              </w:rPr>
              <w:t>7 105,630</w:t>
            </w:r>
          </w:p>
        </w:tc>
        <w:tc>
          <w:tcPr>
            <w:tcW w:w="1417" w:type="dxa"/>
          </w:tcPr>
          <w:p>
            <w:pPr>
              <w:rPr>
                <w:noProof/>
              </w:rPr>
            </w:pPr>
            <w:r>
              <w:rPr>
                <w:noProof/>
              </w:rPr>
              <w:t>0,000</w:t>
            </w:r>
          </w:p>
        </w:tc>
      </w:tr>
      <w:tr>
        <w:trPr>
          <w:trHeight w:val="533"/>
        </w:trPr>
        <w:tc>
          <w:tcPr>
            <w:tcW w:w="6054" w:type="dxa"/>
            <w:gridSpan w:val="3"/>
            <w:vAlign w:val="center"/>
          </w:tcPr>
          <w:p>
            <w:pPr>
              <w:spacing w:beforeLines="20" w:before="48" w:afterLines="20" w:after="48"/>
              <w:jc w:val="center"/>
              <w:rPr>
                <w:noProof/>
                <w:sz w:val="14"/>
              </w:rPr>
            </w:pPr>
            <w:r>
              <w:rPr>
                <w:noProof/>
                <w:sz w:val="21"/>
              </w:rPr>
              <w:sym w:font="Wingdings" w:char="F09F"/>
            </w:r>
            <w:r>
              <w:rPr>
                <w:noProof/>
                <w:sz w:val="21"/>
              </w:rPr>
              <w:t>ОБЩО бюджетни кредити за административни разходи, финансирани от пакета за конкретни програми</w:t>
            </w:r>
          </w:p>
        </w:tc>
        <w:tc>
          <w:tcPr>
            <w:tcW w:w="1677" w:type="dxa"/>
            <w:vAlign w:val="center"/>
          </w:tcPr>
          <w:p>
            <w:pPr>
              <w:rPr>
                <w:b/>
                <w:noProof/>
                <w:sz w:val="20"/>
              </w:rPr>
            </w:pPr>
            <w:r>
              <w:rPr>
                <w:b/>
                <w:noProof/>
                <w:sz w:val="20"/>
              </w:rPr>
              <w:t>Не е приложимо</w:t>
            </w:r>
          </w:p>
        </w:tc>
        <w:tc>
          <w:tcPr>
            <w:tcW w:w="1276" w:type="dxa"/>
            <w:vAlign w:val="center"/>
          </w:tcPr>
          <w:p>
            <w:pPr>
              <w:rPr>
                <w:b/>
                <w:noProof/>
                <w:sz w:val="20"/>
              </w:rPr>
            </w:pPr>
            <w:r>
              <w:rPr>
                <w:b/>
                <w:noProof/>
                <w:sz w:val="20"/>
              </w:rPr>
              <w:t>Не е приложимо</w:t>
            </w:r>
          </w:p>
        </w:tc>
        <w:tc>
          <w:tcPr>
            <w:tcW w:w="1843" w:type="dxa"/>
            <w:vAlign w:val="center"/>
          </w:tcPr>
          <w:p>
            <w:pPr>
              <w:rPr>
                <w:b/>
                <w:noProof/>
                <w:sz w:val="20"/>
              </w:rPr>
            </w:pPr>
            <w:r>
              <w:rPr>
                <w:b/>
                <w:noProof/>
                <w:sz w:val="20"/>
              </w:rPr>
              <w:t>Не е приложимо</w:t>
            </w:r>
          </w:p>
        </w:tc>
        <w:tc>
          <w:tcPr>
            <w:tcW w:w="1843" w:type="dxa"/>
            <w:vAlign w:val="center"/>
          </w:tcPr>
          <w:p>
            <w:pPr>
              <w:rPr>
                <w:b/>
                <w:noProof/>
                <w:sz w:val="20"/>
              </w:rPr>
            </w:pPr>
            <w:r>
              <w:rPr>
                <w:b/>
                <w:noProof/>
                <w:sz w:val="20"/>
              </w:rPr>
              <w:t>Не е приложимо</w:t>
            </w:r>
          </w:p>
        </w:tc>
        <w:tc>
          <w:tcPr>
            <w:tcW w:w="1417" w:type="dxa"/>
            <w:vAlign w:val="center"/>
          </w:tcPr>
          <w:p>
            <w:pPr>
              <w:rPr>
                <w:b/>
                <w:noProof/>
                <w:sz w:val="20"/>
              </w:rPr>
            </w:pPr>
            <w:r>
              <w:rPr>
                <w:b/>
                <w:noProof/>
                <w:sz w:val="20"/>
              </w:rPr>
              <w:t>Не е приложимо</w:t>
            </w:r>
          </w:p>
        </w:tc>
      </w:tr>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по ФУНКЦИЯ 1Б</w:t>
            </w:r>
            <w:r>
              <w:rPr>
                <w:noProof/>
                <w:sz w:val="22"/>
              </w:rPr>
              <w:br/>
              <w:t>от многогодишната финансова рамка</w:t>
            </w: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677" w:type="dxa"/>
          </w:tcPr>
          <w:p>
            <w:pPr>
              <w:rPr>
                <w:b/>
                <w:noProof/>
              </w:rPr>
            </w:pPr>
            <w:r>
              <w:rPr>
                <w:b/>
                <w:noProof/>
              </w:rPr>
              <w:t>-7 105,630</w:t>
            </w:r>
          </w:p>
        </w:tc>
        <w:tc>
          <w:tcPr>
            <w:tcW w:w="1276" w:type="dxa"/>
          </w:tcPr>
          <w:p>
            <w:pPr>
              <w:rPr>
                <w:b/>
                <w:noProof/>
              </w:rPr>
            </w:pPr>
            <w:r>
              <w:rPr>
                <w:b/>
                <w:noProof/>
              </w:rPr>
              <w:t>0,000</w:t>
            </w:r>
          </w:p>
        </w:tc>
        <w:tc>
          <w:tcPr>
            <w:tcW w:w="1843" w:type="dxa"/>
          </w:tcPr>
          <w:p>
            <w:pPr>
              <w:rPr>
                <w:b/>
                <w:noProof/>
              </w:rPr>
            </w:pPr>
            <w:r>
              <w:rPr>
                <w:b/>
                <w:noProof/>
              </w:rPr>
              <w:t>0,000</w:t>
            </w:r>
          </w:p>
        </w:tc>
        <w:tc>
          <w:tcPr>
            <w:tcW w:w="1843" w:type="dxa"/>
          </w:tcPr>
          <w:p>
            <w:pPr>
              <w:rPr>
                <w:b/>
                <w:noProof/>
              </w:rPr>
            </w:pPr>
            <w:r>
              <w:rPr>
                <w:b/>
                <w:noProof/>
              </w:rPr>
              <w:t>7 105,630</w:t>
            </w:r>
          </w:p>
        </w:tc>
        <w:tc>
          <w:tcPr>
            <w:tcW w:w="1417" w:type="dxa"/>
          </w:tcPr>
          <w:p>
            <w:pPr>
              <w:rPr>
                <w:b/>
                <w:noProof/>
              </w:rPr>
            </w:pPr>
            <w:r>
              <w:rPr>
                <w:b/>
                <w:noProof/>
              </w:rPr>
              <w:t>0,000</w:t>
            </w:r>
          </w:p>
        </w:tc>
      </w:tr>
    </w:tbl>
    <w:p>
      <w:pPr>
        <w:spacing w:after="40"/>
        <w:rPr>
          <w:b/>
          <w:noProof/>
          <w:sz w:val="22"/>
          <w:u w:val="single"/>
        </w:rPr>
      </w:pPr>
    </w:p>
    <w:p>
      <w:pPr>
        <w:spacing w:after="40"/>
        <w:rPr>
          <w:b/>
          <w:noProof/>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b/>
                <w:noProof/>
                <w:sz w:val="22"/>
              </w:rPr>
            </w:pPr>
            <w:r>
              <w:rPr>
                <w:b/>
                <w:noProof/>
                <w:sz w:val="22"/>
              </w:rPr>
              <w:t>2</w:t>
            </w:r>
          </w:p>
        </w:tc>
        <w:tc>
          <w:tcPr>
            <w:tcW w:w="7817" w:type="dxa"/>
            <w:vAlign w:val="center"/>
          </w:tcPr>
          <w:p>
            <w:pPr>
              <w:spacing w:before="60" w:after="60"/>
              <w:rPr>
                <w:b/>
                <w:noProof/>
                <w:sz w:val="22"/>
              </w:rPr>
            </w:pPr>
            <w:r>
              <w:rPr>
                <w:b/>
                <w:noProof/>
                <w:color w:val="0000FF"/>
                <w:sz w:val="22"/>
              </w:rPr>
              <w:t>Устойчив растеж: Природни ресурси</w:t>
            </w:r>
          </w:p>
        </w:tc>
      </w:tr>
    </w:tbl>
    <w:p>
      <w:pPr>
        <w:rPr>
          <w:noProof/>
          <w:sz w:val="16"/>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ГД „Морско дело и рибарство“</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sz w:val="20"/>
              </w:rPr>
              <w:t>Година</w:t>
            </w:r>
            <w:r>
              <w:rPr>
                <w:noProof/>
                <w:sz w:val="22"/>
              </w:rPr>
              <w:br/>
            </w:r>
            <w:r>
              <w:rPr>
                <w:b/>
                <w:noProof/>
                <w:sz w:val="20"/>
              </w:rPr>
              <w:t>2021</w:t>
            </w:r>
          </w:p>
        </w:tc>
        <w:tc>
          <w:tcPr>
            <w:tcW w:w="1418" w:type="dxa"/>
            <w:vAlign w:val="center"/>
          </w:tcPr>
          <w:p>
            <w:pPr>
              <w:jc w:val="center"/>
              <w:rPr>
                <w:noProof/>
                <w:sz w:val="20"/>
              </w:rPr>
            </w:pPr>
            <w:r>
              <w:rPr>
                <w:noProof/>
                <w:sz w:val="20"/>
              </w:rPr>
              <w:t>Година</w:t>
            </w:r>
            <w:r>
              <w:rPr>
                <w:noProof/>
                <w:sz w:val="22"/>
              </w:rPr>
              <w:br/>
            </w:r>
            <w:r>
              <w:rPr>
                <w:b/>
                <w:noProof/>
                <w:sz w:val="20"/>
              </w:rPr>
              <w:t>2022</w:t>
            </w:r>
          </w:p>
        </w:tc>
        <w:tc>
          <w:tcPr>
            <w:tcW w:w="1559" w:type="dxa"/>
            <w:vAlign w:val="center"/>
          </w:tcPr>
          <w:p>
            <w:pPr>
              <w:jc w:val="center"/>
              <w:rPr>
                <w:noProof/>
                <w:sz w:val="20"/>
              </w:rPr>
            </w:pPr>
            <w:r>
              <w:rPr>
                <w:noProof/>
                <w:sz w:val="20"/>
              </w:rPr>
              <w:t>Година</w:t>
            </w:r>
            <w:r>
              <w:rPr>
                <w:noProof/>
                <w:sz w:val="22"/>
              </w:rPr>
              <w:br/>
            </w:r>
            <w:r>
              <w:rPr>
                <w:b/>
                <w:noProof/>
                <w:sz w:val="20"/>
              </w:rPr>
              <w:t>2023</w:t>
            </w:r>
          </w:p>
        </w:tc>
        <w:tc>
          <w:tcPr>
            <w:tcW w:w="1985" w:type="dxa"/>
            <w:vAlign w:val="center"/>
          </w:tcPr>
          <w:p>
            <w:pPr>
              <w:jc w:val="center"/>
              <w:rPr>
                <w:noProof/>
                <w:sz w:val="20"/>
              </w:rPr>
            </w:pPr>
            <w:r>
              <w:rPr>
                <w:noProof/>
                <w:sz w:val="20"/>
              </w:rPr>
              <w:t>Година</w:t>
            </w:r>
            <w:r>
              <w:rPr>
                <w:noProof/>
                <w:sz w:val="22"/>
              </w:rPr>
              <w:br/>
            </w:r>
            <w:r>
              <w:rPr>
                <w:b/>
                <w:noProof/>
                <w:sz w:val="20"/>
              </w:rPr>
              <w:t>2024</w:t>
            </w:r>
          </w:p>
        </w:tc>
        <w:tc>
          <w:tcPr>
            <w:tcW w:w="141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vAlign w:val="center"/>
          </w:tcPr>
          <w:p>
            <w:pPr>
              <w:rPr>
                <w:noProof/>
                <w:sz w:val="22"/>
              </w:rPr>
            </w:pPr>
            <w:r>
              <w:rPr>
                <w:noProof/>
                <w:sz w:val="20"/>
              </w:rPr>
              <w:t>11 06 60</w:t>
            </w:r>
          </w:p>
        </w:tc>
        <w:tc>
          <w:tcPr>
            <w:tcW w:w="1440" w:type="dxa"/>
            <w:gridSpan w:val="2"/>
            <w:vAlign w:val="center"/>
          </w:tcPr>
          <w:p>
            <w:pPr>
              <w:spacing w:before="20" w:after="20"/>
              <w:rPr>
                <w:noProof/>
                <w:sz w:val="18"/>
              </w:rPr>
            </w:pPr>
            <w:r>
              <w:rPr>
                <w:noProof/>
                <w:sz w:val="18"/>
              </w:rPr>
              <w:t>Плащания</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-114,987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114,987</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конкретни програми</w:t>
            </w:r>
            <w:r>
              <w:rPr>
                <w:rStyle w:val="FootnoteReference"/>
                <w:noProof/>
                <w:sz w:val="21"/>
              </w:rPr>
              <w:footnoteReference w:id="15"/>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Не е приложимо</w:t>
            </w:r>
          </w:p>
        </w:tc>
        <w:tc>
          <w:tcPr>
            <w:tcW w:w="1418" w:type="dxa"/>
            <w:vAlign w:val="center"/>
          </w:tcPr>
          <w:p>
            <w:pPr>
              <w:rPr>
                <w:b/>
                <w:noProof/>
                <w:sz w:val="20"/>
              </w:rPr>
            </w:pPr>
            <w:r>
              <w:rPr>
                <w:b/>
                <w:noProof/>
                <w:sz w:val="20"/>
              </w:rPr>
              <w:t>Не е приложимо</w:t>
            </w:r>
          </w:p>
        </w:tc>
        <w:tc>
          <w:tcPr>
            <w:tcW w:w="1559" w:type="dxa"/>
            <w:vAlign w:val="center"/>
          </w:tcPr>
          <w:p>
            <w:pPr>
              <w:rPr>
                <w:b/>
                <w:noProof/>
                <w:sz w:val="20"/>
              </w:rPr>
            </w:pPr>
            <w:r>
              <w:rPr>
                <w:b/>
                <w:noProof/>
                <w:sz w:val="20"/>
              </w:rPr>
              <w:t>Не е приложимо</w:t>
            </w:r>
          </w:p>
        </w:tc>
        <w:tc>
          <w:tcPr>
            <w:tcW w:w="1985" w:type="dxa"/>
            <w:vAlign w:val="center"/>
          </w:tcPr>
          <w:p>
            <w:pPr>
              <w:rPr>
                <w:b/>
                <w:noProof/>
                <w:sz w:val="20"/>
              </w:rPr>
            </w:pPr>
            <w:r>
              <w:rPr>
                <w:b/>
                <w:noProof/>
                <w:sz w:val="20"/>
              </w:rPr>
              <w:t>Не е приложимо</w:t>
            </w:r>
          </w:p>
        </w:tc>
        <w:tc>
          <w:tcPr>
            <w:tcW w:w="1417" w:type="dxa"/>
            <w:vAlign w:val="center"/>
          </w:tcPr>
          <w:p>
            <w:pPr>
              <w:rPr>
                <w:b/>
                <w:noProof/>
                <w:sz w:val="20"/>
              </w:rPr>
            </w:pPr>
            <w:r>
              <w:rPr>
                <w:b/>
                <w:noProof/>
                <w:sz w:val="20"/>
              </w:rPr>
              <w:t>Не е приложимо</w:t>
            </w:r>
          </w:p>
        </w:tc>
      </w:tr>
      <w:tr>
        <w:tc>
          <w:tcPr>
            <w:tcW w:w="3960" w:type="dxa"/>
            <w:vAlign w:val="center"/>
          </w:tcPr>
          <w:p>
            <w:pPr>
              <w:jc w:val="center"/>
              <w:rPr>
                <w:b/>
                <w:noProof/>
                <w:sz w:val="22"/>
              </w:rPr>
            </w:pPr>
            <w:r>
              <w:rPr>
                <w:b/>
                <w:noProof/>
                <w:sz w:val="22"/>
              </w:rPr>
              <w:t>ОБЩО бюджетни кредити</w:t>
            </w:r>
            <w:r>
              <w:rPr>
                <w:noProof/>
                <w:sz w:val="22"/>
              </w:rPr>
              <w:br/>
            </w:r>
            <w:r>
              <w:rPr>
                <w:b/>
                <w:noProof/>
                <w:sz w:val="22"/>
              </w:rPr>
              <w:t>за ГД „Морско дело и рибарство“</w:t>
            </w:r>
          </w:p>
        </w:tc>
        <w:tc>
          <w:tcPr>
            <w:tcW w:w="1440" w:type="dxa"/>
            <w:gridSpan w:val="2"/>
            <w:vAlign w:val="center"/>
          </w:tcPr>
          <w:p>
            <w:pPr>
              <w:rPr>
                <w:noProof/>
                <w:sz w:val="18"/>
              </w:rPr>
            </w:pPr>
            <w:r>
              <w:rPr>
                <w:noProof/>
                <w:sz w:val="18"/>
              </w:rPr>
              <w:t>Плащания</w:t>
            </w:r>
          </w:p>
        </w:tc>
        <w:tc>
          <w:tcPr>
            <w:tcW w:w="654" w:type="dxa"/>
            <w:vAlign w:val="center"/>
          </w:tcPr>
          <w:p>
            <w:pPr>
              <w:jc w:val="center"/>
              <w:rPr>
                <w:noProof/>
                <w:sz w:val="14"/>
              </w:rPr>
            </w:pPr>
          </w:p>
        </w:tc>
        <w:tc>
          <w:tcPr>
            <w:tcW w:w="1677" w:type="dxa"/>
          </w:tcPr>
          <w:p>
            <w:pPr>
              <w:rPr>
                <w:b/>
                <w:noProof/>
              </w:rPr>
            </w:pPr>
            <w:r>
              <w:rPr>
                <w:b/>
                <w:noProof/>
              </w:rPr>
              <w:t>-114,987</w:t>
            </w:r>
          </w:p>
        </w:tc>
        <w:tc>
          <w:tcPr>
            <w:tcW w:w="1418" w:type="dxa"/>
          </w:tcPr>
          <w:p>
            <w:pPr>
              <w:rPr>
                <w:b/>
                <w:noProof/>
              </w:rPr>
            </w:pPr>
            <w:r>
              <w:rPr>
                <w:b/>
                <w:noProof/>
              </w:rPr>
              <w:t>0,000</w:t>
            </w:r>
          </w:p>
        </w:tc>
        <w:tc>
          <w:tcPr>
            <w:tcW w:w="1559" w:type="dxa"/>
          </w:tcPr>
          <w:p>
            <w:pPr>
              <w:rPr>
                <w:b/>
                <w:noProof/>
              </w:rPr>
            </w:pPr>
            <w:r>
              <w:rPr>
                <w:b/>
                <w:noProof/>
              </w:rPr>
              <w:t>0,000</w:t>
            </w:r>
          </w:p>
        </w:tc>
        <w:tc>
          <w:tcPr>
            <w:tcW w:w="1985" w:type="dxa"/>
          </w:tcPr>
          <w:p>
            <w:pPr>
              <w:rPr>
                <w:b/>
                <w:noProof/>
              </w:rPr>
            </w:pPr>
            <w:r>
              <w:rPr>
                <w:b/>
                <w:noProof/>
              </w:rPr>
              <w:t>114,987</w:t>
            </w:r>
          </w:p>
        </w:tc>
        <w:tc>
          <w:tcPr>
            <w:tcW w:w="1417" w:type="dxa"/>
          </w:tcPr>
          <w:p>
            <w:pPr>
              <w:rPr>
                <w:b/>
                <w:noProof/>
              </w:rPr>
            </w:pPr>
            <w:r>
              <w:rPr>
                <w:b/>
                <w:noProof/>
              </w:rPr>
              <w:t>0,000</w:t>
            </w:r>
          </w:p>
        </w:tc>
      </w:tr>
    </w:tbl>
    <w:p>
      <w:pPr>
        <w:spacing w:after="40"/>
        <w:rPr>
          <w:b/>
          <w:noProof/>
          <w:sz w:val="22"/>
          <w:u w:val="single"/>
        </w:rPr>
      </w:pPr>
    </w:p>
    <w:p>
      <w:pPr>
        <w:spacing w:after="40"/>
        <w:rPr>
          <w:b/>
          <w:noProof/>
          <w:sz w:val="22"/>
          <w:u w:val="single"/>
        </w:rPr>
      </w:pPr>
    </w:p>
    <w:p>
      <w:pPr>
        <w:spacing w:after="40"/>
        <w:rPr>
          <w:b/>
          <w:noProof/>
          <w:sz w:val="22"/>
          <w:u w:val="single"/>
        </w:rPr>
      </w:pPr>
    </w:p>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77"/>
        <w:gridCol w:w="1418"/>
        <w:gridCol w:w="1559"/>
        <w:gridCol w:w="1985"/>
        <w:gridCol w:w="1417"/>
      </w:tblGrid>
      <w:tr>
        <w:trPr>
          <w:trHeight w:val="277"/>
        </w:trPr>
        <w:tc>
          <w:tcPr>
            <w:tcW w:w="3960" w:type="dxa"/>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18"/>
              </w:rPr>
            </w:pPr>
            <w:r>
              <w:rPr>
                <w:noProof/>
                <w:sz w:val="18"/>
              </w:rPr>
              <w:t>Плащания</w:t>
            </w:r>
          </w:p>
        </w:tc>
        <w:tc>
          <w:tcPr>
            <w:tcW w:w="654" w:type="dxa"/>
            <w:tcBorders>
              <w:top w:val="single" w:sz="4" w:space="0" w:color="FF0000"/>
            </w:tcBorders>
            <w:vAlign w:val="center"/>
          </w:tcPr>
          <w:p>
            <w:pPr>
              <w:spacing w:beforeLines="20" w:before="48" w:afterLines="20" w:after="48"/>
              <w:jc w:val="center"/>
              <w:rPr>
                <w:noProof/>
                <w:sz w:val="14"/>
              </w:rPr>
            </w:pPr>
          </w:p>
        </w:tc>
        <w:tc>
          <w:tcPr>
            <w:tcW w:w="1677" w:type="dxa"/>
            <w:tcBorders>
              <w:top w:val="single" w:sz="4" w:space="0" w:color="FF0000"/>
            </w:tcBorders>
          </w:tcPr>
          <w:p>
            <w:pPr>
              <w:rPr>
                <w:noProof/>
              </w:rPr>
            </w:pPr>
            <w:r>
              <w:rPr>
                <w:noProof/>
              </w:rPr>
              <w:t>-7 220,617</w:t>
            </w:r>
          </w:p>
        </w:tc>
        <w:tc>
          <w:tcPr>
            <w:tcW w:w="1418" w:type="dxa"/>
            <w:tcBorders>
              <w:top w:val="single" w:sz="4" w:space="0" w:color="FF0000"/>
            </w:tcBorders>
          </w:tcPr>
          <w:p>
            <w:pPr>
              <w:rPr>
                <w:noProof/>
              </w:rPr>
            </w:pPr>
            <w:r>
              <w:rPr>
                <w:noProof/>
              </w:rPr>
              <w:t>0,000</w:t>
            </w:r>
          </w:p>
        </w:tc>
        <w:tc>
          <w:tcPr>
            <w:tcW w:w="1559" w:type="dxa"/>
            <w:tcBorders>
              <w:top w:val="single" w:sz="4" w:space="0" w:color="FF0000"/>
            </w:tcBorders>
          </w:tcPr>
          <w:p>
            <w:pPr>
              <w:rPr>
                <w:noProof/>
              </w:rPr>
            </w:pPr>
            <w:r>
              <w:rPr>
                <w:noProof/>
              </w:rPr>
              <w:t>0,000</w:t>
            </w:r>
          </w:p>
        </w:tc>
        <w:tc>
          <w:tcPr>
            <w:tcW w:w="1985" w:type="dxa"/>
            <w:tcBorders>
              <w:top w:val="single" w:sz="4" w:space="0" w:color="FF0000"/>
            </w:tcBorders>
          </w:tcPr>
          <w:p>
            <w:pPr>
              <w:rPr>
                <w:noProof/>
              </w:rPr>
            </w:pPr>
            <w:r>
              <w:rPr>
                <w:noProof/>
              </w:rPr>
              <w:t>7 220,617</w:t>
            </w:r>
          </w:p>
        </w:tc>
        <w:tc>
          <w:tcPr>
            <w:tcW w:w="1417" w:type="dxa"/>
            <w:tcBorders>
              <w:top w:val="single" w:sz="4" w:space="0" w:color="FF0000"/>
              <w:right w:val="single" w:sz="4" w:space="0" w:color="auto"/>
            </w:tcBorders>
          </w:tcPr>
          <w:p>
            <w:pPr>
              <w:rPr>
                <w:noProof/>
              </w:rPr>
            </w:pPr>
            <w:r>
              <w:rPr>
                <w:noProof/>
              </w:rPr>
              <w:t>0,000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конкретни програми</w:t>
            </w:r>
          </w:p>
        </w:tc>
        <w:tc>
          <w:tcPr>
            <w:tcW w:w="654" w:type="dxa"/>
            <w:vAlign w:val="center"/>
          </w:tcPr>
          <w:p>
            <w:pPr>
              <w:spacing w:beforeLines="20" w:before="48" w:afterLines="20" w:after="48"/>
              <w:jc w:val="center"/>
              <w:rPr>
                <w:noProof/>
                <w:sz w:val="14"/>
              </w:rPr>
            </w:pPr>
          </w:p>
        </w:tc>
        <w:tc>
          <w:tcPr>
            <w:tcW w:w="1677" w:type="dxa"/>
            <w:vAlign w:val="center"/>
          </w:tcPr>
          <w:p>
            <w:pPr>
              <w:rPr>
                <w:b/>
                <w:noProof/>
                <w:sz w:val="20"/>
              </w:rPr>
            </w:pPr>
            <w:r>
              <w:rPr>
                <w:b/>
                <w:noProof/>
                <w:sz w:val="20"/>
              </w:rPr>
              <w:t>Не е приложимо</w:t>
            </w:r>
          </w:p>
        </w:tc>
        <w:tc>
          <w:tcPr>
            <w:tcW w:w="1418" w:type="dxa"/>
            <w:vAlign w:val="center"/>
          </w:tcPr>
          <w:p>
            <w:pPr>
              <w:rPr>
                <w:b/>
                <w:noProof/>
                <w:sz w:val="20"/>
              </w:rPr>
            </w:pPr>
            <w:r>
              <w:rPr>
                <w:b/>
                <w:noProof/>
                <w:sz w:val="20"/>
              </w:rPr>
              <w:t>Не е приложимо</w:t>
            </w:r>
          </w:p>
        </w:tc>
        <w:tc>
          <w:tcPr>
            <w:tcW w:w="1559" w:type="dxa"/>
            <w:vAlign w:val="center"/>
          </w:tcPr>
          <w:p>
            <w:pPr>
              <w:rPr>
                <w:b/>
                <w:noProof/>
                <w:sz w:val="20"/>
              </w:rPr>
            </w:pPr>
            <w:r>
              <w:rPr>
                <w:b/>
                <w:noProof/>
                <w:sz w:val="20"/>
              </w:rPr>
              <w:t>Не е приложимо</w:t>
            </w:r>
          </w:p>
        </w:tc>
        <w:tc>
          <w:tcPr>
            <w:tcW w:w="1985" w:type="dxa"/>
            <w:vAlign w:val="center"/>
          </w:tcPr>
          <w:p>
            <w:pPr>
              <w:rPr>
                <w:b/>
                <w:noProof/>
                <w:sz w:val="20"/>
              </w:rPr>
            </w:pPr>
            <w:r>
              <w:rPr>
                <w:b/>
                <w:noProof/>
                <w:sz w:val="20"/>
              </w:rPr>
              <w:t>Не е приложимо</w:t>
            </w:r>
          </w:p>
        </w:tc>
        <w:tc>
          <w:tcPr>
            <w:tcW w:w="1417" w:type="dxa"/>
            <w:vAlign w:val="center"/>
          </w:tcPr>
          <w:p>
            <w:pPr>
              <w:rPr>
                <w:b/>
                <w:noProof/>
                <w:sz w:val="20"/>
              </w:rPr>
            </w:pPr>
            <w:r>
              <w:rPr>
                <w:b/>
                <w:noProof/>
                <w:sz w:val="20"/>
              </w:rPr>
              <w:t>Не е приложимо</w:t>
            </w:r>
          </w:p>
        </w:tc>
      </w:tr>
      <w:tr>
        <w:tc>
          <w:tcPr>
            <w:tcW w:w="3960" w:type="dxa"/>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p>
        </w:tc>
        <w:tc>
          <w:tcPr>
            <w:tcW w:w="1677" w:type="dxa"/>
          </w:tcPr>
          <w:p>
            <w:pPr>
              <w:rPr>
                <w:b/>
                <w:noProof/>
              </w:rPr>
            </w:pPr>
            <w:r>
              <w:rPr>
                <w:b/>
                <w:noProof/>
              </w:rPr>
              <w:t>-7 220,617</w:t>
            </w:r>
          </w:p>
        </w:tc>
        <w:tc>
          <w:tcPr>
            <w:tcW w:w="1418" w:type="dxa"/>
          </w:tcPr>
          <w:p>
            <w:pPr>
              <w:rPr>
                <w:b/>
                <w:noProof/>
              </w:rPr>
            </w:pPr>
            <w:r>
              <w:rPr>
                <w:b/>
                <w:noProof/>
              </w:rPr>
              <w:t>0,000</w:t>
            </w:r>
          </w:p>
        </w:tc>
        <w:tc>
          <w:tcPr>
            <w:tcW w:w="1559" w:type="dxa"/>
          </w:tcPr>
          <w:p>
            <w:pPr>
              <w:rPr>
                <w:b/>
                <w:noProof/>
              </w:rPr>
            </w:pPr>
            <w:r>
              <w:rPr>
                <w:b/>
                <w:noProof/>
              </w:rPr>
              <w:t>0,000</w:t>
            </w:r>
          </w:p>
        </w:tc>
        <w:tc>
          <w:tcPr>
            <w:tcW w:w="1985" w:type="dxa"/>
          </w:tcPr>
          <w:p>
            <w:pPr>
              <w:rPr>
                <w:b/>
                <w:noProof/>
              </w:rPr>
            </w:pPr>
            <w:r>
              <w:rPr>
                <w:b/>
                <w:noProof/>
              </w:rPr>
              <w:t>7 220,617</w:t>
            </w:r>
          </w:p>
        </w:tc>
        <w:tc>
          <w:tcPr>
            <w:tcW w:w="1417" w:type="dxa"/>
            <w:tcBorders>
              <w:right w:val="single" w:sz="4" w:space="0" w:color="auto"/>
            </w:tcBorders>
          </w:tcPr>
          <w:p>
            <w:pPr>
              <w:rPr>
                <w:b/>
                <w:noProof/>
              </w:rPr>
            </w:pPr>
            <w:r>
              <w:rPr>
                <w:b/>
                <w:noProof/>
              </w:rPr>
              <w:t>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sz w:val="22"/>
              </w:rPr>
            </w:pPr>
            <w:r>
              <w:rPr>
                <w:noProof/>
                <w:sz w:val="22"/>
              </w:rPr>
              <w:t>ГД: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ОБЩО ГД</w:t>
            </w:r>
            <w:r>
              <w:rPr>
                <w:noProof/>
              </w:rPr>
              <w:t xml:space="preserve"> </w:t>
            </w:r>
            <w:r>
              <w:rPr>
                <w:noProof/>
                <w:sz w:val="22"/>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16"/>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7"/>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Общо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8"/>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 xml:space="preserve">N </w:t>
            </w:r>
            <w:r>
              <w:rPr>
                <w:rStyle w:val="FootnoteReference"/>
                <w:b/>
                <w:noProof/>
                <w:sz w:val="16"/>
              </w:rPr>
              <w:footnoteReference w:id="19"/>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20"/>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Разчетните данни се посочват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b/>
                <w:noProof/>
                <w:sz w:val="16"/>
              </w:rPr>
              <w:footnoteReference w:id="21"/>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2"/>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rPr>
        <w:t xml:space="preserve"> </w:t>
      </w:r>
      <w:r>
        <w:rPr>
          <w:noProof/>
          <w:sz w:val="18"/>
        </w:rPr>
        <w:t>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възложените задачи:</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Финансов принос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 Очаквано отражение върху приходите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3"/>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 COM(2018) 375 final, 29.05.2018 г. В член 84 са определени разпоредбите за предварителното финансиране. Като се има предвид, че за периода 2021—2027 г. се предлага само един вид предварително финансиране, в използваната терминология не се прави разлика между „първоначално“ и „годишно“ предварително финансиране. Предложените разпоредби за предварителното финансиране обаче са сходни с тези за „първоначалното предварително финансиране“ от Регламент (ЕС) № 1303/2013.</w:t>
      </w:r>
    </w:p>
  </w:footnote>
  <w:footnote w:id="2">
    <w:p>
      <w:pPr>
        <w:pStyle w:val="FootnoteText"/>
      </w:pPr>
      <w:r>
        <w:rPr>
          <w:rStyle w:val="FootnoteReference"/>
        </w:rPr>
        <w:footnoteRef/>
      </w:r>
      <w:r>
        <w:tab/>
        <w:t>Приложение към Съобщение на Комисията до Европейския парламент, Европейския съвет, Съвета, Европейския икономически и социален комитет и Комитета на регионите — Модерен бюджет за Съюз, който закриля, предоставя възможности и защитава (COM/2018/321 final, 02.05.2018 г.), както и в раздел 5 от обяснителния меморандум, придружаващ 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 (</w:t>
      </w:r>
      <w:r>
        <w:fldChar w:fldCharType="begin"/>
      </w:r>
      <w:r>
        <w:instrText>QUOTE "</w:instrText>
      </w:r>
      <w:r>
        <w:fldChar w:fldCharType="end"/>
      </w:r>
      <w:r>
        <w:t>, 29.05.2018 г.).</w:t>
      </w:r>
    </w:p>
  </w:footnote>
  <w:footnote w:id="3">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 последно изменен с Регламент (ЕС) 2017/2305 на Европейския парламент и на Съвета от 12 декември 2017 г. за изменение на Регламент (ЕС) № 1303/2013 по отношение на промените в средствата за икономическо, социално и териториално сближаване, както и в средствата по цел „Инвестиции за растеж и работни места“ и по цел „Европейско териториално сътрудничество“ (ОВ L 335, 15.12.2017 г., стр. 1).</w:t>
      </w:r>
    </w:p>
  </w:footnote>
  <w:footnote w:id="4">
    <w:p>
      <w:pPr>
        <w:pStyle w:val="FootnoteText"/>
      </w:pPr>
      <w:r>
        <w:rPr>
          <w:rStyle w:val="FootnoteReference"/>
        </w:rPr>
        <w:footnoteRef/>
      </w:r>
      <w:r>
        <w:tab/>
        <w:t>ОВ C ,  г., стр. .</w:t>
      </w:r>
    </w:p>
  </w:footnote>
  <w:footnote w:id="5">
    <w:p>
      <w:pPr>
        <w:pStyle w:val="FootnoteText"/>
      </w:pPr>
      <w:r>
        <w:rPr>
          <w:rStyle w:val="FootnoteReference"/>
        </w:rPr>
        <w:footnoteRef/>
      </w:r>
      <w:r>
        <w:tab/>
        <w:t>ОВ C ,  г., стр. .</w:t>
      </w:r>
    </w:p>
  </w:footnote>
  <w:footnote w:id="6">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7">
    <w:p>
      <w:pPr>
        <w:pStyle w:val="FootnoteText"/>
        <w:rPr>
          <w:szCs w:val="24"/>
        </w:rPr>
      </w:pPr>
      <w:r>
        <w:rPr>
          <w:rStyle w:val="FootnoteReference"/>
        </w:rPr>
        <w:footnoteRef/>
      </w:r>
      <w:r>
        <w:tab/>
        <w:t>УД: управление по дейности; БД: бюджетиране по дейности.</w:t>
      </w:r>
    </w:p>
  </w:footnote>
  <w:footnote w:id="8">
    <w:p>
      <w:pPr>
        <w:pStyle w:val="FootnoteText"/>
        <w:rPr>
          <w:szCs w:val="24"/>
        </w:rPr>
      </w:pPr>
      <w:r>
        <w:rPr>
          <w:rStyle w:val="FootnoteReference"/>
        </w:rPr>
        <w:footnoteRef/>
      </w:r>
      <w:r>
        <w:tab/>
        <w:t>Съгласно член 54, параграф 2, буква а) или б) от Финансовия регламент.</w:t>
      </w:r>
    </w:p>
  </w:footnote>
  <w:footnote w:id="9">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http://www.cc.cec/budg/man/budgmanag/budgmanag_bg.html</w:t>
        </w:r>
      </w:hyperlink>
    </w:p>
  </w:footnote>
  <w:footnote w:id="10">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1">
    <w:p>
      <w:pPr>
        <w:pStyle w:val="FootnoteText"/>
        <w:rPr>
          <w:szCs w:val="24"/>
        </w:rPr>
      </w:pPr>
      <w:r>
        <w:rPr>
          <w:rStyle w:val="FootnoteReference"/>
        </w:rPr>
        <w:footnoteRef/>
      </w:r>
      <w:r>
        <w:tab/>
        <w:t xml:space="preserve">ЕАСТ: Европейска асоциация за свободна търговия. </w:t>
      </w:r>
    </w:p>
  </w:footnote>
  <w:footnote w:id="12">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6">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7">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8">
    <w:p>
      <w:pPr>
        <w:pStyle w:val="FootnoteText"/>
        <w:rPr>
          <w:szCs w:val="24"/>
        </w:rPr>
      </w:pPr>
      <w:r>
        <w:rPr>
          <w:rStyle w:val="FootnoteReference"/>
        </w:rPr>
        <w:footnoteRef/>
      </w:r>
      <w:r>
        <w:tab/>
        <w:t xml:space="preserve">Съгласно описанието в точка 1.4.2. „Конкретни цели…“. </w:t>
      </w:r>
    </w:p>
  </w:footnote>
  <w:footnote w:id="19">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2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1">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2">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A07E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9601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04F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AA1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74A6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C084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4"/>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9"/>
  </w:num>
  <w:num w:numId="15">
    <w:abstractNumId w:val="11"/>
  </w:num>
  <w:num w:numId="16">
    <w:abstractNumId w:val="22"/>
  </w:num>
  <w:num w:numId="17">
    <w:abstractNumId w:val="10"/>
  </w:num>
  <w:num w:numId="18">
    <w:abstractNumId w:val="12"/>
  </w:num>
  <w:num w:numId="19">
    <w:abstractNumId w:val="8"/>
  </w:num>
  <w:num w:numId="20">
    <w:abstractNumId w:val="21"/>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4"/>
  </w:num>
  <w:num w:numId="28">
    <w:abstractNumId w:val="19"/>
  </w:num>
  <w:num w:numId="29">
    <w:abstractNumId w:val="11"/>
  </w:num>
  <w:num w:numId="30">
    <w:abstractNumId w:val="22"/>
  </w:num>
  <w:num w:numId="31">
    <w:abstractNumId w:val="10"/>
  </w:num>
  <w:num w:numId="32">
    <w:abstractNumId w:val="12"/>
  </w:num>
  <w:num w:numId="33">
    <w:abstractNumId w:val="8"/>
  </w:num>
  <w:num w:numId="34">
    <w:abstractNumId w:val="21"/>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03 11:24: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DA162F1A-5A45-4C3B-B1BA-60811CF60170"/>
    <w:docVar w:name="LW_COVERPAGE_TYPE" w:val="1"/>
    <w:docVar w:name="LW_CROSSREFERENCE" w:val="&lt;UNUSED&gt;"/>
    <w:docVar w:name="LW_DocType" w:val="COM"/>
    <w:docVar w:name="LW_EMISSION" w:val="7.9.2018"/>
    <w:docVar w:name="LW_EMISSION_ISODATE" w:val="2018-09-0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22"/>
    <w:docVar w:name="LW_REF.II.NEW.CP_YEAR" w:val="2018"/>
    <w:docVar w:name="LW_REF.INST.NEW" w:val="COM"/>
    <w:docVar w:name="LW_REF.INST.NEW_ADOPTED" w:val="final"/>
    <w:docVar w:name="LW_REF.INST.NEW_TEXT" w:val="(2018)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79?\u1072? \u1072?\u1076?\u1072?\u1087?\u1090?\u1080?\u1088?\u1072?\u1085?\u1077? \u1085?\u1072? \u1088?\u1072?\u1074?\u1085?\u1080?\u1097?\u1077?\u1090?\u1086? \u1085?\u1072? \u1075?\u1086?\u1076?\u1080?\u1096?\u1085?\u1086?\u1090?\u1086? \u1087?\u1088?\u1077?\u1076?\u1074?\u1072?\u1088?\u1080?\u1090?\u1077?\u1083?\u1085?\u1086? \u1092?\u1080?\u1085?\u1072?\u1085?\u1089?\u1080?\u1088?\u1072?\u1085?\u1077? \u1079?\u1072? \u1087?\u1077?\u1088?\u1080?\u1086?\u1076?\u1072? 2021\u8212?2023 \u1075?."/>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54774">
      <w:bodyDiv w:val="1"/>
      <w:marLeft w:val="0"/>
      <w:marRight w:val="0"/>
      <w:marTop w:val="0"/>
      <w:marBottom w:val="0"/>
      <w:divBdr>
        <w:top w:val="none" w:sz="0" w:space="0" w:color="auto"/>
        <w:left w:val="none" w:sz="0" w:space="0" w:color="auto"/>
        <w:bottom w:val="none" w:sz="0" w:space="0" w:color="auto"/>
        <w:right w:val="none" w:sz="0" w:space="0" w:color="auto"/>
      </w:divBdr>
    </w:div>
    <w:div w:id="1222863103">
      <w:bodyDiv w:val="1"/>
      <w:marLeft w:val="0"/>
      <w:marRight w:val="0"/>
      <w:marTop w:val="0"/>
      <w:marBottom w:val="0"/>
      <w:divBdr>
        <w:top w:val="none" w:sz="0" w:space="0" w:color="auto"/>
        <w:left w:val="none" w:sz="0" w:space="0" w:color="auto"/>
        <w:bottom w:val="none" w:sz="0" w:space="0" w:color="auto"/>
        <w:right w:val="none" w:sz="0" w:space="0" w:color="auto"/>
      </w:divBdr>
    </w:div>
    <w:div w:id="17089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C4C2-BE3E-44D0-8A8E-D58E25CA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27</Pages>
  <Words>3767</Words>
  <Characters>22684</Characters>
  <Application>Microsoft Office Word</Application>
  <DocSecurity>0</DocSecurity>
  <Lines>1512</Lines>
  <Paragraphs>734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2018-06-12T08:51:00Z</cp:lastPrinted>
  <dcterms:created xsi:type="dcterms:W3CDTF">2018-08-09T13:55:00Z</dcterms:created>
  <dcterms:modified xsi:type="dcterms:W3CDTF">2018-09-03T09:24:00Z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