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FF096A6-4BA8-470B-BAE0-96562A7E7594"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Arial Unicode MS"/>
          <w:noProof/>
        </w:rPr>
      </w:pPr>
      <w:r>
        <w:rPr>
          <w:noProof/>
        </w:rPr>
        <w:t xml:space="preserve">Evidence </w:t>
      </w:r>
      <w:r>
        <w:rPr>
          <w:rFonts w:eastAsia="Arial Unicode MS"/>
          <w:noProof/>
        </w:rPr>
        <w:t>shows that annual pre-financing paid to Member States for a given accounting year and cleared with the acceptance of accounts results in annual recovery orders of a significant magnitude (for instance, EUR 6.6 billion in 2017). This means in practice that payment credits are requested from Member States from payment appropriations in the Union's budget to pay to them annual pre-financing that a year later has to be recovered to a significant extent.</w:t>
      </w:r>
    </w:p>
    <w:p>
      <w:pPr>
        <w:pBdr>
          <w:top w:val="nil"/>
          <w:left w:val="nil"/>
          <w:bottom w:val="nil"/>
          <w:right w:val="nil"/>
          <w:between w:val="nil"/>
          <w:bar w:val="nil"/>
        </w:pBdr>
        <w:spacing w:before="0" w:after="240"/>
        <w:rPr>
          <w:rFonts w:eastAsia="Arial Unicode MS"/>
          <w:noProof/>
        </w:rPr>
      </w:pPr>
      <w:r>
        <w:rPr>
          <w:rFonts w:eastAsia="Arial Unicode MS"/>
          <w:noProof/>
        </w:rPr>
        <w:t>Therefore, to increase transparency and contribute to the predictability of budgetary planning and to a more stable and predictable payment profile, it is proposed that for the last three years of the current implementation period 2021-2023, which are overlapping with the next implementation period starting in 2021, the annual pre-financing is reduced to the necessary minimum. This approach also takes account of payment needs stemming from pre-financing arrangements proposed for the 2021-2027 programmes where only initial pre-financing would be paid in six annual tranches</w:t>
      </w:r>
      <w:r>
        <w:rPr>
          <w:rStyle w:val="FootnoteReference"/>
          <w:rFonts w:eastAsia="Arial Unicode MS"/>
          <w:noProof/>
        </w:rPr>
        <w:footnoteReference w:id="1"/>
      </w:r>
      <w:r>
        <w:rPr>
          <w:rFonts w:eastAsia="Arial Unicode MS"/>
          <w:noProof/>
        </w:rPr>
        <w:t xml:space="preserve">. </w:t>
      </w:r>
      <w:r>
        <w:rPr>
          <w:noProof/>
        </w:rPr>
        <w:t>This intention was already signalled by the Commission</w:t>
      </w:r>
      <w:r>
        <w:rPr>
          <w:rStyle w:val="FootnoteReference"/>
          <w:noProof/>
        </w:rPr>
        <w:footnoteReference w:id="2"/>
      </w:r>
      <w:r>
        <w:rPr>
          <w:noProof/>
        </w:rPr>
        <w: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sz w:val="23"/>
          <w:szCs w:val="23"/>
        </w:rPr>
      </w:pPr>
      <w:r>
        <w:rPr>
          <w:noProof/>
          <w:sz w:val="23"/>
          <w:szCs w:val="23"/>
        </w:rPr>
        <w:t>The proposal is consistent with the provisions concerning budgetary management of the European Structural and Investment (ESI) Funds as set out in Regulation (EU) No 1303/2013</w:t>
      </w:r>
      <w:r>
        <w:rPr>
          <w:rStyle w:val="FootnoteReference"/>
          <w:noProof/>
          <w:sz w:val="23"/>
          <w:szCs w:val="23"/>
        </w:rPr>
        <w:footnoteReference w:id="3"/>
      </w:r>
      <w:r>
        <w:rPr>
          <w:noProof/>
          <w:sz w:val="23"/>
          <w:szCs w:val="23"/>
        </w:rPr>
        <w:t>. The amendment does not introduce a structural change of those provisions.</w:t>
      </w:r>
    </w:p>
    <w:p>
      <w:pPr>
        <w:pStyle w:val="ManualHeading2"/>
        <w:rPr>
          <w:rFonts w:eastAsia="Arial Unicode MS"/>
          <w:noProof/>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 xml:space="preserve">The proposal is consistent with </w:t>
      </w:r>
      <w:r>
        <w:rPr>
          <w:noProof/>
          <w:sz w:val="23"/>
          <w:szCs w:val="23"/>
        </w:rPr>
        <w:t>other proposals and initiatives adopted by the European Commission. It is also consistent with the requirements of sound budgetary management.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sz w:val="23"/>
          <w:szCs w:val="23"/>
        </w:rPr>
        <w:t>Regulation (EU) No 1303/2013 defines the common rules applicable to the ESI Funds. Based on the principle of shared management between the Commission and the Member States, this Regulation includes provisions for the programming process as well as arrangements for programme (including financial) management, monitoring, financial control and evaluation of projects.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sz w:val="23"/>
          <w:szCs w:val="23"/>
        </w:rPr>
      </w:pPr>
      <w:r>
        <w:rPr>
          <w:noProof/>
          <w:sz w:val="23"/>
          <w:szCs w:val="23"/>
        </w:rPr>
        <w:t xml:space="preserve">The proposal concerns the decrease of annual pre-financing provided by the Commission from the budget of the Union to Member States. The rates of annual pre-financing are established at Union level in Regulation (EU) No 1303/2013. Therefore an amendment of the provisions set out in this regulation requires the amendment of this Regulation. National or regional means are not appropriate to address the problem at hand. Therefore, the proposal complies with the subsidiarity principle.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sz w:val="23"/>
          <w:szCs w:val="23"/>
        </w:rPr>
      </w:pPr>
      <w:r>
        <w:rPr>
          <w:noProof/>
          <w:sz w:val="23"/>
          <w:szCs w:val="23"/>
        </w:rPr>
        <w:t>The proposal is in conformity with the proportionality principle as it does not go beyond the minimum required to achieve the stated objective at Union level and what is necessary for that purpose. The rate of annual pre-financing is decreased to be commensurate with cash-flow requirements taking into account the increased pace of cash-flow on the basis of interim payment applications stemming from the accelerated implementation of the ESI Funds. When establishing the proposed rate, the Commission took into consideration that for the years concerned the basis to which the percentages relate already include the performance reserve, hence a lower share can guarantee the same amount of pre-financing.</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sz w:val="23"/>
          <w:szCs w:val="23"/>
        </w:rPr>
        <w:t xml:space="preserve">Proposed instrument: amendment of the current Regulation. </w:t>
      </w:r>
      <w:r>
        <w:rPr>
          <w:noProof/>
        </w:rPr>
        <w:t>The Commission has explored the scope for manoeuvre provided by the legal framework and considers it necessary to propose amendments to Regulation (EU) No 1303/2013.</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sz w:val="23"/>
          <w:szCs w:val="23"/>
        </w:rPr>
        <w:t>There was no ex-post evaluation/or fitness checks of the existing legislation.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sz w:val="23"/>
          <w:szCs w:val="23"/>
        </w:rPr>
      </w:pPr>
      <w:r>
        <w:rPr>
          <w:noProof/>
          <w:sz w:val="23"/>
          <w:szCs w:val="23"/>
        </w:rPr>
        <w:t>There was no consultation of external stakeholders.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sz w:val="23"/>
          <w:szCs w:val="23"/>
        </w:rPr>
        <w:t>Use of external expertise has not been necessary.</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sz w:val="23"/>
          <w:szCs w:val="23"/>
        </w:rPr>
      </w:pPr>
      <w:r>
        <w:rPr>
          <w:noProof/>
          <w:sz w:val="23"/>
          <w:szCs w:val="23"/>
        </w:rPr>
        <w:t>The proposal is not expected to have significant economic, social or environmental impacts. The proposal will result in decreasing the annual pre-financing from 3% of the amount of the support from the Funds and the European Maritime and Fisheries Fund (‘EMFF’) for the whole programming period to the operational programme to 1% for the years 2021-2023, more suitable to the cash-flow requirements stemming from programme implementation. This lower pre-financing takes into account the anticipated accelerated submission of interim payment claims, the fact that for these years the basis for calculating the amount of annual pre-financing is increased by the size of the performance reserve which will be definitely allocated by then as well as pre-financing available for Member States from the 2021-2027 programming period.</w:t>
      </w:r>
    </w:p>
    <w:p>
      <w:pPr>
        <w:pBdr>
          <w:top w:val="nil"/>
          <w:left w:val="nil"/>
          <w:bottom w:val="nil"/>
          <w:right w:val="nil"/>
          <w:between w:val="nil"/>
          <w:bar w:val="nil"/>
        </w:pBdr>
        <w:spacing w:before="0" w:after="240"/>
        <w:rPr>
          <w:noProof/>
          <w:sz w:val="23"/>
          <w:szCs w:val="23"/>
        </w:rPr>
      </w:pPr>
      <w:r>
        <w:rPr>
          <w:noProof/>
          <w:sz w:val="23"/>
          <w:szCs w:val="23"/>
        </w:rPr>
        <w:t xml:space="preserve">Given that annual pre-financing is made available for an accounting year which spans over two annual budgetary years, the excess amount paid in year N as annual pre-financing will be cleared in year N+1, which results in unnecessary payment flows without added value. Reducing the rate of annual pre-financing for the proposed years will contribute to increasing the </w:t>
      </w:r>
      <w:r>
        <w:rPr>
          <w:rFonts w:eastAsia="Arial Unicode MS"/>
          <w:noProof/>
        </w:rPr>
        <w:t>predictability of budgetary planning, to a more stable and predictable payment profile, to the reduction of the risk of payment backlogs, to increased transparency in payment needs and, therefore, to better budgetary management.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sz w:val="23"/>
          <w:szCs w:val="23"/>
        </w:rPr>
        <w:t>This is not an initiative within the Regulatory Fitness Programme (REFIT).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sz w:val="23"/>
          <w:szCs w:val="23"/>
        </w:rPr>
        <w:t>The proposal has no consequences for the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sz w:val="23"/>
          <w:szCs w:val="23"/>
        </w:rPr>
      </w:pPr>
      <w:r>
        <w:rPr>
          <w:noProof/>
          <w:sz w:val="23"/>
          <w:szCs w:val="23"/>
        </w:rPr>
        <w:t xml:space="preserve">There is no impact on commitment appropriations since no modification is proposed to the maximum amounts of the ESI Funds financing provided for in the operational programmes for the programming period 2014-2020. </w:t>
      </w:r>
    </w:p>
    <w:p>
      <w:pPr>
        <w:pBdr>
          <w:top w:val="nil"/>
          <w:left w:val="nil"/>
          <w:bottom w:val="nil"/>
          <w:right w:val="nil"/>
          <w:between w:val="nil"/>
          <w:bar w:val="nil"/>
        </w:pBdr>
        <w:spacing w:before="0" w:after="240"/>
        <w:rPr>
          <w:noProof/>
          <w:sz w:val="23"/>
          <w:szCs w:val="23"/>
        </w:rPr>
      </w:pPr>
      <w:r>
        <w:rPr>
          <w:noProof/>
          <w:sz w:val="23"/>
          <w:szCs w:val="23"/>
        </w:rPr>
        <w:t xml:space="preserve">The overall impact on payment appropriations is neutralised. As detailed in the financial statement attached to the proposal, the suggested change will contribute to a reduction in payment appropriations related to the year 2021 entirely due to the reduction of the annual pre-financing amounts which will be compensated by higher payment needs for the year 2024. For the years 2022 and 2023, lower annual pre-financing will be offset in the framework of the examination and acceptance of accounts, therefore the effect is neutral.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sz w:val="23"/>
          <w:szCs w:val="23"/>
        </w:rPr>
        <w:t>Not applicable. The existing delivery systems of the ESI Funds can be used to monitor the implementation of this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sz w:val="23"/>
          <w:szCs w:val="23"/>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sz w:val="23"/>
          <w:szCs w:val="23"/>
        </w:rPr>
      </w:pPr>
      <w:r>
        <w:rPr>
          <w:noProof/>
          <w:sz w:val="23"/>
          <w:szCs w:val="23"/>
        </w:rPr>
        <w:t xml:space="preserve">Article 134(2) will be modified to set the annual pre-financing for the years 2021 to 2023 at 1%, from the currently applicable 3%, of the amount of the support from the Funds and the EMFF for </w:t>
      </w:r>
      <w:r>
        <w:rPr>
          <w:noProof/>
          <w:sz w:val="23"/>
          <w:szCs w:val="23"/>
        </w:rPr>
        <w:lastRenderedPageBreak/>
        <w:t>the whole programming period to the operational programme. The annual pre-financing for the year 2020 is maintained at 3% of the amount of the support from the Funds and the EMFF</w:t>
      </w:r>
      <w:r>
        <w:rPr>
          <w:noProof/>
        </w:rPr>
        <w:t xml:space="preserve"> </w:t>
      </w:r>
      <w:r>
        <w:rPr>
          <w:noProof/>
          <w:sz w:val="23"/>
          <w:szCs w:val="23"/>
        </w:rPr>
        <w:t>for the whole programming period to the operational programme.</w:t>
      </w:r>
    </w:p>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2018/0322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1303/2013 as regards the adjustment of annual pre-financing for the years 2021 to 2023</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177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4"/>
      </w:r>
      <w:r>
        <w:rPr>
          <w:noProof/>
        </w:rPr>
        <w:t>,</w:t>
      </w:r>
    </w:p>
    <w:p>
      <w:pPr>
        <w:rPr>
          <w:noProof/>
        </w:rPr>
      </w:pPr>
      <w:r>
        <w:rPr>
          <w:noProof/>
        </w:rPr>
        <w:t>Having regard to the opinion of the Committee of the Regions</w:t>
      </w:r>
      <w:r>
        <w:rPr>
          <w:rStyle w:val="FootnoteReference"/>
          <w:noProof/>
        </w:rPr>
        <w:footnoteReference w:id="5"/>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(EU) No 1303/2013 of the European Parliament and of the Council</w:t>
      </w:r>
      <w:r>
        <w:rPr>
          <w:rStyle w:val="FootnoteReference"/>
          <w:noProof/>
          <w:szCs w:val="24"/>
        </w:rPr>
        <w:footnoteReference w:id="6"/>
      </w:r>
      <w:r>
        <w:rPr>
          <w:noProof/>
        </w:rPr>
        <w:t xml:space="preserve"> lays down the common and general provisions applicable to the European Structural and Investment Funds. </w:t>
      </w:r>
    </w:p>
    <w:p>
      <w:pPr>
        <w:pStyle w:val="ManualConsidrant"/>
        <w:rPr>
          <w:noProof/>
        </w:rPr>
      </w:pPr>
      <w:r>
        <w:t>(2)</w:t>
      </w:r>
      <w:r>
        <w:tab/>
      </w:r>
      <w:r>
        <w:rPr>
          <w:noProof/>
        </w:rPr>
        <w:t>Evidence suggests that the annual pre-financing is set at a particularly high level in comparison with financial management requirements stemming from the implementation of operational programmes; this is in particular the case for the budgetary years 2021 to 2023.</w:t>
      </w:r>
    </w:p>
    <w:p>
      <w:pPr>
        <w:pStyle w:val="ManualConsidrant"/>
        <w:rPr>
          <w:noProof/>
        </w:rPr>
      </w:pPr>
      <w:r>
        <w:t>(3)</w:t>
      </w:r>
      <w:r>
        <w:tab/>
      </w:r>
      <w:r>
        <w:rPr>
          <w:noProof/>
        </w:rPr>
        <w:t xml:space="preserve">In order to ease the pressure on payment appropriations in the Union budget for the budgetary years </w:t>
      </w:r>
      <w:r>
        <w:rPr>
          <w:rFonts w:eastAsia="Arial Unicode MS"/>
          <w:noProof/>
        </w:rPr>
        <w:t xml:space="preserve">2021 to 2023 </w:t>
      </w:r>
      <w:r>
        <w:rPr>
          <w:noProof/>
        </w:rPr>
        <w:t xml:space="preserve">and to enhance the predictability of payment requirements and thus contribute to more transparent budgetary planning and a more orderly payment profile, the rate of annual pre-financing for those years should be decreased. </w:t>
      </w:r>
    </w:p>
    <w:p>
      <w:pPr>
        <w:pStyle w:val="ManualConsidrant"/>
        <w:rPr>
          <w:noProof/>
        </w:rPr>
      </w:pPr>
      <w:r>
        <w:t>(4)</w:t>
      </w:r>
      <w:r>
        <w:tab/>
      </w:r>
      <w:r>
        <w:rPr>
          <w:noProof/>
        </w:rPr>
        <w:t>Regulation (EU) No 1303/2013 should therefore be amended accordingly,</w:t>
      </w:r>
    </w:p>
    <w:p>
      <w:pPr>
        <w:pStyle w:val="Formuledadoption"/>
        <w:rPr>
          <w:noProof/>
        </w:rPr>
      </w:pPr>
      <w:r>
        <w:rPr>
          <w:noProof/>
        </w:rPr>
        <w:lastRenderedPageBreak/>
        <w:t>HAVE ADOPTED THIS REGULATION:</w:t>
      </w:r>
    </w:p>
    <w:p>
      <w:pPr>
        <w:pStyle w:val="Titrearticle"/>
        <w:rPr>
          <w:noProof/>
        </w:rPr>
      </w:pPr>
      <w:r>
        <w:rPr>
          <w:noProof/>
        </w:rPr>
        <w:t>Article 1</w:t>
      </w:r>
    </w:p>
    <w:p>
      <w:pPr>
        <w:keepNext/>
        <w:jc w:val="left"/>
        <w:rPr>
          <w:noProof/>
        </w:rPr>
      </w:pPr>
      <w:r>
        <w:rPr>
          <w:noProof/>
        </w:rPr>
        <w:t>Article 134(2) of Regulation (EU) No 1303/2013 is amended as follows:</w:t>
      </w:r>
    </w:p>
    <w:p>
      <w:pPr>
        <w:rPr>
          <w:noProof/>
        </w:rPr>
      </w:pPr>
      <w:r>
        <w:rPr>
          <w:noProof/>
        </w:rPr>
        <w:t>(a)</w:t>
      </w:r>
      <w:r>
        <w:rPr>
          <w:noProof/>
        </w:rPr>
        <w:tab/>
        <w:t>The fifth indent is replaced by the following:</w:t>
      </w:r>
    </w:p>
    <w:p>
      <w:pPr>
        <w:pStyle w:val="Text1"/>
        <w:rPr>
          <w:noProof/>
        </w:rPr>
      </w:pPr>
      <w:r>
        <w:rPr>
          <w:noProof/>
        </w:rPr>
        <w:t>"— 2020: 3 %";</w:t>
      </w:r>
    </w:p>
    <w:p>
      <w:pPr>
        <w:rPr>
          <w:noProof/>
        </w:rPr>
      </w:pPr>
      <w:r>
        <w:rPr>
          <w:noProof/>
        </w:rPr>
        <w:t>(b)</w:t>
      </w:r>
      <w:r>
        <w:rPr>
          <w:noProof/>
        </w:rPr>
        <w:tab/>
        <w:t>The following indent is added:</w:t>
      </w:r>
    </w:p>
    <w:p>
      <w:pPr>
        <w:pStyle w:val="Text1"/>
        <w:rPr>
          <w:noProof/>
        </w:rPr>
      </w:pPr>
      <w:r>
        <w:rPr>
          <w:noProof/>
        </w:rPr>
        <w:t>"— 2021 to 2023: 1 %."</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footnotePr>
            <w:numRestart w:val="eachSect"/>
          </w:footnote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amending Regulation (EU) No 1303/2013 as regards adjusting the level of annual pre-financing for the years 2021 to 2023</w:t>
      </w:r>
    </w:p>
    <w:p>
      <w:pPr>
        <w:pStyle w:val="ManualHeading2"/>
        <w:rPr>
          <w:noProof/>
          <w:szCs w:val="24"/>
        </w:rPr>
      </w:pPr>
      <w:r>
        <w:t>1.2.</w:t>
      </w:r>
      <w:r>
        <w:tab/>
      </w:r>
      <w:r>
        <w:rPr>
          <w:noProof/>
        </w:rPr>
        <w:t>Policy area(s) concerned in the ABM/ABB structure</w:t>
      </w:r>
      <w:r>
        <w:rPr>
          <w:rStyle w:val="FootnoteReference"/>
          <w:noProof/>
        </w:rPr>
        <w:footnoteReference w:id="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EMPLOYMENT, SOCIAL AFFAIRS AND INCLUSION REGIONAL AND URBAN POLICY</w:t>
      </w:r>
    </w:p>
    <w:p>
      <w:pPr>
        <w:pStyle w:val="Text1"/>
        <w:pBdr>
          <w:top w:val="single" w:sz="4" w:space="1" w:color="auto"/>
          <w:left w:val="single" w:sz="4" w:space="4" w:color="auto"/>
          <w:bottom w:val="single" w:sz="4" w:space="1" w:color="auto"/>
          <w:right w:val="single" w:sz="4" w:space="4" w:color="auto"/>
        </w:pBdr>
        <w:rPr>
          <w:noProof/>
        </w:rPr>
      </w:pPr>
      <w:r>
        <w:rPr>
          <w:noProof/>
        </w:rPr>
        <w:t>MARITIME AFFAIRS AND FISHERIES</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7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8"/>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lang w:val="pt-PT"/>
        </w:rPr>
      </w:pPr>
      <w:r>
        <w:rPr>
          <w:noProof/>
          <w:lang w:val="pt-PT"/>
        </w:rPr>
        <w:t>N/A</w:t>
      </w:r>
    </w:p>
    <w:p>
      <w:pPr>
        <w:pStyle w:val="Text1"/>
        <w:pBdr>
          <w:top w:val="single" w:sz="4" w:space="1" w:color="auto"/>
          <w:left w:val="single" w:sz="4" w:space="4" w:color="auto"/>
          <w:bottom w:val="single" w:sz="4" w:space="1" w:color="auto"/>
          <w:right w:val="single" w:sz="4" w:space="4" w:color="auto"/>
        </w:pBdr>
        <w:rPr>
          <w:noProof/>
          <w:u w:val="single"/>
          <w:lang w:val="pt-PT"/>
        </w:rPr>
      </w:pPr>
      <w:r>
        <w:rPr>
          <w:noProof/>
          <w:u w:val="single"/>
          <w:lang w:val="pt-PT"/>
        </w:rPr>
        <w:t>ABM/ABB activity(ies) concerned</w:t>
      </w:r>
    </w:p>
    <w:p>
      <w:pPr>
        <w:pStyle w:val="Text1"/>
        <w:pBdr>
          <w:top w:val="single" w:sz="4" w:space="1" w:color="auto"/>
          <w:left w:val="single" w:sz="4" w:space="4" w:color="auto"/>
          <w:bottom w:val="single" w:sz="4" w:space="1" w:color="auto"/>
          <w:right w:val="single" w:sz="4" w:space="4" w:color="auto"/>
        </w:pBdr>
        <w:rPr>
          <w:noProof/>
          <w:lang w:val="pt-PT"/>
        </w:rPr>
      </w:pPr>
      <w:r>
        <w:rPr>
          <w:noProof/>
          <w:lang w:val="pt-PT"/>
        </w:rPr>
        <w:t>N/A</w:t>
      </w:r>
    </w:p>
    <w:p>
      <w:pPr>
        <w:pStyle w:val="ManualHeading3"/>
        <w:rPr>
          <w:bCs/>
          <w:noProof/>
          <w:szCs w:val="24"/>
        </w:rPr>
      </w:pPr>
      <w:r>
        <w:rPr>
          <w:noProof/>
          <w:lang w:val="pt-PT"/>
        </w:rPr>
        <w:br w:type="page"/>
      </w: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78"/>
      </w:r>
      <w:r>
        <w:rPr>
          <w:noProof/>
        </w:rPr>
        <w:t xml:space="preserve">Proposal/initiative of </w:t>
      </w:r>
      <w:r>
        <w:rPr>
          <w:b/>
          <w:noProof/>
        </w:rPr>
        <w:t xml:space="preserve">limited duration </w:t>
      </w:r>
    </w:p>
    <w:p>
      <w:pPr>
        <w:pStyle w:val="ListDash2"/>
        <w:rPr>
          <w:noProof/>
        </w:rPr>
      </w:pPr>
      <w:r>
        <w:rPr>
          <w:noProof/>
        </w:rPr>
        <w:sym w:font="Wingdings" w:char="F078"/>
      </w:r>
      <w:r>
        <w:rPr>
          <w:noProof/>
        </w:rPr>
        <w:tab/>
        <w:t>Proposal/initiative in effect from 2021 to 2024</w:t>
      </w:r>
    </w:p>
    <w:p>
      <w:pPr>
        <w:pStyle w:val="ListDash2"/>
        <w:rPr>
          <w:noProof/>
        </w:rPr>
      </w:pPr>
      <w:r>
        <w:rPr>
          <w:noProof/>
        </w:rPr>
        <w:sym w:font="Wingdings" w:char="F078"/>
      </w:r>
      <w:r>
        <w:rPr>
          <w:noProof/>
        </w:rPr>
        <w:tab/>
        <w:t xml:space="preserve">Financial impact from 2021 to 2024 </w:t>
      </w:r>
    </w:p>
    <w:p>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9"/>
      </w:r>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7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N/A</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rPr>
          <w:noProof/>
        </w:rPr>
        <w:sectPr>
          <w:footnotePr>
            <w:numRestart w:val="eachSect"/>
          </w:footnote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3546"/>
        <w:gridCol w:w="1080"/>
        <w:gridCol w:w="956"/>
        <w:gridCol w:w="1080"/>
        <w:gridCol w:w="956"/>
        <w:gridCol w:w="1448"/>
      </w:tblGrid>
      <w:tr>
        <w:tc>
          <w:tcPr>
            <w:tcW w:w="1494" w:type="dxa"/>
            <w:vMerge w:val="restart"/>
            <w:vAlign w:val="center"/>
          </w:tcPr>
          <w:p>
            <w:pPr>
              <w:spacing w:before="60" w:after="60"/>
              <w:jc w:val="center"/>
              <w:rPr>
                <w:noProof/>
                <w:sz w:val="22"/>
              </w:rPr>
            </w:pPr>
            <w:r>
              <w:rPr>
                <w:noProof/>
                <w:sz w:val="18"/>
              </w:rPr>
              <w:t>Heading of multiannual financial framework</w:t>
            </w:r>
          </w:p>
        </w:tc>
        <w:tc>
          <w:tcPr>
            <w:tcW w:w="3546"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494" w:type="dxa"/>
            <w:vMerge/>
            <w:vAlign w:val="center"/>
          </w:tcPr>
          <w:p>
            <w:pPr>
              <w:jc w:val="center"/>
              <w:rPr>
                <w:noProof/>
                <w:sz w:val="22"/>
              </w:rPr>
            </w:pPr>
          </w:p>
        </w:tc>
        <w:tc>
          <w:tcPr>
            <w:tcW w:w="3546" w:type="dxa"/>
            <w:vAlign w:val="center"/>
          </w:tcPr>
          <w:p>
            <w:pPr>
              <w:rPr>
                <w:noProof/>
                <w:sz w:val="22"/>
              </w:rPr>
            </w:pPr>
            <w:r>
              <w:rPr>
                <w:noProof/>
                <w:sz w:val="20"/>
              </w:rPr>
              <w:t>Number</w:t>
            </w:r>
          </w:p>
        </w:tc>
        <w:tc>
          <w:tcPr>
            <w:tcW w:w="1080" w:type="dxa"/>
            <w:vAlign w:val="center"/>
          </w:tcPr>
          <w:p>
            <w:pPr>
              <w:jc w:val="center"/>
              <w:rPr>
                <w:noProof/>
                <w:sz w:val="22"/>
              </w:rPr>
            </w:pPr>
            <w:r>
              <w:rPr>
                <w:noProof/>
                <w:sz w:val="18"/>
              </w:rPr>
              <w:t>Diff./Non-diff.</w:t>
            </w:r>
            <w:r>
              <w:rPr>
                <w:rStyle w:val="FootnoteReference"/>
                <w:noProof/>
                <w:sz w:val="18"/>
              </w:rPr>
              <w:footnoteReference w:id="10"/>
            </w:r>
          </w:p>
        </w:tc>
        <w:tc>
          <w:tcPr>
            <w:tcW w:w="956" w:type="dxa"/>
            <w:vAlign w:val="center"/>
          </w:tcPr>
          <w:p>
            <w:pPr>
              <w:jc w:val="center"/>
              <w:rPr>
                <w:noProof/>
                <w:sz w:val="22"/>
              </w:rPr>
            </w:pPr>
            <w:r>
              <w:rPr>
                <w:noProof/>
                <w:sz w:val="18"/>
              </w:rPr>
              <w:t>from EFTA countries</w:t>
            </w:r>
            <w:r>
              <w:rPr>
                <w:rStyle w:val="FootnoteReference"/>
                <w:noProof/>
                <w:sz w:val="18"/>
              </w:rPr>
              <w:footnoteReference w:id="11"/>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12"/>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494" w:type="dxa"/>
            <w:vMerge w:val="restart"/>
            <w:vAlign w:val="center"/>
          </w:tcPr>
          <w:p>
            <w:pPr>
              <w:jc w:val="center"/>
              <w:rPr>
                <w:noProof/>
                <w:sz w:val="22"/>
              </w:rPr>
            </w:pPr>
            <w:r>
              <w:rPr>
                <w:noProof/>
                <w:sz w:val="22"/>
              </w:rPr>
              <w:t xml:space="preserve">1B - </w:t>
            </w:r>
            <w:r>
              <w:rPr>
                <w:noProof/>
                <w:sz w:val="22"/>
              </w:rPr>
              <w:br/>
              <w:t>Economic, Social and Territorial Cohesion</w:t>
            </w:r>
          </w:p>
        </w:tc>
        <w:tc>
          <w:tcPr>
            <w:tcW w:w="3546" w:type="dxa"/>
            <w:vAlign w:val="center"/>
          </w:tcPr>
          <w:p>
            <w:pPr>
              <w:spacing w:before="60"/>
              <w:rPr>
                <w:noProof/>
                <w:sz w:val="22"/>
              </w:rPr>
            </w:pPr>
            <w:r>
              <w:rPr>
                <w:noProof/>
              </w:rPr>
              <w:t>04 02 60 - European Social Fund — Less developed regions</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494" w:type="dxa"/>
            <w:vMerge/>
            <w:vAlign w:val="center"/>
          </w:tcPr>
          <w:p>
            <w:pPr>
              <w:jc w:val="center"/>
              <w:rPr>
                <w:noProof/>
                <w:sz w:val="22"/>
              </w:rPr>
            </w:pPr>
          </w:p>
        </w:tc>
        <w:tc>
          <w:tcPr>
            <w:tcW w:w="3546" w:type="dxa"/>
            <w:vAlign w:val="center"/>
          </w:tcPr>
          <w:p>
            <w:pPr>
              <w:spacing w:before="60"/>
            </w:pPr>
            <w:r>
              <w:rPr>
                <w:noProof/>
              </w:rPr>
              <w:t>04 02 61 - European Social Fund — Transition regions</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494" w:type="dxa"/>
            <w:vMerge/>
            <w:vAlign w:val="center"/>
          </w:tcPr>
          <w:p>
            <w:pPr>
              <w:jc w:val="center"/>
              <w:rPr>
                <w:noProof/>
                <w:sz w:val="22"/>
              </w:rPr>
            </w:pPr>
          </w:p>
        </w:tc>
        <w:tc>
          <w:tcPr>
            <w:tcW w:w="3546" w:type="dxa"/>
            <w:vAlign w:val="center"/>
          </w:tcPr>
          <w:p>
            <w:pPr>
              <w:spacing w:before="60"/>
            </w:pPr>
            <w:r>
              <w:rPr>
                <w:noProof/>
              </w:rPr>
              <w:t>04 02 62 - European Social Fund — More developed regions</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494" w:type="dxa"/>
            <w:vMerge/>
            <w:vAlign w:val="center"/>
          </w:tcPr>
          <w:p>
            <w:pPr>
              <w:jc w:val="center"/>
              <w:rPr>
                <w:noProof/>
                <w:sz w:val="22"/>
              </w:rPr>
            </w:pPr>
          </w:p>
        </w:tc>
        <w:tc>
          <w:tcPr>
            <w:tcW w:w="3546" w:type="dxa"/>
            <w:vAlign w:val="center"/>
          </w:tcPr>
          <w:p>
            <w:pPr>
              <w:spacing w:before="60"/>
              <w:rPr>
                <w:noProof/>
              </w:rPr>
            </w:pPr>
            <w:r>
              <w:rPr>
                <w:noProof/>
              </w:rPr>
              <w:t>04 02 64 - Youth Employment</w:t>
            </w:r>
          </w:p>
          <w:p>
            <w:pPr>
              <w:spacing w:before="60"/>
            </w:pPr>
            <w:r>
              <w:rPr>
                <w:noProof/>
              </w:rPr>
              <w:t>Initiative</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494" w:type="dxa"/>
            <w:vMerge/>
            <w:vAlign w:val="center"/>
          </w:tcPr>
          <w:p>
            <w:pPr>
              <w:jc w:val="center"/>
              <w:rPr>
                <w:noProof/>
                <w:sz w:val="22"/>
              </w:rPr>
            </w:pPr>
          </w:p>
        </w:tc>
        <w:tc>
          <w:tcPr>
            <w:tcW w:w="3546" w:type="dxa"/>
            <w:vAlign w:val="center"/>
          </w:tcPr>
          <w:p>
            <w:pPr>
              <w:spacing w:before="60"/>
              <w:rPr>
                <w:noProof/>
              </w:rPr>
            </w:pPr>
            <w:r>
              <w:rPr>
                <w:noProof/>
              </w:rPr>
              <w:t>13 03 60 - European Regional</w:t>
            </w:r>
          </w:p>
          <w:p>
            <w:pPr>
              <w:spacing w:before="60"/>
              <w:rPr>
                <w:noProof/>
              </w:rPr>
            </w:pPr>
            <w:r>
              <w:rPr>
                <w:noProof/>
              </w:rPr>
              <w:t>Development Fund — Less</w:t>
            </w:r>
          </w:p>
          <w:p>
            <w:pPr>
              <w:spacing w:before="60"/>
            </w:pPr>
            <w:r>
              <w:rPr>
                <w:noProof/>
              </w:rPr>
              <w:t>developed regions</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494" w:type="dxa"/>
            <w:vMerge/>
            <w:vAlign w:val="center"/>
          </w:tcPr>
          <w:p>
            <w:pPr>
              <w:jc w:val="center"/>
              <w:rPr>
                <w:noProof/>
                <w:sz w:val="22"/>
              </w:rPr>
            </w:pPr>
          </w:p>
        </w:tc>
        <w:tc>
          <w:tcPr>
            <w:tcW w:w="3546" w:type="dxa"/>
            <w:vAlign w:val="center"/>
          </w:tcPr>
          <w:p>
            <w:pPr>
              <w:spacing w:before="60"/>
              <w:rPr>
                <w:noProof/>
              </w:rPr>
            </w:pPr>
            <w:r>
              <w:rPr>
                <w:noProof/>
              </w:rPr>
              <w:t>13 03 61 - European Regional</w:t>
            </w:r>
          </w:p>
          <w:p>
            <w:pPr>
              <w:spacing w:before="60"/>
              <w:rPr>
                <w:noProof/>
              </w:rPr>
            </w:pPr>
            <w:r>
              <w:rPr>
                <w:noProof/>
              </w:rPr>
              <w:t>Development Fund — Transition</w:t>
            </w:r>
          </w:p>
          <w:p>
            <w:pPr>
              <w:spacing w:before="60"/>
            </w:pPr>
            <w:r>
              <w:rPr>
                <w:noProof/>
              </w:rPr>
              <w:t>regions</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494" w:type="dxa"/>
            <w:vMerge/>
            <w:vAlign w:val="center"/>
          </w:tcPr>
          <w:p>
            <w:pPr>
              <w:jc w:val="center"/>
              <w:rPr>
                <w:noProof/>
                <w:sz w:val="22"/>
              </w:rPr>
            </w:pPr>
          </w:p>
        </w:tc>
        <w:tc>
          <w:tcPr>
            <w:tcW w:w="3546" w:type="dxa"/>
            <w:vAlign w:val="center"/>
          </w:tcPr>
          <w:p>
            <w:pPr>
              <w:spacing w:before="60"/>
              <w:rPr>
                <w:noProof/>
              </w:rPr>
            </w:pPr>
            <w:r>
              <w:rPr>
                <w:noProof/>
              </w:rPr>
              <w:t>13 03 62 - European Regional</w:t>
            </w:r>
          </w:p>
          <w:p>
            <w:pPr>
              <w:spacing w:before="60"/>
              <w:rPr>
                <w:noProof/>
              </w:rPr>
            </w:pPr>
            <w:r>
              <w:rPr>
                <w:noProof/>
              </w:rPr>
              <w:t>Development Fund — More</w:t>
            </w:r>
          </w:p>
          <w:p>
            <w:pPr>
              <w:spacing w:before="60"/>
            </w:pPr>
            <w:r>
              <w:rPr>
                <w:noProof/>
              </w:rPr>
              <w:t>developed regions</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494" w:type="dxa"/>
            <w:vMerge/>
            <w:vAlign w:val="center"/>
          </w:tcPr>
          <w:p>
            <w:pPr>
              <w:jc w:val="center"/>
              <w:rPr>
                <w:noProof/>
                <w:sz w:val="22"/>
              </w:rPr>
            </w:pPr>
          </w:p>
        </w:tc>
        <w:tc>
          <w:tcPr>
            <w:tcW w:w="3546" w:type="dxa"/>
            <w:vAlign w:val="center"/>
          </w:tcPr>
          <w:p>
            <w:pPr>
              <w:spacing w:before="60"/>
              <w:rPr>
                <w:noProof/>
              </w:rPr>
            </w:pPr>
            <w:r>
              <w:rPr>
                <w:noProof/>
              </w:rPr>
              <w:t>13 03 63 - European Regional</w:t>
            </w:r>
          </w:p>
          <w:p>
            <w:pPr>
              <w:spacing w:before="60"/>
              <w:rPr>
                <w:noProof/>
              </w:rPr>
            </w:pPr>
            <w:r>
              <w:rPr>
                <w:noProof/>
              </w:rPr>
              <w:t>Development Fund — Additional</w:t>
            </w:r>
          </w:p>
          <w:p>
            <w:pPr>
              <w:spacing w:before="60"/>
              <w:rPr>
                <w:noProof/>
              </w:rPr>
            </w:pPr>
            <w:r>
              <w:rPr>
                <w:noProof/>
              </w:rPr>
              <w:t>allocation for outermost</w:t>
            </w:r>
          </w:p>
          <w:p>
            <w:pPr>
              <w:spacing w:before="60"/>
            </w:pPr>
            <w:r>
              <w:rPr>
                <w:noProof/>
              </w:rPr>
              <w:t>and sparsely populated regions</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494" w:type="dxa"/>
            <w:vMerge/>
            <w:vAlign w:val="center"/>
          </w:tcPr>
          <w:p>
            <w:pPr>
              <w:jc w:val="center"/>
              <w:rPr>
                <w:noProof/>
                <w:sz w:val="22"/>
              </w:rPr>
            </w:pPr>
          </w:p>
        </w:tc>
        <w:tc>
          <w:tcPr>
            <w:tcW w:w="3546" w:type="dxa"/>
            <w:vAlign w:val="center"/>
          </w:tcPr>
          <w:p>
            <w:pPr>
              <w:spacing w:before="60"/>
            </w:pPr>
            <w:r>
              <w:rPr>
                <w:noProof/>
              </w:rPr>
              <w:t>13 03 64 01 - European Regional Development Fund — European territorial cooperation</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494" w:type="dxa"/>
            <w:vMerge/>
            <w:vAlign w:val="center"/>
          </w:tcPr>
          <w:p>
            <w:pPr>
              <w:jc w:val="center"/>
              <w:rPr>
                <w:noProof/>
                <w:sz w:val="22"/>
              </w:rPr>
            </w:pPr>
          </w:p>
        </w:tc>
        <w:tc>
          <w:tcPr>
            <w:tcW w:w="3546" w:type="dxa"/>
            <w:vAlign w:val="center"/>
          </w:tcPr>
          <w:p>
            <w:pPr>
              <w:spacing w:before="60"/>
            </w:pPr>
            <w:r>
              <w:rPr>
                <w:noProof/>
              </w:rPr>
              <w:t>13 04 60 - Cohesion Fund</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494" w:type="dxa"/>
            <w:vAlign w:val="center"/>
          </w:tcPr>
          <w:p>
            <w:pPr>
              <w:jc w:val="center"/>
              <w:rPr>
                <w:noProof/>
                <w:sz w:val="22"/>
              </w:rPr>
            </w:pPr>
            <w:r>
              <w:rPr>
                <w:noProof/>
                <w:sz w:val="22"/>
              </w:rPr>
              <w:t>2 - Sustainable Growth: Natural Resources</w:t>
            </w:r>
          </w:p>
        </w:tc>
        <w:tc>
          <w:tcPr>
            <w:tcW w:w="3546" w:type="dxa"/>
            <w:vAlign w:val="center"/>
          </w:tcPr>
          <w:p>
            <w:pPr>
              <w:spacing w:before="60"/>
              <w:rPr>
                <w:noProof/>
              </w:rPr>
            </w:pPr>
            <w:r>
              <w:rPr>
                <w:noProof/>
              </w:rPr>
              <w:t>11 06 60 - Promoting sustainable and competitive fisheries and</w:t>
            </w:r>
          </w:p>
          <w:p>
            <w:pPr>
              <w:spacing w:before="60"/>
              <w:rPr>
                <w:noProof/>
              </w:rPr>
            </w:pPr>
            <w:r>
              <w:rPr>
                <w:noProof/>
              </w:rPr>
              <w:t>aquaculture, balanced and</w:t>
            </w:r>
          </w:p>
          <w:p>
            <w:pPr>
              <w:spacing w:before="60"/>
              <w:rPr>
                <w:noProof/>
              </w:rPr>
            </w:pPr>
            <w:r>
              <w:rPr>
                <w:noProof/>
              </w:rPr>
              <w:t>inclusive territorial development</w:t>
            </w:r>
          </w:p>
          <w:p>
            <w:pPr>
              <w:spacing w:before="60"/>
              <w:rPr>
                <w:noProof/>
              </w:rPr>
            </w:pPr>
            <w:r>
              <w:rPr>
                <w:noProof/>
              </w:rPr>
              <w:t>of fisheries areas and fostering the implementation of the common</w:t>
            </w:r>
          </w:p>
          <w:p>
            <w:pPr>
              <w:spacing w:before="60"/>
            </w:pPr>
            <w:r>
              <w:rPr>
                <w:noProof/>
              </w:rPr>
              <w:t>fisheries policy</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pStyle w:val="ListBullet1"/>
        <w:rPr>
          <w:noProof/>
        </w:rPr>
      </w:pPr>
      <w:r>
        <w:rPr>
          <w:noProof/>
        </w:rPr>
        <w:t>New budget lines requested : N/A</w:t>
      </w: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1B</w:t>
            </w:r>
          </w:p>
        </w:tc>
        <w:tc>
          <w:tcPr>
            <w:tcW w:w="7817" w:type="dxa"/>
            <w:vAlign w:val="center"/>
          </w:tcPr>
          <w:p>
            <w:pPr>
              <w:spacing w:before="60" w:after="60"/>
              <w:rPr>
                <w:b/>
                <w:noProof/>
                <w:sz w:val="22"/>
              </w:rPr>
            </w:pPr>
            <w:r>
              <w:rPr>
                <w:noProof/>
              </w:rPr>
              <w:t>Economic, Social and Territorial Cohesion</w:t>
            </w:r>
          </w:p>
        </w:tc>
      </w:tr>
    </w:tbl>
    <w:p>
      <w:pPr>
        <w:rPr>
          <w:noProof/>
          <w:sz w:val="16"/>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54"/>
        <w:gridCol w:w="1677"/>
        <w:gridCol w:w="1418"/>
        <w:gridCol w:w="1559"/>
        <w:gridCol w:w="1985"/>
        <w:gridCol w:w="1417"/>
      </w:tblGrid>
      <w:tr>
        <w:tc>
          <w:tcPr>
            <w:tcW w:w="3960" w:type="dxa"/>
            <w:vAlign w:val="center"/>
          </w:tcPr>
          <w:p>
            <w:pPr>
              <w:jc w:val="center"/>
              <w:rPr>
                <w:b/>
                <w:noProof/>
                <w:sz w:val="22"/>
              </w:rPr>
            </w:pPr>
            <w:r>
              <w:rPr>
                <w:b/>
                <w:noProof/>
                <w:sz w:val="22"/>
              </w:rPr>
              <w:t>DG EMPL</w:t>
            </w:r>
          </w:p>
        </w:tc>
        <w:tc>
          <w:tcPr>
            <w:tcW w:w="1362" w:type="dxa"/>
          </w:tcPr>
          <w:p>
            <w:pPr>
              <w:rPr>
                <w:noProof/>
                <w:sz w:val="20"/>
              </w:rPr>
            </w:pPr>
          </w:p>
        </w:tc>
        <w:tc>
          <w:tcPr>
            <w:tcW w:w="732" w:type="dxa"/>
            <w:gridSpan w:val="2"/>
          </w:tcPr>
          <w:p>
            <w:pPr>
              <w:jc w:val="center"/>
              <w:rPr>
                <w:noProof/>
                <w:sz w:val="20"/>
              </w:rPr>
            </w:pPr>
          </w:p>
        </w:tc>
        <w:tc>
          <w:tcPr>
            <w:tcW w:w="1677" w:type="dxa"/>
            <w:vAlign w:val="center"/>
          </w:tcPr>
          <w:p>
            <w:pPr>
              <w:jc w:val="center"/>
              <w:rPr>
                <w:noProof/>
                <w:sz w:val="20"/>
              </w:rPr>
            </w:pPr>
            <w:r>
              <w:rPr>
                <w:noProof/>
                <w:sz w:val="20"/>
              </w:rPr>
              <w:t>Year</w:t>
            </w:r>
            <w:r>
              <w:rPr>
                <w:noProof/>
                <w:sz w:val="22"/>
              </w:rPr>
              <w:br/>
            </w:r>
            <w:r>
              <w:rPr>
                <w:b/>
                <w:noProof/>
                <w:sz w:val="20"/>
              </w:rPr>
              <w:t>2021</w:t>
            </w:r>
          </w:p>
        </w:tc>
        <w:tc>
          <w:tcPr>
            <w:tcW w:w="1418" w:type="dxa"/>
            <w:vAlign w:val="center"/>
          </w:tcPr>
          <w:p>
            <w:pPr>
              <w:jc w:val="center"/>
              <w:rPr>
                <w:noProof/>
                <w:sz w:val="20"/>
              </w:rPr>
            </w:pPr>
            <w:r>
              <w:rPr>
                <w:noProof/>
                <w:sz w:val="20"/>
              </w:rPr>
              <w:t>Year</w:t>
            </w:r>
            <w:r>
              <w:rPr>
                <w:noProof/>
                <w:sz w:val="22"/>
              </w:rPr>
              <w:br/>
            </w:r>
            <w:r>
              <w:rPr>
                <w:b/>
                <w:noProof/>
                <w:sz w:val="20"/>
              </w:rPr>
              <w:t>2022</w:t>
            </w:r>
          </w:p>
        </w:tc>
        <w:tc>
          <w:tcPr>
            <w:tcW w:w="1559" w:type="dxa"/>
            <w:vAlign w:val="center"/>
          </w:tcPr>
          <w:p>
            <w:pPr>
              <w:jc w:val="center"/>
              <w:rPr>
                <w:noProof/>
                <w:sz w:val="20"/>
              </w:rPr>
            </w:pPr>
            <w:r>
              <w:rPr>
                <w:noProof/>
                <w:sz w:val="20"/>
              </w:rPr>
              <w:t>Year</w:t>
            </w:r>
            <w:r>
              <w:rPr>
                <w:noProof/>
                <w:sz w:val="22"/>
              </w:rPr>
              <w:br/>
            </w:r>
            <w:r>
              <w:rPr>
                <w:b/>
                <w:noProof/>
                <w:sz w:val="20"/>
              </w:rPr>
              <w:t>2023</w:t>
            </w:r>
          </w:p>
        </w:tc>
        <w:tc>
          <w:tcPr>
            <w:tcW w:w="1985" w:type="dxa"/>
            <w:vAlign w:val="center"/>
          </w:tcPr>
          <w:p>
            <w:pPr>
              <w:jc w:val="center"/>
              <w:rPr>
                <w:noProof/>
                <w:sz w:val="20"/>
              </w:rPr>
            </w:pPr>
            <w:r>
              <w:rPr>
                <w:noProof/>
                <w:sz w:val="20"/>
              </w:rPr>
              <w:t>Year</w:t>
            </w:r>
            <w:r>
              <w:rPr>
                <w:noProof/>
                <w:sz w:val="22"/>
              </w:rPr>
              <w:br/>
            </w:r>
            <w:r>
              <w:rPr>
                <w:b/>
                <w:noProof/>
                <w:sz w:val="20"/>
              </w:rPr>
              <w:t>2024</w:t>
            </w:r>
          </w:p>
        </w:tc>
        <w:tc>
          <w:tcPr>
            <w:tcW w:w="141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1677" w:type="dxa"/>
            <w:vAlign w:val="center"/>
          </w:tcPr>
          <w:p>
            <w:pPr>
              <w:rPr>
                <w:noProof/>
                <w:sz w:val="20"/>
              </w:rPr>
            </w:pPr>
          </w:p>
        </w:tc>
        <w:tc>
          <w:tcPr>
            <w:tcW w:w="1418" w:type="dxa"/>
            <w:vAlign w:val="center"/>
          </w:tcPr>
          <w:p>
            <w:pPr>
              <w:rPr>
                <w:noProof/>
                <w:sz w:val="20"/>
              </w:rPr>
            </w:pPr>
          </w:p>
        </w:tc>
        <w:tc>
          <w:tcPr>
            <w:tcW w:w="1559" w:type="dxa"/>
            <w:vAlign w:val="center"/>
          </w:tcPr>
          <w:p>
            <w:pPr>
              <w:rPr>
                <w:noProof/>
                <w:sz w:val="20"/>
              </w:rPr>
            </w:pPr>
          </w:p>
        </w:tc>
        <w:tc>
          <w:tcPr>
            <w:tcW w:w="1985" w:type="dxa"/>
            <w:vAlign w:val="center"/>
          </w:tcPr>
          <w:p>
            <w:pPr>
              <w:rPr>
                <w:noProof/>
                <w:sz w:val="20"/>
              </w:rPr>
            </w:pPr>
          </w:p>
        </w:tc>
        <w:tc>
          <w:tcPr>
            <w:tcW w:w="1417" w:type="dxa"/>
            <w:vAlign w:val="center"/>
          </w:tcPr>
          <w:p>
            <w:pPr>
              <w:rPr>
                <w:b/>
                <w:noProof/>
                <w:sz w:val="20"/>
              </w:rPr>
            </w:pPr>
          </w:p>
        </w:tc>
      </w:tr>
      <w:tr>
        <w:trPr>
          <w:trHeight w:val="277"/>
        </w:trPr>
        <w:tc>
          <w:tcPr>
            <w:tcW w:w="3960" w:type="dxa"/>
            <w:vAlign w:val="center"/>
          </w:tcPr>
          <w:p>
            <w:pPr>
              <w:rPr>
                <w:noProof/>
                <w:sz w:val="22"/>
              </w:rPr>
            </w:pPr>
            <w:r>
              <w:rPr>
                <w:noProof/>
                <w:sz w:val="20"/>
              </w:rPr>
              <w:t>04 02 60</w:t>
            </w:r>
          </w:p>
        </w:tc>
        <w:tc>
          <w:tcPr>
            <w:tcW w:w="1440" w:type="dxa"/>
            <w:gridSpan w:val="2"/>
            <w:vAlign w:val="center"/>
          </w:tcPr>
          <w:p>
            <w:pPr>
              <w:spacing w:before="20" w:after="20"/>
              <w:rPr>
                <w:noProof/>
                <w:sz w:val="18"/>
              </w:rPr>
            </w:pPr>
            <w:r>
              <w:rPr>
                <w:noProof/>
                <w:sz w:val="18"/>
              </w:rPr>
              <w:t>Payments</w:t>
            </w:r>
          </w:p>
        </w:tc>
        <w:tc>
          <w:tcPr>
            <w:tcW w:w="654" w:type="dxa"/>
            <w:vAlign w:val="center"/>
          </w:tcPr>
          <w:p>
            <w:pPr>
              <w:spacing w:before="20" w:after="20"/>
              <w:jc w:val="center"/>
              <w:rPr>
                <w:noProof/>
                <w:sz w:val="14"/>
              </w:rPr>
            </w:pPr>
            <w:r>
              <w:rPr>
                <w:noProof/>
                <w:sz w:val="14"/>
              </w:rPr>
              <w:t>(1)</w:t>
            </w:r>
          </w:p>
        </w:tc>
        <w:tc>
          <w:tcPr>
            <w:tcW w:w="1677" w:type="dxa"/>
          </w:tcPr>
          <w:p>
            <w:pPr>
              <w:rPr>
                <w:noProof/>
              </w:rPr>
            </w:pPr>
            <w:r>
              <w:rPr>
                <w:noProof/>
              </w:rPr>
              <w:t>-1 013,958</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1 013,958</w:t>
            </w:r>
          </w:p>
        </w:tc>
        <w:tc>
          <w:tcPr>
            <w:tcW w:w="1417" w:type="dxa"/>
          </w:tcPr>
          <w:p>
            <w:pPr>
              <w:rPr>
                <w:noProof/>
              </w:rPr>
            </w:pPr>
            <w:r>
              <w:rPr>
                <w:noProof/>
              </w:rPr>
              <w:t>0,000</w:t>
            </w:r>
          </w:p>
        </w:tc>
      </w:tr>
      <w:tr>
        <w:tc>
          <w:tcPr>
            <w:tcW w:w="3960" w:type="dxa"/>
            <w:vAlign w:val="center"/>
          </w:tcPr>
          <w:p>
            <w:pPr>
              <w:rPr>
                <w:noProof/>
                <w:sz w:val="20"/>
              </w:rPr>
            </w:pPr>
            <w:r>
              <w:rPr>
                <w:noProof/>
                <w:sz w:val="20"/>
              </w:rPr>
              <w:t>04 02 61</w:t>
            </w:r>
          </w:p>
        </w:tc>
        <w:tc>
          <w:tcPr>
            <w:tcW w:w="1440" w:type="dxa"/>
            <w:gridSpan w:val="2"/>
            <w:vAlign w:val="center"/>
          </w:tcPr>
          <w:p>
            <w:pPr>
              <w:spacing w:before="20" w:after="20"/>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1677" w:type="dxa"/>
          </w:tcPr>
          <w:p>
            <w:pPr>
              <w:rPr>
                <w:noProof/>
              </w:rPr>
            </w:pPr>
            <w:r>
              <w:rPr>
                <w:noProof/>
              </w:rPr>
              <w:t>-249,832</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249,832</w:t>
            </w:r>
          </w:p>
        </w:tc>
        <w:tc>
          <w:tcPr>
            <w:tcW w:w="1417" w:type="dxa"/>
          </w:tcPr>
          <w:p>
            <w:pPr>
              <w:rPr>
                <w:noProof/>
              </w:rPr>
            </w:pPr>
            <w:r>
              <w:rPr>
                <w:noProof/>
              </w:rPr>
              <w:t>0,000</w:t>
            </w:r>
          </w:p>
        </w:tc>
      </w:tr>
      <w:tr>
        <w:tc>
          <w:tcPr>
            <w:tcW w:w="3960" w:type="dxa"/>
            <w:vAlign w:val="center"/>
          </w:tcPr>
          <w:p>
            <w:pPr>
              <w:rPr>
                <w:noProof/>
                <w:sz w:val="20"/>
              </w:rPr>
            </w:pPr>
            <w:r>
              <w:rPr>
                <w:noProof/>
                <w:sz w:val="20"/>
              </w:rPr>
              <w:t>04 02 62</w:t>
            </w:r>
          </w:p>
        </w:tc>
        <w:tc>
          <w:tcPr>
            <w:tcW w:w="1440" w:type="dxa"/>
            <w:gridSpan w:val="2"/>
            <w:vAlign w:val="center"/>
          </w:tcPr>
          <w:p>
            <w:pPr>
              <w:spacing w:before="20" w:after="20"/>
              <w:rPr>
                <w:noProof/>
                <w:sz w:val="18"/>
              </w:rPr>
            </w:pPr>
            <w:r>
              <w:rPr>
                <w:noProof/>
                <w:sz w:val="18"/>
              </w:rPr>
              <w:t>Payments</w:t>
            </w:r>
          </w:p>
        </w:tc>
        <w:tc>
          <w:tcPr>
            <w:tcW w:w="654" w:type="dxa"/>
            <w:vAlign w:val="center"/>
          </w:tcPr>
          <w:p>
            <w:pPr>
              <w:spacing w:before="20" w:after="20"/>
              <w:jc w:val="center"/>
              <w:rPr>
                <w:noProof/>
                <w:sz w:val="14"/>
              </w:rPr>
            </w:pPr>
            <w:r>
              <w:rPr>
                <w:noProof/>
                <w:sz w:val="14"/>
              </w:rPr>
              <w:t>(3)</w:t>
            </w:r>
          </w:p>
        </w:tc>
        <w:tc>
          <w:tcPr>
            <w:tcW w:w="1677" w:type="dxa"/>
          </w:tcPr>
          <w:p>
            <w:pPr>
              <w:rPr>
                <w:noProof/>
              </w:rPr>
            </w:pPr>
            <w:r>
              <w:rPr>
                <w:noProof/>
              </w:rPr>
              <w:t>-504,477</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504,477</w:t>
            </w:r>
          </w:p>
        </w:tc>
        <w:tc>
          <w:tcPr>
            <w:tcW w:w="1417" w:type="dxa"/>
          </w:tcPr>
          <w:p>
            <w:pPr>
              <w:rPr>
                <w:noProof/>
              </w:rPr>
            </w:pPr>
            <w:r>
              <w:rPr>
                <w:noProof/>
              </w:rPr>
              <w:t>0,000</w:t>
            </w:r>
          </w:p>
        </w:tc>
      </w:tr>
      <w:tr>
        <w:tc>
          <w:tcPr>
            <w:tcW w:w="3960" w:type="dxa"/>
            <w:vAlign w:val="center"/>
          </w:tcPr>
          <w:p>
            <w:pPr>
              <w:rPr>
                <w:noProof/>
                <w:sz w:val="22"/>
              </w:rPr>
            </w:pPr>
            <w:r>
              <w:rPr>
                <w:noProof/>
                <w:sz w:val="20"/>
              </w:rPr>
              <w:t>04 02 64</w:t>
            </w:r>
          </w:p>
        </w:tc>
        <w:tc>
          <w:tcPr>
            <w:tcW w:w="1440" w:type="dxa"/>
            <w:gridSpan w:val="2"/>
            <w:vAlign w:val="center"/>
          </w:tcPr>
          <w:p>
            <w:pPr>
              <w:spacing w:before="20" w:after="20"/>
              <w:rPr>
                <w:noProof/>
                <w:sz w:val="18"/>
              </w:rPr>
            </w:pPr>
            <w:r>
              <w:rPr>
                <w:noProof/>
                <w:sz w:val="18"/>
              </w:rPr>
              <w:t>Payments</w:t>
            </w:r>
          </w:p>
        </w:tc>
        <w:tc>
          <w:tcPr>
            <w:tcW w:w="654" w:type="dxa"/>
            <w:vAlign w:val="center"/>
          </w:tcPr>
          <w:p>
            <w:pPr>
              <w:spacing w:before="20" w:after="20"/>
              <w:jc w:val="center"/>
              <w:rPr>
                <w:noProof/>
                <w:sz w:val="14"/>
              </w:rPr>
            </w:pPr>
            <w:r>
              <w:rPr>
                <w:noProof/>
                <w:sz w:val="14"/>
              </w:rPr>
              <w:t>(4)</w:t>
            </w:r>
          </w:p>
        </w:tc>
        <w:tc>
          <w:tcPr>
            <w:tcW w:w="1677" w:type="dxa"/>
          </w:tcPr>
          <w:p>
            <w:pPr>
              <w:rPr>
                <w:noProof/>
              </w:rPr>
            </w:pPr>
            <w:r>
              <w:rPr>
                <w:noProof/>
              </w:rPr>
              <w:t>-88,224</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88,224</w:t>
            </w:r>
          </w:p>
        </w:tc>
        <w:tc>
          <w:tcPr>
            <w:tcW w:w="1417" w:type="dxa"/>
          </w:tcPr>
          <w:p>
            <w:pPr>
              <w:rPr>
                <w:noProof/>
              </w:rPr>
            </w:pPr>
            <w:r>
              <w:rPr>
                <w:noProof/>
              </w:rPr>
              <w:t>0,000</w:t>
            </w: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13"/>
            </w:r>
            <w:r>
              <w:rPr>
                <w:noProof/>
                <w:sz w:val="21"/>
              </w:rPr>
              <w:t xml:space="preserve"> </w:t>
            </w:r>
          </w:p>
          <w:p>
            <w:pPr>
              <w:spacing w:before="0" w:after="0"/>
              <w:rPr>
                <w:noProof/>
                <w:sz w:val="22"/>
              </w:rPr>
            </w:pPr>
          </w:p>
        </w:tc>
        <w:tc>
          <w:tcPr>
            <w:tcW w:w="1677" w:type="dxa"/>
            <w:vAlign w:val="center"/>
          </w:tcPr>
          <w:p>
            <w:pPr>
              <w:rPr>
                <w:b/>
                <w:noProof/>
                <w:sz w:val="20"/>
              </w:rPr>
            </w:pPr>
            <w:r>
              <w:rPr>
                <w:b/>
                <w:noProof/>
                <w:sz w:val="20"/>
              </w:rPr>
              <w:t>N/A</w:t>
            </w:r>
          </w:p>
        </w:tc>
        <w:tc>
          <w:tcPr>
            <w:tcW w:w="1418" w:type="dxa"/>
            <w:vAlign w:val="center"/>
          </w:tcPr>
          <w:p>
            <w:pPr>
              <w:rPr>
                <w:b/>
                <w:noProof/>
                <w:sz w:val="20"/>
              </w:rPr>
            </w:pPr>
            <w:r>
              <w:rPr>
                <w:b/>
                <w:noProof/>
                <w:sz w:val="20"/>
              </w:rPr>
              <w:t>N/A</w:t>
            </w:r>
          </w:p>
        </w:tc>
        <w:tc>
          <w:tcPr>
            <w:tcW w:w="1559" w:type="dxa"/>
            <w:vAlign w:val="center"/>
          </w:tcPr>
          <w:p>
            <w:pPr>
              <w:rPr>
                <w:b/>
                <w:noProof/>
                <w:sz w:val="20"/>
              </w:rPr>
            </w:pPr>
            <w:r>
              <w:rPr>
                <w:b/>
                <w:noProof/>
                <w:sz w:val="20"/>
              </w:rPr>
              <w:t>N/A</w:t>
            </w:r>
          </w:p>
        </w:tc>
        <w:tc>
          <w:tcPr>
            <w:tcW w:w="1985" w:type="dxa"/>
            <w:vAlign w:val="center"/>
          </w:tcPr>
          <w:p>
            <w:pPr>
              <w:rPr>
                <w:b/>
                <w:noProof/>
                <w:sz w:val="20"/>
              </w:rPr>
            </w:pPr>
            <w:r>
              <w:rPr>
                <w:b/>
                <w:noProof/>
                <w:sz w:val="20"/>
              </w:rPr>
              <w:t>N/A</w:t>
            </w:r>
          </w:p>
        </w:tc>
        <w:tc>
          <w:tcPr>
            <w:tcW w:w="1417" w:type="dxa"/>
            <w:vAlign w:val="center"/>
          </w:tcPr>
          <w:p>
            <w:pPr>
              <w:rPr>
                <w:b/>
                <w:noProof/>
                <w:sz w:val="20"/>
              </w:rPr>
            </w:pPr>
            <w:r>
              <w:rPr>
                <w:b/>
                <w:noProof/>
                <w:sz w:val="20"/>
              </w:rPr>
              <w:t>N/A</w:t>
            </w:r>
          </w:p>
        </w:tc>
      </w:tr>
      <w:tr>
        <w:tc>
          <w:tcPr>
            <w:tcW w:w="3960" w:type="dxa"/>
            <w:vAlign w:val="center"/>
          </w:tcPr>
          <w:p>
            <w:pPr>
              <w:jc w:val="center"/>
              <w:rPr>
                <w:b/>
                <w:noProof/>
                <w:sz w:val="22"/>
              </w:rPr>
            </w:pPr>
            <w:r>
              <w:rPr>
                <w:b/>
                <w:noProof/>
                <w:sz w:val="22"/>
              </w:rPr>
              <w:t>TOTAL appropriations</w:t>
            </w:r>
            <w:r>
              <w:rPr>
                <w:noProof/>
                <w:sz w:val="22"/>
              </w:rPr>
              <w:br/>
            </w:r>
            <w:r>
              <w:rPr>
                <w:b/>
                <w:noProof/>
                <w:sz w:val="22"/>
              </w:rPr>
              <w:t>for DG EMPL</w:t>
            </w:r>
          </w:p>
        </w:tc>
        <w:tc>
          <w:tcPr>
            <w:tcW w:w="1440" w:type="dxa"/>
            <w:gridSpan w:val="2"/>
            <w:vAlign w:val="center"/>
          </w:tcPr>
          <w:p>
            <w:pPr>
              <w:rPr>
                <w:noProof/>
                <w:sz w:val="18"/>
              </w:rPr>
            </w:pPr>
            <w:r>
              <w:rPr>
                <w:noProof/>
                <w:sz w:val="18"/>
              </w:rPr>
              <w:t>Payments</w:t>
            </w:r>
          </w:p>
        </w:tc>
        <w:tc>
          <w:tcPr>
            <w:tcW w:w="654" w:type="dxa"/>
            <w:vAlign w:val="center"/>
          </w:tcPr>
          <w:p>
            <w:pPr>
              <w:jc w:val="center"/>
              <w:rPr>
                <w:noProof/>
                <w:sz w:val="14"/>
              </w:rPr>
            </w:pPr>
          </w:p>
        </w:tc>
        <w:tc>
          <w:tcPr>
            <w:tcW w:w="1677" w:type="dxa"/>
          </w:tcPr>
          <w:p>
            <w:pPr>
              <w:rPr>
                <w:noProof/>
              </w:rPr>
            </w:pPr>
            <w:r>
              <w:rPr>
                <w:noProof/>
              </w:rPr>
              <w:t>-1 856,491</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1 856,491</w:t>
            </w:r>
          </w:p>
        </w:tc>
        <w:tc>
          <w:tcPr>
            <w:tcW w:w="1417" w:type="dxa"/>
          </w:tcPr>
          <w:p>
            <w:pPr>
              <w:rPr>
                <w:noProof/>
              </w:rPr>
            </w:pPr>
            <w:r>
              <w:rPr>
                <w:noProof/>
              </w:rPr>
              <w:t>0,000</w:t>
            </w:r>
          </w:p>
        </w:tc>
      </w:tr>
    </w:tbl>
    <w:p>
      <w:pPr>
        <w:rPr>
          <w:noProof/>
        </w:rPr>
      </w:pPr>
      <w:r>
        <w:rPr>
          <w:noProof/>
        </w:rPr>
        <w:br/>
      </w:r>
    </w:p>
    <w:p>
      <w:pPr>
        <w:rPr>
          <w:noProof/>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54"/>
        <w:gridCol w:w="1677"/>
        <w:gridCol w:w="1418"/>
        <w:gridCol w:w="1559"/>
        <w:gridCol w:w="1985"/>
        <w:gridCol w:w="1417"/>
      </w:tblGrid>
      <w:tr>
        <w:tc>
          <w:tcPr>
            <w:tcW w:w="3960" w:type="dxa"/>
            <w:vAlign w:val="center"/>
          </w:tcPr>
          <w:p>
            <w:pPr>
              <w:jc w:val="center"/>
              <w:rPr>
                <w:b/>
                <w:noProof/>
                <w:sz w:val="22"/>
              </w:rPr>
            </w:pPr>
            <w:r>
              <w:rPr>
                <w:b/>
                <w:noProof/>
                <w:sz w:val="22"/>
              </w:rPr>
              <w:t>DG REGIO</w:t>
            </w:r>
          </w:p>
        </w:tc>
        <w:tc>
          <w:tcPr>
            <w:tcW w:w="1362" w:type="dxa"/>
          </w:tcPr>
          <w:p>
            <w:pPr>
              <w:rPr>
                <w:noProof/>
                <w:sz w:val="20"/>
              </w:rPr>
            </w:pPr>
          </w:p>
        </w:tc>
        <w:tc>
          <w:tcPr>
            <w:tcW w:w="732" w:type="dxa"/>
            <w:gridSpan w:val="2"/>
          </w:tcPr>
          <w:p>
            <w:pPr>
              <w:jc w:val="center"/>
              <w:rPr>
                <w:noProof/>
                <w:sz w:val="20"/>
              </w:rPr>
            </w:pPr>
          </w:p>
        </w:tc>
        <w:tc>
          <w:tcPr>
            <w:tcW w:w="1677" w:type="dxa"/>
            <w:vAlign w:val="center"/>
          </w:tcPr>
          <w:p>
            <w:pPr>
              <w:jc w:val="center"/>
              <w:rPr>
                <w:noProof/>
                <w:sz w:val="20"/>
              </w:rPr>
            </w:pPr>
            <w:r>
              <w:rPr>
                <w:noProof/>
                <w:sz w:val="20"/>
              </w:rPr>
              <w:t>Year</w:t>
            </w:r>
            <w:r>
              <w:rPr>
                <w:noProof/>
                <w:sz w:val="22"/>
              </w:rPr>
              <w:br/>
            </w:r>
            <w:r>
              <w:rPr>
                <w:b/>
                <w:noProof/>
                <w:sz w:val="20"/>
              </w:rPr>
              <w:t>2021</w:t>
            </w:r>
          </w:p>
        </w:tc>
        <w:tc>
          <w:tcPr>
            <w:tcW w:w="1418" w:type="dxa"/>
            <w:vAlign w:val="center"/>
          </w:tcPr>
          <w:p>
            <w:pPr>
              <w:jc w:val="center"/>
              <w:rPr>
                <w:noProof/>
                <w:sz w:val="20"/>
              </w:rPr>
            </w:pPr>
            <w:r>
              <w:rPr>
                <w:noProof/>
                <w:sz w:val="20"/>
              </w:rPr>
              <w:t>Year</w:t>
            </w:r>
            <w:r>
              <w:rPr>
                <w:noProof/>
                <w:sz w:val="22"/>
              </w:rPr>
              <w:br/>
            </w:r>
            <w:r>
              <w:rPr>
                <w:b/>
                <w:noProof/>
                <w:sz w:val="20"/>
              </w:rPr>
              <w:t>2022</w:t>
            </w:r>
          </w:p>
        </w:tc>
        <w:tc>
          <w:tcPr>
            <w:tcW w:w="1559" w:type="dxa"/>
            <w:vAlign w:val="center"/>
          </w:tcPr>
          <w:p>
            <w:pPr>
              <w:jc w:val="center"/>
              <w:rPr>
                <w:noProof/>
                <w:sz w:val="20"/>
              </w:rPr>
            </w:pPr>
            <w:r>
              <w:rPr>
                <w:noProof/>
                <w:sz w:val="20"/>
              </w:rPr>
              <w:t>Year</w:t>
            </w:r>
            <w:r>
              <w:rPr>
                <w:noProof/>
                <w:sz w:val="22"/>
              </w:rPr>
              <w:br/>
            </w:r>
            <w:r>
              <w:rPr>
                <w:b/>
                <w:noProof/>
                <w:sz w:val="20"/>
              </w:rPr>
              <w:t>2023</w:t>
            </w:r>
          </w:p>
        </w:tc>
        <w:tc>
          <w:tcPr>
            <w:tcW w:w="1985" w:type="dxa"/>
            <w:vAlign w:val="center"/>
          </w:tcPr>
          <w:p>
            <w:pPr>
              <w:jc w:val="center"/>
              <w:rPr>
                <w:noProof/>
                <w:sz w:val="20"/>
              </w:rPr>
            </w:pPr>
            <w:r>
              <w:rPr>
                <w:noProof/>
                <w:sz w:val="20"/>
              </w:rPr>
              <w:t>Year</w:t>
            </w:r>
            <w:r>
              <w:rPr>
                <w:noProof/>
                <w:sz w:val="22"/>
              </w:rPr>
              <w:br/>
            </w:r>
            <w:r>
              <w:rPr>
                <w:b/>
                <w:noProof/>
                <w:sz w:val="20"/>
              </w:rPr>
              <w:t>2024</w:t>
            </w:r>
          </w:p>
        </w:tc>
        <w:tc>
          <w:tcPr>
            <w:tcW w:w="141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1677" w:type="dxa"/>
            <w:vAlign w:val="center"/>
          </w:tcPr>
          <w:p>
            <w:pPr>
              <w:rPr>
                <w:noProof/>
                <w:sz w:val="20"/>
              </w:rPr>
            </w:pPr>
          </w:p>
        </w:tc>
        <w:tc>
          <w:tcPr>
            <w:tcW w:w="1418" w:type="dxa"/>
            <w:vAlign w:val="center"/>
          </w:tcPr>
          <w:p>
            <w:pPr>
              <w:rPr>
                <w:noProof/>
                <w:sz w:val="20"/>
              </w:rPr>
            </w:pPr>
          </w:p>
        </w:tc>
        <w:tc>
          <w:tcPr>
            <w:tcW w:w="1559" w:type="dxa"/>
            <w:vAlign w:val="center"/>
          </w:tcPr>
          <w:p>
            <w:pPr>
              <w:rPr>
                <w:noProof/>
                <w:sz w:val="20"/>
              </w:rPr>
            </w:pPr>
          </w:p>
        </w:tc>
        <w:tc>
          <w:tcPr>
            <w:tcW w:w="1985" w:type="dxa"/>
            <w:vAlign w:val="center"/>
          </w:tcPr>
          <w:p>
            <w:pPr>
              <w:rPr>
                <w:noProof/>
                <w:sz w:val="20"/>
              </w:rPr>
            </w:pPr>
          </w:p>
        </w:tc>
        <w:tc>
          <w:tcPr>
            <w:tcW w:w="1417" w:type="dxa"/>
            <w:vAlign w:val="center"/>
          </w:tcPr>
          <w:p>
            <w:pPr>
              <w:rPr>
                <w:b/>
                <w:noProof/>
                <w:sz w:val="20"/>
              </w:rPr>
            </w:pPr>
          </w:p>
        </w:tc>
      </w:tr>
      <w:tr>
        <w:trPr>
          <w:trHeight w:val="277"/>
        </w:trPr>
        <w:tc>
          <w:tcPr>
            <w:tcW w:w="3960" w:type="dxa"/>
          </w:tcPr>
          <w:p>
            <w:pPr>
              <w:rPr>
                <w:noProof/>
              </w:rPr>
            </w:pPr>
            <w:r>
              <w:rPr>
                <w:noProof/>
              </w:rPr>
              <w:t>13 03 60</w:t>
            </w:r>
          </w:p>
        </w:tc>
        <w:tc>
          <w:tcPr>
            <w:tcW w:w="1440" w:type="dxa"/>
            <w:gridSpan w:val="2"/>
            <w:vAlign w:val="center"/>
          </w:tcPr>
          <w:p>
            <w:pPr>
              <w:spacing w:before="20" w:after="20"/>
              <w:rPr>
                <w:noProof/>
                <w:sz w:val="18"/>
              </w:rPr>
            </w:pPr>
            <w:r>
              <w:rPr>
                <w:noProof/>
                <w:sz w:val="18"/>
              </w:rPr>
              <w:t>Payments</w:t>
            </w:r>
          </w:p>
        </w:tc>
        <w:tc>
          <w:tcPr>
            <w:tcW w:w="654" w:type="dxa"/>
            <w:vAlign w:val="center"/>
          </w:tcPr>
          <w:p>
            <w:pPr>
              <w:spacing w:before="20" w:after="20"/>
              <w:jc w:val="center"/>
              <w:rPr>
                <w:noProof/>
                <w:sz w:val="14"/>
              </w:rPr>
            </w:pPr>
            <w:r>
              <w:rPr>
                <w:noProof/>
                <w:sz w:val="14"/>
              </w:rPr>
              <w:t>(1)</w:t>
            </w:r>
          </w:p>
        </w:tc>
        <w:tc>
          <w:tcPr>
            <w:tcW w:w="1677" w:type="dxa"/>
          </w:tcPr>
          <w:p>
            <w:pPr>
              <w:rPr>
                <w:noProof/>
              </w:rPr>
            </w:pPr>
            <w:r>
              <w:rPr>
                <w:noProof/>
              </w:rPr>
              <w:t>-2 608,675</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2 608,675</w:t>
            </w:r>
          </w:p>
        </w:tc>
        <w:tc>
          <w:tcPr>
            <w:tcW w:w="1417" w:type="dxa"/>
          </w:tcPr>
          <w:p>
            <w:pPr>
              <w:rPr>
                <w:noProof/>
              </w:rPr>
            </w:pPr>
            <w:r>
              <w:rPr>
                <w:noProof/>
              </w:rPr>
              <w:t>0,000</w:t>
            </w:r>
          </w:p>
        </w:tc>
      </w:tr>
      <w:tr>
        <w:tc>
          <w:tcPr>
            <w:tcW w:w="3960" w:type="dxa"/>
          </w:tcPr>
          <w:p>
            <w:pPr>
              <w:rPr>
                <w:noProof/>
              </w:rPr>
            </w:pPr>
            <w:r>
              <w:rPr>
                <w:noProof/>
              </w:rPr>
              <w:t>13 03 61</w:t>
            </w:r>
          </w:p>
        </w:tc>
        <w:tc>
          <w:tcPr>
            <w:tcW w:w="1440" w:type="dxa"/>
            <w:gridSpan w:val="2"/>
            <w:vAlign w:val="center"/>
          </w:tcPr>
          <w:p>
            <w:pPr>
              <w:spacing w:before="20" w:after="20"/>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1677" w:type="dxa"/>
          </w:tcPr>
          <w:p>
            <w:pPr>
              <w:rPr>
                <w:noProof/>
              </w:rPr>
            </w:pPr>
            <w:r>
              <w:rPr>
                <w:noProof/>
              </w:rPr>
              <w:t>-509,195</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509,195</w:t>
            </w:r>
          </w:p>
        </w:tc>
        <w:tc>
          <w:tcPr>
            <w:tcW w:w="1417" w:type="dxa"/>
          </w:tcPr>
          <w:p>
            <w:pPr>
              <w:rPr>
                <w:noProof/>
              </w:rPr>
            </w:pPr>
            <w:r>
              <w:rPr>
                <w:noProof/>
              </w:rPr>
              <w:t>0,000</w:t>
            </w:r>
          </w:p>
        </w:tc>
      </w:tr>
      <w:tr>
        <w:tc>
          <w:tcPr>
            <w:tcW w:w="3960" w:type="dxa"/>
          </w:tcPr>
          <w:p>
            <w:pPr>
              <w:rPr>
                <w:noProof/>
              </w:rPr>
            </w:pPr>
            <w:r>
              <w:rPr>
                <w:noProof/>
              </w:rPr>
              <w:t>13 03 62</w:t>
            </w:r>
          </w:p>
        </w:tc>
        <w:tc>
          <w:tcPr>
            <w:tcW w:w="1440" w:type="dxa"/>
            <w:gridSpan w:val="2"/>
            <w:vAlign w:val="center"/>
          </w:tcPr>
          <w:p>
            <w:pPr>
              <w:spacing w:before="20" w:after="20"/>
              <w:rPr>
                <w:noProof/>
                <w:sz w:val="18"/>
              </w:rPr>
            </w:pPr>
            <w:r>
              <w:rPr>
                <w:noProof/>
                <w:sz w:val="18"/>
              </w:rPr>
              <w:t>Payments</w:t>
            </w:r>
          </w:p>
        </w:tc>
        <w:tc>
          <w:tcPr>
            <w:tcW w:w="654" w:type="dxa"/>
            <w:vAlign w:val="center"/>
          </w:tcPr>
          <w:p>
            <w:pPr>
              <w:spacing w:before="20" w:after="20"/>
              <w:jc w:val="center"/>
              <w:rPr>
                <w:noProof/>
                <w:sz w:val="14"/>
              </w:rPr>
            </w:pPr>
            <w:r>
              <w:rPr>
                <w:noProof/>
                <w:sz w:val="14"/>
              </w:rPr>
              <w:t>(3)</w:t>
            </w:r>
          </w:p>
        </w:tc>
        <w:tc>
          <w:tcPr>
            <w:tcW w:w="1677" w:type="dxa"/>
          </w:tcPr>
          <w:p>
            <w:pPr>
              <w:rPr>
                <w:noProof/>
              </w:rPr>
            </w:pPr>
            <w:r>
              <w:rPr>
                <w:noProof/>
              </w:rPr>
              <w:t>-647,801</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647,801</w:t>
            </w:r>
          </w:p>
        </w:tc>
        <w:tc>
          <w:tcPr>
            <w:tcW w:w="1417" w:type="dxa"/>
          </w:tcPr>
          <w:p>
            <w:pPr>
              <w:rPr>
                <w:noProof/>
              </w:rPr>
            </w:pPr>
            <w:r>
              <w:rPr>
                <w:noProof/>
              </w:rPr>
              <w:t>0,000</w:t>
            </w:r>
          </w:p>
        </w:tc>
      </w:tr>
      <w:tr>
        <w:tc>
          <w:tcPr>
            <w:tcW w:w="3960" w:type="dxa"/>
          </w:tcPr>
          <w:p>
            <w:pPr>
              <w:rPr>
                <w:noProof/>
              </w:rPr>
            </w:pPr>
            <w:r>
              <w:rPr>
                <w:noProof/>
              </w:rPr>
              <w:t>13 03 63</w:t>
            </w:r>
          </w:p>
        </w:tc>
        <w:tc>
          <w:tcPr>
            <w:tcW w:w="1440" w:type="dxa"/>
            <w:gridSpan w:val="2"/>
            <w:vAlign w:val="center"/>
          </w:tcPr>
          <w:p>
            <w:pPr>
              <w:spacing w:before="20" w:after="20"/>
              <w:rPr>
                <w:noProof/>
                <w:sz w:val="18"/>
              </w:rPr>
            </w:pPr>
            <w:r>
              <w:rPr>
                <w:noProof/>
                <w:sz w:val="18"/>
              </w:rPr>
              <w:t>Payments</w:t>
            </w:r>
          </w:p>
        </w:tc>
        <w:tc>
          <w:tcPr>
            <w:tcW w:w="654" w:type="dxa"/>
            <w:vAlign w:val="center"/>
          </w:tcPr>
          <w:p>
            <w:pPr>
              <w:spacing w:before="20" w:after="20"/>
              <w:jc w:val="center"/>
              <w:rPr>
                <w:noProof/>
                <w:sz w:val="14"/>
              </w:rPr>
            </w:pPr>
            <w:r>
              <w:rPr>
                <w:noProof/>
                <w:sz w:val="14"/>
              </w:rPr>
              <w:t>(4)</w:t>
            </w:r>
          </w:p>
        </w:tc>
        <w:tc>
          <w:tcPr>
            <w:tcW w:w="1677" w:type="dxa"/>
          </w:tcPr>
          <w:p>
            <w:pPr>
              <w:rPr>
                <w:noProof/>
              </w:rPr>
            </w:pPr>
            <w:r>
              <w:rPr>
                <w:noProof/>
              </w:rPr>
              <w:t>-31,108</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31,108</w:t>
            </w:r>
          </w:p>
        </w:tc>
        <w:tc>
          <w:tcPr>
            <w:tcW w:w="1417" w:type="dxa"/>
          </w:tcPr>
          <w:p>
            <w:pPr>
              <w:rPr>
                <w:noProof/>
              </w:rPr>
            </w:pPr>
            <w:r>
              <w:rPr>
                <w:noProof/>
              </w:rPr>
              <w:t>0,000</w:t>
            </w:r>
          </w:p>
        </w:tc>
      </w:tr>
      <w:tr>
        <w:tc>
          <w:tcPr>
            <w:tcW w:w="3960" w:type="dxa"/>
          </w:tcPr>
          <w:p>
            <w:pPr>
              <w:rPr>
                <w:noProof/>
              </w:rPr>
            </w:pPr>
            <w:r>
              <w:rPr>
                <w:noProof/>
              </w:rPr>
              <w:t>13 03 64 01</w:t>
            </w:r>
          </w:p>
        </w:tc>
        <w:tc>
          <w:tcPr>
            <w:tcW w:w="1440" w:type="dxa"/>
            <w:gridSpan w:val="2"/>
            <w:vAlign w:val="center"/>
          </w:tcPr>
          <w:p>
            <w:pPr>
              <w:spacing w:before="20" w:after="20"/>
              <w:rPr>
                <w:noProof/>
                <w:sz w:val="18"/>
              </w:rPr>
            </w:pPr>
            <w:r>
              <w:rPr>
                <w:noProof/>
                <w:sz w:val="18"/>
              </w:rPr>
              <w:t>Payments</w:t>
            </w:r>
          </w:p>
        </w:tc>
        <w:tc>
          <w:tcPr>
            <w:tcW w:w="654" w:type="dxa"/>
            <w:vAlign w:val="center"/>
          </w:tcPr>
          <w:p>
            <w:pPr>
              <w:spacing w:before="20" w:after="20"/>
              <w:jc w:val="center"/>
              <w:rPr>
                <w:noProof/>
                <w:sz w:val="14"/>
              </w:rPr>
            </w:pPr>
            <w:r>
              <w:rPr>
                <w:noProof/>
                <w:sz w:val="14"/>
              </w:rPr>
              <w:t>(5)</w:t>
            </w:r>
          </w:p>
        </w:tc>
        <w:tc>
          <w:tcPr>
            <w:tcW w:w="1677" w:type="dxa"/>
          </w:tcPr>
          <w:p>
            <w:pPr>
              <w:rPr>
                <w:noProof/>
              </w:rPr>
            </w:pPr>
            <w:r>
              <w:rPr>
                <w:noProof/>
              </w:rPr>
              <w:t>-186,707</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186,707</w:t>
            </w:r>
          </w:p>
        </w:tc>
        <w:tc>
          <w:tcPr>
            <w:tcW w:w="1417" w:type="dxa"/>
          </w:tcPr>
          <w:p>
            <w:pPr>
              <w:rPr>
                <w:noProof/>
              </w:rPr>
            </w:pPr>
            <w:r>
              <w:rPr>
                <w:noProof/>
              </w:rPr>
              <w:t>0,000</w:t>
            </w:r>
          </w:p>
        </w:tc>
      </w:tr>
      <w:tr>
        <w:tc>
          <w:tcPr>
            <w:tcW w:w="3960" w:type="dxa"/>
          </w:tcPr>
          <w:p>
            <w:pPr>
              <w:rPr>
                <w:noProof/>
              </w:rPr>
            </w:pPr>
            <w:r>
              <w:rPr>
                <w:noProof/>
              </w:rPr>
              <w:t>13 04 60</w:t>
            </w:r>
          </w:p>
        </w:tc>
        <w:tc>
          <w:tcPr>
            <w:tcW w:w="1440" w:type="dxa"/>
            <w:gridSpan w:val="2"/>
            <w:vAlign w:val="center"/>
          </w:tcPr>
          <w:p>
            <w:pPr>
              <w:spacing w:before="20" w:after="20"/>
              <w:rPr>
                <w:noProof/>
                <w:sz w:val="18"/>
              </w:rPr>
            </w:pPr>
            <w:r>
              <w:rPr>
                <w:noProof/>
                <w:sz w:val="18"/>
              </w:rPr>
              <w:t>Payments</w:t>
            </w:r>
          </w:p>
        </w:tc>
        <w:tc>
          <w:tcPr>
            <w:tcW w:w="654" w:type="dxa"/>
            <w:vAlign w:val="center"/>
          </w:tcPr>
          <w:p>
            <w:pPr>
              <w:spacing w:before="20" w:after="20"/>
              <w:jc w:val="center"/>
              <w:rPr>
                <w:noProof/>
                <w:sz w:val="14"/>
              </w:rPr>
            </w:pPr>
            <w:r>
              <w:rPr>
                <w:noProof/>
                <w:sz w:val="14"/>
              </w:rPr>
              <w:t>(6)</w:t>
            </w:r>
          </w:p>
        </w:tc>
        <w:tc>
          <w:tcPr>
            <w:tcW w:w="1677" w:type="dxa"/>
          </w:tcPr>
          <w:p>
            <w:pPr>
              <w:rPr>
                <w:noProof/>
              </w:rPr>
            </w:pPr>
            <w:r>
              <w:rPr>
                <w:noProof/>
              </w:rPr>
              <w:t>-1 265,652</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1 265,652</w:t>
            </w:r>
          </w:p>
        </w:tc>
        <w:tc>
          <w:tcPr>
            <w:tcW w:w="1417" w:type="dxa"/>
          </w:tcPr>
          <w:p>
            <w:pPr>
              <w:rPr>
                <w:noProof/>
              </w:rPr>
            </w:pPr>
            <w:r>
              <w:rPr>
                <w:noProof/>
              </w:rPr>
              <w:t>0,000</w:t>
            </w: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14"/>
            </w:r>
            <w:r>
              <w:rPr>
                <w:noProof/>
                <w:sz w:val="21"/>
              </w:rPr>
              <w:t xml:space="preserve"> </w:t>
            </w:r>
          </w:p>
          <w:p>
            <w:pPr>
              <w:spacing w:before="0" w:after="0"/>
              <w:rPr>
                <w:noProof/>
                <w:sz w:val="22"/>
              </w:rPr>
            </w:pPr>
          </w:p>
        </w:tc>
        <w:tc>
          <w:tcPr>
            <w:tcW w:w="1677" w:type="dxa"/>
            <w:vAlign w:val="center"/>
          </w:tcPr>
          <w:p>
            <w:pPr>
              <w:rPr>
                <w:b/>
                <w:noProof/>
                <w:sz w:val="20"/>
              </w:rPr>
            </w:pPr>
            <w:r>
              <w:rPr>
                <w:b/>
                <w:noProof/>
                <w:sz w:val="20"/>
              </w:rPr>
              <w:t>N/A</w:t>
            </w:r>
          </w:p>
        </w:tc>
        <w:tc>
          <w:tcPr>
            <w:tcW w:w="1418" w:type="dxa"/>
            <w:vAlign w:val="center"/>
          </w:tcPr>
          <w:p>
            <w:pPr>
              <w:rPr>
                <w:b/>
                <w:noProof/>
                <w:sz w:val="20"/>
              </w:rPr>
            </w:pPr>
            <w:r>
              <w:rPr>
                <w:b/>
                <w:noProof/>
                <w:sz w:val="20"/>
              </w:rPr>
              <w:t>N/A</w:t>
            </w:r>
          </w:p>
        </w:tc>
        <w:tc>
          <w:tcPr>
            <w:tcW w:w="1559" w:type="dxa"/>
            <w:vAlign w:val="center"/>
          </w:tcPr>
          <w:p>
            <w:pPr>
              <w:rPr>
                <w:b/>
                <w:noProof/>
                <w:sz w:val="20"/>
              </w:rPr>
            </w:pPr>
            <w:r>
              <w:rPr>
                <w:b/>
                <w:noProof/>
                <w:sz w:val="20"/>
              </w:rPr>
              <w:t>N/A</w:t>
            </w:r>
          </w:p>
        </w:tc>
        <w:tc>
          <w:tcPr>
            <w:tcW w:w="1985" w:type="dxa"/>
            <w:vAlign w:val="center"/>
          </w:tcPr>
          <w:p>
            <w:pPr>
              <w:rPr>
                <w:b/>
                <w:noProof/>
                <w:sz w:val="20"/>
              </w:rPr>
            </w:pPr>
            <w:r>
              <w:rPr>
                <w:b/>
                <w:noProof/>
                <w:sz w:val="20"/>
              </w:rPr>
              <w:t>N/A</w:t>
            </w:r>
          </w:p>
        </w:tc>
        <w:tc>
          <w:tcPr>
            <w:tcW w:w="1417" w:type="dxa"/>
            <w:vAlign w:val="center"/>
          </w:tcPr>
          <w:p>
            <w:pPr>
              <w:rPr>
                <w:b/>
                <w:noProof/>
                <w:sz w:val="20"/>
              </w:rPr>
            </w:pPr>
            <w:r>
              <w:rPr>
                <w:b/>
                <w:noProof/>
                <w:sz w:val="20"/>
              </w:rPr>
              <w:t>N/A</w:t>
            </w:r>
          </w:p>
        </w:tc>
      </w:tr>
      <w:tr>
        <w:tc>
          <w:tcPr>
            <w:tcW w:w="3960" w:type="dxa"/>
            <w:vAlign w:val="center"/>
          </w:tcPr>
          <w:p>
            <w:pPr>
              <w:jc w:val="center"/>
              <w:rPr>
                <w:b/>
                <w:noProof/>
                <w:sz w:val="22"/>
              </w:rPr>
            </w:pPr>
            <w:r>
              <w:rPr>
                <w:b/>
                <w:noProof/>
                <w:sz w:val="22"/>
              </w:rPr>
              <w:t>TOTAL appropriations</w:t>
            </w:r>
            <w:r>
              <w:rPr>
                <w:noProof/>
                <w:sz w:val="22"/>
              </w:rPr>
              <w:br/>
            </w:r>
            <w:r>
              <w:rPr>
                <w:b/>
                <w:noProof/>
                <w:sz w:val="22"/>
              </w:rPr>
              <w:t>for DG REGIO</w:t>
            </w:r>
          </w:p>
        </w:tc>
        <w:tc>
          <w:tcPr>
            <w:tcW w:w="1440" w:type="dxa"/>
            <w:gridSpan w:val="2"/>
            <w:vAlign w:val="center"/>
          </w:tcPr>
          <w:p>
            <w:pPr>
              <w:rPr>
                <w:noProof/>
                <w:sz w:val="18"/>
              </w:rPr>
            </w:pPr>
            <w:r>
              <w:rPr>
                <w:noProof/>
                <w:sz w:val="18"/>
              </w:rPr>
              <w:t>Payments</w:t>
            </w:r>
          </w:p>
        </w:tc>
        <w:tc>
          <w:tcPr>
            <w:tcW w:w="654" w:type="dxa"/>
            <w:vAlign w:val="center"/>
          </w:tcPr>
          <w:p>
            <w:pPr>
              <w:jc w:val="center"/>
              <w:rPr>
                <w:noProof/>
                <w:sz w:val="14"/>
              </w:rPr>
            </w:pPr>
          </w:p>
        </w:tc>
        <w:tc>
          <w:tcPr>
            <w:tcW w:w="1677" w:type="dxa"/>
          </w:tcPr>
          <w:p>
            <w:pPr>
              <w:rPr>
                <w:noProof/>
              </w:rPr>
            </w:pPr>
            <w:r>
              <w:rPr>
                <w:noProof/>
              </w:rPr>
              <w:t>-5 249,139</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5 249,139</w:t>
            </w:r>
          </w:p>
        </w:tc>
        <w:tc>
          <w:tcPr>
            <w:tcW w:w="1417" w:type="dxa"/>
          </w:tcPr>
          <w:p>
            <w:pPr>
              <w:rPr>
                <w:noProof/>
              </w:rPr>
            </w:pPr>
            <w:r>
              <w:rPr>
                <w:noProof/>
              </w:rPr>
              <w:t>0,000</w:t>
            </w:r>
          </w:p>
        </w:tc>
      </w:tr>
    </w:tbl>
    <w:p>
      <w:pPr>
        <w:rPr>
          <w:noProof/>
        </w:rPr>
      </w:pPr>
    </w:p>
    <w:p>
      <w:pPr>
        <w:rPr>
          <w:noProof/>
        </w:rPr>
      </w:pPr>
    </w:p>
    <w:p>
      <w:pPr>
        <w:rPr>
          <w:noProof/>
        </w:rPr>
      </w:pPr>
    </w:p>
    <w:p>
      <w:pPr>
        <w:rPr>
          <w:noProof/>
        </w:rPr>
      </w:pPr>
    </w:p>
    <w:p>
      <w:pPr>
        <w:rPr>
          <w:noProof/>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677"/>
        <w:gridCol w:w="1276"/>
        <w:gridCol w:w="1843"/>
        <w:gridCol w:w="1843"/>
        <w:gridCol w:w="1417"/>
      </w:tblGrid>
      <w:tr>
        <w:trPr>
          <w:trHeight w:val="277"/>
        </w:trPr>
        <w:tc>
          <w:tcPr>
            <w:tcW w:w="3960" w:type="dxa"/>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p>
        </w:tc>
        <w:tc>
          <w:tcPr>
            <w:tcW w:w="1677" w:type="dxa"/>
          </w:tcPr>
          <w:p>
            <w:pPr>
              <w:rPr>
                <w:noProof/>
              </w:rPr>
            </w:pPr>
            <w:r>
              <w:rPr>
                <w:noProof/>
              </w:rPr>
              <w:t>-7 105,630</w:t>
            </w:r>
          </w:p>
        </w:tc>
        <w:tc>
          <w:tcPr>
            <w:tcW w:w="1276" w:type="dxa"/>
          </w:tcPr>
          <w:p>
            <w:pPr>
              <w:rPr>
                <w:noProof/>
              </w:rPr>
            </w:pPr>
            <w:r>
              <w:rPr>
                <w:noProof/>
              </w:rPr>
              <w:t>0,000</w:t>
            </w:r>
          </w:p>
        </w:tc>
        <w:tc>
          <w:tcPr>
            <w:tcW w:w="1843" w:type="dxa"/>
          </w:tcPr>
          <w:p>
            <w:pPr>
              <w:rPr>
                <w:noProof/>
              </w:rPr>
            </w:pPr>
            <w:r>
              <w:rPr>
                <w:noProof/>
              </w:rPr>
              <w:t>0,000</w:t>
            </w:r>
          </w:p>
        </w:tc>
        <w:tc>
          <w:tcPr>
            <w:tcW w:w="1843" w:type="dxa"/>
          </w:tcPr>
          <w:p>
            <w:pPr>
              <w:rPr>
                <w:noProof/>
              </w:rPr>
            </w:pPr>
            <w:r>
              <w:rPr>
                <w:noProof/>
              </w:rPr>
              <w:t>7 105,630</w:t>
            </w:r>
          </w:p>
        </w:tc>
        <w:tc>
          <w:tcPr>
            <w:tcW w:w="1417" w:type="dxa"/>
          </w:tcPr>
          <w:p>
            <w:pPr>
              <w:rPr>
                <w:noProof/>
              </w:rPr>
            </w:pPr>
            <w:r>
              <w:rPr>
                <w:noProof/>
              </w:rPr>
              <w:t>0,000</w:t>
            </w:r>
          </w:p>
        </w:tc>
      </w:tr>
      <w:tr>
        <w:trPr>
          <w:trHeight w:val="533"/>
        </w:trPr>
        <w:tc>
          <w:tcPr>
            <w:tcW w:w="6054" w:type="dxa"/>
            <w:gridSpan w:val="3"/>
            <w:vAlign w:val="center"/>
          </w:tcPr>
          <w:p>
            <w:pPr>
              <w:spacing w:beforeLines="20" w:before="48" w:afterLines="20" w:after="48"/>
              <w:jc w:val="center"/>
              <w:rPr>
                <w:noProof/>
                <w:sz w:val="14"/>
              </w:rPr>
            </w:pPr>
            <w:r>
              <w:rPr>
                <w:noProof/>
                <w:sz w:val="21"/>
              </w:rPr>
              <w:sym w:font="Wingdings" w:char="F09F"/>
            </w:r>
            <w:r>
              <w:rPr>
                <w:noProof/>
                <w:sz w:val="21"/>
              </w:rPr>
              <w:t xml:space="preserve"> TOTAL appropriations of an administrative nature financed from the envelope for specific programmes </w:t>
            </w:r>
          </w:p>
        </w:tc>
        <w:tc>
          <w:tcPr>
            <w:tcW w:w="1677" w:type="dxa"/>
            <w:vAlign w:val="center"/>
          </w:tcPr>
          <w:p>
            <w:pPr>
              <w:rPr>
                <w:b/>
                <w:noProof/>
                <w:sz w:val="20"/>
              </w:rPr>
            </w:pPr>
            <w:r>
              <w:rPr>
                <w:b/>
                <w:noProof/>
                <w:sz w:val="20"/>
              </w:rPr>
              <w:t>N/A</w:t>
            </w:r>
          </w:p>
        </w:tc>
        <w:tc>
          <w:tcPr>
            <w:tcW w:w="1276" w:type="dxa"/>
            <w:vAlign w:val="center"/>
          </w:tcPr>
          <w:p>
            <w:pPr>
              <w:rPr>
                <w:b/>
                <w:noProof/>
                <w:sz w:val="20"/>
              </w:rPr>
            </w:pPr>
            <w:r>
              <w:rPr>
                <w:b/>
                <w:noProof/>
                <w:sz w:val="20"/>
              </w:rPr>
              <w:t>N/A</w:t>
            </w:r>
          </w:p>
        </w:tc>
        <w:tc>
          <w:tcPr>
            <w:tcW w:w="1843" w:type="dxa"/>
            <w:vAlign w:val="center"/>
          </w:tcPr>
          <w:p>
            <w:pPr>
              <w:rPr>
                <w:b/>
                <w:noProof/>
                <w:sz w:val="20"/>
              </w:rPr>
            </w:pPr>
            <w:r>
              <w:rPr>
                <w:b/>
                <w:noProof/>
                <w:sz w:val="20"/>
              </w:rPr>
              <w:t>N/A</w:t>
            </w:r>
          </w:p>
        </w:tc>
        <w:tc>
          <w:tcPr>
            <w:tcW w:w="1843" w:type="dxa"/>
            <w:vAlign w:val="center"/>
          </w:tcPr>
          <w:p>
            <w:pPr>
              <w:rPr>
                <w:b/>
                <w:noProof/>
                <w:sz w:val="20"/>
              </w:rPr>
            </w:pPr>
            <w:r>
              <w:rPr>
                <w:b/>
                <w:noProof/>
                <w:sz w:val="20"/>
              </w:rPr>
              <w:t>N/A</w:t>
            </w:r>
          </w:p>
        </w:tc>
        <w:tc>
          <w:tcPr>
            <w:tcW w:w="1417" w:type="dxa"/>
            <w:vAlign w:val="center"/>
          </w:tcPr>
          <w:p>
            <w:pPr>
              <w:rPr>
                <w:b/>
                <w:noProof/>
                <w:sz w:val="20"/>
              </w:rPr>
            </w:pPr>
            <w:r>
              <w:rPr>
                <w:b/>
                <w:noProof/>
                <w:sz w:val="20"/>
              </w:rPr>
              <w:t>N/A</w:t>
            </w:r>
          </w:p>
        </w:tc>
      </w:tr>
      <w:tr>
        <w:tc>
          <w:tcPr>
            <w:tcW w:w="3960" w:type="dxa"/>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1B</w:t>
            </w:r>
            <w:r>
              <w:rPr>
                <w:noProof/>
                <w:sz w:val="22"/>
              </w:rPr>
              <w:br/>
              <w:t>of the multiannual financial framework</w:t>
            </w:r>
          </w:p>
        </w:tc>
        <w:tc>
          <w:tcPr>
            <w:tcW w:w="1440" w:type="dxa"/>
            <w:vAlign w:val="center"/>
          </w:tcPr>
          <w:p>
            <w:pPr>
              <w:rPr>
                <w:noProof/>
                <w:sz w:val="18"/>
              </w:rPr>
            </w:pPr>
            <w:r>
              <w:rPr>
                <w:noProof/>
                <w:sz w:val="18"/>
              </w:rPr>
              <w:t>Payments</w:t>
            </w:r>
          </w:p>
        </w:tc>
        <w:tc>
          <w:tcPr>
            <w:tcW w:w="654" w:type="dxa"/>
            <w:vAlign w:val="center"/>
          </w:tcPr>
          <w:p>
            <w:pPr>
              <w:jc w:val="center"/>
              <w:rPr>
                <w:noProof/>
                <w:sz w:val="14"/>
              </w:rPr>
            </w:pPr>
          </w:p>
        </w:tc>
        <w:tc>
          <w:tcPr>
            <w:tcW w:w="1677" w:type="dxa"/>
          </w:tcPr>
          <w:p>
            <w:pPr>
              <w:rPr>
                <w:b/>
                <w:noProof/>
              </w:rPr>
            </w:pPr>
            <w:r>
              <w:rPr>
                <w:b/>
                <w:noProof/>
              </w:rPr>
              <w:t>-7 105,630</w:t>
            </w:r>
          </w:p>
        </w:tc>
        <w:tc>
          <w:tcPr>
            <w:tcW w:w="1276" w:type="dxa"/>
          </w:tcPr>
          <w:p>
            <w:pPr>
              <w:rPr>
                <w:b/>
                <w:noProof/>
              </w:rPr>
            </w:pPr>
            <w:r>
              <w:rPr>
                <w:b/>
                <w:noProof/>
              </w:rPr>
              <w:t>0,000</w:t>
            </w:r>
          </w:p>
        </w:tc>
        <w:tc>
          <w:tcPr>
            <w:tcW w:w="1843" w:type="dxa"/>
          </w:tcPr>
          <w:p>
            <w:pPr>
              <w:rPr>
                <w:b/>
                <w:noProof/>
              </w:rPr>
            </w:pPr>
            <w:r>
              <w:rPr>
                <w:b/>
                <w:noProof/>
              </w:rPr>
              <w:t>0,000</w:t>
            </w:r>
          </w:p>
        </w:tc>
        <w:tc>
          <w:tcPr>
            <w:tcW w:w="1843" w:type="dxa"/>
          </w:tcPr>
          <w:p>
            <w:pPr>
              <w:rPr>
                <w:b/>
                <w:noProof/>
              </w:rPr>
            </w:pPr>
            <w:r>
              <w:rPr>
                <w:b/>
                <w:noProof/>
              </w:rPr>
              <w:t>7 105,630</w:t>
            </w:r>
          </w:p>
        </w:tc>
        <w:tc>
          <w:tcPr>
            <w:tcW w:w="1417" w:type="dxa"/>
          </w:tcPr>
          <w:p>
            <w:pPr>
              <w:rPr>
                <w:b/>
                <w:noProof/>
              </w:rPr>
            </w:pPr>
            <w:r>
              <w:rPr>
                <w:b/>
                <w:noProof/>
              </w:rPr>
              <w:t>0,000</w:t>
            </w:r>
          </w:p>
        </w:tc>
      </w:tr>
    </w:tbl>
    <w:p>
      <w:pPr>
        <w:spacing w:after="40"/>
        <w:rPr>
          <w:b/>
          <w:noProof/>
          <w:sz w:val="22"/>
          <w:u w:val="single"/>
        </w:rPr>
      </w:pPr>
    </w:p>
    <w:p>
      <w:pPr>
        <w:spacing w:after="40"/>
        <w:rPr>
          <w:b/>
          <w:noProof/>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b/>
                <w:noProof/>
                <w:sz w:val="22"/>
              </w:rPr>
            </w:pPr>
            <w:r>
              <w:rPr>
                <w:b/>
                <w:noProof/>
                <w:sz w:val="22"/>
              </w:rPr>
              <w:t>2</w:t>
            </w:r>
          </w:p>
        </w:tc>
        <w:tc>
          <w:tcPr>
            <w:tcW w:w="7817" w:type="dxa"/>
            <w:vAlign w:val="center"/>
          </w:tcPr>
          <w:p>
            <w:pPr>
              <w:spacing w:before="60" w:after="60"/>
              <w:rPr>
                <w:b/>
                <w:noProof/>
                <w:sz w:val="22"/>
              </w:rPr>
            </w:pPr>
            <w:r>
              <w:rPr>
                <w:b/>
                <w:noProof/>
                <w:color w:val="0000FF"/>
                <w:sz w:val="22"/>
              </w:rPr>
              <w:t>Sustainable Growth: Natural Resources</w:t>
            </w:r>
          </w:p>
        </w:tc>
      </w:tr>
    </w:tbl>
    <w:p>
      <w:pPr>
        <w:rPr>
          <w:noProof/>
          <w:sz w:val="16"/>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54"/>
        <w:gridCol w:w="1677"/>
        <w:gridCol w:w="1418"/>
        <w:gridCol w:w="1559"/>
        <w:gridCol w:w="1985"/>
        <w:gridCol w:w="1417"/>
      </w:tblGrid>
      <w:tr>
        <w:tc>
          <w:tcPr>
            <w:tcW w:w="3960" w:type="dxa"/>
            <w:vAlign w:val="center"/>
          </w:tcPr>
          <w:p>
            <w:pPr>
              <w:jc w:val="center"/>
              <w:rPr>
                <w:b/>
                <w:noProof/>
                <w:sz w:val="22"/>
              </w:rPr>
            </w:pPr>
            <w:r>
              <w:rPr>
                <w:b/>
                <w:noProof/>
                <w:sz w:val="22"/>
              </w:rPr>
              <w:t>DG MARE</w:t>
            </w:r>
          </w:p>
        </w:tc>
        <w:tc>
          <w:tcPr>
            <w:tcW w:w="1362" w:type="dxa"/>
          </w:tcPr>
          <w:p>
            <w:pPr>
              <w:rPr>
                <w:noProof/>
                <w:sz w:val="20"/>
              </w:rPr>
            </w:pPr>
          </w:p>
        </w:tc>
        <w:tc>
          <w:tcPr>
            <w:tcW w:w="732" w:type="dxa"/>
            <w:gridSpan w:val="2"/>
          </w:tcPr>
          <w:p>
            <w:pPr>
              <w:jc w:val="center"/>
              <w:rPr>
                <w:noProof/>
                <w:sz w:val="20"/>
              </w:rPr>
            </w:pPr>
          </w:p>
        </w:tc>
        <w:tc>
          <w:tcPr>
            <w:tcW w:w="1677" w:type="dxa"/>
            <w:vAlign w:val="center"/>
          </w:tcPr>
          <w:p>
            <w:pPr>
              <w:jc w:val="center"/>
              <w:rPr>
                <w:noProof/>
                <w:sz w:val="20"/>
              </w:rPr>
            </w:pPr>
            <w:r>
              <w:rPr>
                <w:noProof/>
                <w:sz w:val="20"/>
              </w:rPr>
              <w:t>Year</w:t>
            </w:r>
            <w:r>
              <w:rPr>
                <w:noProof/>
                <w:sz w:val="22"/>
              </w:rPr>
              <w:br/>
            </w:r>
            <w:r>
              <w:rPr>
                <w:b/>
                <w:noProof/>
                <w:sz w:val="20"/>
              </w:rPr>
              <w:t>2021</w:t>
            </w:r>
          </w:p>
        </w:tc>
        <w:tc>
          <w:tcPr>
            <w:tcW w:w="1418" w:type="dxa"/>
            <w:vAlign w:val="center"/>
          </w:tcPr>
          <w:p>
            <w:pPr>
              <w:jc w:val="center"/>
              <w:rPr>
                <w:noProof/>
                <w:sz w:val="20"/>
              </w:rPr>
            </w:pPr>
            <w:r>
              <w:rPr>
                <w:noProof/>
                <w:sz w:val="20"/>
              </w:rPr>
              <w:t>Year</w:t>
            </w:r>
            <w:r>
              <w:rPr>
                <w:noProof/>
                <w:sz w:val="22"/>
              </w:rPr>
              <w:br/>
            </w:r>
            <w:r>
              <w:rPr>
                <w:b/>
                <w:noProof/>
                <w:sz w:val="20"/>
              </w:rPr>
              <w:t>2022</w:t>
            </w:r>
          </w:p>
        </w:tc>
        <w:tc>
          <w:tcPr>
            <w:tcW w:w="1559" w:type="dxa"/>
            <w:vAlign w:val="center"/>
          </w:tcPr>
          <w:p>
            <w:pPr>
              <w:jc w:val="center"/>
              <w:rPr>
                <w:noProof/>
                <w:sz w:val="20"/>
              </w:rPr>
            </w:pPr>
            <w:r>
              <w:rPr>
                <w:noProof/>
                <w:sz w:val="20"/>
              </w:rPr>
              <w:t>Year</w:t>
            </w:r>
            <w:r>
              <w:rPr>
                <w:noProof/>
                <w:sz w:val="22"/>
              </w:rPr>
              <w:br/>
            </w:r>
            <w:r>
              <w:rPr>
                <w:b/>
                <w:noProof/>
                <w:sz w:val="20"/>
              </w:rPr>
              <w:t>2023</w:t>
            </w:r>
          </w:p>
        </w:tc>
        <w:tc>
          <w:tcPr>
            <w:tcW w:w="1985" w:type="dxa"/>
            <w:vAlign w:val="center"/>
          </w:tcPr>
          <w:p>
            <w:pPr>
              <w:jc w:val="center"/>
              <w:rPr>
                <w:noProof/>
                <w:sz w:val="20"/>
              </w:rPr>
            </w:pPr>
            <w:r>
              <w:rPr>
                <w:noProof/>
                <w:sz w:val="20"/>
              </w:rPr>
              <w:t>Year</w:t>
            </w:r>
            <w:r>
              <w:rPr>
                <w:noProof/>
                <w:sz w:val="22"/>
              </w:rPr>
              <w:br/>
            </w:r>
            <w:r>
              <w:rPr>
                <w:b/>
                <w:noProof/>
                <w:sz w:val="20"/>
              </w:rPr>
              <w:t>2024</w:t>
            </w:r>
          </w:p>
        </w:tc>
        <w:tc>
          <w:tcPr>
            <w:tcW w:w="141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1677" w:type="dxa"/>
            <w:vAlign w:val="center"/>
          </w:tcPr>
          <w:p>
            <w:pPr>
              <w:rPr>
                <w:noProof/>
                <w:sz w:val="20"/>
              </w:rPr>
            </w:pPr>
          </w:p>
        </w:tc>
        <w:tc>
          <w:tcPr>
            <w:tcW w:w="1418" w:type="dxa"/>
            <w:vAlign w:val="center"/>
          </w:tcPr>
          <w:p>
            <w:pPr>
              <w:rPr>
                <w:noProof/>
                <w:sz w:val="20"/>
              </w:rPr>
            </w:pPr>
          </w:p>
        </w:tc>
        <w:tc>
          <w:tcPr>
            <w:tcW w:w="1559" w:type="dxa"/>
            <w:vAlign w:val="center"/>
          </w:tcPr>
          <w:p>
            <w:pPr>
              <w:rPr>
                <w:noProof/>
                <w:sz w:val="20"/>
              </w:rPr>
            </w:pPr>
          </w:p>
        </w:tc>
        <w:tc>
          <w:tcPr>
            <w:tcW w:w="1985" w:type="dxa"/>
            <w:vAlign w:val="center"/>
          </w:tcPr>
          <w:p>
            <w:pPr>
              <w:rPr>
                <w:noProof/>
                <w:sz w:val="20"/>
              </w:rPr>
            </w:pPr>
          </w:p>
        </w:tc>
        <w:tc>
          <w:tcPr>
            <w:tcW w:w="1417" w:type="dxa"/>
            <w:vAlign w:val="center"/>
          </w:tcPr>
          <w:p>
            <w:pPr>
              <w:rPr>
                <w:b/>
                <w:noProof/>
                <w:sz w:val="20"/>
              </w:rPr>
            </w:pPr>
          </w:p>
        </w:tc>
      </w:tr>
      <w:tr>
        <w:trPr>
          <w:trHeight w:val="277"/>
        </w:trPr>
        <w:tc>
          <w:tcPr>
            <w:tcW w:w="3960" w:type="dxa"/>
            <w:vAlign w:val="center"/>
          </w:tcPr>
          <w:p>
            <w:pPr>
              <w:rPr>
                <w:noProof/>
                <w:sz w:val="22"/>
              </w:rPr>
            </w:pPr>
            <w:r>
              <w:rPr>
                <w:noProof/>
                <w:sz w:val="20"/>
              </w:rPr>
              <w:t>11 06 60</w:t>
            </w:r>
          </w:p>
        </w:tc>
        <w:tc>
          <w:tcPr>
            <w:tcW w:w="1440" w:type="dxa"/>
            <w:gridSpan w:val="2"/>
            <w:vAlign w:val="center"/>
          </w:tcPr>
          <w:p>
            <w:pPr>
              <w:spacing w:before="20" w:after="20"/>
              <w:rPr>
                <w:noProof/>
                <w:sz w:val="18"/>
              </w:rPr>
            </w:pPr>
            <w:r>
              <w:rPr>
                <w:noProof/>
                <w:sz w:val="18"/>
              </w:rPr>
              <w:t>Payments</w:t>
            </w:r>
          </w:p>
        </w:tc>
        <w:tc>
          <w:tcPr>
            <w:tcW w:w="654" w:type="dxa"/>
            <w:vAlign w:val="center"/>
          </w:tcPr>
          <w:p>
            <w:pPr>
              <w:spacing w:before="20" w:after="20"/>
              <w:jc w:val="center"/>
              <w:rPr>
                <w:noProof/>
                <w:sz w:val="14"/>
              </w:rPr>
            </w:pPr>
            <w:r>
              <w:rPr>
                <w:noProof/>
                <w:sz w:val="14"/>
              </w:rPr>
              <w:t>(1)</w:t>
            </w:r>
          </w:p>
        </w:tc>
        <w:tc>
          <w:tcPr>
            <w:tcW w:w="1677" w:type="dxa"/>
          </w:tcPr>
          <w:p>
            <w:pPr>
              <w:rPr>
                <w:noProof/>
              </w:rPr>
            </w:pPr>
            <w:r>
              <w:rPr>
                <w:noProof/>
              </w:rPr>
              <w:t>-114,987</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114,987</w:t>
            </w:r>
          </w:p>
        </w:tc>
        <w:tc>
          <w:tcPr>
            <w:tcW w:w="1417" w:type="dxa"/>
          </w:tcPr>
          <w:p>
            <w:pPr>
              <w:rPr>
                <w:noProof/>
              </w:rPr>
            </w:pPr>
            <w:r>
              <w:rPr>
                <w:noProof/>
              </w:rPr>
              <w:t>0,000</w:t>
            </w: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15"/>
            </w:r>
            <w:r>
              <w:rPr>
                <w:noProof/>
                <w:sz w:val="21"/>
              </w:rPr>
              <w:t xml:space="preserve"> </w:t>
            </w:r>
          </w:p>
          <w:p>
            <w:pPr>
              <w:spacing w:before="0" w:after="0"/>
              <w:rPr>
                <w:noProof/>
                <w:sz w:val="22"/>
              </w:rPr>
            </w:pPr>
          </w:p>
        </w:tc>
        <w:tc>
          <w:tcPr>
            <w:tcW w:w="1677" w:type="dxa"/>
            <w:vAlign w:val="center"/>
          </w:tcPr>
          <w:p>
            <w:pPr>
              <w:rPr>
                <w:b/>
                <w:noProof/>
                <w:sz w:val="20"/>
              </w:rPr>
            </w:pPr>
            <w:r>
              <w:rPr>
                <w:b/>
                <w:noProof/>
                <w:sz w:val="20"/>
              </w:rPr>
              <w:t>N/A</w:t>
            </w:r>
          </w:p>
        </w:tc>
        <w:tc>
          <w:tcPr>
            <w:tcW w:w="1418" w:type="dxa"/>
            <w:vAlign w:val="center"/>
          </w:tcPr>
          <w:p>
            <w:pPr>
              <w:rPr>
                <w:b/>
                <w:noProof/>
                <w:sz w:val="20"/>
              </w:rPr>
            </w:pPr>
            <w:r>
              <w:rPr>
                <w:b/>
                <w:noProof/>
                <w:sz w:val="20"/>
              </w:rPr>
              <w:t>N/A</w:t>
            </w:r>
          </w:p>
        </w:tc>
        <w:tc>
          <w:tcPr>
            <w:tcW w:w="1559" w:type="dxa"/>
            <w:vAlign w:val="center"/>
          </w:tcPr>
          <w:p>
            <w:pPr>
              <w:rPr>
                <w:b/>
                <w:noProof/>
                <w:sz w:val="20"/>
              </w:rPr>
            </w:pPr>
            <w:r>
              <w:rPr>
                <w:b/>
                <w:noProof/>
                <w:sz w:val="20"/>
              </w:rPr>
              <w:t>N/A</w:t>
            </w:r>
          </w:p>
        </w:tc>
        <w:tc>
          <w:tcPr>
            <w:tcW w:w="1985" w:type="dxa"/>
            <w:vAlign w:val="center"/>
          </w:tcPr>
          <w:p>
            <w:pPr>
              <w:rPr>
                <w:b/>
                <w:noProof/>
                <w:sz w:val="20"/>
              </w:rPr>
            </w:pPr>
            <w:r>
              <w:rPr>
                <w:b/>
                <w:noProof/>
                <w:sz w:val="20"/>
              </w:rPr>
              <w:t>N/A</w:t>
            </w:r>
          </w:p>
        </w:tc>
        <w:tc>
          <w:tcPr>
            <w:tcW w:w="1417" w:type="dxa"/>
            <w:vAlign w:val="center"/>
          </w:tcPr>
          <w:p>
            <w:pPr>
              <w:rPr>
                <w:b/>
                <w:noProof/>
                <w:sz w:val="20"/>
              </w:rPr>
            </w:pPr>
            <w:r>
              <w:rPr>
                <w:b/>
                <w:noProof/>
                <w:sz w:val="20"/>
              </w:rPr>
              <w:t>N/A</w:t>
            </w:r>
          </w:p>
        </w:tc>
      </w:tr>
      <w:tr>
        <w:tc>
          <w:tcPr>
            <w:tcW w:w="3960" w:type="dxa"/>
            <w:vAlign w:val="center"/>
          </w:tcPr>
          <w:p>
            <w:pPr>
              <w:jc w:val="center"/>
              <w:rPr>
                <w:b/>
                <w:noProof/>
                <w:sz w:val="22"/>
              </w:rPr>
            </w:pPr>
            <w:r>
              <w:rPr>
                <w:b/>
                <w:noProof/>
                <w:sz w:val="22"/>
              </w:rPr>
              <w:t>TOTAL appropriations</w:t>
            </w:r>
            <w:r>
              <w:rPr>
                <w:noProof/>
                <w:sz w:val="22"/>
              </w:rPr>
              <w:br/>
            </w:r>
            <w:r>
              <w:rPr>
                <w:b/>
                <w:noProof/>
                <w:sz w:val="22"/>
              </w:rPr>
              <w:t>for DG MARE</w:t>
            </w:r>
          </w:p>
        </w:tc>
        <w:tc>
          <w:tcPr>
            <w:tcW w:w="1440" w:type="dxa"/>
            <w:gridSpan w:val="2"/>
            <w:vAlign w:val="center"/>
          </w:tcPr>
          <w:p>
            <w:pPr>
              <w:rPr>
                <w:noProof/>
                <w:sz w:val="18"/>
              </w:rPr>
            </w:pPr>
            <w:r>
              <w:rPr>
                <w:noProof/>
                <w:sz w:val="18"/>
              </w:rPr>
              <w:t>Payments</w:t>
            </w:r>
          </w:p>
        </w:tc>
        <w:tc>
          <w:tcPr>
            <w:tcW w:w="654" w:type="dxa"/>
            <w:vAlign w:val="center"/>
          </w:tcPr>
          <w:p>
            <w:pPr>
              <w:jc w:val="center"/>
              <w:rPr>
                <w:noProof/>
                <w:sz w:val="14"/>
              </w:rPr>
            </w:pPr>
          </w:p>
        </w:tc>
        <w:tc>
          <w:tcPr>
            <w:tcW w:w="1677" w:type="dxa"/>
          </w:tcPr>
          <w:p>
            <w:pPr>
              <w:rPr>
                <w:b/>
                <w:noProof/>
              </w:rPr>
            </w:pPr>
            <w:r>
              <w:rPr>
                <w:b/>
                <w:noProof/>
              </w:rPr>
              <w:t>-114,987</w:t>
            </w:r>
          </w:p>
        </w:tc>
        <w:tc>
          <w:tcPr>
            <w:tcW w:w="1418" w:type="dxa"/>
          </w:tcPr>
          <w:p>
            <w:pPr>
              <w:rPr>
                <w:b/>
                <w:noProof/>
              </w:rPr>
            </w:pPr>
            <w:r>
              <w:rPr>
                <w:b/>
                <w:noProof/>
              </w:rPr>
              <w:t>0,000</w:t>
            </w:r>
          </w:p>
        </w:tc>
        <w:tc>
          <w:tcPr>
            <w:tcW w:w="1559" w:type="dxa"/>
          </w:tcPr>
          <w:p>
            <w:pPr>
              <w:rPr>
                <w:b/>
                <w:noProof/>
              </w:rPr>
            </w:pPr>
            <w:r>
              <w:rPr>
                <w:b/>
                <w:noProof/>
              </w:rPr>
              <w:t>0,000</w:t>
            </w:r>
          </w:p>
        </w:tc>
        <w:tc>
          <w:tcPr>
            <w:tcW w:w="1985" w:type="dxa"/>
          </w:tcPr>
          <w:p>
            <w:pPr>
              <w:rPr>
                <w:b/>
                <w:noProof/>
              </w:rPr>
            </w:pPr>
            <w:r>
              <w:rPr>
                <w:b/>
                <w:noProof/>
              </w:rPr>
              <w:t>114,987</w:t>
            </w:r>
          </w:p>
        </w:tc>
        <w:tc>
          <w:tcPr>
            <w:tcW w:w="1417" w:type="dxa"/>
          </w:tcPr>
          <w:p>
            <w:pPr>
              <w:rPr>
                <w:b/>
                <w:noProof/>
              </w:rPr>
            </w:pPr>
            <w:r>
              <w:rPr>
                <w:b/>
                <w:noProof/>
              </w:rPr>
              <w:t>0,000</w:t>
            </w:r>
          </w:p>
        </w:tc>
      </w:tr>
    </w:tbl>
    <w:p>
      <w:pPr>
        <w:spacing w:after="40"/>
        <w:rPr>
          <w:b/>
          <w:noProof/>
          <w:sz w:val="22"/>
          <w:u w:val="single"/>
        </w:rPr>
      </w:pPr>
    </w:p>
    <w:p>
      <w:pPr>
        <w:spacing w:after="40"/>
        <w:rPr>
          <w:b/>
          <w:noProof/>
          <w:sz w:val="22"/>
          <w:u w:val="single"/>
        </w:rPr>
      </w:pPr>
    </w:p>
    <w:p>
      <w:pPr>
        <w:spacing w:after="40"/>
        <w:rPr>
          <w:b/>
          <w:noProof/>
          <w:sz w:val="22"/>
          <w:u w:val="single"/>
        </w:rPr>
      </w:pPr>
    </w:p>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677"/>
        <w:gridCol w:w="1418"/>
        <w:gridCol w:w="1559"/>
        <w:gridCol w:w="1985"/>
        <w:gridCol w:w="1417"/>
      </w:tblGrid>
      <w:tr>
        <w:trPr>
          <w:trHeight w:val="277"/>
        </w:trPr>
        <w:tc>
          <w:tcPr>
            <w:tcW w:w="3960" w:type="dxa"/>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Payments</w:t>
            </w:r>
          </w:p>
        </w:tc>
        <w:tc>
          <w:tcPr>
            <w:tcW w:w="654" w:type="dxa"/>
            <w:tcBorders>
              <w:top w:val="single" w:sz="4" w:space="0" w:color="FF0000"/>
            </w:tcBorders>
            <w:vAlign w:val="center"/>
          </w:tcPr>
          <w:p>
            <w:pPr>
              <w:spacing w:beforeLines="20" w:before="48" w:afterLines="20" w:after="48"/>
              <w:jc w:val="center"/>
              <w:rPr>
                <w:noProof/>
                <w:sz w:val="14"/>
              </w:rPr>
            </w:pPr>
          </w:p>
        </w:tc>
        <w:tc>
          <w:tcPr>
            <w:tcW w:w="1677" w:type="dxa"/>
            <w:tcBorders>
              <w:top w:val="single" w:sz="4" w:space="0" w:color="FF0000"/>
            </w:tcBorders>
          </w:tcPr>
          <w:p>
            <w:pPr>
              <w:rPr>
                <w:noProof/>
              </w:rPr>
            </w:pPr>
            <w:r>
              <w:rPr>
                <w:noProof/>
              </w:rPr>
              <w:t>-7 220,617</w:t>
            </w:r>
          </w:p>
        </w:tc>
        <w:tc>
          <w:tcPr>
            <w:tcW w:w="1418" w:type="dxa"/>
            <w:tcBorders>
              <w:top w:val="single" w:sz="4" w:space="0" w:color="FF0000"/>
            </w:tcBorders>
          </w:tcPr>
          <w:p>
            <w:pPr>
              <w:rPr>
                <w:noProof/>
              </w:rPr>
            </w:pPr>
            <w:r>
              <w:rPr>
                <w:noProof/>
              </w:rPr>
              <w:t>0,000</w:t>
            </w:r>
          </w:p>
        </w:tc>
        <w:tc>
          <w:tcPr>
            <w:tcW w:w="1559" w:type="dxa"/>
            <w:tcBorders>
              <w:top w:val="single" w:sz="4" w:space="0" w:color="FF0000"/>
            </w:tcBorders>
          </w:tcPr>
          <w:p>
            <w:pPr>
              <w:rPr>
                <w:noProof/>
              </w:rPr>
            </w:pPr>
            <w:r>
              <w:rPr>
                <w:noProof/>
              </w:rPr>
              <w:t>0,000</w:t>
            </w:r>
          </w:p>
        </w:tc>
        <w:tc>
          <w:tcPr>
            <w:tcW w:w="1985" w:type="dxa"/>
            <w:tcBorders>
              <w:top w:val="single" w:sz="4" w:space="0" w:color="FF0000"/>
            </w:tcBorders>
          </w:tcPr>
          <w:p>
            <w:pPr>
              <w:rPr>
                <w:noProof/>
              </w:rPr>
            </w:pPr>
            <w:r>
              <w:rPr>
                <w:noProof/>
              </w:rPr>
              <w:t>7 220,617</w:t>
            </w:r>
          </w:p>
        </w:tc>
        <w:tc>
          <w:tcPr>
            <w:tcW w:w="1417" w:type="dxa"/>
            <w:tcBorders>
              <w:top w:val="single" w:sz="4" w:space="0" w:color="FF0000"/>
              <w:right w:val="single" w:sz="4" w:space="0" w:color="auto"/>
            </w:tcBorders>
          </w:tcPr>
          <w:p>
            <w:pPr>
              <w:rPr>
                <w:noProof/>
              </w:rPr>
            </w:pPr>
            <w:r>
              <w:rPr>
                <w:noProof/>
              </w:rPr>
              <w:t>0,000</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p>
        </w:tc>
        <w:tc>
          <w:tcPr>
            <w:tcW w:w="1677" w:type="dxa"/>
            <w:vAlign w:val="center"/>
          </w:tcPr>
          <w:p>
            <w:pPr>
              <w:rPr>
                <w:b/>
                <w:noProof/>
                <w:sz w:val="20"/>
              </w:rPr>
            </w:pPr>
            <w:r>
              <w:rPr>
                <w:b/>
                <w:noProof/>
                <w:sz w:val="20"/>
              </w:rPr>
              <w:t>N/A</w:t>
            </w:r>
          </w:p>
        </w:tc>
        <w:tc>
          <w:tcPr>
            <w:tcW w:w="1418" w:type="dxa"/>
            <w:vAlign w:val="center"/>
          </w:tcPr>
          <w:p>
            <w:pPr>
              <w:rPr>
                <w:b/>
                <w:noProof/>
                <w:sz w:val="20"/>
              </w:rPr>
            </w:pPr>
            <w:r>
              <w:rPr>
                <w:b/>
                <w:noProof/>
                <w:sz w:val="20"/>
              </w:rPr>
              <w:t>N/A</w:t>
            </w:r>
          </w:p>
        </w:tc>
        <w:tc>
          <w:tcPr>
            <w:tcW w:w="1559" w:type="dxa"/>
            <w:vAlign w:val="center"/>
          </w:tcPr>
          <w:p>
            <w:pPr>
              <w:rPr>
                <w:b/>
                <w:noProof/>
                <w:sz w:val="20"/>
              </w:rPr>
            </w:pPr>
            <w:r>
              <w:rPr>
                <w:b/>
                <w:noProof/>
                <w:sz w:val="20"/>
              </w:rPr>
              <w:t>N/A</w:t>
            </w:r>
          </w:p>
        </w:tc>
        <w:tc>
          <w:tcPr>
            <w:tcW w:w="1985" w:type="dxa"/>
            <w:vAlign w:val="center"/>
          </w:tcPr>
          <w:p>
            <w:pPr>
              <w:rPr>
                <w:b/>
                <w:noProof/>
                <w:sz w:val="20"/>
              </w:rPr>
            </w:pPr>
            <w:r>
              <w:rPr>
                <w:b/>
                <w:noProof/>
                <w:sz w:val="20"/>
              </w:rPr>
              <w:t>N/A</w:t>
            </w:r>
          </w:p>
        </w:tc>
        <w:tc>
          <w:tcPr>
            <w:tcW w:w="1417" w:type="dxa"/>
            <w:vAlign w:val="center"/>
          </w:tcPr>
          <w:p>
            <w:pPr>
              <w:rPr>
                <w:b/>
                <w:noProof/>
                <w:sz w:val="20"/>
              </w:rPr>
            </w:pPr>
            <w:r>
              <w:rPr>
                <w:b/>
                <w:noProof/>
                <w:sz w:val="20"/>
              </w:rPr>
              <w:t>N/A</w:t>
            </w:r>
          </w:p>
        </w:tc>
      </w:tr>
      <w:tr>
        <w:tc>
          <w:tcPr>
            <w:tcW w:w="3960" w:type="dxa"/>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Payments</w:t>
            </w:r>
          </w:p>
        </w:tc>
        <w:tc>
          <w:tcPr>
            <w:tcW w:w="654" w:type="dxa"/>
            <w:vAlign w:val="center"/>
          </w:tcPr>
          <w:p>
            <w:pPr>
              <w:jc w:val="center"/>
              <w:rPr>
                <w:noProof/>
                <w:sz w:val="14"/>
              </w:rPr>
            </w:pPr>
          </w:p>
        </w:tc>
        <w:tc>
          <w:tcPr>
            <w:tcW w:w="1677" w:type="dxa"/>
          </w:tcPr>
          <w:p>
            <w:pPr>
              <w:rPr>
                <w:b/>
                <w:noProof/>
              </w:rPr>
            </w:pPr>
            <w:r>
              <w:rPr>
                <w:b/>
                <w:noProof/>
              </w:rPr>
              <w:t>-7 220,617</w:t>
            </w:r>
          </w:p>
        </w:tc>
        <w:tc>
          <w:tcPr>
            <w:tcW w:w="1418" w:type="dxa"/>
          </w:tcPr>
          <w:p>
            <w:pPr>
              <w:rPr>
                <w:b/>
                <w:noProof/>
              </w:rPr>
            </w:pPr>
            <w:r>
              <w:rPr>
                <w:b/>
                <w:noProof/>
              </w:rPr>
              <w:t>0,000</w:t>
            </w:r>
          </w:p>
        </w:tc>
        <w:tc>
          <w:tcPr>
            <w:tcW w:w="1559" w:type="dxa"/>
          </w:tcPr>
          <w:p>
            <w:pPr>
              <w:rPr>
                <w:b/>
                <w:noProof/>
              </w:rPr>
            </w:pPr>
            <w:r>
              <w:rPr>
                <w:b/>
                <w:noProof/>
              </w:rPr>
              <w:t>0,000</w:t>
            </w:r>
          </w:p>
        </w:tc>
        <w:tc>
          <w:tcPr>
            <w:tcW w:w="1985" w:type="dxa"/>
          </w:tcPr>
          <w:p>
            <w:pPr>
              <w:rPr>
                <w:b/>
                <w:noProof/>
              </w:rPr>
            </w:pPr>
            <w:r>
              <w:rPr>
                <w:b/>
                <w:noProof/>
              </w:rPr>
              <w:t>7 220,617</w:t>
            </w:r>
          </w:p>
        </w:tc>
        <w:tc>
          <w:tcPr>
            <w:tcW w:w="1417" w:type="dxa"/>
            <w:tcBorders>
              <w:right w:val="single" w:sz="4" w:space="0" w:color="auto"/>
            </w:tcBorders>
          </w:tcPr>
          <w:p>
            <w:pPr>
              <w:rPr>
                <w:b/>
                <w:noProof/>
              </w:rPr>
            </w:pPr>
            <w:r>
              <w:rPr>
                <w:b/>
                <w:noProof/>
              </w:rPr>
              <w:t>0,000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p>
    <w:p>
      <w:pPr>
        <w:spacing w:before="0" w:after="200" w:line="276" w:lineRule="auto"/>
        <w:jc w:val="left"/>
        <w:rPr>
          <w:noProof/>
          <w:sz w:val="20"/>
        </w:rPr>
      </w:pPr>
      <w:r>
        <w:rPr>
          <w:noProof/>
          <w:sz w:val="20"/>
        </w:rPr>
        <w:br w:type="page"/>
      </w:r>
    </w:p>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p>
        </w:tc>
        <w:tc>
          <w:tcPr>
            <w:tcW w:w="868" w:type="dxa"/>
            <w:vAlign w:val="center"/>
          </w:tcPr>
          <w:p>
            <w:pPr>
              <w:jc w:val="center"/>
              <w:rPr>
                <w:noProof/>
                <w:sz w:val="20"/>
              </w:rPr>
            </w:pPr>
            <w:r>
              <w:rPr>
                <w:noProof/>
                <w:sz w:val="20"/>
              </w:rPr>
              <w:t>Year</w:t>
            </w:r>
            <w:r>
              <w:rPr>
                <w:noProof/>
                <w:sz w:val="22"/>
              </w:rPr>
              <w:br/>
            </w:r>
            <w:r>
              <w:rPr>
                <w:b/>
                <w:noProof/>
                <w:sz w:val="20"/>
              </w:rPr>
              <w:t>N+1</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sz w:val="22"/>
              </w:rPr>
            </w:pPr>
            <w:r>
              <w:rPr>
                <w:noProof/>
                <w:sz w:val="22"/>
              </w:rPr>
              <w:t>DG: &lt;…….&gt;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 xml:space="preserve">TOTAL DG </w:t>
            </w:r>
            <w:r>
              <w:rPr>
                <w:noProof/>
                <w:sz w:val="22"/>
              </w:rPr>
              <w:t>&lt;…….&gt;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r>
              <w:rPr>
                <w:rStyle w:val="FootnoteReference"/>
                <w:b/>
                <w:noProof/>
                <w:sz w:val="20"/>
              </w:rPr>
              <w:footnoteReference w:id="16"/>
            </w:r>
          </w:p>
        </w:tc>
        <w:tc>
          <w:tcPr>
            <w:tcW w:w="868" w:type="dxa"/>
            <w:vAlign w:val="center"/>
          </w:tcPr>
          <w:p>
            <w:pPr>
              <w:jc w:val="center"/>
              <w:rPr>
                <w:noProof/>
                <w:sz w:val="20"/>
              </w:rPr>
            </w:pPr>
            <w:r>
              <w:rPr>
                <w:noProof/>
                <w:sz w:val="20"/>
              </w:rPr>
              <w:t>Year</w:t>
            </w:r>
            <w:r>
              <w:rPr>
                <w:noProof/>
                <w:sz w:val="22"/>
              </w:rPr>
              <w:br/>
            </w:r>
            <w:r>
              <w:rPr>
                <w:b/>
                <w:noProof/>
                <w:sz w:val="20"/>
              </w:rPr>
              <w:t>N+1</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A8"/>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7"/>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18"/>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19"/>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20"/>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r>
        <w:rPr>
          <w:noProof/>
          <w:sz w:val="18"/>
        </w:rPr>
        <w:tab/>
      </w: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1"/>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2"/>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sym w:font="Wingdings" w:char="F0A8"/>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 Estimated impact on revenue </w:t>
      </w:r>
    </w:p>
    <w:p>
      <w:pPr>
        <w:pStyle w:val="ListDash1"/>
        <w:rPr>
          <w:noProof/>
        </w:rPr>
      </w:pPr>
      <w:r>
        <w:rPr>
          <w:noProof/>
        </w:rPr>
        <w:sym w:font="Wingdings" w:char="F0A8"/>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23"/>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lang w:val="es-ES"/>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lang w:val="es-ES"/>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 COM(2018) 375 final, 29.5.2018. Article 84 sets out the pre-financing arrangements. Given that for the period 2021-2027 only one type of pre-financing is proposed the terminology used does not distinguish between "initial" and "annual" pre-financing. The proposed pre-financing arrangements are however similar to those of the "initial pre-financing" of Regulation (EU) No 1303/2013.</w:t>
      </w:r>
    </w:p>
  </w:footnote>
  <w:footnote w:id="2">
    <w:p>
      <w:pPr>
        <w:pStyle w:val="FootnoteText"/>
      </w:pPr>
      <w:r>
        <w:rPr>
          <w:rStyle w:val="FootnoteReference"/>
        </w:rPr>
        <w:footnoteRef/>
      </w:r>
      <w:r>
        <w:tab/>
        <w:t xml:space="preserve">Annex to the Communication from the Commission to the European Parliament, the European Council, the Council, the European Economic and Social Committee and the Committee of the Regions on A Modern Budget for a Union that Protects, Empowers and Defends, COM(2018) 321 final, 2.5.2018 as well as in Section 5 of the Explanatory Memorandum accompanying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instrText xml:space="preserve">COM(2018) 375 final" </w:instrText>
      </w:r>
      <w:r>
        <w:fldChar w:fldCharType="separate"/>
      </w:r>
      <w:r>
        <w:t>COM(2018) 375 final</w:t>
      </w:r>
      <w:r>
        <w:fldChar w:fldCharType="end"/>
      </w:r>
      <w:r>
        <w:t>, 29.5.2018.</w:t>
      </w:r>
    </w:p>
  </w:footnote>
  <w:footnote w:id="3">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 as last amended by Regulation (EU) 2017/2305 of the European Parliament and of the Council of 12 December 2017 amending Regulation (EU) No 1303/2013 as regards the changes to the resources for economic, social and territorial cohesion and to the resources for the Investment for growth and jobs goal and for the European territorial cooperation goal (OJ L 335, 15.12.2017, p. 1).</w:t>
      </w:r>
    </w:p>
  </w:footnote>
  <w:footnote w:id="4">
    <w:p>
      <w:pPr>
        <w:pStyle w:val="FootnoteText"/>
      </w:pPr>
      <w:r>
        <w:rPr>
          <w:rStyle w:val="FootnoteReference"/>
        </w:rPr>
        <w:footnoteRef/>
      </w:r>
      <w:r>
        <w:tab/>
        <w:t>OJ C , , p. .</w:t>
      </w:r>
    </w:p>
  </w:footnote>
  <w:footnote w:id="5">
    <w:p>
      <w:pPr>
        <w:pStyle w:val="FootnoteText"/>
      </w:pPr>
      <w:r>
        <w:rPr>
          <w:rStyle w:val="FootnoteReference"/>
        </w:rPr>
        <w:footnoteRef/>
      </w:r>
      <w:r>
        <w:tab/>
        <w:t>OJ C , , p. .</w:t>
      </w:r>
    </w:p>
  </w:footnote>
  <w:footnote w:id="6">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7">
    <w:p>
      <w:pPr>
        <w:pStyle w:val="FootnoteText"/>
        <w:rPr>
          <w:szCs w:val="24"/>
        </w:rPr>
      </w:pPr>
      <w:r>
        <w:rPr>
          <w:rStyle w:val="FootnoteReference"/>
        </w:rPr>
        <w:footnoteRef/>
      </w:r>
      <w:r>
        <w:tab/>
        <w:t>ABM: activity-based management; ABB: activity-based budgeting.</w:t>
      </w:r>
    </w:p>
  </w:footnote>
  <w:footnote w:id="8">
    <w:p>
      <w:pPr>
        <w:pStyle w:val="FootnoteText"/>
        <w:rPr>
          <w:szCs w:val="24"/>
        </w:rPr>
      </w:pPr>
      <w:r>
        <w:rPr>
          <w:rStyle w:val="FootnoteReference"/>
        </w:rPr>
        <w:footnoteRef/>
      </w:r>
      <w:r>
        <w:tab/>
        <w:t>As referred to in Article 54(2)(a) or (b) of the Financial Regulation.</w:t>
      </w:r>
    </w:p>
  </w:footnote>
  <w:footnote w:id="9">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10">
    <w:p>
      <w:pPr>
        <w:pStyle w:val="FootnoteText"/>
        <w:rPr>
          <w:szCs w:val="24"/>
        </w:rPr>
      </w:pPr>
      <w:r>
        <w:rPr>
          <w:rStyle w:val="FootnoteReference"/>
        </w:rPr>
        <w:footnoteRef/>
      </w:r>
      <w:r>
        <w:tab/>
        <w:t>Diff. = Differentiated appropriations / Non-diff. = Non-differentiated appropriations.</w:t>
      </w:r>
    </w:p>
  </w:footnote>
  <w:footnote w:id="11">
    <w:p>
      <w:pPr>
        <w:pStyle w:val="FootnoteText"/>
        <w:rPr>
          <w:szCs w:val="24"/>
        </w:rPr>
      </w:pPr>
      <w:r>
        <w:rPr>
          <w:rStyle w:val="FootnoteReference"/>
        </w:rPr>
        <w:footnoteRef/>
      </w:r>
      <w:r>
        <w:tab/>
        <w:t xml:space="preserve">EFTA: European Free Trade Association. </w:t>
      </w:r>
    </w:p>
  </w:footnote>
  <w:footnote w:id="12">
    <w:p>
      <w:pPr>
        <w:pStyle w:val="FootnoteText"/>
        <w:rPr>
          <w:szCs w:val="24"/>
        </w:rPr>
      </w:pPr>
      <w:r>
        <w:rPr>
          <w:rStyle w:val="FootnoteReference"/>
        </w:rPr>
        <w:footnoteRef/>
      </w:r>
      <w:r>
        <w:tab/>
        <w:t>Candidate countries and, where applicable, potential candidate countries from the Western Balkans.</w:t>
      </w:r>
    </w:p>
  </w:footnote>
  <w:footnote w:id="1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4">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5">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6">
    <w:p>
      <w:pPr>
        <w:pStyle w:val="FootnoteText"/>
        <w:rPr>
          <w:szCs w:val="24"/>
        </w:rPr>
      </w:pPr>
      <w:r>
        <w:rPr>
          <w:rStyle w:val="FootnoteReference"/>
        </w:rPr>
        <w:footnoteRef/>
      </w:r>
      <w:r>
        <w:tab/>
        <w:t>Year N is the year in which implementation of the proposal/initiative starts.</w:t>
      </w:r>
    </w:p>
  </w:footnote>
  <w:footnote w:id="17">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8">
    <w:p>
      <w:pPr>
        <w:pStyle w:val="FootnoteText"/>
        <w:rPr>
          <w:szCs w:val="24"/>
        </w:rPr>
      </w:pPr>
      <w:r>
        <w:rPr>
          <w:rStyle w:val="FootnoteReference"/>
        </w:rPr>
        <w:footnoteRef/>
      </w:r>
      <w:r>
        <w:tab/>
        <w:t xml:space="preserve">As described in point 1.4.2. ‘Specific objective(s)…’ </w:t>
      </w:r>
    </w:p>
  </w:footnote>
  <w:footnote w:id="19">
    <w:p>
      <w:pPr>
        <w:pStyle w:val="FootnoteText"/>
        <w:rPr>
          <w:szCs w:val="24"/>
        </w:rPr>
      </w:pPr>
      <w:r>
        <w:rPr>
          <w:rStyle w:val="FootnoteReference"/>
        </w:rPr>
        <w:footnoteRef/>
      </w:r>
      <w:r>
        <w:tab/>
        <w:t>Year N is the year in which implementation of the proposal/initiative starts.</w:t>
      </w:r>
    </w:p>
  </w:footnote>
  <w:footnote w:id="20">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1">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2">
    <w:p>
      <w:pPr>
        <w:pStyle w:val="FootnoteText"/>
        <w:rPr>
          <w:szCs w:val="24"/>
        </w:rPr>
      </w:pPr>
      <w:r>
        <w:rPr>
          <w:rStyle w:val="FootnoteReference"/>
        </w:rPr>
        <w:footnoteRef/>
      </w:r>
      <w:r>
        <w:tab/>
        <w:t>Sub-ceiling for external staff covered by operational appropriations (former ‘BA’ lines).</w:t>
      </w:r>
    </w:p>
  </w:footnote>
  <w:footnote w:id="23">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A07E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9601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504F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AA16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74A6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C084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24"/>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9"/>
  </w:num>
  <w:num w:numId="15">
    <w:abstractNumId w:val="11"/>
  </w:num>
  <w:num w:numId="16">
    <w:abstractNumId w:val="22"/>
  </w:num>
  <w:num w:numId="17">
    <w:abstractNumId w:val="10"/>
  </w:num>
  <w:num w:numId="18">
    <w:abstractNumId w:val="12"/>
  </w:num>
  <w:num w:numId="19">
    <w:abstractNumId w:val="8"/>
  </w:num>
  <w:num w:numId="20">
    <w:abstractNumId w:val="21"/>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03 11:24:4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FFF096A6-4BA8-470B-BAE0-96562A7E7594"/>
    <w:docVar w:name="LW_COVERPAGE_TYPE" w:val="1"/>
    <w:docVar w:name="LW_CROSSREFERENCE" w:val="&lt;UNUSED&gt;"/>
    <w:docVar w:name="LW_DocType" w:val="COM"/>
    <w:docVar w:name="LW_EMISSION" w:val="7.9.2018"/>
    <w:docVar w:name="LW_EMISSION_ISODATE" w:val="2018-09-07"/>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22"/>
    <w:docVar w:name="LW_REF.II.NEW.CP_YEAR" w:val="2018"/>
    <w:docVar w:name="LW_REF.INST.NEW" w:val="COM"/>
    <w:docVar w:name="LW_REF.INST.NEW_ADOPTED" w:val="final"/>
    <w:docVar w:name="LW_REF.INST.NEW_TEXT" w:val="(2018) 6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No 1303/2013 as regards the adjustment of annual pre-financing for the years 2021 to 2023"/>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254774">
      <w:bodyDiv w:val="1"/>
      <w:marLeft w:val="0"/>
      <w:marRight w:val="0"/>
      <w:marTop w:val="0"/>
      <w:marBottom w:val="0"/>
      <w:divBdr>
        <w:top w:val="none" w:sz="0" w:space="0" w:color="auto"/>
        <w:left w:val="none" w:sz="0" w:space="0" w:color="auto"/>
        <w:bottom w:val="none" w:sz="0" w:space="0" w:color="auto"/>
        <w:right w:val="none" w:sz="0" w:space="0" w:color="auto"/>
      </w:divBdr>
    </w:div>
    <w:div w:id="1222863103">
      <w:bodyDiv w:val="1"/>
      <w:marLeft w:val="0"/>
      <w:marRight w:val="0"/>
      <w:marTop w:val="0"/>
      <w:marBottom w:val="0"/>
      <w:divBdr>
        <w:top w:val="none" w:sz="0" w:space="0" w:color="auto"/>
        <w:left w:val="none" w:sz="0" w:space="0" w:color="auto"/>
        <w:bottom w:val="none" w:sz="0" w:space="0" w:color="auto"/>
        <w:right w:val="none" w:sz="0" w:space="0" w:color="auto"/>
      </w:divBdr>
    </w:div>
    <w:div w:id="17089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3AE6-EDBF-4DCC-A671-16A2E1EE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24</Pages>
  <Words>3690</Words>
  <Characters>20776</Characters>
  <Application>Microsoft Office Word</Application>
  <DocSecurity>0</DocSecurity>
  <Lines>1484</Lines>
  <Paragraphs>741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2018-06-12T08:51:00Z</cp:lastPrinted>
  <dcterms:created xsi:type="dcterms:W3CDTF">2018-07-23T14:33:00Z</dcterms:created>
  <dcterms:modified xsi:type="dcterms:W3CDTF">2018-09-03T09:24:00Z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