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7E74DE0-300F-43AB-9D49-FB401706DB72"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(ci-après le «règlement FEM»). </w:t>
      </w:r>
    </w:p>
    <w:p>
      <w:pPr>
        <w:pStyle w:val="ManualNumPar1"/>
        <w:rPr>
          <w:noProof/>
        </w:rPr>
      </w:pPr>
      <w:r>
        <w:t>2.</w:t>
      </w:r>
      <w:r>
        <w:tab/>
      </w:r>
      <w:r>
        <w:rPr>
          <w:noProof/>
        </w:rPr>
        <w:t>Le 24 avril 2018, le Portugal a présenté la demande EGF/2018/002 PT/Norte – Centro - Lisboa wearing apparel en vue d’obtenir une contribution financière du FEM, à la suite de licenciements survenus</w:t>
      </w:r>
      <w:r>
        <w:rPr>
          <w:rStyle w:val="FootnoteReference"/>
          <w:noProof/>
        </w:rPr>
        <w:footnoteReference w:id="2"/>
      </w:r>
      <w:r>
        <w:rPr>
          <w:noProof/>
        </w:rPr>
        <w:t xml:space="preserve"> dans le secteur économique relevant de la division 14 de la NACE Rév. 2 (Industrie de l’habillement), dans les régions de niveau NUTS 2 «Norte» (PT11), «Centro» (PT16) et «Lisboa» (PT17).</w:t>
      </w:r>
    </w:p>
    <w:p>
      <w:pPr>
        <w:pStyle w:val="ManualNumPar1"/>
        <w:rPr>
          <w:noProof/>
        </w:rPr>
      </w:pPr>
      <w:r>
        <w:t>3.</w:t>
      </w:r>
      <w:r>
        <w:tab/>
      </w:r>
      <w:r>
        <w:rPr>
          <w:noProof/>
        </w:rPr>
        <w:t>À la suite de l’évaluation de cette demande, la Commission a conclu, conformément à l’ensemble des dispositions applicables du règlement FEM, que les conditions d’octroi d’une contribution financière du FEM étaient remplies.</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shd w:val="clear" w:color="auto" w:fill="auto"/>
          </w:tcPr>
          <w:p>
            <w:pPr>
              <w:spacing w:before="60" w:after="60"/>
              <w:ind w:rightChars="192" w:right="461"/>
              <w:jc w:val="left"/>
              <w:rPr>
                <w:rFonts w:eastAsia="Calibri"/>
                <w:noProof/>
                <w:lang w:val="en-GB"/>
              </w:rPr>
            </w:pPr>
            <w:r>
              <w:rPr>
                <w:noProof/>
                <w:lang w:val="en-GB"/>
              </w:rPr>
              <w:t xml:space="preserve">EGF/2018/002 PT/Norte - Centro - Lisboa wearing apparel </w:t>
            </w:r>
          </w:p>
        </w:tc>
      </w:tr>
      <w:tr>
        <w:tc>
          <w:tcPr>
            <w:tcW w:w="4908" w:type="dxa"/>
            <w:shd w:val="clear" w:color="auto" w:fill="auto"/>
          </w:tcPr>
          <w:p>
            <w:pPr>
              <w:spacing w:before="60" w:after="60"/>
              <w:jc w:val="left"/>
              <w:rPr>
                <w:rFonts w:eastAsia="Calibri"/>
                <w:noProof/>
              </w:rPr>
            </w:pPr>
            <w:r>
              <w:rPr>
                <w:noProof/>
              </w:rPr>
              <w:t>État membre</w:t>
            </w:r>
          </w:p>
        </w:tc>
        <w:tc>
          <w:tcPr>
            <w:tcW w:w="4379" w:type="dxa"/>
            <w:shd w:val="clear" w:color="auto" w:fill="auto"/>
          </w:tcPr>
          <w:p>
            <w:pPr>
              <w:spacing w:before="60" w:after="60"/>
              <w:ind w:rightChars="192" w:right="461"/>
              <w:jc w:val="left"/>
              <w:rPr>
                <w:rFonts w:eastAsia="Calibri"/>
                <w:noProof/>
              </w:rPr>
            </w:pPr>
            <w:r>
              <w:rPr>
                <w:noProof/>
              </w:rPr>
              <w:t>Portugal</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w:t>
            </w:r>
            <w:r>
              <w:rPr>
                <w:rStyle w:val="FootnoteReference"/>
                <w:noProof/>
              </w:rPr>
              <w:footnoteReference w:id="3"/>
            </w:r>
            <w:r>
              <w:rPr>
                <w:noProof/>
              </w:rPr>
              <w:t xml:space="preserve"> NUTS 2)</w:t>
            </w:r>
          </w:p>
        </w:tc>
        <w:tc>
          <w:tcPr>
            <w:tcW w:w="4379" w:type="dxa"/>
            <w:tcBorders>
              <w:bottom w:val="single" w:sz="4" w:space="0" w:color="auto"/>
            </w:tcBorders>
            <w:shd w:val="clear" w:color="auto" w:fill="auto"/>
          </w:tcPr>
          <w:p>
            <w:pPr>
              <w:spacing w:before="0" w:after="0"/>
              <w:ind w:rightChars="192" w:right="461"/>
              <w:jc w:val="left"/>
              <w:rPr>
                <w:noProof/>
                <w:szCs w:val="24"/>
                <w:lang w:val="pt-PT"/>
              </w:rPr>
            </w:pPr>
            <w:r>
              <w:rPr>
                <w:noProof/>
                <w:lang w:val="pt-PT"/>
              </w:rPr>
              <w:t>«Norte» (PT11), «Centro» (PT16) et «Lisboa» (PT17)</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de dépôt de la demande</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24 avril 2018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24 avril 2018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8 mai 2018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19 juin 2018</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11 septembre 2018</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shd w:val="clear" w:color="auto" w:fill="auto"/>
          </w:tcPr>
          <w:p>
            <w:pPr>
              <w:spacing w:before="60" w:after="60"/>
              <w:ind w:rightChars="192" w:right="461"/>
              <w:jc w:val="left"/>
              <w:rPr>
                <w:rFonts w:eastAsia="Calibri"/>
                <w:noProof/>
              </w:rPr>
            </w:pPr>
            <w:r>
              <w:rPr>
                <w:noProof/>
              </w:rPr>
              <w:t>Article 4, paragraphe 1, point b),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2</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t>Secteur(s) d’activité économique</w:t>
            </w:r>
          </w:p>
          <w:p>
            <w:pPr>
              <w:spacing w:before="60" w:after="60"/>
              <w:jc w:val="left"/>
              <w:rPr>
                <w:noProof/>
              </w:rPr>
            </w:pPr>
            <w:r>
              <w:rPr>
                <w:noProof/>
              </w:rPr>
              <w:t>(Division de la NACE Rév. 2)</w:t>
            </w:r>
            <w:r>
              <w:rPr>
                <w:rStyle w:val="FootnoteReference"/>
                <w:noProof/>
              </w:rPr>
              <w:footnoteReference w:id="4"/>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rPr>
            </w:pPr>
            <w:r>
              <w:rPr>
                <w:noProof/>
              </w:rPr>
              <w:t xml:space="preserve">Division 14 - Industrie de l’habillement </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Période de référence (neuf mois)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1</w:t>
            </w:r>
            <w:r>
              <w:rPr>
                <w:noProof/>
                <w:vertAlign w:val="superscript"/>
              </w:rPr>
              <w:t>er </w:t>
            </w:r>
            <w:r>
              <w:rPr>
                <w:noProof/>
              </w:rPr>
              <w:t>mai 2017 – 1</w:t>
            </w:r>
            <w:r>
              <w:rPr>
                <w:noProof/>
                <w:vertAlign w:val="superscript"/>
              </w:rPr>
              <w:t>er </w:t>
            </w:r>
            <w:r>
              <w:rPr>
                <w:noProof/>
              </w:rPr>
              <w:t>février 2018</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Nombre de licenciements pendant la période de référence (</w:t>
            </w:r>
            <w:r>
              <w:rPr>
                <w:i/>
                <w:noProof/>
              </w:rPr>
              <w:t>a</w:t>
            </w:r>
            <w:r>
              <w:rPr>
                <w:noProof/>
              </w:rPr>
              <w:t>)</w:t>
            </w:r>
          </w:p>
        </w:tc>
        <w:tc>
          <w:tcPr>
            <w:tcW w:w="4379"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1 161</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1 161</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   730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de jeunes sans emploi, sortis du système scolaire et sans formation (NEET) visés</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   730</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pour les services personnalisés (en EUR)</w:t>
            </w:r>
          </w:p>
        </w:tc>
        <w:tc>
          <w:tcPr>
            <w:tcW w:w="4379" w:type="dxa"/>
            <w:tcBorders>
              <w:bottom w:val="dotted" w:sz="4" w:space="0" w:color="auto"/>
            </w:tcBorders>
            <w:shd w:val="clear" w:color="auto" w:fill="auto"/>
            <w:vAlign w:val="center"/>
          </w:tcPr>
          <w:p>
            <w:pPr>
              <w:spacing w:before="0" w:after="0"/>
              <w:ind w:rightChars="192" w:right="461"/>
              <w:jc w:val="left"/>
              <w:rPr>
                <w:noProof/>
                <w:szCs w:val="24"/>
              </w:rPr>
            </w:pPr>
            <w:r>
              <w:rPr>
                <w:noProof/>
                <w:color w:val="222222"/>
              </w:rPr>
              <w:t>7 742 160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w:t>
            </w:r>
            <w:r>
              <w:rPr>
                <w:rStyle w:val="FootnoteReference"/>
                <w:noProof/>
              </w:rPr>
              <w:footnoteReference w:id="5"/>
            </w:r>
            <w:r>
              <w:rPr>
                <w:noProof/>
              </w:rPr>
              <w:t xml:space="preserve">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szCs w:val="24"/>
              </w:rPr>
            </w:pPr>
            <w:r>
              <w:rPr>
                <w:noProof/>
              </w:rPr>
              <w:t>     </w:t>
            </w:r>
            <w:r>
              <w:rPr>
                <w:noProof/>
                <w:color w:val="222222"/>
              </w:rPr>
              <w:t>17 646 </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color w:val="222222"/>
                <w:szCs w:val="24"/>
              </w:rPr>
            </w:pPr>
            <w:r>
              <w:rPr>
                <w:noProof/>
              </w:rPr>
              <w:t>7 759 806</w:t>
            </w: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4379" w:type="dxa"/>
            <w:tcBorders>
              <w:top w:val="dotted" w:sz="4" w:space="0" w:color="auto"/>
            </w:tcBorders>
            <w:shd w:val="clear" w:color="auto" w:fill="auto"/>
            <w:vAlign w:val="center"/>
          </w:tcPr>
          <w:p>
            <w:pPr>
              <w:shd w:val="clear" w:color="auto" w:fill="FFFFFF"/>
              <w:spacing w:before="0" w:after="0" w:line="270" w:lineRule="atLeast"/>
              <w:jc w:val="left"/>
              <w:textAlignment w:val="top"/>
              <w:rPr>
                <w:rFonts w:eastAsia="Times New Roman"/>
                <w:noProof/>
                <w:color w:val="222222"/>
                <w:szCs w:val="24"/>
              </w:rPr>
            </w:pPr>
            <w:r>
              <w:rPr>
                <w:noProof/>
              </w:rPr>
              <w:t>4 655 883</w:t>
            </w:r>
          </w:p>
          <w:p>
            <w:pPr>
              <w:shd w:val="clear" w:color="auto" w:fill="FFFFFF"/>
              <w:spacing w:before="0" w:after="0" w:line="270" w:lineRule="atLeast"/>
              <w:jc w:val="left"/>
              <w:textAlignment w:val="top"/>
              <w:rPr>
                <w:rFonts w:eastAsia="Times New Roman"/>
                <w:noProof/>
                <w:color w:val="222222"/>
                <w:szCs w:val="24"/>
                <w:highlight w:val="yellow"/>
              </w:rPr>
            </w:pP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Le Portugal a présenté la demande EGF/2018/002 le 24 avril 2018, dans le délai de 12 semaines à compter de la date à laquelle les critères d’intervention précisés à l’article 4 du règlement FEM ont été remplis. La Commission a accusé réception de la demande à la même date, et demandé des informations complémentaires au Portugal le 8 mai 2018. Ces informations complémentaires ont été fournies dans les six semaines qui ont suivi cette demande. Le délai de 12 semaines suivant la réception de la demande complète dont dispose la Commission pour achever son évaluation de la conformité de la demande aux conditions d’octroi d’une contribution financière expire le 11 septembre 2018.</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1 161 travailleurs licenciés dans le secteur économique relevant de la division 14 (Industrie de l’habillement) de la NACE Rév. 2. Les licenciements sont survenus dans les régions de niveau NUTS 2 «Norte» (PT11), «Centro» (PT16) et «Lisboa» (PT17).</w:t>
      </w: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2880"/>
        <w:gridCol w:w="1440"/>
      </w:tblGrid>
      <w:tr>
        <w:trPr>
          <w:trHeight w:val="284"/>
          <w:tblHeader/>
        </w:trPr>
        <w:tc>
          <w:tcPr>
            <w:tcW w:w="8160" w:type="dxa"/>
            <w:gridSpan w:val="4"/>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Entreprises et nombre de licenciements pendant la période de référence</w:t>
            </w:r>
          </w:p>
        </w:tc>
      </w:tr>
      <w:tr>
        <w:tc>
          <w:tcPr>
            <w:tcW w:w="3360" w:type="dxa"/>
            <w:tcBorders>
              <w:bottom w:val="nil"/>
              <w:right w:val="nil"/>
            </w:tcBorders>
            <w:shd w:val="clear" w:color="auto" w:fill="auto"/>
            <w:vAlign w:val="center"/>
          </w:tcPr>
          <w:p>
            <w:pPr>
              <w:spacing w:before="0" w:after="0"/>
              <w:ind w:right="252"/>
              <w:jc w:val="left"/>
              <w:rPr>
                <w:noProof/>
              </w:rPr>
            </w:pPr>
            <w:r>
              <w:rPr>
                <w:noProof/>
              </w:rPr>
              <w:t>Groupe Ricon</w:t>
            </w:r>
          </w:p>
        </w:tc>
        <w:tc>
          <w:tcPr>
            <w:tcW w:w="4800" w:type="dxa"/>
            <w:gridSpan w:val="3"/>
            <w:tcBorders>
              <w:left w:val="nil"/>
              <w:bottom w:val="nil"/>
            </w:tcBorders>
            <w:shd w:val="clear" w:color="auto" w:fill="auto"/>
            <w:vAlign w:val="center"/>
          </w:tcPr>
          <w:p>
            <w:pPr>
              <w:spacing w:beforeLines="20" w:before="48" w:afterLines="20" w:after="48" w:line="276" w:lineRule="auto"/>
              <w:ind w:left="57" w:right="227"/>
              <w:jc w:val="right"/>
              <w:rPr>
                <w:rFonts w:eastAsia="Calibri"/>
                <w:noProof/>
                <w:szCs w:val="24"/>
              </w:rPr>
            </w:pPr>
            <w:r>
              <w:rPr>
                <w:noProof/>
              </w:rPr>
              <w:t>709</w:t>
            </w:r>
          </w:p>
        </w:tc>
      </w:tr>
      <w:tr>
        <w:trPr>
          <w:trHeight w:val="138"/>
        </w:trPr>
        <w:tc>
          <w:tcPr>
            <w:tcW w:w="3360" w:type="dxa"/>
            <w:tcBorders>
              <w:top w:val="nil"/>
              <w:bottom w:val="nil"/>
              <w:right w:val="nil"/>
            </w:tcBorders>
            <w:shd w:val="clear" w:color="auto" w:fill="auto"/>
            <w:vAlign w:val="center"/>
          </w:tcPr>
          <w:p>
            <w:pPr>
              <w:spacing w:before="0" w:after="0"/>
              <w:jc w:val="left"/>
              <w:rPr>
                <w:noProof/>
              </w:rPr>
            </w:pPr>
            <w:r>
              <w:rPr>
                <w:noProof/>
              </w:rPr>
              <w:t>Têxtil Gramax Internacional</w:t>
            </w:r>
          </w:p>
        </w:tc>
        <w:tc>
          <w:tcPr>
            <w:tcW w:w="4800" w:type="dxa"/>
            <w:gridSpan w:val="3"/>
            <w:tcBorders>
              <w:top w:val="nil"/>
              <w:left w:val="nil"/>
              <w:bottom w:val="nil"/>
            </w:tcBorders>
            <w:shd w:val="clear" w:color="auto" w:fill="auto"/>
            <w:vAlign w:val="center"/>
          </w:tcPr>
          <w:p>
            <w:pPr>
              <w:spacing w:beforeLines="20" w:before="48" w:afterLines="20" w:after="48" w:line="276" w:lineRule="auto"/>
              <w:ind w:left="57" w:right="227"/>
              <w:jc w:val="right"/>
              <w:rPr>
                <w:rFonts w:eastAsia="Calibri"/>
                <w:noProof/>
                <w:szCs w:val="24"/>
              </w:rPr>
            </w:pPr>
            <w:r>
              <w:rPr>
                <w:noProof/>
              </w:rPr>
              <w:t>452</w:t>
            </w: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Nombre total d’entreprises:</w:t>
            </w:r>
            <w:r>
              <w:rPr>
                <w:b/>
                <w:noProof/>
                <w:sz w:val="22"/>
              </w:rPr>
              <w:t xml:space="preserve"> </w:t>
            </w:r>
            <w:r>
              <w:rPr>
                <w:b/>
                <w:noProof/>
              </w:rPr>
              <w:t>2</w:t>
            </w:r>
          </w:p>
        </w:tc>
        <w:tc>
          <w:tcPr>
            <w:tcW w:w="2880" w:type="dxa"/>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licenciements:</w:t>
            </w:r>
            <w:r>
              <w:rPr>
                <w:b/>
                <w:noProof/>
                <w:sz w:val="22"/>
              </w:rPr>
              <w:t xml:space="preserve"> </w:t>
            </w:r>
          </w:p>
        </w:tc>
        <w:tc>
          <w:tcPr>
            <w:tcW w:w="1440" w:type="dxa"/>
            <w:tcBorders>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1 161</w:t>
            </w:r>
          </w:p>
        </w:tc>
      </w:tr>
      <w:tr>
        <w:trPr>
          <w:trHeight w:val="284"/>
        </w:trPr>
        <w:tc>
          <w:tcPr>
            <w:tcW w:w="6720" w:type="dxa"/>
            <w:gridSpan w:val="3"/>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travailleurs indépendants en cessation d’activité:</w:t>
            </w:r>
            <w:r>
              <w:rPr>
                <w:noProof/>
              </w:rPr>
              <w:t xml:space="preserve"> </w:t>
            </w:r>
          </w:p>
        </w:tc>
        <w:tc>
          <w:tcPr>
            <w:tcW w:w="1440" w:type="dxa"/>
            <w:tcBorders>
              <w:top w:val="nil"/>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       0</w:t>
            </w:r>
          </w:p>
        </w:tc>
      </w:tr>
      <w:tr>
        <w:trPr>
          <w:trHeight w:val="284"/>
        </w:trPr>
        <w:tc>
          <w:tcPr>
            <w:tcW w:w="6720" w:type="dxa"/>
            <w:gridSpan w:val="3"/>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Nombre total de salariés et de travailleurs indépendants admissibles: </w:t>
            </w:r>
          </w:p>
        </w:tc>
        <w:tc>
          <w:tcPr>
            <w:tcW w:w="1440" w:type="dxa"/>
            <w:tcBorders>
              <w:top w:val="nil"/>
              <w:left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1 161</w:t>
            </w:r>
          </w:p>
        </w:tc>
      </w:tr>
    </w:tbl>
    <w:p>
      <w:pPr>
        <w:pStyle w:val="ManualHeading3"/>
        <w:rPr>
          <w:noProof/>
        </w:rPr>
      </w:pPr>
      <w:r>
        <w:rPr>
          <w:noProof/>
        </w:rPr>
        <w:t>Critère d’intervention</w:t>
      </w:r>
    </w:p>
    <w:p>
      <w:pPr>
        <w:pStyle w:val="ManualNumPar1"/>
        <w:rPr>
          <w:noProof/>
        </w:rPr>
      </w:pPr>
      <w:r>
        <w:t>6.</w:t>
      </w:r>
      <w:r>
        <w:tab/>
      </w:r>
      <w:r>
        <w:rPr>
          <w:noProof/>
        </w:rPr>
        <w:t xml:space="preserve">La demande du Portugal est fondée sur le critère d’intervention prévu à l’article 4, paragraphe 1, point b), du règlement FEM, qui exige qu'au moins 500 salariés soient licenciés sur une période de référence de neuf mois dans des entreprises opérant toutes dans le même secteur économique défini au niveau des divisions de la NACE Rév. 2, et situées dans une région ou deux régions contiguës de niveau NUTS 2, ou dans plus de deux régions contiguës de niveau NUTS 2, pour autant que plus de 500 salariés aient été licenciés dans deux des régions combinées de l’État membre. Il y a eu au total 1 161 licenciements dans des régions de niveau NUTS 2, répartis comme suit: 609 licenciements dans la région «Norte» (PT11), 17 dans la région «Centro» (PT16) et 535 dans la région «Lisboa» (PT17). </w:t>
      </w:r>
    </w:p>
    <w:p>
      <w:pPr>
        <w:pStyle w:val="ManualNumPar1"/>
        <w:rPr>
          <w:noProof/>
        </w:rPr>
      </w:pPr>
      <w:r>
        <w:t>7.</w:t>
      </w:r>
      <w:r>
        <w:tab/>
      </w:r>
      <w:r>
        <w:rPr>
          <w:noProof/>
        </w:rPr>
        <w:t>La période de référence de neuf mois pour la demande s’étend du 1</w:t>
      </w:r>
      <w:r>
        <w:rPr>
          <w:noProof/>
          <w:vertAlign w:val="superscript"/>
        </w:rPr>
        <w:t>er </w:t>
      </w:r>
      <w:r>
        <w:rPr>
          <w:noProof/>
        </w:rPr>
        <w:t>mai 2017 au 1</w:t>
      </w:r>
      <w:r>
        <w:rPr>
          <w:noProof/>
          <w:vertAlign w:val="superscript"/>
        </w:rPr>
        <w:t>er</w:t>
      </w:r>
      <w:r>
        <w:rPr>
          <w:noProof/>
        </w:rPr>
        <w:t> février 2018.</w:t>
      </w:r>
    </w:p>
    <w:p>
      <w:pPr>
        <w:pStyle w:val="ManualHeading3"/>
        <w:rPr>
          <w:noProof/>
        </w:rPr>
      </w:pPr>
      <w:r>
        <w:rPr>
          <w:noProof/>
        </w:rPr>
        <w:t>Calcul des licenciements et cessations d’activité</w:t>
      </w:r>
    </w:p>
    <w:p>
      <w:pPr>
        <w:pStyle w:val="ManualNumPar1"/>
        <w:rPr>
          <w:noProof/>
        </w:rPr>
      </w:pPr>
      <w:r>
        <w:t>8.</w:t>
      </w:r>
      <w:r>
        <w:tab/>
      </w:r>
      <w:r>
        <w:rPr>
          <w:noProof/>
        </w:rPr>
        <w:t>Tous les licenciements ont été calculés à partir de la date de la résiliation de fait du contrat de travail ou de son expiration.</w:t>
      </w:r>
    </w:p>
    <w:p>
      <w:pPr>
        <w:pStyle w:val="ManualHeading3"/>
        <w:rPr>
          <w:noProof/>
        </w:rPr>
      </w:pPr>
      <w:r>
        <w:rPr>
          <w:noProof/>
        </w:rPr>
        <w:t>Bénéficiaires admissibles</w:t>
      </w:r>
    </w:p>
    <w:p>
      <w:pPr>
        <w:pStyle w:val="ManualNumPar1"/>
        <w:rPr>
          <w:noProof/>
        </w:rPr>
      </w:pPr>
      <w:r>
        <w:t>9.</w:t>
      </w:r>
      <w:r>
        <w:tab/>
      </w:r>
      <w:r>
        <w:rPr>
          <w:noProof/>
        </w:rPr>
        <w:t>Le nombre total de bénéficiaires admissibles s’élève à 1 161.</w:t>
      </w:r>
    </w:p>
    <w:p>
      <w:pPr>
        <w:pStyle w:val="ManualHeading3"/>
        <w:tabs>
          <w:tab w:val="clear" w:pos="850"/>
          <w:tab w:val="left" w:pos="0"/>
        </w:tabs>
        <w:ind w:left="0" w:firstLine="0"/>
        <w:rPr>
          <w:noProof/>
        </w:rPr>
      </w:pPr>
      <w:r>
        <w:rPr>
          <w:noProof/>
        </w:rPr>
        <w:t>Lien entre les licenciements et les modifications majeures de la structure du commerce international résultant de la mondialisation</w:t>
      </w:r>
    </w:p>
    <w:p>
      <w:pPr>
        <w:pStyle w:val="ManualNumPar1"/>
        <w:rPr>
          <w:rStyle w:val="tm-p-em"/>
          <w:noProof/>
          <w:szCs w:val="24"/>
        </w:rPr>
      </w:pPr>
      <w:r>
        <w:rPr>
          <w:rStyle w:val="tm-p-em"/>
        </w:rPr>
        <w:t>10.</w:t>
      </w:r>
      <w:r>
        <w:rPr>
          <w:rStyle w:val="tm-p-em"/>
        </w:rPr>
        <w:tab/>
      </w:r>
      <w:r>
        <w:rPr>
          <w:noProof/>
        </w:rPr>
        <w:t xml:space="preserve">Pour établir le lien entre les licenciements et les modifications majeures de la structure du commerce international résultant de la mondialisation, le Portugal fait valoir que le secteur de l’habillement a été gravement perturbé, notamment par le recul de la part de marché de l’Union européenne, à la suite de l’expiration de </w:t>
      </w:r>
      <w:r>
        <w:rPr>
          <w:rStyle w:val="tm-p-em"/>
          <w:noProof/>
        </w:rPr>
        <w:t>l’accord Multifibres</w:t>
      </w:r>
      <w:r>
        <w:rPr>
          <w:rStyle w:val="FootnoteReference"/>
          <w:noProof/>
        </w:rPr>
        <w:footnoteReference w:id="6"/>
      </w:r>
      <w:r>
        <w:rPr>
          <w:rStyle w:val="tm-p-em"/>
          <w:noProof/>
        </w:rPr>
        <w:t xml:space="preserve"> en 2004.</w:t>
      </w:r>
    </w:p>
    <w:p>
      <w:pPr>
        <w:pStyle w:val="Text1"/>
        <w:ind w:left="851"/>
        <w:jc w:val="center"/>
        <w:rPr>
          <w:noProof/>
        </w:rPr>
      </w:pPr>
      <w:r>
        <w:rPr>
          <w:noProof/>
        </w:rPr>
        <w:t>Importations et exportations de vêtements dans l’UE-28 (en millions d’EUR)</w:t>
      </w:r>
    </w:p>
    <w:tbl>
      <w:tblPr>
        <w:tblStyle w:val="TableGrid"/>
        <w:tblW w:w="0" w:type="auto"/>
        <w:tblInd w:w="925" w:type="dxa"/>
        <w:tblLook w:val="04A0" w:firstRow="1" w:lastRow="0" w:firstColumn="1" w:lastColumn="0" w:noHBand="0" w:noVBand="1"/>
      </w:tblPr>
      <w:tblGrid>
        <w:gridCol w:w="1737"/>
        <w:gridCol w:w="946"/>
        <w:gridCol w:w="946"/>
        <w:gridCol w:w="947"/>
        <w:gridCol w:w="947"/>
        <w:gridCol w:w="947"/>
        <w:gridCol w:w="947"/>
        <w:gridCol w:w="947"/>
      </w:tblGrid>
      <w:tr>
        <w:tc>
          <w:tcPr>
            <w:tcW w:w="1114" w:type="dxa"/>
            <w:tcBorders>
              <w:top w:val="nil"/>
              <w:left w:val="nil"/>
            </w:tcBorders>
            <w:vAlign w:val="bottom"/>
          </w:tcPr>
          <w:p>
            <w:pPr>
              <w:jc w:val="center"/>
              <w:rPr>
                <w:b/>
                <w:noProof/>
                <w:color w:val="000000"/>
                <w:sz w:val="20"/>
                <w:szCs w:val="20"/>
              </w:rPr>
            </w:pPr>
          </w:p>
        </w:tc>
        <w:tc>
          <w:tcPr>
            <w:tcW w:w="1035" w:type="dxa"/>
            <w:vAlign w:val="bottom"/>
          </w:tcPr>
          <w:p>
            <w:pPr>
              <w:jc w:val="center"/>
              <w:rPr>
                <w:b/>
                <w:noProof/>
                <w:color w:val="000000"/>
                <w:sz w:val="20"/>
                <w:szCs w:val="20"/>
              </w:rPr>
            </w:pPr>
            <w:r>
              <w:rPr>
                <w:b/>
                <w:noProof/>
                <w:color w:val="000000"/>
                <w:sz w:val="20"/>
              </w:rPr>
              <w:t>2004</w:t>
            </w:r>
          </w:p>
        </w:tc>
        <w:tc>
          <w:tcPr>
            <w:tcW w:w="1035" w:type="dxa"/>
            <w:vAlign w:val="bottom"/>
          </w:tcPr>
          <w:p>
            <w:pPr>
              <w:jc w:val="center"/>
              <w:rPr>
                <w:b/>
                <w:noProof/>
                <w:color w:val="000000"/>
                <w:sz w:val="20"/>
                <w:szCs w:val="20"/>
              </w:rPr>
            </w:pPr>
            <w:r>
              <w:rPr>
                <w:b/>
                <w:noProof/>
                <w:color w:val="000000"/>
                <w:sz w:val="20"/>
              </w:rPr>
              <w:t>2005</w:t>
            </w:r>
          </w:p>
        </w:tc>
        <w:tc>
          <w:tcPr>
            <w:tcW w:w="1036" w:type="dxa"/>
            <w:vAlign w:val="bottom"/>
          </w:tcPr>
          <w:p>
            <w:pPr>
              <w:jc w:val="center"/>
              <w:rPr>
                <w:b/>
                <w:noProof/>
                <w:color w:val="000000"/>
                <w:sz w:val="20"/>
                <w:szCs w:val="20"/>
              </w:rPr>
            </w:pPr>
            <w:r>
              <w:rPr>
                <w:b/>
                <w:noProof/>
                <w:color w:val="000000"/>
                <w:sz w:val="20"/>
              </w:rPr>
              <w:t>2006</w:t>
            </w:r>
          </w:p>
        </w:tc>
        <w:tc>
          <w:tcPr>
            <w:tcW w:w="1036" w:type="dxa"/>
            <w:vAlign w:val="bottom"/>
          </w:tcPr>
          <w:p>
            <w:pPr>
              <w:jc w:val="center"/>
              <w:rPr>
                <w:b/>
                <w:noProof/>
                <w:color w:val="000000"/>
                <w:sz w:val="20"/>
                <w:szCs w:val="20"/>
              </w:rPr>
            </w:pPr>
            <w:r>
              <w:rPr>
                <w:b/>
                <w:noProof/>
                <w:color w:val="000000"/>
                <w:sz w:val="20"/>
              </w:rPr>
              <w:t>2007</w:t>
            </w:r>
          </w:p>
        </w:tc>
        <w:tc>
          <w:tcPr>
            <w:tcW w:w="1036" w:type="dxa"/>
            <w:vAlign w:val="bottom"/>
          </w:tcPr>
          <w:p>
            <w:pPr>
              <w:jc w:val="center"/>
              <w:rPr>
                <w:b/>
                <w:noProof/>
                <w:color w:val="000000"/>
                <w:sz w:val="20"/>
                <w:szCs w:val="20"/>
              </w:rPr>
            </w:pPr>
            <w:r>
              <w:rPr>
                <w:b/>
                <w:noProof/>
                <w:color w:val="000000"/>
                <w:sz w:val="20"/>
              </w:rPr>
              <w:t>2008</w:t>
            </w:r>
          </w:p>
        </w:tc>
        <w:tc>
          <w:tcPr>
            <w:tcW w:w="1036" w:type="dxa"/>
            <w:vAlign w:val="bottom"/>
          </w:tcPr>
          <w:p>
            <w:pPr>
              <w:jc w:val="center"/>
              <w:rPr>
                <w:b/>
                <w:noProof/>
                <w:color w:val="000000"/>
                <w:sz w:val="20"/>
                <w:szCs w:val="20"/>
              </w:rPr>
            </w:pPr>
            <w:r>
              <w:rPr>
                <w:b/>
                <w:noProof/>
                <w:color w:val="000000"/>
                <w:sz w:val="20"/>
              </w:rPr>
              <w:t>2009</w:t>
            </w:r>
          </w:p>
        </w:tc>
        <w:tc>
          <w:tcPr>
            <w:tcW w:w="1036" w:type="dxa"/>
            <w:vAlign w:val="bottom"/>
          </w:tcPr>
          <w:p>
            <w:pPr>
              <w:jc w:val="center"/>
              <w:rPr>
                <w:b/>
                <w:noProof/>
                <w:color w:val="000000"/>
                <w:sz w:val="20"/>
                <w:szCs w:val="20"/>
              </w:rPr>
            </w:pPr>
            <w:r>
              <w:rPr>
                <w:b/>
                <w:noProof/>
                <w:color w:val="000000"/>
                <w:sz w:val="20"/>
              </w:rPr>
              <w:t>2010</w:t>
            </w:r>
          </w:p>
        </w:tc>
      </w:tr>
      <w:tr>
        <w:tc>
          <w:tcPr>
            <w:tcW w:w="1114" w:type="dxa"/>
            <w:vAlign w:val="bottom"/>
          </w:tcPr>
          <w:p>
            <w:pPr>
              <w:rPr>
                <w:b/>
                <w:noProof/>
                <w:color w:val="000000"/>
                <w:sz w:val="19"/>
                <w:szCs w:val="19"/>
              </w:rPr>
            </w:pPr>
            <w:r>
              <w:rPr>
                <w:b/>
                <w:noProof/>
                <w:color w:val="000000"/>
                <w:sz w:val="19"/>
              </w:rPr>
              <w:t>IMPORTATIONS</w:t>
            </w:r>
          </w:p>
        </w:tc>
        <w:tc>
          <w:tcPr>
            <w:tcW w:w="1035" w:type="dxa"/>
            <w:vAlign w:val="bottom"/>
          </w:tcPr>
          <w:p>
            <w:pPr>
              <w:jc w:val="right"/>
              <w:rPr>
                <w:noProof/>
                <w:color w:val="000000"/>
                <w:sz w:val="20"/>
                <w:szCs w:val="20"/>
              </w:rPr>
            </w:pPr>
            <w:r>
              <w:rPr>
                <w:noProof/>
                <w:color w:val="000000"/>
                <w:sz w:val="20"/>
              </w:rPr>
              <w:t>49 674,5</w:t>
            </w:r>
          </w:p>
        </w:tc>
        <w:tc>
          <w:tcPr>
            <w:tcW w:w="1035" w:type="dxa"/>
            <w:vAlign w:val="bottom"/>
          </w:tcPr>
          <w:p>
            <w:pPr>
              <w:jc w:val="right"/>
              <w:rPr>
                <w:noProof/>
                <w:color w:val="000000"/>
                <w:sz w:val="20"/>
                <w:szCs w:val="20"/>
              </w:rPr>
            </w:pPr>
            <w:r>
              <w:rPr>
                <w:noProof/>
                <w:color w:val="000000"/>
                <w:sz w:val="20"/>
              </w:rPr>
              <w:t>54 379,5</w:t>
            </w:r>
          </w:p>
        </w:tc>
        <w:tc>
          <w:tcPr>
            <w:tcW w:w="1036" w:type="dxa"/>
            <w:vAlign w:val="bottom"/>
          </w:tcPr>
          <w:p>
            <w:pPr>
              <w:jc w:val="right"/>
              <w:rPr>
                <w:noProof/>
                <w:color w:val="000000"/>
                <w:sz w:val="20"/>
                <w:szCs w:val="20"/>
              </w:rPr>
            </w:pPr>
            <w:r>
              <w:rPr>
                <w:noProof/>
                <w:color w:val="000000"/>
                <w:sz w:val="20"/>
              </w:rPr>
              <w:t>61 409,9</w:t>
            </w:r>
          </w:p>
        </w:tc>
        <w:tc>
          <w:tcPr>
            <w:tcW w:w="1036" w:type="dxa"/>
            <w:vAlign w:val="bottom"/>
          </w:tcPr>
          <w:p>
            <w:pPr>
              <w:jc w:val="right"/>
              <w:rPr>
                <w:noProof/>
                <w:color w:val="000000"/>
                <w:sz w:val="20"/>
                <w:szCs w:val="20"/>
              </w:rPr>
            </w:pPr>
            <w:r>
              <w:rPr>
                <w:noProof/>
                <w:color w:val="000000"/>
                <w:sz w:val="20"/>
              </w:rPr>
              <w:t>64 479,0</w:t>
            </w:r>
          </w:p>
        </w:tc>
        <w:tc>
          <w:tcPr>
            <w:tcW w:w="1036" w:type="dxa"/>
            <w:vAlign w:val="bottom"/>
          </w:tcPr>
          <w:p>
            <w:pPr>
              <w:jc w:val="right"/>
              <w:rPr>
                <w:noProof/>
                <w:color w:val="000000"/>
                <w:sz w:val="20"/>
                <w:szCs w:val="20"/>
              </w:rPr>
            </w:pPr>
            <w:r>
              <w:rPr>
                <w:noProof/>
                <w:color w:val="000000"/>
                <w:sz w:val="20"/>
              </w:rPr>
              <w:t>65 990,0</w:t>
            </w:r>
          </w:p>
        </w:tc>
        <w:tc>
          <w:tcPr>
            <w:tcW w:w="1036" w:type="dxa"/>
            <w:vAlign w:val="bottom"/>
          </w:tcPr>
          <w:p>
            <w:pPr>
              <w:jc w:val="right"/>
              <w:rPr>
                <w:noProof/>
                <w:color w:val="000000"/>
                <w:sz w:val="20"/>
                <w:szCs w:val="20"/>
              </w:rPr>
            </w:pPr>
            <w:r>
              <w:rPr>
                <w:noProof/>
                <w:color w:val="000000"/>
                <w:sz w:val="20"/>
              </w:rPr>
              <w:t>63 735,6</w:t>
            </w:r>
          </w:p>
        </w:tc>
        <w:tc>
          <w:tcPr>
            <w:tcW w:w="1036" w:type="dxa"/>
            <w:vAlign w:val="bottom"/>
          </w:tcPr>
          <w:p>
            <w:pPr>
              <w:jc w:val="right"/>
              <w:rPr>
                <w:noProof/>
                <w:color w:val="000000"/>
                <w:sz w:val="20"/>
                <w:szCs w:val="20"/>
              </w:rPr>
            </w:pPr>
            <w:r>
              <w:rPr>
                <w:noProof/>
                <w:color w:val="000000"/>
                <w:sz w:val="20"/>
              </w:rPr>
              <w:t>71 169,7</w:t>
            </w:r>
          </w:p>
        </w:tc>
      </w:tr>
      <w:tr>
        <w:tc>
          <w:tcPr>
            <w:tcW w:w="1114" w:type="dxa"/>
            <w:tcBorders>
              <w:bottom w:val="single" w:sz="4" w:space="0" w:color="auto"/>
            </w:tcBorders>
            <w:vAlign w:val="bottom"/>
          </w:tcPr>
          <w:p>
            <w:pPr>
              <w:rPr>
                <w:b/>
                <w:noProof/>
                <w:color w:val="000000"/>
                <w:sz w:val="19"/>
                <w:szCs w:val="19"/>
              </w:rPr>
            </w:pPr>
            <w:r>
              <w:rPr>
                <w:b/>
                <w:noProof/>
                <w:color w:val="000000"/>
                <w:sz w:val="19"/>
              </w:rPr>
              <w:t>EXPORTATIONS</w:t>
            </w:r>
          </w:p>
        </w:tc>
        <w:tc>
          <w:tcPr>
            <w:tcW w:w="1035" w:type="dxa"/>
            <w:tcBorders>
              <w:bottom w:val="single" w:sz="4" w:space="0" w:color="auto"/>
            </w:tcBorders>
            <w:vAlign w:val="bottom"/>
          </w:tcPr>
          <w:p>
            <w:pPr>
              <w:jc w:val="right"/>
              <w:rPr>
                <w:noProof/>
                <w:color w:val="000000"/>
                <w:sz w:val="20"/>
                <w:szCs w:val="20"/>
              </w:rPr>
            </w:pPr>
            <w:r>
              <w:rPr>
                <w:noProof/>
                <w:color w:val="000000"/>
                <w:sz w:val="20"/>
              </w:rPr>
              <w:t>14 929,5</w:t>
            </w:r>
          </w:p>
        </w:tc>
        <w:tc>
          <w:tcPr>
            <w:tcW w:w="1035" w:type="dxa"/>
            <w:tcBorders>
              <w:bottom w:val="single" w:sz="4" w:space="0" w:color="auto"/>
            </w:tcBorders>
            <w:vAlign w:val="bottom"/>
          </w:tcPr>
          <w:p>
            <w:pPr>
              <w:jc w:val="right"/>
              <w:rPr>
                <w:noProof/>
                <w:color w:val="000000"/>
                <w:sz w:val="20"/>
                <w:szCs w:val="20"/>
              </w:rPr>
            </w:pPr>
            <w:r>
              <w:rPr>
                <w:noProof/>
                <w:color w:val="000000"/>
                <w:sz w:val="20"/>
              </w:rPr>
              <w:t>15 684,1</w:t>
            </w:r>
          </w:p>
        </w:tc>
        <w:tc>
          <w:tcPr>
            <w:tcW w:w="1036" w:type="dxa"/>
            <w:tcBorders>
              <w:bottom w:val="single" w:sz="4" w:space="0" w:color="auto"/>
            </w:tcBorders>
            <w:vAlign w:val="bottom"/>
          </w:tcPr>
          <w:p>
            <w:pPr>
              <w:jc w:val="right"/>
              <w:rPr>
                <w:noProof/>
                <w:color w:val="000000"/>
                <w:sz w:val="20"/>
                <w:szCs w:val="20"/>
              </w:rPr>
            </w:pPr>
            <w:r>
              <w:rPr>
                <w:noProof/>
                <w:color w:val="000000"/>
                <w:sz w:val="20"/>
              </w:rPr>
              <w:t>17 095,7</w:t>
            </w:r>
          </w:p>
        </w:tc>
        <w:tc>
          <w:tcPr>
            <w:tcW w:w="1036" w:type="dxa"/>
            <w:tcBorders>
              <w:bottom w:val="single" w:sz="4" w:space="0" w:color="auto"/>
            </w:tcBorders>
            <w:vAlign w:val="bottom"/>
          </w:tcPr>
          <w:p>
            <w:pPr>
              <w:jc w:val="right"/>
              <w:rPr>
                <w:noProof/>
                <w:color w:val="000000"/>
                <w:sz w:val="20"/>
                <w:szCs w:val="20"/>
              </w:rPr>
            </w:pPr>
            <w:r>
              <w:rPr>
                <w:noProof/>
                <w:color w:val="000000"/>
                <w:sz w:val="20"/>
              </w:rPr>
              <w:t>18 368,8</w:t>
            </w:r>
          </w:p>
        </w:tc>
        <w:tc>
          <w:tcPr>
            <w:tcW w:w="1036" w:type="dxa"/>
            <w:tcBorders>
              <w:bottom w:val="single" w:sz="4" w:space="0" w:color="auto"/>
            </w:tcBorders>
            <w:vAlign w:val="bottom"/>
          </w:tcPr>
          <w:p>
            <w:pPr>
              <w:jc w:val="right"/>
              <w:rPr>
                <w:noProof/>
                <w:color w:val="000000"/>
                <w:sz w:val="20"/>
                <w:szCs w:val="20"/>
              </w:rPr>
            </w:pPr>
            <w:r>
              <w:rPr>
                <w:noProof/>
                <w:color w:val="000000"/>
                <w:sz w:val="20"/>
              </w:rPr>
              <w:t>19 159,5</w:t>
            </w:r>
          </w:p>
        </w:tc>
        <w:tc>
          <w:tcPr>
            <w:tcW w:w="1036" w:type="dxa"/>
            <w:tcBorders>
              <w:bottom w:val="single" w:sz="4" w:space="0" w:color="auto"/>
            </w:tcBorders>
            <w:vAlign w:val="bottom"/>
          </w:tcPr>
          <w:p>
            <w:pPr>
              <w:jc w:val="right"/>
              <w:rPr>
                <w:noProof/>
                <w:color w:val="000000"/>
                <w:sz w:val="20"/>
                <w:szCs w:val="20"/>
              </w:rPr>
            </w:pPr>
            <w:r>
              <w:rPr>
                <w:noProof/>
                <w:color w:val="000000"/>
                <w:sz w:val="20"/>
              </w:rPr>
              <w:t>16 218,6</w:t>
            </w:r>
          </w:p>
        </w:tc>
        <w:tc>
          <w:tcPr>
            <w:tcW w:w="1036" w:type="dxa"/>
            <w:tcBorders>
              <w:bottom w:val="single" w:sz="4" w:space="0" w:color="auto"/>
            </w:tcBorders>
            <w:vAlign w:val="bottom"/>
          </w:tcPr>
          <w:p>
            <w:pPr>
              <w:jc w:val="right"/>
              <w:rPr>
                <w:noProof/>
                <w:color w:val="000000"/>
                <w:sz w:val="20"/>
                <w:szCs w:val="20"/>
              </w:rPr>
            </w:pPr>
            <w:r>
              <w:rPr>
                <w:noProof/>
                <w:color w:val="000000"/>
                <w:sz w:val="20"/>
              </w:rPr>
              <w:t>17 346,2</w:t>
            </w:r>
          </w:p>
        </w:tc>
      </w:tr>
      <w:tr>
        <w:tc>
          <w:tcPr>
            <w:tcW w:w="1114" w:type="dxa"/>
            <w:tcBorders>
              <w:top w:val="nil"/>
              <w:left w:val="nil"/>
              <w:bottom w:val="nil"/>
              <w:right w:val="nil"/>
            </w:tcBorders>
          </w:tcPr>
          <w:p>
            <w:pPr>
              <w:autoSpaceDE w:val="0"/>
              <w:autoSpaceDN w:val="0"/>
              <w:adjustRightInd w:val="0"/>
              <w:spacing w:after="0"/>
              <w:rPr>
                <w:noProof/>
                <w:sz w:val="4"/>
                <w:szCs w:val="4"/>
              </w:rPr>
            </w:pPr>
          </w:p>
        </w:tc>
        <w:tc>
          <w:tcPr>
            <w:tcW w:w="1035" w:type="dxa"/>
            <w:tcBorders>
              <w:top w:val="nil"/>
              <w:left w:val="nil"/>
              <w:right w:val="nil"/>
            </w:tcBorders>
          </w:tcPr>
          <w:p>
            <w:pPr>
              <w:autoSpaceDE w:val="0"/>
              <w:autoSpaceDN w:val="0"/>
              <w:adjustRightInd w:val="0"/>
              <w:spacing w:after="0"/>
              <w:rPr>
                <w:noProof/>
                <w:sz w:val="4"/>
                <w:szCs w:val="4"/>
              </w:rPr>
            </w:pPr>
          </w:p>
        </w:tc>
        <w:tc>
          <w:tcPr>
            <w:tcW w:w="1035" w:type="dxa"/>
            <w:tcBorders>
              <w:top w:val="nil"/>
              <w:left w:val="nil"/>
              <w:right w:val="nil"/>
            </w:tcBorders>
          </w:tcPr>
          <w:p>
            <w:pPr>
              <w:autoSpaceDE w:val="0"/>
              <w:autoSpaceDN w:val="0"/>
              <w:adjustRightInd w:val="0"/>
              <w:spacing w:after="0"/>
              <w:rPr>
                <w:noProof/>
                <w:sz w:val="4"/>
                <w:szCs w:val="4"/>
              </w:rPr>
            </w:pPr>
          </w:p>
        </w:tc>
        <w:tc>
          <w:tcPr>
            <w:tcW w:w="1036" w:type="dxa"/>
            <w:tcBorders>
              <w:top w:val="nil"/>
              <w:left w:val="nil"/>
              <w:right w:val="nil"/>
            </w:tcBorders>
          </w:tcPr>
          <w:p>
            <w:pPr>
              <w:autoSpaceDE w:val="0"/>
              <w:autoSpaceDN w:val="0"/>
              <w:adjustRightInd w:val="0"/>
              <w:spacing w:after="0"/>
              <w:rPr>
                <w:noProof/>
                <w:sz w:val="4"/>
                <w:szCs w:val="4"/>
              </w:rPr>
            </w:pPr>
          </w:p>
        </w:tc>
        <w:tc>
          <w:tcPr>
            <w:tcW w:w="1036" w:type="dxa"/>
            <w:tcBorders>
              <w:top w:val="nil"/>
              <w:left w:val="nil"/>
              <w:right w:val="nil"/>
            </w:tcBorders>
          </w:tcPr>
          <w:p>
            <w:pPr>
              <w:autoSpaceDE w:val="0"/>
              <w:autoSpaceDN w:val="0"/>
              <w:adjustRightInd w:val="0"/>
              <w:spacing w:after="0"/>
              <w:rPr>
                <w:noProof/>
                <w:sz w:val="4"/>
                <w:szCs w:val="4"/>
              </w:rPr>
            </w:pPr>
          </w:p>
        </w:tc>
        <w:tc>
          <w:tcPr>
            <w:tcW w:w="1036" w:type="dxa"/>
            <w:tcBorders>
              <w:top w:val="nil"/>
              <w:left w:val="nil"/>
              <w:right w:val="nil"/>
            </w:tcBorders>
          </w:tcPr>
          <w:p>
            <w:pPr>
              <w:autoSpaceDE w:val="0"/>
              <w:autoSpaceDN w:val="0"/>
              <w:adjustRightInd w:val="0"/>
              <w:spacing w:after="0"/>
              <w:rPr>
                <w:noProof/>
                <w:sz w:val="4"/>
                <w:szCs w:val="4"/>
              </w:rPr>
            </w:pPr>
          </w:p>
        </w:tc>
        <w:tc>
          <w:tcPr>
            <w:tcW w:w="1036" w:type="dxa"/>
            <w:tcBorders>
              <w:top w:val="nil"/>
              <w:left w:val="nil"/>
              <w:right w:val="nil"/>
            </w:tcBorders>
          </w:tcPr>
          <w:p>
            <w:pPr>
              <w:autoSpaceDE w:val="0"/>
              <w:autoSpaceDN w:val="0"/>
              <w:adjustRightInd w:val="0"/>
              <w:spacing w:after="0"/>
              <w:rPr>
                <w:noProof/>
                <w:sz w:val="4"/>
                <w:szCs w:val="4"/>
              </w:rPr>
            </w:pPr>
          </w:p>
        </w:tc>
        <w:tc>
          <w:tcPr>
            <w:tcW w:w="1036" w:type="dxa"/>
            <w:tcBorders>
              <w:top w:val="nil"/>
              <w:left w:val="nil"/>
              <w:bottom w:val="nil"/>
              <w:right w:val="nil"/>
            </w:tcBorders>
          </w:tcPr>
          <w:p>
            <w:pPr>
              <w:autoSpaceDE w:val="0"/>
              <w:autoSpaceDN w:val="0"/>
              <w:adjustRightInd w:val="0"/>
              <w:spacing w:after="0"/>
              <w:rPr>
                <w:noProof/>
                <w:sz w:val="4"/>
                <w:szCs w:val="4"/>
              </w:rPr>
            </w:pPr>
          </w:p>
        </w:tc>
      </w:tr>
      <w:tr>
        <w:tc>
          <w:tcPr>
            <w:tcW w:w="1114" w:type="dxa"/>
            <w:tcBorders>
              <w:top w:val="nil"/>
              <w:left w:val="nil"/>
            </w:tcBorders>
          </w:tcPr>
          <w:p>
            <w:pPr>
              <w:autoSpaceDE w:val="0"/>
              <w:autoSpaceDN w:val="0"/>
              <w:adjustRightInd w:val="0"/>
              <w:spacing w:after="0"/>
              <w:jc w:val="center"/>
              <w:rPr>
                <w:b/>
                <w:noProof/>
                <w:sz w:val="20"/>
                <w:szCs w:val="20"/>
              </w:rPr>
            </w:pPr>
          </w:p>
        </w:tc>
        <w:tc>
          <w:tcPr>
            <w:tcW w:w="1035" w:type="dxa"/>
            <w:vAlign w:val="bottom"/>
          </w:tcPr>
          <w:p>
            <w:pPr>
              <w:jc w:val="center"/>
              <w:rPr>
                <w:b/>
                <w:noProof/>
                <w:color w:val="000000"/>
                <w:sz w:val="20"/>
                <w:szCs w:val="20"/>
              </w:rPr>
            </w:pPr>
            <w:r>
              <w:rPr>
                <w:b/>
                <w:noProof/>
                <w:color w:val="000000"/>
                <w:sz w:val="20"/>
              </w:rPr>
              <w:t>2011</w:t>
            </w:r>
          </w:p>
        </w:tc>
        <w:tc>
          <w:tcPr>
            <w:tcW w:w="1035" w:type="dxa"/>
            <w:vAlign w:val="bottom"/>
          </w:tcPr>
          <w:p>
            <w:pPr>
              <w:jc w:val="center"/>
              <w:rPr>
                <w:b/>
                <w:noProof/>
                <w:color w:val="000000"/>
                <w:sz w:val="20"/>
                <w:szCs w:val="20"/>
              </w:rPr>
            </w:pPr>
            <w:r>
              <w:rPr>
                <w:b/>
                <w:noProof/>
                <w:color w:val="000000"/>
                <w:sz w:val="20"/>
              </w:rPr>
              <w:t>2012</w:t>
            </w:r>
          </w:p>
        </w:tc>
        <w:tc>
          <w:tcPr>
            <w:tcW w:w="1036" w:type="dxa"/>
            <w:vAlign w:val="bottom"/>
          </w:tcPr>
          <w:p>
            <w:pPr>
              <w:jc w:val="center"/>
              <w:rPr>
                <w:b/>
                <w:noProof/>
                <w:color w:val="000000"/>
                <w:sz w:val="20"/>
                <w:szCs w:val="20"/>
              </w:rPr>
            </w:pPr>
            <w:r>
              <w:rPr>
                <w:b/>
                <w:noProof/>
                <w:color w:val="000000"/>
                <w:sz w:val="20"/>
              </w:rPr>
              <w:t>2013</w:t>
            </w:r>
          </w:p>
        </w:tc>
        <w:tc>
          <w:tcPr>
            <w:tcW w:w="1036" w:type="dxa"/>
            <w:vAlign w:val="bottom"/>
          </w:tcPr>
          <w:p>
            <w:pPr>
              <w:jc w:val="center"/>
              <w:rPr>
                <w:b/>
                <w:noProof/>
                <w:color w:val="000000"/>
                <w:sz w:val="20"/>
                <w:szCs w:val="20"/>
              </w:rPr>
            </w:pPr>
            <w:r>
              <w:rPr>
                <w:b/>
                <w:noProof/>
                <w:color w:val="000000"/>
                <w:sz w:val="20"/>
              </w:rPr>
              <w:t>2014</w:t>
            </w:r>
          </w:p>
        </w:tc>
        <w:tc>
          <w:tcPr>
            <w:tcW w:w="1036" w:type="dxa"/>
            <w:vAlign w:val="bottom"/>
          </w:tcPr>
          <w:p>
            <w:pPr>
              <w:jc w:val="center"/>
              <w:rPr>
                <w:b/>
                <w:noProof/>
                <w:color w:val="000000"/>
                <w:sz w:val="20"/>
                <w:szCs w:val="20"/>
              </w:rPr>
            </w:pPr>
            <w:r>
              <w:rPr>
                <w:b/>
                <w:noProof/>
                <w:color w:val="000000"/>
                <w:sz w:val="20"/>
              </w:rPr>
              <w:t>2015</w:t>
            </w:r>
          </w:p>
        </w:tc>
        <w:tc>
          <w:tcPr>
            <w:tcW w:w="1036" w:type="dxa"/>
            <w:vAlign w:val="bottom"/>
          </w:tcPr>
          <w:p>
            <w:pPr>
              <w:jc w:val="center"/>
              <w:rPr>
                <w:b/>
                <w:noProof/>
                <w:color w:val="000000"/>
                <w:sz w:val="20"/>
                <w:szCs w:val="20"/>
              </w:rPr>
            </w:pPr>
            <w:r>
              <w:rPr>
                <w:b/>
                <w:noProof/>
                <w:color w:val="000000"/>
                <w:sz w:val="20"/>
              </w:rPr>
              <w:t>2016</w:t>
            </w:r>
          </w:p>
        </w:tc>
        <w:tc>
          <w:tcPr>
            <w:tcW w:w="1036" w:type="dxa"/>
            <w:tcBorders>
              <w:top w:val="nil"/>
              <w:bottom w:val="nil"/>
              <w:right w:val="nil"/>
            </w:tcBorders>
          </w:tcPr>
          <w:p>
            <w:pPr>
              <w:autoSpaceDE w:val="0"/>
              <w:autoSpaceDN w:val="0"/>
              <w:adjustRightInd w:val="0"/>
              <w:spacing w:after="0"/>
              <w:jc w:val="center"/>
              <w:rPr>
                <w:b/>
                <w:noProof/>
                <w:sz w:val="20"/>
                <w:szCs w:val="20"/>
              </w:rPr>
            </w:pPr>
          </w:p>
        </w:tc>
      </w:tr>
      <w:tr>
        <w:tc>
          <w:tcPr>
            <w:tcW w:w="1114" w:type="dxa"/>
            <w:vAlign w:val="bottom"/>
          </w:tcPr>
          <w:p>
            <w:pPr>
              <w:rPr>
                <w:b/>
                <w:noProof/>
                <w:color w:val="000000"/>
                <w:sz w:val="19"/>
                <w:szCs w:val="19"/>
              </w:rPr>
            </w:pPr>
            <w:r>
              <w:rPr>
                <w:b/>
                <w:noProof/>
                <w:color w:val="000000"/>
                <w:sz w:val="19"/>
              </w:rPr>
              <w:t>IMPORTATIONS</w:t>
            </w:r>
          </w:p>
        </w:tc>
        <w:tc>
          <w:tcPr>
            <w:tcW w:w="1035" w:type="dxa"/>
            <w:vAlign w:val="bottom"/>
          </w:tcPr>
          <w:p>
            <w:pPr>
              <w:jc w:val="right"/>
              <w:rPr>
                <w:noProof/>
                <w:color w:val="000000"/>
                <w:sz w:val="20"/>
                <w:szCs w:val="20"/>
              </w:rPr>
            </w:pPr>
            <w:r>
              <w:rPr>
                <w:noProof/>
                <w:color w:val="000000"/>
                <w:sz w:val="20"/>
              </w:rPr>
              <w:t>77 866,3</w:t>
            </w:r>
          </w:p>
        </w:tc>
        <w:tc>
          <w:tcPr>
            <w:tcW w:w="1035" w:type="dxa"/>
            <w:vAlign w:val="bottom"/>
          </w:tcPr>
          <w:p>
            <w:pPr>
              <w:jc w:val="right"/>
              <w:rPr>
                <w:noProof/>
                <w:color w:val="000000"/>
                <w:sz w:val="20"/>
                <w:szCs w:val="20"/>
              </w:rPr>
            </w:pPr>
            <w:r>
              <w:rPr>
                <w:noProof/>
                <w:color w:val="000000"/>
                <w:sz w:val="20"/>
              </w:rPr>
              <w:t>75 008,4</w:t>
            </w:r>
          </w:p>
        </w:tc>
        <w:tc>
          <w:tcPr>
            <w:tcW w:w="1036" w:type="dxa"/>
            <w:vAlign w:val="bottom"/>
          </w:tcPr>
          <w:p>
            <w:pPr>
              <w:jc w:val="right"/>
              <w:rPr>
                <w:noProof/>
                <w:color w:val="000000"/>
                <w:sz w:val="20"/>
                <w:szCs w:val="20"/>
              </w:rPr>
            </w:pPr>
            <w:r>
              <w:rPr>
                <w:noProof/>
                <w:color w:val="000000"/>
                <w:sz w:val="20"/>
              </w:rPr>
              <w:t>74 830,4</w:t>
            </w:r>
          </w:p>
        </w:tc>
        <w:tc>
          <w:tcPr>
            <w:tcW w:w="1036" w:type="dxa"/>
            <w:vAlign w:val="bottom"/>
          </w:tcPr>
          <w:p>
            <w:pPr>
              <w:jc w:val="right"/>
              <w:rPr>
                <w:noProof/>
                <w:color w:val="000000"/>
                <w:sz w:val="20"/>
                <w:szCs w:val="20"/>
              </w:rPr>
            </w:pPr>
            <w:r>
              <w:rPr>
                <w:noProof/>
                <w:color w:val="000000"/>
                <w:sz w:val="20"/>
              </w:rPr>
              <w:t>82 016,8</w:t>
            </w:r>
          </w:p>
        </w:tc>
        <w:tc>
          <w:tcPr>
            <w:tcW w:w="1036" w:type="dxa"/>
            <w:vAlign w:val="bottom"/>
          </w:tcPr>
          <w:p>
            <w:pPr>
              <w:jc w:val="right"/>
              <w:rPr>
                <w:noProof/>
                <w:color w:val="000000"/>
                <w:sz w:val="20"/>
                <w:szCs w:val="20"/>
              </w:rPr>
            </w:pPr>
            <w:r>
              <w:rPr>
                <w:noProof/>
                <w:color w:val="000000"/>
                <w:sz w:val="20"/>
              </w:rPr>
              <w:t>90 256,8</w:t>
            </w:r>
          </w:p>
        </w:tc>
        <w:tc>
          <w:tcPr>
            <w:tcW w:w="1036" w:type="dxa"/>
            <w:vAlign w:val="bottom"/>
          </w:tcPr>
          <w:p>
            <w:pPr>
              <w:jc w:val="right"/>
              <w:rPr>
                <w:noProof/>
                <w:color w:val="000000"/>
                <w:sz w:val="20"/>
                <w:szCs w:val="20"/>
              </w:rPr>
            </w:pPr>
            <w:r>
              <w:rPr>
                <w:noProof/>
                <w:color w:val="000000"/>
                <w:sz w:val="20"/>
              </w:rPr>
              <w:t>91 002,5</w:t>
            </w:r>
          </w:p>
        </w:tc>
        <w:tc>
          <w:tcPr>
            <w:tcW w:w="1036" w:type="dxa"/>
            <w:tcBorders>
              <w:top w:val="nil"/>
              <w:bottom w:val="nil"/>
              <w:right w:val="nil"/>
            </w:tcBorders>
          </w:tcPr>
          <w:p>
            <w:pPr>
              <w:autoSpaceDE w:val="0"/>
              <w:autoSpaceDN w:val="0"/>
              <w:adjustRightInd w:val="0"/>
              <w:spacing w:after="0"/>
              <w:rPr>
                <w:noProof/>
                <w:sz w:val="20"/>
                <w:szCs w:val="20"/>
              </w:rPr>
            </w:pPr>
          </w:p>
        </w:tc>
      </w:tr>
      <w:tr>
        <w:tc>
          <w:tcPr>
            <w:tcW w:w="1114" w:type="dxa"/>
            <w:vAlign w:val="bottom"/>
          </w:tcPr>
          <w:p>
            <w:pPr>
              <w:rPr>
                <w:b/>
                <w:noProof/>
                <w:color w:val="000000"/>
                <w:sz w:val="19"/>
                <w:szCs w:val="19"/>
              </w:rPr>
            </w:pPr>
            <w:r>
              <w:rPr>
                <w:b/>
                <w:noProof/>
                <w:color w:val="000000"/>
                <w:sz w:val="19"/>
              </w:rPr>
              <w:t>EXPORTATIONS</w:t>
            </w:r>
          </w:p>
        </w:tc>
        <w:tc>
          <w:tcPr>
            <w:tcW w:w="1035" w:type="dxa"/>
            <w:vAlign w:val="bottom"/>
          </w:tcPr>
          <w:p>
            <w:pPr>
              <w:jc w:val="right"/>
              <w:rPr>
                <w:noProof/>
                <w:color w:val="000000"/>
                <w:sz w:val="20"/>
                <w:szCs w:val="20"/>
              </w:rPr>
            </w:pPr>
            <w:r>
              <w:rPr>
                <w:noProof/>
                <w:color w:val="000000"/>
                <w:sz w:val="20"/>
              </w:rPr>
              <w:t>20 555,7</w:t>
            </w:r>
          </w:p>
        </w:tc>
        <w:tc>
          <w:tcPr>
            <w:tcW w:w="1035" w:type="dxa"/>
            <w:vAlign w:val="bottom"/>
          </w:tcPr>
          <w:p>
            <w:pPr>
              <w:jc w:val="right"/>
              <w:rPr>
                <w:noProof/>
                <w:color w:val="000000"/>
                <w:sz w:val="20"/>
                <w:szCs w:val="20"/>
              </w:rPr>
            </w:pPr>
            <w:r>
              <w:rPr>
                <w:noProof/>
                <w:color w:val="000000"/>
                <w:sz w:val="20"/>
              </w:rPr>
              <w:t>22 857,5</w:t>
            </w:r>
          </w:p>
        </w:tc>
        <w:tc>
          <w:tcPr>
            <w:tcW w:w="1036" w:type="dxa"/>
            <w:vAlign w:val="bottom"/>
          </w:tcPr>
          <w:p>
            <w:pPr>
              <w:jc w:val="right"/>
              <w:rPr>
                <w:noProof/>
                <w:color w:val="000000"/>
                <w:sz w:val="20"/>
                <w:szCs w:val="20"/>
              </w:rPr>
            </w:pPr>
            <w:r>
              <w:rPr>
                <w:noProof/>
                <w:color w:val="000000"/>
                <w:sz w:val="20"/>
              </w:rPr>
              <w:t>23 888,9</w:t>
            </w:r>
          </w:p>
        </w:tc>
        <w:tc>
          <w:tcPr>
            <w:tcW w:w="1036" w:type="dxa"/>
            <w:vAlign w:val="bottom"/>
          </w:tcPr>
          <w:p>
            <w:pPr>
              <w:jc w:val="right"/>
              <w:rPr>
                <w:noProof/>
                <w:color w:val="000000"/>
                <w:sz w:val="20"/>
                <w:szCs w:val="20"/>
              </w:rPr>
            </w:pPr>
            <w:r>
              <w:rPr>
                <w:noProof/>
                <w:color w:val="000000"/>
                <w:sz w:val="20"/>
              </w:rPr>
              <w:t>24 990,4</w:t>
            </w:r>
          </w:p>
        </w:tc>
        <w:tc>
          <w:tcPr>
            <w:tcW w:w="1036" w:type="dxa"/>
            <w:vAlign w:val="bottom"/>
          </w:tcPr>
          <w:p>
            <w:pPr>
              <w:jc w:val="right"/>
              <w:rPr>
                <w:noProof/>
                <w:color w:val="000000"/>
                <w:sz w:val="20"/>
                <w:szCs w:val="20"/>
              </w:rPr>
            </w:pPr>
            <w:r>
              <w:rPr>
                <w:noProof/>
                <w:color w:val="000000"/>
                <w:sz w:val="20"/>
              </w:rPr>
              <w:t>25 944,7</w:t>
            </w:r>
          </w:p>
        </w:tc>
        <w:tc>
          <w:tcPr>
            <w:tcW w:w="1036" w:type="dxa"/>
            <w:vAlign w:val="bottom"/>
          </w:tcPr>
          <w:p>
            <w:pPr>
              <w:jc w:val="right"/>
              <w:rPr>
                <w:noProof/>
                <w:color w:val="000000"/>
                <w:sz w:val="20"/>
                <w:szCs w:val="20"/>
              </w:rPr>
            </w:pPr>
            <w:r>
              <w:rPr>
                <w:noProof/>
                <w:color w:val="000000"/>
                <w:sz w:val="20"/>
              </w:rPr>
              <w:t>26 149,1</w:t>
            </w:r>
          </w:p>
        </w:tc>
        <w:tc>
          <w:tcPr>
            <w:tcW w:w="1036" w:type="dxa"/>
            <w:tcBorders>
              <w:top w:val="nil"/>
              <w:bottom w:val="nil"/>
              <w:right w:val="nil"/>
            </w:tcBorders>
          </w:tcPr>
          <w:p>
            <w:pPr>
              <w:autoSpaceDE w:val="0"/>
              <w:autoSpaceDN w:val="0"/>
              <w:adjustRightInd w:val="0"/>
              <w:spacing w:after="0"/>
              <w:rPr>
                <w:noProof/>
                <w:sz w:val="20"/>
                <w:szCs w:val="20"/>
              </w:rPr>
            </w:pPr>
          </w:p>
        </w:tc>
      </w:tr>
    </w:tbl>
    <w:p>
      <w:pPr>
        <w:pStyle w:val="ManualNumPar1"/>
        <w:rPr>
          <w:rStyle w:val="tm-p-"/>
          <w:noProof/>
        </w:rPr>
      </w:pPr>
      <w:r>
        <w:rPr>
          <w:rStyle w:val="tm-p-"/>
        </w:rPr>
        <w:t>11.</w:t>
      </w:r>
      <w:r>
        <w:rPr>
          <w:rStyle w:val="tm-p-"/>
        </w:rPr>
        <w:tab/>
      </w:r>
      <w:r>
        <w:rPr>
          <w:noProof/>
        </w:rPr>
        <w:t>Entre 2004 et 2016, les importations dans l’UE-28 ont augmenté de 83,19 %. Durant la même période, les exportations de l’UE-28 ont elles aussi progressé, mais dans une moindre mesure. De 2004 à 2016, les exportations dans le secteur de l’habillement ont en effet enregistré une hausse de 75,15 %. La balance commerciale demeure donc déficitaire.</w:t>
      </w:r>
    </w:p>
    <w:p>
      <w:pPr>
        <w:pStyle w:val="ManualNumPar1"/>
        <w:rPr>
          <w:noProof/>
        </w:rPr>
      </w:pPr>
      <w:r>
        <w:t>12.</w:t>
      </w:r>
      <w:r>
        <w:tab/>
      </w:r>
      <w:r>
        <w:rPr>
          <w:rStyle w:val="tm-p-"/>
          <w:noProof/>
        </w:rPr>
        <w:t>Avec une augmentation de ses exportations vers l’Union de 108 % entre 2008 et 2016, la Chine est actuellement le plus gros fournisseur de l’UE-28, suivie par le Bangladesh et la Turquie</w:t>
      </w:r>
      <w:r>
        <w:rPr>
          <w:rStyle w:val="FootnoteReference"/>
          <w:noProof/>
        </w:rPr>
        <w:footnoteReference w:id="7"/>
      </w:r>
      <w:r>
        <w:rPr>
          <w:noProof/>
        </w:rPr>
        <w:t>.</w:t>
      </w:r>
    </w:p>
    <w:p>
      <w:pPr>
        <w:pStyle w:val="ManualNumPar1"/>
        <w:rPr>
          <w:noProof/>
        </w:rPr>
      </w:pPr>
      <w:r>
        <w:t>13.</w:t>
      </w:r>
      <w:r>
        <w:tab/>
      </w:r>
      <w:r>
        <w:rPr>
          <w:noProof/>
        </w:rPr>
        <w:t>À ce jour, l’industrie de l’habillement a fait l’objet de six demandes d’intervention du FEM, dont quatre fondées sur la mondialisation des échanges et deux sur la crise économique et financière mondiale</w:t>
      </w:r>
      <w:r>
        <w:rPr>
          <w:rStyle w:val="FootnoteReference"/>
          <w:noProof/>
        </w:rPr>
        <w:footnoteReference w:id="8"/>
      </w:r>
      <w:r>
        <w:rPr>
          <w:noProof/>
        </w:rPr>
        <w:t>.</w:t>
      </w:r>
    </w:p>
    <w:p>
      <w:pPr>
        <w:pStyle w:val="ManualHeading3"/>
        <w:rPr>
          <w:noProof/>
        </w:rPr>
      </w:pPr>
      <w:r>
        <w:rPr>
          <w:noProof/>
        </w:rPr>
        <w:t>Événements à l’origine des licenciements et des cessations d’activité</w:t>
      </w:r>
    </w:p>
    <w:p>
      <w:pPr>
        <w:pStyle w:val="ManualNumPar1"/>
        <w:rPr>
          <w:noProof/>
        </w:rPr>
      </w:pPr>
      <w:r>
        <w:t>14.</w:t>
      </w:r>
      <w:r>
        <w:tab/>
      </w:r>
      <w:r>
        <w:rPr>
          <w:noProof/>
        </w:rPr>
        <w:t>La hausse des importations dans l’UE a exercé une pression à la baisse sur les prix, ce qui a eu un effet négatif sur la position financière des entreprises du secteur textile dans l’UE et a poussé l’industrie du textile et de l’habillement dans son ensemble à délocaliser la production vers des pays tiers à coûts plus faibles tels que la Chine et divers pays asiatiques</w:t>
      </w:r>
      <w:r>
        <w:rPr>
          <w:rStyle w:val="FootnoteReference"/>
          <w:noProof/>
        </w:rPr>
        <w:footnoteReference w:id="9"/>
      </w:r>
      <w:r>
        <w:rPr>
          <w:noProof/>
        </w:rPr>
        <w:t>. Au Portugal, dans les régions «Norte», «Centro» et «Lisboa», les effectifs dans le secteur de l’habillement n’ont donc cessé de diminuer (passant de 130 000 en 2005 à 90 000 en 2016)</w:t>
      </w:r>
      <w:r>
        <w:rPr>
          <w:rStyle w:val="FootnoteReference"/>
          <w:noProof/>
        </w:rPr>
        <w:footnoteReference w:id="10"/>
      </w:r>
      <w:r>
        <w:rPr>
          <w:noProof/>
        </w:rPr>
        <w:t>.</w:t>
      </w:r>
    </w:p>
    <w:p>
      <w:pPr>
        <w:pStyle w:val="ManualHeading3"/>
        <w:ind w:left="0" w:firstLine="0"/>
        <w:rPr>
          <w:noProof/>
        </w:rPr>
      </w:pPr>
      <w:r>
        <w:rPr>
          <w:noProof/>
        </w:rPr>
        <w:t>Effets attendus des licenciements sur l’économie et l’emploi à l’échelon local, régional ou national</w:t>
      </w:r>
    </w:p>
    <w:p>
      <w:pPr>
        <w:pStyle w:val="ManualNumPar1"/>
        <w:rPr>
          <w:noProof/>
        </w:rPr>
      </w:pPr>
      <w:r>
        <w:t>15.</w:t>
      </w:r>
      <w:r>
        <w:tab/>
      </w:r>
      <w:r>
        <w:rPr>
          <w:noProof/>
        </w:rPr>
        <w:t>En 2017, le taux de chômage dans les deux régions «Norte» et «Lisboa» (9,5 %) était supérieur à la moyenne nationale (8,9 %) et les licenciements massifs observés dans le secteur économique de l’habillement vont encore aggraver la situation</w:t>
      </w:r>
      <w:r>
        <w:rPr>
          <w:rStyle w:val="FootnoteReference"/>
          <w:noProof/>
        </w:rPr>
        <w:footnoteReference w:id="11"/>
      </w:r>
      <w:r>
        <w:rPr>
          <w:noProof/>
        </w:rPr>
        <w:t>.</w:t>
      </w:r>
    </w:p>
    <w:p>
      <w:pPr>
        <w:pStyle w:val="ManualNumPar1"/>
        <w:rPr>
          <w:rFonts w:eastAsia="Times New Roman"/>
          <w:noProof/>
          <w:szCs w:val="24"/>
        </w:rPr>
      </w:pPr>
      <w:r>
        <w:t>16.</w:t>
      </w:r>
      <w:r>
        <w:tab/>
      </w:r>
      <w:r>
        <w:rPr>
          <w:noProof/>
        </w:rPr>
        <w:t>Les districts où ont été enregistrés les licenciements affichent des taux de chômage dans le secteur de l’habillement supérieurs à ceux de leur région d’appartenance – «Norte», «Centro» ou «Lisboa»</w:t>
      </w:r>
      <w:r>
        <w:rPr>
          <w:rStyle w:val="FootnoteReference"/>
          <w:noProof/>
          <w:color w:val="000000"/>
        </w:rPr>
        <w:footnoteReference w:id="12"/>
      </w:r>
      <w:r>
        <w:rPr>
          <w:noProof/>
        </w:rPr>
        <w:t>.</w:t>
      </w:r>
    </w:p>
    <w:tbl>
      <w:tblPr>
        <w:tblStyle w:val="TableGrid"/>
        <w:tblW w:w="0" w:type="auto"/>
        <w:jc w:val="center"/>
        <w:tblInd w:w="850" w:type="dxa"/>
        <w:tblLook w:val="04A0" w:firstRow="1" w:lastRow="0" w:firstColumn="1" w:lastColumn="0" w:noHBand="0" w:noVBand="1"/>
      </w:tblPr>
      <w:tblGrid>
        <w:gridCol w:w="2796"/>
        <w:gridCol w:w="2846"/>
      </w:tblGrid>
      <w:tr>
        <w:trPr>
          <w:jc w:val="center"/>
        </w:trPr>
        <w:tc>
          <w:tcPr>
            <w:tcW w:w="2796" w:type="dxa"/>
          </w:tcPr>
          <w:p>
            <w:pPr>
              <w:pStyle w:val="Text1"/>
              <w:ind w:left="0"/>
              <w:jc w:val="center"/>
              <w:rPr>
                <w:noProof/>
              </w:rPr>
            </w:pPr>
            <w:r>
              <w:rPr>
                <w:noProof/>
              </w:rPr>
              <w:t>RÉGION</w:t>
            </w:r>
          </w:p>
        </w:tc>
        <w:tc>
          <w:tcPr>
            <w:tcW w:w="2846" w:type="dxa"/>
          </w:tcPr>
          <w:p>
            <w:pPr>
              <w:pStyle w:val="Text1"/>
              <w:ind w:left="0"/>
              <w:jc w:val="center"/>
              <w:rPr>
                <w:noProof/>
              </w:rPr>
            </w:pPr>
            <w:r>
              <w:rPr>
                <w:noProof/>
              </w:rPr>
              <w:t>2017</w:t>
            </w:r>
          </w:p>
        </w:tc>
      </w:tr>
      <w:tr>
        <w:trPr>
          <w:jc w:val="center"/>
        </w:trPr>
        <w:tc>
          <w:tcPr>
            <w:tcW w:w="2796" w:type="dxa"/>
          </w:tcPr>
          <w:p>
            <w:pPr>
              <w:pStyle w:val="Text1"/>
              <w:ind w:left="0"/>
              <w:jc w:val="left"/>
              <w:rPr>
                <w:b/>
                <w:noProof/>
                <w:sz w:val="20"/>
                <w:szCs w:val="20"/>
              </w:rPr>
            </w:pPr>
            <w:r>
              <w:rPr>
                <w:b/>
                <w:noProof/>
                <w:sz w:val="20"/>
              </w:rPr>
              <w:t>NORTE</w:t>
            </w:r>
          </w:p>
        </w:tc>
        <w:tc>
          <w:tcPr>
            <w:tcW w:w="2846" w:type="dxa"/>
          </w:tcPr>
          <w:p>
            <w:pPr>
              <w:spacing w:line="180" w:lineRule="exact"/>
              <w:jc w:val="center"/>
              <w:rPr>
                <w:noProof/>
                <w:sz w:val="20"/>
                <w:szCs w:val="20"/>
              </w:rPr>
            </w:pPr>
            <w:r>
              <w:rPr>
                <w:noProof/>
                <w:sz w:val="20"/>
              </w:rPr>
              <w:t>6,88</w:t>
            </w:r>
          </w:p>
        </w:tc>
      </w:tr>
      <w:tr>
        <w:trPr>
          <w:jc w:val="center"/>
        </w:trPr>
        <w:tc>
          <w:tcPr>
            <w:tcW w:w="2796" w:type="dxa"/>
          </w:tcPr>
          <w:p>
            <w:pPr>
              <w:spacing w:after="0"/>
              <w:jc w:val="left"/>
              <w:rPr>
                <w:rFonts w:eastAsia="Times New Roman"/>
                <w:noProof/>
                <w:color w:val="000000"/>
                <w:sz w:val="20"/>
                <w:szCs w:val="20"/>
              </w:rPr>
            </w:pPr>
            <w:r>
              <w:rPr>
                <w:noProof/>
                <w:color w:val="000000"/>
                <w:sz w:val="20"/>
              </w:rPr>
              <w:t>Penafiel</w:t>
            </w:r>
          </w:p>
        </w:tc>
        <w:tc>
          <w:tcPr>
            <w:tcW w:w="2846" w:type="dxa"/>
          </w:tcPr>
          <w:p>
            <w:pPr>
              <w:spacing w:line="180" w:lineRule="exact"/>
              <w:jc w:val="center"/>
              <w:rPr>
                <w:noProof/>
                <w:sz w:val="20"/>
                <w:szCs w:val="20"/>
              </w:rPr>
            </w:pPr>
            <w:r>
              <w:rPr>
                <w:noProof/>
                <w:sz w:val="20"/>
              </w:rPr>
              <w:t>7,13</w:t>
            </w:r>
          </w:p>
        </w:tc>
      </w:tr>
      <w:tr>
        <w:trPr>
          <w:jc w:val="center"/>
        </w:trPr>
        <w:tc>
          <w:tcPr>
            <w:tcW w:w="2796" w:type="dxa"/>
          </w:tcPr>
          <w:p>
            <w:pPr>
              <w:pStyle w:val="Text1"/>
              <w:ind w:left="0"/>
              <w:jc w:val="left"/>
              <w:rPr>
                <w:b/>
                <w:noProof/>
                <w:sz w:val="20"/>
                <w:szCs w:val="20"/>
              </w:rPr>
            </w:pPr>
            <w:r>
              <w:rPr>
                <w:b/>
                <w:noProof/>
                <w:sz w:val="20"/>
              </w:rPr>
              <w:t>CENTRO</w:t>
            </w:r>
          </w:p>
        </w:tc>
        <w:tc>
          <w:tcPr>
            <w:tcW w:w="2846" w:type="dxa"/>
          </w:tcPr>
          <w:p>
            <w:pPr>
              <w:spacing w:line="180" w:lineRule="exact"/>
              <w:jc w:val="center"/>
              <w:rPr>
                <w:noProof/>
                <w:sz w:val="20"/>
                <w:szCs w:val="20"/>
              </w:rPr>
            </w:pPr>
            <w:r>
              <w:rPr>
                <w:noProof/>
                <w:sz w:val="20"/>
              </w:rPr>
              <w:t>4,66</w:t>
            </w:r>
          </w:p>
        </w:tc>
      </w:tr>
      <w:tr>
        <w:trPr>
          <w:jc w:val="center"/>
        </w:trPr>
        <w:tc>
          <w:tcPr>
            <w:tcW w:w="2796" w:type="dxa"/>
          </w:tcPr>
          <w:p>
            <w:pPr>
              <w:spacing w:after="0"/>
              <w:jc w:val="left"/>
              <w:rPr>
                <w:rFonts w:eastAsia="Times New Roman"/>
                <w:bCs/>
                <w:noProof/>
                <w:color w:val="000000"/>
                <w:sz w:val="20"/>
                <w:szCs w:val="20"/>
              </w:rPr>
            </w:pPr>
            <w:r>
              <w:rPr>
                <w:noProof/>
                <w:color w:val="000000"/>
                <w:sz w:val="20"/>
              </w:rPr>
              <w:t>Coimbra</w:t>
            </w:r>
          </w:p>
        </w:tc>
        <w:tc>
          <w:tcPr>
            <w:tcW w:w="2846" w:type="dxa"/>
          </w:tcPr>
          <w:p>
            <w:pPr>
              <w:spacing w:line="180" w:lineRule="exact"/>
              <w:jc w:val="center"/>
              <w:rPr>
                <w:noProof/>
                <w:sz w:val="20"/>
                <w:szCs w:val="20"/>
              </w:rPr>
            </w:pPr>
            <w:r>
              <w:rPr>
                <w:noProof/>
                <w:sz w:val="20"/>
              </w:rPr>
              <w:t>5,60</w:t>
            </w:r>
          </w:p>
        </w:tc>
      </w:tr>
      <w:tr>
        <w:trPr>
          <w:jc w:val="center"/>
        </w:trPr>
        <w:tc>
          <w:tcPr>
            <w:tcW w:w="2796" w:type="dxa"/>
          </w:tcPr>
          <w:p>
            <w:pPr>
              <w:pStyle w:val="Text1"/>
              <w:ind w:left="0"/>
              <w:jc w:val="left"/>
              <w:rPr>
                <w:b/>
                <w:noProof/>
                <w:sz w:val="20"/>
                <w:szCs w:val="20"/>
              </w:rPr>
            </w:pPr>
            <w:r>
              <w:rPr>
                <w:b/>
                <w:noProof/>
                <w:sz w:val="20"/>
              </w:rPr>
              <w:t>LISBOA</w:t>
            </w:r>
          </w:p>
        </w:tc>
        <w:tc>
          <w:tcPr>
            <w:tcW w:w="2846" w:type="dxa"/>
          </w:tcPr>
          <w:p>
            <w:pPr>
              <w:spacing w:line="180" w:lineRule="exact"/>
              <w:jc w:val="center"/>
              <w:rPr>
                <w:noProof/>
                <w:sz w:val="20"/>
                <w:szCs w:val="20"/>
              </w:rPr>
            </w:pPr>
            <w:r>
              <w:rPr>
                <w:noProof/>
                <w:sz w:val="20"/>
              </w:rPr>
              <w:t>5,18</w:t>
            </w:r>
          </w:p>
        </w:tc>
      </w:tr>
      <w:tr>
        <w:trPr>
          <w:jc w:val="center"/>
        </w:trPr>
        <w:tc>
          <w:tcPr>
            <w:tcW w:w="2796" w:type="dxa"/>
          </w:tcPr>
          <w:p>
            <w:pPr>
              <w:spacing w:after="0"/>
              <w:jc w:val="left"/>
              <w:rPr>
                <w:rFonts w:eastAsia="Times New Roman"/>
                <w:noProof/>
                <w:color w:val="000000"/>
                <w:sz w:val="20"/>
                <w:szCs w:val="20"/>
              </w:rPr>
            </w:pPr>
            <w:r>
              <w:rPr>
                <w:noProof/>
                <w:color w:val="000000"/>
                <w:sz w:val="20"/>
              </w:rPr>
              <w:t>Lisboa (district)</w:t>
            </w:r>
          </w:p>
        </w:tc>
        <w:tc>
          <w:tcPr>
            <w:tcW w:w="2846" w:type="dxa"/>
          </w:tcPr>
          <w:p>
            <w:pPr>
              <w:spacing w:line="180" w:lineRule="exact"/>
              <w:jc w:val="center"/>
              <w:rPr>
                <w:noProof/>
                <w:sz w:val="20"/>
                <w:szCs w:val="20"/>
              </w:rPr>
            </w:pPr>
            <w:r>
              <w:rPr>
                <w:noProof/>
                <w:sz w:val="20"/>
              </w:rPr>
              <w:t>7,39</w:t>
            </w:r>
          </w:p>
        </w:tc>
      </w:tr>
    </w:tbl>
    <w:p>
      <w:pPr>
        <w:pStyle w:val="Text1"/>
        <w:spacing w:before="240"/>
        <w:ind w:left="851"/>
        <w:rPr>
          <w:rFonts w:ascii="Arial" w:hAnsi="Arial" w:cs="Arial"/>
          <w:noProof/>
          <w:sz w:val="22"/>
        </w:rPr>
      </w:pPr>
      <w:r>
        <w:rPr>
          <w:noProof/>
        </w:rPr>
        <w:t>Par conséquent, les licenciements ont eu un effet négatif important sur la situation des marchés locaux du travail</w:t>
      </w:r>
      <w:r>
        <w:rPr>
          <w:rStyle w:val="FootnoteReference"/>
          <w:noProof/>
        </w:rPr>
        <w:footnoteReference w:id="13"/>
      </w:r>
      <w:r>
        <w:rPr>
          <w:rFonts w:ascii="Arial" w:hAnsi="Arial"/>
          <w:noProof/>
          <w:sz w:val="22"/>
        </w:rPr>
        <w:t>.</w:t>
      </w:r>
    </w:p>
    <w:p>
      <w:pPr>
        <w:pStyle w:val="ManualNumPar1"/>
        <w:rPr>
          <w:noProof/>
        </w:rPr>
      </w:pPr>
      <w:r>
        <w:t>17.</w:t>
      </w:r>
      <w:r>
        <w:tab/>
      </w:r>
      <w:r>
        <w:rPr>
          <w:noProof/>
        </w:rPr>
        <w:t>Plus de 20 % des salariés visés ont plus de 55 ans et 88 % sont des femmes.</w:t>
      </w:r>
    </w:p>
    <w:p>
      <w:pPr>
        <w:pStyle w:val="ManualNumPar1"/>
        <w:rPr>
          <w:noProof/>
        </w:rPr>
      </w:pPr>
      <w:r>
        <w:t>18.</w:t>
      </w:r>
      <w:r>
        <w:tab/>
      </w:r>
      <w:r>
        <w:rPr>
          <w:noProof/>
        </w:rPr>
        <w:t>Les effets attendus des licenciements sont liés aux difficultés de reclassement des travailleurs faiblement qualifiés. En effet, les personnes licenciées sont en majorité peu qualifiées (78 % d’entre elles n’ont pas atteint le deuxième cycle de l’enseignement secondaire). Les données concernant la période allant de 2014 à 2017 montrent que le taux de chômage des titulaires d’un diplôme de l’enseignement supérieur est toujours plus faible que le taux de chômage global (6,5 % contre 8,9 % en 2017, par exemple). Inversement, le taux de chômage des personnes ayant un niveau d’instruction faible ou nul est habituellement plus élevé que le taux de chômage national (tous niveaux d’éducation confondus).</w:t>
      </w:r>
    </w:p>
    <w:p>
      <w:pPr>
        <w:pStyle w:val="Text1"/>
        <w:spacing w:before="240"/>
        <w:ind w:left="851"/>
        <w:jc w:val="center"/>
        <w:rPr>
          <w:noProof/>
        </w:rPr>
      </w:pPr>
      <w:r>
        <w:rPr>
          <w:noProof/>
        </w:rPr>
        <w:t>Taux de chômage en fonction du niveau d’éducation</w:t>
      </w:r>
      <w:r>
        <w:rPr>
          <w:rStyle w:val="FootnoteReference"/>
          <w:noProof/>
        </w:rPr>
        <w:footnoteReference w:id="14"/>
      </w:r>
    </w:p>
    <w:tbl>
      <w:tblPr>
        <w:tblStyle w:val="TableGrid"/>
        <w:tblW w:w="0" w:type="auto"/>
        <w:jc w:val="center"/>
        <w:tblInd w:w="850" w:type="dxa"/>
        <w:tblLook w:val="04A0" w:firstRow="1" w:lastRow="0" w:firstColumn="1" w:lastColumn="0" w:noHBand="0" w:noVBand="1"/>
      </w:tblPr>
      <w:tblGrid>
        <w:gridCol w:w="616"/>
        <w:gridCol w:w="1161"/>
        <w:gridCol w:w="905"/>
        <w:gridCol w:w="2810"/>
        <w:gridCol w:w="994"/>
        <w:gridCol w:w="783"/>
      </w:tblGrid>
      <w:tr>
        <w:trPr>
          <w:jc w:val="center"/>
        </w:trPr>
        <w:tc>
          <w:tcPr>
            <w:tcW w:w="0" w:type="auto"/>
          </w:tcPr>
          <w:p>
            <w:pPr>
              <w:pStyle w:val="Text1"/>
              <w:ind w:left="0"/>
              <w:rPr>
                <w:noProof/>
              </w:rPr>
            </w:pPr>
          </w:p>
        </w:tc>
        <w:tc>
          <w:tcPr>
            <w:tcW w:w="0" w:type="auto"/>
          </w:tcPr>
          <w:p>
            <w:pPr>
              <w:pStyle w:val="Text1"/>
              <w:ind w:left="0"/>
              <w:jc w:val="center"/>
              <w:rPr>
                <w:noProof/>
                <w:sz w:val="20"/>
                <w:szCs w:val="20"/>
              </w:rPr>
            </w:pPr>
            <w:r>
              <w:rPr>
                <w:noProof/>
                <w:sz w:val="20"/>
              </w:rPr>
              <w:t>Préprimaire</w:t>
            </w:r>
          </w:p>
        </w:tc>
        <w:tc>
          <w:tcPr>
            <w:tcW w:w="0" w:type="auto"/>
          </w:tcPr>
          <w:p>
            <w:pPr>
              <w:pStyle w:val="Text1"/>
              <w:ind w:left="0"/>
              <w:jc w:val="center"/>
              <w:rPr>
                <w:noProof/>
              </w:rPr>
            </w:pPr>
            <w:r>
              <w:rPr>
                <w:noProof/>
                <w:sz w:val="20"/>
              </w:rPr>
              <w:t>Primaire</w:t>
            </w:r>
          </w:p>
        </w:tc>
        <w:tc>
          <w:tcPr>
            <w:tcW w:w="0" w:type="auto"/>
          </w:tcPr>
          <w:p>
            <w:pPr>
              <w:pStyle w:val="Text1"/>
              <w:ind w:left="0"/>
              <w:jc w:val="center"/>
              <w:rPr>
                <w:noProof/>
                <w:sz w:val="20"/>
                <w:szCs w:val="20"/>
              </w:rPr>
            </w:pPr>
            <w:r>
              <w:rPr>
                <w:noProof/>
                <w:sz w:val="20"/>
              </w:rPr>
              <w:t>Secondaire</w:t>
            </w:r>
          </w:p>
          <w:p>
            <w:pPr>
              <w:pStyle w:val="Text1"/>
              <w:ind w:left="0"/>
              <w:jc w:val="center"/>
              <w:rPr>
                <w:noProof/>
                <w:sz w:val="20"/>
                <w:szCs w:val="20"/>
              </w:rPr>
            </w:pPr>
            <w:r>
              <w:rPr>
                <w:noProof/>
                <w:sz w:val="20"/>
              </w:rPr>
              <w:t>et post-secondaire non supérieur</w:t>
            </w:r>
          </w:p>
        </w:tc>
        <w:tc>
          <w:tcPr>
            <w:tcW w:w="0" w:type="auto"/>
          </w:tcPr>
          <w:p>
            <w:pPr>
              <w:pStyle w:val="Text1"/>
              <w:ind w:left="0"/>
              <w:jc w:val="center"/>
              <w:rPr>
                <w:noProof/>
                <w:sz w:val="20"/>
                <w:szCs w:val="20"/>
              </w:rPr>
            </w:pPr>
            <w:r>
              <w:rPr>
                <w:noProof/>
                <w:sz w:val="20"/>
              </w:rPr>
              <w:t>Supérieur</w:t>
            </w:r>
          </w:p>
        </w:tc>
        <w:tc>
          <w:tcPr>
            <w:tcW w:w="0" w:type="auto"/>
          </w:tcPr>
          <w:p>
            <w:pPr>
              <w:pStyle w:val="Text1"/>
              <w:ind w:left="0"/>
              <w:jc w:val="center"/>
              <w:rPr>
                <w:noProof/>
                <w:sz w:val="20"/>
                <w:szCs w:val="20"/>
              </w:rPr>
            </w:pPr>
            <w:r>
              <w:rPr>
                <w:noProof/>
                <w:sz w:val="20"/>
              </w:rPr>
              <w:t>Total</w:t>
            </w:r>
          </w:p>
        </w:tc>
      </w:tr>
      <w:tr>
        <w:trPr>
          <w:jc w:val="center"/>
        </w:trPr>
        <w:tc>
          <w:tcPr>
            <w:tcW w:w="0" w:type="auto"/>
          </w:tcPr>
          <w:p>
            <w:pPr>
              <w:pStyle w:val="Text1"/>
              <w:ind w:left="0"/>
              <w:jc w:val="center"/>
              <w:rPr>
                <w:noProof/>
                <w:sz w:val="20"/>
                <w:szCs w:val="20"/>
              </w:rPr>
            </w:pPr>
            <w:r>
              <w:rPr>
                <w:noProof/>
                <w:sz w:val="20"/>
              </w:rPr>
              <w:t>2017</w:t>
            </w:r>
          </w:p>
        </w:tc>
        <w:tc>
          <w:tcPr>
            <w:tcW w:w="0" w:type="auto"/>
          </w:tcPr>
          <w:p>
            <w:pPr>
              <w:pStyle w:val="Text1"/>
              <w:ind w:left="0"/>
              <w:jc w:val="center"/>
              <w:rPr>
                <w:noProof/>
                <w:sz w:val="20"/>
                <w:szCs w:val="20"/>
              </w:rPr>
            </w:pPr>
            <w:r>
              <w:rPr>
                <w:noProof/>
                <w:sz w:val="20"/>
              </w:rPr>
              <w:t>11,1 %</w:t>
            </w:r>
          </w:p>
        </w:tc>
        <w:tc>
          <w:tcPr>
            <w:tcW w:w="0" w:type="auto"/>
          </w:tcPr>
          <w:p>
            <w:pPr>
              <w:pStyle w:val="Text1"/>
              <w:ind w:left="0"/>
              <w:jc w:val="center"/>
              <w:rPr>
                <w:noProof/>
                <w:sz w:val="20"/>
                <w:szCs w:val="20"/>
              </w:rPr>
            </w:pPr>
            <w:r>
              <w:rPr>
                <w:noProof/>
                <w:sz w:val="20"/>
              </w:rPr>
              <w:t>9,5 %</w:t>
            </w:r>
          </w:p>
        </w:tc>
        <w:tc>
          <w:tcPr>
            <w:tcW w:w="0" w:type="auto"/>
          </w:tcPr>
          <w:p>
            <w:pPr>
              <w:pStyle w:val="Text1"/>
              <w:ind w:left="0"/>
              <w:jc w:val="center"/>
              <w:rPr>
                <w:noProof/>
                <w:sz w:val="20"/>
                <w:szCs w:val="20"/>
              </w:rPr>
            </w:pPr>
            <w:r>
              <w:rPr>
                <w:noProof/>
                <w:sz w:val="20"/>
              </w:rPr>
              <w:t>9,9 %</w:t>
            </w:r>
          </w:p>
        </w:tc>
        <w:tc>
          <w:tcPr>
            <w:tcW w:w="0" w:type="auto"/>
          </w:tcPr>
          <w:p>
            <w:pPr>
              <w:pStyle w:val="Text1"/>
              <w:ind w:left="0"/>
              <w:jc w:val="center"/>
              <w:rPr>
                <w:noProof/>
                <w:sz w:val="20"/>
                <w:szCs w:val="20"/>
              </w:rPr>
            </w:pPr>
            <w:r>
              <w:rPr>
                <w:noProof/>
                <w:sz w:val="20"/>
              </w:rPr>
              <w:t>6,5 %</w:t>
            </w:r>
          </w:p>
        </w:tc>
        <w:tc>
          <w:tcPr>
            <w:tcW w:w="0" w:type="auto"/>
          </w:tcPr>
          <w:p>
            <w:pPr>
              <w:pStyle w:val="Text1"/>
              <w:ind w:left="0"/>
              <w:jc w:val="center"/>
              <w:rPr>
                <w:noProof/>
                <w:sz w:val="20"/>
                <w:szCs w:val="20"/>
              </w:rPr>
            </w:pPr>
            <w:r>
              <w:rPr>
                <w:noProof/>
                <w:sz w:val="20"/>
              </w:rPr>
              <w:t>8,9 %</w:t>
            </w:r>
          </w:p>
        </w:tc>
      </w:tr>
      <w:tr>
        <w:trPr>
          <w:jc w:val="center"/>
        </w:trPr>
        <w:tc>
          <w:tcPr>
            <w:tcW w:w="0" w:type="auto"/>
          </w:tcPr>
          <w:p>
            <w:pPr>
              <w:pStyle w:val="Text1"/>
              <w:ind w:left="0"/>
              <w:jc w:val="center"/>
              <w:rPr>
                <w:noProof/>
                <w:sz w:val="20"/>
                <w:szCs w:val="20"/>
              </w:rPr>
            </w:pPr>
            <w:r>
              <w:rPr>
                <w:noProof/>
                <w:sz w:val="20"/>
              </w:rPr>
              <w:t>2016</w:t>
            </w:r>
          </w:p>
        </w:tc>
        <w:tc>
          <w:tcPr>
            <w:tcW w:w="0" w:type="auto"/>
          </w:tcPr>
          <w:p>
            <w:pPr>
              <w:pStyle w:val="Text1"/>
              <w:ind w:left="0"/>
              <w:jc w:val="center"/>
              <w:rPr>
                <w:noProof/>
                <w:sz w:val="20"/>
                <w:szCs w:val="20"/>
              </w:rPr>
            </w:pPr>
            <w:r>
              <w:rPr>
                <w:noProof/>
                <w:sz w:val="20"/>
              </w:rPr>
              <w:t>13,1 %</w:t>
            </w:r>
          </w:p>
        </w:tc>
        <w:tc>
          <w:tcPr>
            <w:tcW w:w="0" w:type="auto"/>
          </w:tcPr>
          <w:p>
            <w:pPr>
              <w:pStyle w:val="Text1"/>
              <w:ind w:left="0"/>
              <w:jc w:val="center"/>
              <w:rPr>
                <w:noProof/>
                <w:sz w:val="20"/>
                <w:szCs w:val="20"/>
              </w:rPr>
            </w:pPr>
            <w:r>
              <w:rPr>
                <w:noProof/>
                <w:sz w:val="20"/>
              </w:rPr>
              <w:t>11,8 %</w:t>
            </w:r>
          </w:p>
        </w:tc>
        <w:tc>
          <w:tcPr>
            <w:tcW w:w="0" w:type="auto"/>
          </w:tcPr>
          <w:p>
            <w:pPr>
              <w:pStyle w:val="Text1"/>
              <w:ind w:left="0"/>
              <w:jc w:val="center"/>
              <w:rPr>
                <w:noProof/>
                <w:sz w:val="20"/>
                <w:szCs w:val="20"/>
              </w:rPr>
            </w:pPr>
            <w:r>
              <w:rPr>
                <w:noProof/>
                <w:sz w:val="20"/>
              </w:rPr>
              <w:t>12,2 %</w:t>
            </w:r>
          </w:p>
        </w:tc>
        <w:tc>
          <w:tcPr>
            <w:tcW w:w="0" w:type="auto"/>
          </w:tcPr>
          <w:p>
            <w:pPr>
              <w:pStyle w:val="Text1"/>
              <w:ind w:left="0"/>
              <w:jc w:val="center"/>
              <w:rPr>
                <w:noProof/>
                <w:sz w:val="20"/>
                <w:szCs w:val="20"/>
              </w:rPr>
            </w:pPr>
            <w:r>
              <w:rPr>
                <w:noProof/>
                <w:sz w:val="20"/>
              </w:rPr>
              <w:t>8,4 %</w:t>
            </w:r>
          </w:p>
        </w:tc>
        <w:tc>
          <w:tcPr>
            <w:tcW w:w="0" w:type="auto"/>
          </w:tcPr>
          <w:p>
            <w:pPr>
              <w:pStyle w:val="Text1"/>
              <w:ind w:left="0"/>
              <w:jc w:val="center"/>
              <w:rPr>
                <w:noProof/>
                <w:sz w:val="20"/>
                <w:szCs w:val="20"/>
              </w:rPr>
            </w:pPr>
            <w:r>
              <w:rPr>
                <w:noProof/>
                <w:sz w:val="20"/>
              </w:rPr>
              <w:t>11,1 %</w:t>
            </w:r>
          </w:p>
        </w:tc>
      </w:tr>
      <w:tr>
        <w:trPr>
          <w:jc w:val="center"/>
        </w:trPr>
        <w:tc>
          <w:tcPr>
            <w:tcW w:w="0" w:type="auto"/>
          </w:tcPr>
          <w:p>
            <w:pPr>
              <w:pStyle w:val="Text1"/>
              <w:ind w:left="0"/>
              <w:jc w:val="center"/>
              <w:rPr>
                <w:noProof/>
                <w:sz w:val="20"/>
                <w:szCs w:val="20"/>
              </w:rPr>
            </w:pPr>
            <w:r>
              <w:rPr>
                <w:noProof/>
                <w:sz w:val="20"/>
              </w:rPr>
              <w:t>2015</w:t>
            </w:r>
          </w:p>
        </w:tc>
        <w:tc>
          <w:tcPr>
            <w:tcW w:w="0" w:type="auto"/>
          </w:tcPr>
          <w:p>
            <w:pPr>
              <w:pStyle w:val="Text1"/>
              <w:ind w:left="0"/>
              <w:jc w:val="center"/>
              <w:rPr>
                <w:noProof/>
                <w:sz w:val="20"/>
                <w:szCs w:val="20"/>
              </w:rPr>
            </w:pPr>
            <w:r>
              <w:rPr>
                <w:noProof/>
                <w:sz w:val="20"/>
              </w:rPr>
              <w:t>13,2 %</w:t>
            </w:r>
          </w:p>
        </w:tc>
        <w:tc>
          <w:tcPr>
            <w:tcW w:w="0" w:type="auto"/>
          </w:tcPr>
          <w:p>
            <w:pPr>
              <w:pStyle w:val="Text1"/>
              <w:ind w:left="0"/>
              <w:jc w:val="center"/>
              <w:rPr>
                <w:noProof/>
                <w:sz w:val="20"/>
                <w:szCs w:val="20"/>
              </w:rPr>
            </w:pPr>
            <w:r>
              <w:rPr>
                <w:noProof/>
                <w:sz w:val="20"/>
              </w:rPr>
              <w:t>13,3 %</w:t>
            </w:r>
          </w:p>
        </w:tc>
        <w:tc>
          <w:tcPr>
            <w:tcW w:w="0" w:type="auto"/>
          </w:tcPr>
          <w:p>
            <w:pPr>
              <w:pStyle w:val="Text1"/>
              <w:ind w:left="0"/>
              <w:jc w:val="center"/>
              <w:rPr>
                <w:noProof/>
                <w:sz w:val="20"/>
                <w:szCs w:val="20"/>
              </w:rPr>
            </w:pPr>
            <w:r>
              <w:rPr>
                <w:noProof/>
                <w:sz w:val="20"/>
              </w:rPr>
              <w:t>13,9 %</w:t>
            </w:r>
          </w:p>
        </w:tc>
        <w:tc>
          <w:tcPr>
            <w:tcW w:w="0" w:type="auto"/>
          </w:tcPr>
          <w:p>
            <w:pPr>
              <w:pStyle w:val="Text1"/>
              <w:ind w:left="0"/>
              <w:jc w:val="center"/>
              <w:rPr>
                <w:noProof/>
                <w:sz w:val="20"/>
                <w:szCs w:val="20"/>
              </w:rPr>
            </w:pPr>
            <w:r>
              <w:rPr>
                <w:noProof/>
                <w:sz w:val="20"/>
              </w:rPr>
              <w:t>9,2 %</w:t>
            </w:r>
          </w:p>
        </w:tc>
        <w:tc>
          <w:tcPr>
            <w:tcW w:w="0" w:type="auto"/>
          </w:tcPr>
          <w:p>
            <w:pPr>
              <w:pStyle w:val="Text1"/>
              <w:ind w:left="0"/>
              <w:jc w:val="center"/>
              <w:rPr>
                <w:noProof/>
                <w:sz w:val="20"/>
                <w:szCs w:val="20"/>
              </w:rPr>
            </w:pPr>
            <w:r>
              <w:rPr>
                <w:noProof/>
                <w:sz w:val="20"/>
              </w:rPr>
              <w:t>12,4 %</w:t>
            </w:r>
          </w:p>
        </w:tc>
      </w:tr>
      <w:tr>
        <w:trPr>
          <w:jc w:val="center"/>
        </w:trPr>
        <w:tc>
          <w:tcPr>
            <w:tcW w:w="0" w:type="auto"/>
          </w:tcPr>
          <w:p>
            <w:pPr>
              <w:pStyle w:val="Text1"/>
              <w:ind w:left="0"/>
              <w:jc w:val="center"/>
              <w:rPr>
                <w:noProof/>
                <w:sz w:val="20"/>
                <w:szCs w:val="20"/>
              </w:rPr>
            </w:pPr>
            <w:r>
              <w:rPr>
                <w:noProof/>
                <w:sz w:val="20"/>
              </w:rPr>
              <w:t>2014</w:t>
            </w:r>
          </w:p>
        </w:tc>
        <w:tc>
          <w:tcPr>
            <w:tcW w:w="0" w:type="auto"/>
          </w:tcPr>
          <w:p>
            <w:pPr>
              <w:pStyle w:val="Text1"/>
              <w:ind w:left="0"/>
              <w:jc w:val="center"/>
              <w:rPr>
                <w:noProof/>
                <w:sz w:val="20"/>
                <w:szCs w:val="20"/>
              </w:rPr>
            </w:pPr>
            <w:r>
              <w:rPr>
                <w:noProof/>
                <w:sz w:val="20"/>
              </w:rPr>
              <w:t>13,9 %</w:t>
            </w:r>
          </w:p>
        </w:tc>
        <w:tc>
          <w:tcPr>
            <w:tcW w:w="0" w:type="auto"/>
          </w:tcPr>
          <w:p>
            <w:pPr>
              <w:pStyle w:val="Text1"/>
              <w:ind w:left="0"/>
              <w:jc w:val="center"/>
              <w:rPr>
                <w:noProof/>
                <w:sz w:val="20"/>
                <w:szCs w:val="20"/>
              </w:rPr>
            </w:pPr>
            <w:r>
              <w:rPr>
                <w:noProof/>
                <w:sz w:val="20"/>
              </w:rPr>
              <w:t>15 %</w:t>
            </w:r>
          </w:p>
        </w:tc>
        <w:tc>
          <w:tcPr>
            <w:tcW w:w="0" w:type="auto"/>
          </w:tcPr>
          <w:p>
            <w:pPr>
              <w:pStyle w:val="Text1"/>
              <w:ind w:left="0"/>
              <w:jc w:val="center"/>
              <w:rPr>
                <w:noProof/>
                <w:sz w:val="20"/>
                <w:szCs w:val="20"/>
              </w:rPr>
            </w:pPr>
            <w:r>
              <w:rPr>
                <w:noProof/>
                <w:sz w:val="20"/>
              </w:rPr>
              <w:t>15,3 %</w:t>
            </w:r>
          </w:p>
        </w:tc>
        <w:tc>
          <w:tcPr>
            <w:tcW w:w="0" w:type="auto"/>
          </w:tcPr>
          <w:p>
            <w:pPr>
              <w:pStyle w:val="Text1"/>
              <w:ind w:left="0"/>
              <w:jc w:val="center"/>
              <w:rPr>
                <w:noProof/>
                <w:sz w:val="20"/>
                <w:szCs w:val="20"/>
              </w:rPr>
            </w:pPr>
            <w:r>
              <w:rPr>
                <w:noProof/>
                <w:sz w:val="20"/>
              </w:rPr>
              <w:t>10 %</w:t>
            </w:r>
          </w:p>
        </w:tc>
        <w:tc>
          <w:tcPr>
            <w:tcW w:w="0" w:type="auto"/>
          </w:tcPr>
          <w:p>
            <w:pPr>
              <w:pStyle w:val="Text1"/>
              <w:ind w:left="0"/>
              <w:jc w:val="center"/>
              <w:rPr>
                <w:noProof/>
                <w:sz w:val="20"/>
                <w:szCs w:val="20"/>
              </w:rPr>
            </w:pPr>
            <w:r>
              <w:rPr>
                <w:noProof/>
                <w:sz w:val="20"/>
              </w:rPr>
              <w:t>13,9 %</w:t>
            </w:r>
          </w:p>
        </w:tc>
      </w:tr>
    </w:tbl>
    <w:p>
      <w:pPr>
        <w:pStyle w:val="ManualHeading2"/>
        <w:ind w:left="0" w:firstLine="0"/>
        <w:rPr>
          <w:noProof/>
        </w:rPr>
      </w:pPr>
      <w:r>
        <w:rPr>
          <w:noProof/>
        </w:rPr>
        <w:t>Bénéficiaires visés et actions proposées</w:t>
      </w:r>
    </w:p>
    <w:p>
      <w:pPr>
        <w:pStyle w:val="ManualHeading3"/>
        <w:rPr>
          <w:noProof/>
        </w:rPr>
      </w:pPr>
      <w:r>
        <w:rPr>
          <w:noProof/>
        </w:rPr>
        <w:t>Bénéficiaires visés</w:t>
      </w:r>
    </w:p>
    <w:p>
      <w:pPr>
        <w:pStyle w:val="ManualNumPar1"/>
        <w:rPr>
          <w:noProof/>
        </w:rPr>
      </w:pPr>
      <w:r>
        <w:t>19.</w:t>
      </w:r>
      <w:r>
        <w:tab/>
      </w:r>
      <w:r>
        <w:rPr>
          <w:noProof/>
        </w:rPr>
        <w:t>On estime à 730 le nombre de travailleurs licenciés susceptibles de participer aux mesures. La ventilation par sexe, nationalité et tranche d’âge de ces travailleurs est la suivante:</w:t>
      </w:r>
    </w:p>
    <w:p>
      <w:pPr>
        <w:pStyle w:val="Text1"/>
        <w:rPr>
          <w:noProof/>
        </w:rPr>
      </w:pPr>
    </w:p>
    <w:p>
      <w:pPr>
        <w:pStyle w:val="Text1"/>
        <w:rPr>
          <w:noProof/>
        </w:rPr>
      </w:pPr>
    </w:p>
    <w:p>
      <w:pPr>
        <w:pStyle w:val="Text1"/>
        <w:rPr>
          <w:noProof/>
        </w:rPr>
      </w:pPr>
    </w:p>
    <w:p>
      <w:pPr>
        <w:pStyle w:val="Text1"/>
        <w:rPr>
          <w:noProof/>
        </w:rPr>
      </w:pPr>
    </w:p>
    <w:tbl>
      <w:tblPr>
        <w:tblpPr w:leftFromText="180" w:rightFromText="180" w:vertAnchor="text" w:horzAnchor="page" w:tblpX="3245" w:tblpY="-46"/>
        <w:tblW w:w="0" w:type="auto"/>
        <w:tblLook w:val="04A0" w:firstRow="1" w:lastRow="0" w:firstColumn="1" w:lastColumn="0" w:noHBand="0" w:noVBand="1"/>
      </w:tblPr>
      <w:tblGrid>
        <w:gridCol w:w="1496"/>
        <w:gridCol w:w="2063"/>
        <w:gridCol w:w="1176"/>
        <w:gridCol w:w="1485"/>
      </w:tblGrid>
      <w:t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661"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w:t>
            </w:r>
          </w:p>
        </w:tc>
      </w:tr>
      <w:t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83</w:t>
            </w:r>
          </w:p>
        </w:tc>
        <w:tc>
          <w:tcPr>
            <w:tcW w:w="1485" w:type="dxa"/>
            <w:tcBorders>
              <w:top w:val="single" w:sz="4" w:space="0" w:color="auto"/>
              <w:left w:val="nil"/>
              <w:right w:val="nil"/>
            </w:tcBorders>
            <w:hideMark/>
          </w:tcPr>
          <w:p>
            <w:pPr>
              <w:spacing w:before="60" w:after="60"/>
              <w:jc w:val="right"/>
              <w:rPr>
                <w:noProof/>
              </w:rPr>
            </w:pPr>
            <w:r>
              <w:rPr>
                <w:noProof/>
              </w:rPr>
              <w:t>(11,37 %)</w:t>
            </w:r>
          </w:p>
        </w:tc>
      </w:tr>
      <w:t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 647</w:t>
            </w:r>
          </w:p>
        </w:tc>
        <w:tc>
          <w:tcPr>
            <w:tcW w:w="1485" w:type="dxa"/>
            <w:tcBorders>
              <w:bottom w:val="single" w:sz="4" w:space="0" w:color="auto"/>
            </w:tcBorders>
            <w:hideMark/>
          </w:tcPr>
          <w:p>
            <w:pPr>
              <w:spacing w:before="60" w:after="60"/>
              <w:jc w:val="right"/>
              <w:rPr>
                <w:noProof/>
              </w:rPr>
            </w:pPr>
            <w:r>
              <w:rPr>
                <w:noProof/>
              </w:rPr>
              <w:t>(88,63 %)</w:t>
            </w:r>
          </w:p>
        </w:tc>
      </w:tr>
      <w:t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730</w:t>
            </w:r>
          </w:p>
        </w:tc>
        <w:tc>
          <w:tcPr>
            <w:tcW w:w="1485" w:type="dxa"/>
            <w:tcBorders>
              <w:top w:val="single" w:sz="4" w:space="0" w:color="auto"/>
            </w:tcBorders>
            <w:hideMark/>
          </w:tcPr>
          <w:p>
            <w:pPr>
              <w:spacing w:before="60" w:after="60"/>
              <w:jc w:val="right"/>
              <w:rPr>
                <w:noProof/>
              </w:rPr>
            </w:pPr>
            <w:r>
              <w:rPr>
                <w:noProof/>
              </w:rPr>
              <w:t>(100,00 %)</w:t>
            </w:r>
          </w:p>
        </w:tc>
      </w:tr>
      <w:t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 0</w:t>
            </w:r>
          </w:p>
        </w:tc>
        <w:tc>
          <w:tcPr>
            <w:tcW w:w="1485" w:type="dxa"/>
            <w:tcBorders>
              <w:bottom w:val="single" w:sz="4" w:space="0" w:color="auto"/>
            </w:tcBorders>
            <w:hideMark/>
          </w:tcPr>
          <w:p>
            <w:pPr>
              <w:spacing w:before="60" w:after="60"/>
              <w:jc w:val="right"/>
              <w:rPr>
                <w:noProof/>
              </w:rPr>
            </w:pPr>
            <w:r>
              <w:rPr>
                <w:noProof/>
              </w:rPr>
              <w:t>(0,00 %)</w:t>
            </w:r>
          </w:p>
        </w:tc>
      </w:tr>
      <w:t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 12</w:t>
            </w:r>
          </w:p>
        </w:tc>
        <w:tc>
          <w:tcPr>
            <w:tcW w:w="1485" w:type="dxa"/>
            <w:tcBorders>
              <w:top w:val="single" w:sz="4" w:space="0" w:color="auto"/>
            </w:tcBorders>
            <w:hideMark/>
          </w:tcPr>
          <w:p>
            <w:pPr>
              <w:spacing w:before="60" w:after="60"/>
              <w:jc w:val="right"/>
              <w:rPr>
                <w:noProof/>
              </w:rPr>
            </w:pPr>
            <w:r>
              <w:rPr>
                <w:noProof/>
              </w:rPr>
              <w:t>(1,64 %)</w:t>
            </w:r>
          </w:p>
        </w:tc>
      </w:tr>
      <w:t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 21</w:t>
            </w:r>
          </w:p>
        </w:tc>
        <w:tc>
          <w:tcPr>
            <w:tcW w:w="1485" w:type="dxa"/>
            <w:hideMark/>
          </w:tcPr>
          <w:p>
            <w:pPr>
              <w:spacing w:before="60" w:after="60"/>
              <w:jc w:val="right"/>
              <w:rPr>
                <w:noProof/>
              </w:rPr>
            </w:pPr>
            <w:r>
              <w:rPr>
                <w:noProof/>
              </w:rPr>
              <w:t>(2,88 %)</w:t>
            </w:r>
          </w:p>
        </w:tc>
      </w:tr>
      <w:t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547</w:t>
            </w:r>
          </w:p>
        </w:tc>
        <w:tc>
          <w:tcPr>
            <w:tcW w:w="1485" w:type="dxa"/>
            <w:hideMark/>
          </w:tcPr>
          <w:p>
            <w:pPr>
              <w:spacing w:before="60" w:after="60"/>
              <w:jc w:val="right"/>
              <w:rPr>
                <w:noProof/>
              </w:rPr>
            </w:pPr>
            <w:r>
              <w:rPr>
                <w:noProof/>
              </w:rPr>
              <w:t>(74,93 %)</w:t>
            </w:r>
          </w:p>
        </w:tc>
      </w:tr>
      <w:t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 150</w:t>
            </w:r>
          </w:p>
        </w:tc>
        <w:tc>
          <w:tcPr>
            <w:tcW w:w="1485" w:type="dxa"/>
            <w:hideMark/>
          </w:tcPr>
          <w:p>
            <w:pPr>
              <w:spacing w:before="60" w:after="60"/>
              <w:jc w:val="right"/>
              <w:rPr>
                <w:noProof/>
              </w:rPr>
            </w:pPr>
            <w:r>
              <w:rPr>
                <w:noProof/>
              </w:rPr>
              <w:t>(20,55 %)</w:t>
            </w:r>
          </w:p>
        </w:tc>
      </w:tr>
      <w:t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 0</w:t>
            </w:r>
          </w:p>
        </w:tc>
        <w:tc>
          <w:tcPr>
            <w:tcW w:w="1485" w:type="dxa"/>
            <w:tcBorders>
              <w:top w:val="nil"/>
              <w:left w:val="nil"/>
              <w:bottom w:val="single" w:sz="4" w:space="0" w:color="auto"/>
              <w:right w:val="nil"/>
            </w:tcBorders>
            <w:hideMark/>
          </w:tcPr>
          <w:p>
            <w:pPr>
              <w:spacing w:before="60" w:after="60"/>
              <w:jc w:val="right"/>
              <w:rPr>
                <w:noProof/>
              </w:rPr>
            </w:pPr>
            <w:r>
              <w:rPr>
                <w:noProof/>
              </w:rPr>
              <w:t>(0,00 %)</w:t>
            </w:r>
          </w:p>
        </w:tc>
      </w:tr>
    </w:tbl>
    <w:p>
      <w:pPr>
        <w:pStyle w:val="ManualNumPar1"/>
        <w:rPr>
          <w:noProof/>
          <w:color w:val="000000"/>
          <w:szCs w:val="24"/>
        </w:rPr>
      </w:pPr>
      <w:r>
        <w:t>20.</w:t>
      </w:r>
      <w:r>
        <w:tab/>
      </w:r>
    </w:p>
    <w:p>
      <w:pPr>
        <w:pStyle w:val="ManualNumPar1"/>
        <w:rPr>
          <w:noProof/>
          <w:color w:val="000000"/>
          <w:szCs w:val="24"/>
        </w:rPr>
      </w:pPr>
      <w:r>
        <w:t>21.</w:t>
      </w:r>
      <w:r>
        <w:tab/>
      </w:r>
      <w:r>
        <w:rPr>
          <w:noProof/>
        </w:rPr>
        <w:t>En outre, le Portugal fournira des services personnalisés cofinancés par le FEM à un maximum de 730 jeunes sans emploi, sortis du système scolaire ou sans formation (NEET) âgés de moins de 30 ans à la date d’introduction de la demande, car les 1 161 licenciements visés au point 9 sont survenus dans les régions de niveau NUTS 2 «Norte» (PT11), «Centro» (PT16) et «Lisboa» (PT17), où les taux de chômage des jeunes entre 15 et 24 ans s’élevaient au moins à 20 % d’après les données annuelles disponibles pour 2017.</w:t>
      </w:r>
    </w:p>
    <w:p>
      <w:pPr>
        <w:pStyle w:val="ManualNumPar1"/>
        <w:rPr>
          <w:noProof/>
          <w:szCs w:val="20"/>
        </w:rPr>
      </w:pPr>
      <w:r>
        <w:t>22.</w:t>
      </w:r>
      <w:r>
        <w:tab/>
      </w:r>
      <w:r>
        <w:rPr>
          <w:noProof/>
        </w:rPr>
        <w:t>On estime donc à 1 460 le nombre total de bénéficiaires visés susceptibles de participer aux mesures, NEET compris.</w:t>
      </w:r>
    </w:p>
    <w:p>
      <w:pPr>
        <w:pStyle w:val="ManualHeading3"/>
        <w:rPr>
          <w:noProof/>
          <w:u w:val="single"/>
        </w:rPr>
      </w:pPr>
      <w:r>
        <w:rPr>
          <w:noProof/>
        </w:rPr>
        <w:t>Admissibilité des actions proposées</w:t>
      </w:r>
    </w:p>
    <w:p>
      <w:pPr>
        <w:pStyle w:val="ManualNumPar1"/>
        <w:rPr>
          <w:noProof/>
        </w:rPr>
      </w:pPr>
      <w:bookmarkStart w:id="1" w:name="_Ref372214239"/>
      <w:r>
        <w:t>23.</w:t>
      </w:r>
      <w:r>
        <w:tab/>
      </w:r>
      <w:r>
        <w:rPr>
          <w:noProof/>
        </w:rPr>
        <w:t xml:space="preserve">Les services personnalisés à fournir aux travailleurs licenciés et aux NEET comprennent les actions énumérées ci-dessous. </w:t>
      </w:r>
      <w:bookmarkEnd w:id="1"/>
    </w:p>
    <w:p>
      <w:pPr>
        <w:pStyle w:val="Tiret1"/>
        <w:numPr>
          <w:ilvl w:val="0"/>
          <w:numId w:val="13"/>
        </w:numPr>
        <w:rPr>
          <w:noProof/>
        </w:rPr>
      </w:pPr>
      <w:r>
        <w:rPr>
          <w:noProof/>
          <w:u w:val="single"/>
        </w:rPr>
        <w:t>Formation et recyclage.</w:t>
      </w:r>
      <w:r>
        <w:rPr>
          <w:noProof/>
        </w:rPr>
        <w:t xml:space="preserve"> Ce volet inclut des stages, des formations professionnelles et continues ainsi que des plans d’insertion à l’intention des travailleurs et des NEET. Les activités ont été conçues pour que l’offre corresponde à la demande sur le marché du travail et que les participants développent leurs compétences.</w:t>
      </w:r>
    </w:p>
    <w:p>
      <w:pPr>
        <w:pStyle w:val="Tiret1"/>
        <w:rPr>
          <w:noProof/>
        </w:rPr>
      </w:pPr>
      <w:r>
        <w:rPr>
          <w:noProof/>
          <w:u w:val="single"/>
        </w:rPr>
        <w:t>Valorisation de l’entrepreneuriat.</w:t>
      </w:r>
      <w:r>
        <w:rPr>
          <w:noProof/>
        </w:rPr>
        <w:t xml:space="preserve"> Au titre de cette mesure, les participants bénéficieront d’une allocation de soutien au travail indépendant, d’une formation à l’entrepreneuriat et de la possibilité de rejoindre l’incubateur d’entreprises soutenu par les services publics pour l’emploi portugais (IEFP).</w:t>
      </w:r>
    </w:p>
    <w:p>
      <w:pPr>
        <w:pStyle w:val="Tiret1"/>
        <w:rPr>
          <w:noProof/>
        </w:rPr>
      </w:pPr>
      <w:r>
        <w:rPr>
          <w:noProof/>
          <w:u w:val="single"/>
        </w:rPr>
        <w:t>Allocations.</w:t>
      </w:r>
      <w:r>
        <w:rPr>
          <w:noProof/>
        </w:rPr>
        <w:t xml:space="preserve"> Celles-ci incluent: 1) des allocations de formation destinées à couvrir les frais engagés par le demandeur d’emploi ou le NEET pendant une formation; 2) des allocations de transport pour compenser les frais de déplacement encourus entre le lieu de résidence et les différents lieux de formation; 3) des indemnités de repas contribuant à la couverture des dépenses des participants obligés de prendre des repas à l’extérieur. </w:t>
      </w:r>
    </w:p>
    <w:p>
      <w:pPr>
        <w:pStyle w:val="ManualNumPar1"/>
        <w:rPr>
          <w:noProof/>
        </w:rPr>
      </w:pPr>
      <w:bookmarkStart w:id="2" w:name="_Ref372214242"/>
      <w:r>
        <w:t>24.</w:t>
      </w:r>
      <w:r>
        <w:tab/>
      </w:r>
      <w:r>
        <w:rPr>
          <w:noProof/>
        </w:rPr>
        <w:t>Les actions proposées qui sont décrites ici constituent des mesures actives du marché du travail entrant dans le cadre des actions admissibles visées à l’article 7 du règlement FEM. Ces actions ne se substituent pas à des mesures passives de protection sociale.</w:t>
      </w:r>
    </w:p>
    <w:p>
      <w:pPr>
        <w:pStyle w:val="ManualNumPar1"/>
        <w:rPr>
          <w:noProof/>
        </w:rPr>
      </w:pPr>
      <w:r>
        <w:t>25.</w:t>
      </w:r>
      <w:r>
        <w:tab/>
      </w:r>
      <w:r>
        <w:rPr>
          <w:noProof/>
        </w:rPr>
        <w:t>Le Portugal a fourni les informations requises sur les mesures revêtant un caractère obligatoire pour l’entreprise concernée en vertu du droit national ou de conventions collectives. Il a confirmé qu’une contribution financière du FEM ne se substituerait pas à ces mesures.</w:t>
      </w:r>
      <w:bookmarkEnd w:id="2"/>
    </w:p>
    <w:p>
      <w:pPr>
        <w:pStyle w:val="ManualHeading3"/>
        <w:rPr>
          <w:noProof/>
        </w:rPr>
      </w:pPr>
      <w:r>
        <w:rPr>
          <w:noProof/>
        </w:rPr>
        <w:t>Estimation du budget</w:t>
      </w:r>
    </w:p>
    <w:p>
      <w:pPr>
        <w:pStyle w:val="ManualNumPar1"/>
        <w:rPr>
          <w:noProof/>
        </w:rPr>
      </w:pPr>
      <w:r>
        <w:t>26.</w:t>
      </w:r>
      <w:r>
        <w:tab/>
      </w:r>
      <w:r>
        <w:rPr>
          <w:noProof/>
        </w:rPr>
        <w:t>Le coût total est estimé à 7 759 806 EUR; il correspond aux dépenses pour les services personnalisés, soit 7 742 160</w:t>
      </w:r>
      <w:r>
        <w:rPr>
          <w:noProof/>
          <w:color w:val="000000" w:themeColor="text1"/>
        </w:rPr>
        <w:t xml:space="preserve"> </w:t>
      </w:r>
      <w:r>
        <w:rPr>
          <w:noProof/>
        </w:rPr>
        <w:t xml:space="preserve"> EUR, et aux dépenses pour les activités de préparation, de gestion, d’information et de publicité, de contrôle et de rapport, qui représentent </w:t>
      </w:r>
      <w:r>
        <w:rPr>
          <w:noProof/>
          <w:color w:val="000000" w:themeColor="text1"/>
        </w:rPr>
        <w:t>17 646</w:t>
      </w:r>
      <w:r>
        <w:rPr>
          <w:noProof/>
        </w:rPr>
        <w:t> EUR.</w:t>
      </w:r>
    </w:p>
    <w:p>
      <w:pPr>
        <w:pStyle w:val="ManualNumPar1"/>
        <w:rPr>
          <w:noProof/>
        </w:rPr>
      </w:pPr>
      <w:bookmarkStart w:id="3" w:name="_Ref372550770"/>
      <w:r>
        <w:t>27.</w:t>
      </w:r>
      <w:r>
        <w:tab/>
      </w:r>
      <w:r>
        <w:rPr>
          <w:noProof/>
        </w:rPr>
        <w:t>La contribution financière totale demandée au FEM s’élève à 4 655 883 EUR (60 % du coût total)</w:t>
      </w:r>
      <w:bookmarkEnd w:id="3"/>
      <w:r>
        <w:rPr>
          <w:noProof/>
        </w:rPr>
        <w:t>.</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414"/>
        <w:gridCol w:w="1495"/>
        <w:gridCol w:w="1475"/>
        <w:gridCol w:w="1905"/>
      </w:tblGrid>
      <w:tr>
        <w:tc>
          <w:tcPr>
            <w:tcW w:w="4414" w:type="dxa"/>
            <w:shd w:val="clear" w:color="auto" w:fill="auto"/>
            <w:vAlign w:val="center"/>
          </w:tcPr>
          <w:p>
            <w:pPr>
              <w:spacing w:before="60" w:after="60"/>
              <w:jc w:val="center"/>
              <w:rPr>
                <w:rFonts w:eastAsia="Times New Roman"/>
                <w:noProof/>
                <w:sz w:val="22"/>
              </w:rPr>
            </w:pPr>
            <w:r>
              <w:rPr>
                <w:noProof/>
                <w:sz w:val="22"/>
              </w:rPr>
              <w:t>Actions</w:t>
            </w:r>
          </w:p>
        </w:tc>
        <w:tc>
          <w:tcPr>
            <w:tcW w:w="1495"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475" w:type="dxa"/>
            <w:shd w:val="clear" w:color="auto" w:fill="auto"/>
            <w:vAlign w:val="center"/>
          </w:tcPr>
          <w:p>
            <w:pPr>
              <w:spacing w:before="60" w:after="60"/>
              <w:jc w:val="center"/>
              <w:rPr>
                <w:rFonts w:eastAsia="Times New Roman"/>
                <w:noProof/>
                <w:sz w:val="22"/>
              </w:rPr>
            </w:pPr>
            <w:r>
              <w:rPr>
                <w:noProof/>
                <w:sz w:val="22"/>
              </w:rPr>
              <w:t>Estimation du coût par participant</w:t>
            </w:r>
            <w:r>
              <w:rPr>
                <w:rFonts w:eastAsia="Times New Roman"/>
                <w:noProof/>
                <w:sz w:val="22"/>
              </w:rPr>
              <w:br/>
            </w:r>
            <w:r>
              <w:rPr>
                <w:i/>
                <w:noProof/>
                <w:sz w:val="22"/>
              </w:rPr>
              <w:t>(en EUR)*</w:t>
            </w:r>
          </w:p>
        </w:tc>
        <w:tc>
          <w:tcPr>
            <w:tcW w:w="1905"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 xml:space="preserve">(en EUR)** </w:t>
            </w:r>
          </w:p>
        </w:tc>
      </w:tr>
      <w:tr>
        <w:tc>
          <w:tcPr>
            <w:tcW w:w="9289"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41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pt-PT"/>
              </w:rPr>
            </w:pPr>
            <w:r>
              <w:rPr>
                <w:noProof/>
                <w:lang w:val="pt-PT"/>
              </w:rPr>
              <w:t xml:space="preserve">Formation et recyclage </w:t>
            </w:r>
            <w:r>
              <w:rPr>
                <w:i/>
                <w:noProof/>
                <w:lang w:val="pt-PT"/>
              </w:rPr>
              <w:t>(Estágios Profissionais/Cursos de Formação Profissional/Plano de Integração)</w:t>
            </w:r>
          </w:p>
        </w:tc>
        <w:tc>
          <w:tcPr>
            <w:tcW w:w="149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1 571***</w:t>
            </w:r>
          </w:p>
        </w:tc>
        <w:tc>
          <w:tcPr>
            <w:tcW w:w="147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3 147 </w:t>
            </w:r>
          </w:p>
        </w:tc>
        <w:tc>
          <w:tcPr>
            <w:tcW w:w="190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4 943 633 </w:t>
            </w:r>
          </w:p>
        </w:tc>
      </w:tr>
      <w:tr>
        <w:trPr>
          <w:trHeight w:val="802"/>
        </w:trPr>
        <w:tc>
          <w:tcPr>
            <w:tcW w:w="441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pt-PT"/>
              </w:rPr>
            </w:pPr>
            <w:r>
              <w:rPr>
                <w:noProof/>
                <w:lang w:val="pt-PT"/>
              </w:rPr>
              <w:t xml:space="preserve">Valorisation de l’entrepreneuriat </w:t>
            </w:r>
            <w:r>
              <w:rPr>
                <w:i/>
                <w:noProof/>
                <w:lang w:val="pt-PT"/>
              </w:rPr>
              <w:t>(Bolsa de criação de emprego por conta própria/Formação em empreendedorismo/Possibilidade de integração do Ninho de Empresas do IEFP)</w:t>
            </w:r>
          </w:p>
        </w:tc>
        <w:tc>
          <w:tcPr>
            <w:tcW w:w="149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w:t>
            </w:r>
          </w:p>
        </w:tc>
        <w:tc>
          <w:tcPr>
            <w:tcW w:w="147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15 000 </w:t>
            </w:r>
          </w:p>
        </w:tc>
        <w:tc>
          <w:tcPr>
            <w:tcW w:w="190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450 000 </w:t>
            </w:r>
          </w:p>
        </w:tc>
      </w:tr>
      <w:tr>
        <w:trPr>
          <w:trHeight w:val="398"/>
        </w:trPr>
        <w:tc>
          <w:tcPr>
            <w:tcW w:w="441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coordonné de services personnalisés: </w:t>
            </w:r>
          </w:p>
        </w:tc>
        <w:tc>
          <w:tcPr>
            <w:tcW w:w="2970"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905" w:type="dxa"/>
            <w:tcBorders>
              <w:bottom w:val="nil"/>
            </w:tcBorders>
            <w:shd w:val="clear" w:color="auto" w:fill="auto"/>
            <w:vAlign w:val="center"/>
          </w:tcPr>
          <w:p>
            <w:pPr>
              <w:spacing w:before="60" w:after="60"/>
              <w:jc w:val="center"/>
              <w:rPr>
                <w:rFonts w:eastAsia="Times New Roman"/>
                <w:noProof/>
                <w:sz w:val="22"/>
              </w:rPr>
            </w:pPr>
            <w:r>
              <w:rPr>
                <w:noProof/>
              </w:rPr>
              <w:t>5 393 633 </w:t>
            </w:r>
          </w:p>
        </w:tc>
      </w:tr>
      <w:tr>
        <w:trPr>
          <w:trHeight w:val="397"/>
        </w:trPr>
        <w:tc>
          <w:tcPr>
            <w:tcW w:w="4414" w:type="dxa"/>
            <w:vMerge/>
            <w:shd w:val="clear" w:color="auto" w:fill="auto"/>
            <w:vAlign w:val="center"/>
          </w:tcPr>
          <w:p>
            <w:pPr>
              <w:spacing w:before="60" w:after="60"/>
              <w:jc w:val="right"/>
              <w:rPr>
                <w:rFonts w:eastAsia="Times New Roman"/>
                <w:noProof/>
                <w:sz w:val="22"/>
              </w:rPr>
            </w:pPr>
          </w:p>
        </w:tc>
        <w:tc>
          <w:tcPr>
            <w:tcW w:w="2970" w:type="dxa"/>
            <w:gridSpan w:val="2"/>
            <w:vMerge/>
            <w:shd w:val="clear" w:color="auto" w:fill="D9D9D9"/>
            <w:vAlign w:val="center"/>
          </w:tcPr>
          <w:p>
            <w:pPr>
              <w:spacing w:before="60" w:after="60"/>
              <w:jc w:val="center"/>
              <w:rPr>
                <w:rFonts w:eastAsia="Times New Roman"/>
                <w:noProof/>
                <w:sz w:val="22"/>
              </w:rPr>
            </w:pPr>
          </w:p>
        </w:tc>
        <w:tc>
          <w:tcPr>
            <w:tcW w:w="1905"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69,67</w:t>
            </w:r>
            <w:r>
              <w:rPr>
                <w:noProof/>
                <w:sz w:val="22"/>
              </w:rPr>
              <w:t xml:space="preserve"> %)</w:t>
            </w:r>
          </w:p>
        </w:tc>
      </w:tr>
      <w:tr>
        <w:tc>
          <w:tcPr>
            <w:tcW w:w="9289"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41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Allocations pour la formation, les transports et les repas </w:t>
            </w:r>
            <w:r>
              <w:rPr>
                <w:i/>
                <w:noProof/>
              </w:rPr>
              <w:t>(Bolsa de formação, transporte e alimentação)</w:t>
            </w:r>
            <w:r>
              <w:rPr>
                <w:noProof/>
              </w:rPr>
              <w:t xml:space="preserve">  </w:t>
            </w:r>
          </w:p>
        </w:tc>
        <w:tc>
          <w:tcPr>
            <w:tcW w:w="149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861</w:t>
            </w:r>
          </w:p>
        </w:tc>
        <w:tc>
          <w:tcPr>
            <w:tcW w:w="147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2 728 </w:t>
            </w:r>
          </w:p>
        </w:tc>
        <w:tc>
          <w:tcPr>
            <w:tcW w:w="190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 xml:space="preserve">2 348 527 </w:t>
            </w:r>
          </w:p>
        </w:tc>
      </w:tr>
      <w:tr>
        <w:trPr>
          <w:trHeight w:val="203"/>
        </w:trPr>
        <w:tc>
          <w:tcPr>
            <w:tcW w:w="441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2970"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905" w:type="dxa"/>
            <w:tcBorders>
              <w:bottom w:val="nil"/>
            </w:tcBorders>
            <w:shd w:val="clear" w:color="auto" w:fill="auto"/>
            <w:vAlign w:val="center"/>
          </w:tcPr>
          <w:p>
            <w:pPr>
              <w:spacing w:before="60" w:after="60"/>
              <w:jc w:val="center"/>
              <w:rPr>
                <w:rFonts w:eastAsia="Times New Roman"/>
                <w:noProof/>
                <w:sz w:val="22"/>
              </w:rPr>
            </w:pPr>
            <w:r>
              <w:rPr>
                <w:noProof/>
              </w:rPr>
              <w:t>2 348 527 </w:t>
            </w:r>
          </w:p>
        </w:tc>
      </w:tr>
      <w:tr>
        <w:trPr>
          <w:trHeight w:val="202"/>
        </w:trPr>
        <w:tc>
          <w:tcPr>
            <w:tcW w:w="4414" w:type="dxa"/>
            <w:vMerge/>
            <w:shd w:val="clear" w:color="auto" w:fill="auto"/>
            <w:vAlign w:val="center"/>
          </w:tcPr>
          <w:p>
            <w:pPr>
              <w:spacing w:before="60" w:after="60"/>
              <w:jc w:val="right"/>
              <w:rPr>
                <w:rFonts w:eastAsia="Times New Roman"/>
                <w:noProof/>
                <w:sz w:val="22"/>
              </w:rPr>
            </w:pPr>
          </w:p>
        </w:tc>
        <w:tc>
          <w:tcPr>
            <w:tcW w:w="2970" w:type="dxa"/>
            <w:gridSpan w:val="2"/>
            <w:vMerge/>
            <w:shd w:val="clear" w:color="auto" w:fill="D9D9D9"/>
            <w:vAlign w:val="center"/>
          </w:tcPr>
          <w:p>
            <w:pPr>
              <w:spacing w:before="60" w:after="60"/>
              <w:jc w:val="center"/>
              <w:rPr>
                <w:rFonts w:eastAsia="Times New Roman"/>
                <w:noProof/>
                <w:sz w:val="22"/>
              </w:rPr>
            </w:pPr>
          </w:p>
        </w:tc>
        <w:tc>
          <w:tcPr>
            <w:tcW w:w="1905"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30,33</w:t>
            </w:r>
            <w:r>
              <w:rPr>
                <w:noProof/>
                <w:sz w:val="22"/>
              </w:rPr>
              <w:t xml:space="preserve"> %)</w:t>
            </w:r>
          </w:p>
        </w:tc>
      </w:tr>
      <w:tr>
        <w:tc>
          <w:tcPr>
            <w:tcW w:w="9289" w:type="dxa"/>
            <w:gridSpan w:val="4"/>
            <w:shd w:val="clear" w:color="auto" w:fill="auto"/>
            <w:vAlign w:val="center"/>
          </w:tcPr>
          <w:p>
            <w:pPr>
              <w:spacing w:before="60" w:after="60"/>
              <w:jc w:val="left"/>
              <w:rPr>
                <w:rFonts w:eastAsia="Times New Roman"/>
                <w:noProof/>
                <w:sz w:val="22"/>
              </w:rPr>
            </w:pPr>
            <w:r>
              <w:rPr>
                <w:noProof/>
                <w:sz w:val="22"/>
              </w:rPr>
              <w:t xml:space="preserve"> Actions au titre de l’article 7, paragraphe 4, du règlement FEM</w:t>
            </w:r>
          </w:p>
        </w:tc>
      </w:tr>
      <w:tr>
        <w:tc>
          <w:tcPr>
            <w:tcW w:w="4414" w:type="dxa"/>
            <w:shd w:val="clear" w:color="auto" w:fill="auto"/>
          </w:tcPr>
          <w:p>
            <w:pPr>
              <w:spacing w:before="60" w:after="60"/>
              <w:ind w:left="284"/>
              <w:jc w:val="left"/>
              <w:rPr>
                <w:rFonts w:eastAsia="Times New Roman"/>
                <w:noProof/>
                <w:sz w:val="22"/>
              </w:rPr>
            </w:pPr>
            <w:r>
              <w:rPr>
                <w:noProof/>
                <w:sz w:val="22"/>
              </w:rPr>
              <w:t>1. Activités de préparation</w:t>
            </w:r>
          </w:p>
        </w:tc>
        <w:tc>
          <w:tcPr>
            <w:tcW w:w="2970" w:type="dxa"/>
            <w:gridSpan w:val="2"/>
            <w:shd w:val="clear" w:color="auto" w:fill="D9D9D9"/>
            <w:vAlign w:val="center"/>
          </w:tcPr>
          <w:p>
            <w:pPr>
              <w:spacing w:before="60" w:after="60"/>
              <w:jc w:val="center"/>
              <w:rPr>
                <w:rFonts w:eastAsia="Times New Roman"/>
                <w:noProof/>
                <w:sz w:val="22"/>
              </w:rPr>
            </w:pPr>
            <w:r>
              <w:rPr>
                <w:noProof/>
                <w:sz w:val="22"/>
              </w:rPr>
              <w:t>–</w:t>
            </w:r>
          </w:p>
        </w:tc>
        <w:tc>
          <w:tcPr>
            <w:tcW w:w="1905" w:type="dxa"/>
            <w:shd w:val="clear" w:color="auto" w:fill="auto"/>
            <w:vAlign w:val="center"/>
          </w:tcPr>
          <w:p>
            <w:pPr>
              <w:spacing w:before="60" w:after="60"/>
              <w:jc w:val="center"/>
              <w:rPr>
                <w:rFonts w:eastAsia="Times New Roman"/>
                <w:noProof/>
                <w:szCs w:val="24"/>
              </w:rPr>
            </w:pPr>
            <w:r>
              <w:rPr>
                <w:noProof/>
                <w:color w:val="000000"/>
              </w:rPr>
              <w:t>0,00</w:t>
            </w:r>
          </w:p>
        </w:tc>
      </w:tr>
      <w:tr>
        <w:tc>
          <w:tcPr>
            <w:tcW w:w="4414" w:type="dxa"/>
            <w:shd w:val="clear" w:color="auto" w:fill="auto"/>
          </w:tcPr>
          <w:p>
            <w:pPr>
              <w:spacing w:before="60" w:after="60"/>
              <w:ind w:left="284"/>
              <w:jc w:val="left"/>
              <w:rPr>
                <w:rFonts w:eastAsia="Times New Roman"/>
                <w:noProof/>
                <w:sz w:val="22"/>
              </w:rPr>
            </w:pPr>
            <w:r>
              <w:rPr>
                <w:noProof/>
                <w:sz w:val="22"/>
              </w:rPr>
              <w:t>2. Gestion</w:t>
            </w:r>
          </w:p>
        </w:tc>
        <w:tc>
          <w:tcPr>
            <w:tcW w:w="2970" w:type="dxa"/>
            <w:gridSpan w:val="2"/>
            <w:shd w:val="clear" w:color="auto" w:fill="D9D9D9"/>
            <w:vAlign w:val="center"/>
          </w:tcPr>
          <w:p>
            <w:pPr>
              <w:spacing w:before="60" w:after="60"/>
              <w:jc w:val="center"/>
              <w:rPr>
                <w:rFonts w:eastAsia="Times New Roman"/>
                <w:noProof/>
                <w:sz w:val="22"/>
              </w:rPr>
            </w:pPr>
            <w:r>
              <w:rPr>
                <w:noProof/>
                <w:sz w:val="22"/>
              </w:rPr>
              <w:t>–</w:t>
            </w:r>
          </w:p>
        </w:tc>
        <w:tc>
          <w:tcPr>
            <w:tcW w:w="1905" w:type="dxa"/>
            <w:shd w:val="clear" w:color="auto" w:fill="auto"/>
            <w:vAlign w:val="center"/>
          </w:tcPr>
          <w:p>
            <w:pPr>
              <w:spacing w:before="60" w:after="60"/>
              <w:jc w:val="center"/>
              <w:rPr>
                <w:rFonts w:eastAsia="Times New Roman"/>
                <w:noProof/>
                <w:szCs w:val="24"/>
              </w:rPr>
            </w:pPr>
            <w:r>
              <w:rPr>
                <w:noProof/>
                <w:color w:val="000000"/>
              </w:rPr>
              <w:t>15 236 </w:t>
            </w:r>
          </w:p>
        </w:tc>
      </w:tr>
      <w:tr>
        <w:tc>
          <w:tcPr>
            <w:tcW w:w="4414" w:type="dxa"/>
            <w:shd w:val="clear" w:color="auto" w:fill="auto"/>
          </w:tcPr>
          <w:p>
            <w:pPr>
              <w:spacing w:before="60" w:after="60"/>
              <w:ind w:left="284"/>
              <w:jc w:val="left"/>
              <w:rPr>
                <w:rFonts w:eastAsia="Times New Roman"/>
                <w:noProof/>
                <w:sz w:val="22"/>
              </w:rPr>
            </w:pPr>
            <w:r>
              <w:rPr>
                <w:noProof/>
                <w:sz w:val="22"/>
              </w:rPr>
              <w:t>3. Information et publicité</w:t>
            </w:r>
          </w:p>
        </w:tc>
        <w:tc>
          <w:tcPr>
            <w:tcW w:w="2970" w:type="dxa"/>
            <w:gridSpan w:val="2"/>
            <w:shd w:val="clear" w:color="auto" w:fill="D9D9D9"/>
            <w:vAlign w:val="center"/>
          </w:tcPr>
          <w:p>
            <w:pPr>
              <w:spacing w:before="60" w:after="60"/>
              <w:jc w:val="center"/>
              <w:rPr>
                <w:rFonts w:eastAsia="Times New Roman"/>
                <w:noProof/>
                <w:sz w:val="22"/>
              </w:rPr>
            </w:pPr>
            <w:r>
              <w:rPr>
                <w:noProof/>
                <w:sz w:val="22"/>
              </w:rPr>
              <w:t>–</w:t>
            </w:r>
          </w:p>
        </w:tc>
        <w:tc>
          <w:tcPr>
            <w:tcW w:w="1905" w:type="dxa"/>
            <w:shd w:val="clear" w:color="auto" w:fill="auto"/>
            <w:vAlign w:val="center"/>
          </w:tcPr>
          <w:p>
            <w:pPr>
              <w:spacing w:before="60" w:after="60"/>
              <w:jc w:val="center"/>
              <w:rPr>
                <w:rFonts w:eastAsia="Times New Roman"/>
                <w:noProof/>
                <w:szCs w:val="24"/>
              </w:rPr>
            </w:pPr>
            <w:r>
              <w:rPr>
                <w:noProof/>
                <w:color w:val="000000"/>
              </w:rPr>
              <w:t>0,00</w:t>
            </w:r>
          </w:p>
        </w:tc>
      </w:tr>
      <w:tr>
        <w:tc>
          <w:tcPr>
            <w:tcW w:w="4414" w:type="dxa"/>
            <w:shd w:val="clear" w:color="auto" w:fill="auto"/>
          </w:tcPr>
          <w:p>
            <w:pPr>
              <w:spacing w:before="60" w:after="60"/>
              <w:ind w:left="284"/>
              <w:jc w:val="left"/>
              <w:rPr>
                <w:rFonts w:eastAsia="Times New Roman"/>
                <w:noProof/>
                <w:sz w:val="22"/>
              </w:rPr>
            </w:pPr>
            <w:r>
              <w:rPr>
                <w:noProof/>
                <w:sz w:val="22"/>
              </w:rPr>
              <w:t>4. Contrôle et rapport</w:t>
            </w:r>
          </w:p>
        </w:tc>
        <w:tc>
          <w:tcPr>
            <w:tcW w:w="2970" w:type="dxa"/>
            <w:gridSpan w:val="2"/>
            <w:shd w:val="clear" w:color="auto" w:fill="D9D9D9"/>
            <w:vAlign w:val="center"/>
          </w:tcPr>
          <w:p>
            <w:pPr>
              <w:spacing w:before="60" w:after="60"/>
              <w:jc w:val="center"/>
              <w:rPr>
                <w:rFonts w:eastAsia="Times New Roman"/>
                <w:noProof/>
                <w:sz w:val="22"/>
              </w:rPr>
            </w:pPr>
            <w:r>
              <w:rPr>
                <w:noProof/>
                <w:sz w:val="22"/>
              </w:rPr>
              <w:t>–</w:t>
            </w:r>
          </w:p>
        </w:tc>
        <w:tc>
          <w:tcPr>
            <w:tcW w:w="1905" w:type="dxa"/>
            <w:tcBorders>
              <w:bottom w:val="single" w:sz="4" w:space="0" w:color="auto"/>
            </w:tcBorders>
            <w:shd w:val="clear" w:color="auto" w:fill="auto"/>
            <w:vAlign w:val="center"/>
          </w:tcPr>
          <w:p>
            <w:pPr>
              <w:spacing w:before="60" w:after="60"/>
              <w:jc w:val="center"/>
              <w:rPr>
                <w:rFonts w:eastAsia="Times New Roman"/>
                <w:noProof/>
                <w:szCs w:val="24"/>
              </w:rPr>
            </w:pPr>
            <w:r>
              <w:rPr>
                <w:noProof/>
                <w:color w:val="000000"/>
              </w:rPr>
              <w:t>2 410 </w:t>
            </w:r>
          </w:p>
        </w:tc>
      </w:tr>
      <w:tr>
        <w:trPr>
          <w:trHeight w:val="203"/>
        </w:trPr>
        <w:tc>
          <w:tcPr>
            <w:tcW w:w="4414"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2970"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905" w:type="dxa"/>
            <w:tcBorders>
              <w:bottom w:val="nil"/>
            </w:tcBorders>
            <w:shd w:val="clear" w:color="auto" w:fill="auto"/>
            <w:vAlign w:val="center"/>
          </w:tcPr>
          <w:p>
            <w:pPr>
              <w:spacing w:before="60" w:after="60"/>
              <w:jc w:val="center"/>
              <w:rPr>
                <w:rFonts w:eastAsia="Times New Roman"/>
                <w:noProof/>
                <w:szCs w:val="24"/>
              </w:rPr>
            </w:pPr>
            <w:r>
              <w:rPr>
                <w:noProof/>
                <w:color w:val="000000"/>
              </w:rPr>
              <w:t>17 646 </w:t>
            </w:r>
          </w:p>
        </w:tc>
      </w:tr>
      <w:tr>
        <w:trPr>
          <w:trHeight w:val="202"/>
        </w:trPr>
        <w:tc>
          <w:tcPr>
            <w:tcW w:w="4414" w:type="dxa"/>
            <w:vMerge/>
            <w:shd w:val="clear" w:color="auto" w:fill="auto"/>
          </w:tcPr>
          <w:p>
            <w:pPr>
              <w:spacing w:before="0" w:after="0"/>
              <w:jc w:val="right"/>
              <w:rPr>
                <w:rFonts w:eastAsia="Times New Roman"/>
                <w:noProof/>
                <w:sz w:val="22"/>
              </w:rPr>
            </w:pPr>
          </w:p>
        </w:tc>
        <w:tc>
          <w:tcPr>
            <w:tcW w:w="2970" w:type="dxa"/>
            <w:gridSpan w:val="2"/>
            <w:vMerge/>
            <w:shd w:val="clear" w:color="auto" w:fill="D9D9D9"/>
            <w:vAlign w:val="center"/>
          </w:tcPr>
          <w:p>
            <w:pPr>
              <w:spacing w:before="0" w:after="0"/>
              <w:jc w:val="center"/>
              <w:rPr>
                <w:rFonts w:eastAsia="Times New Roman"/>
                <w:noProof/>
                <w:sz w:val="22"/>
              </w:rPr>
            </w:pPr>
          </w:p>
        </w:tc>
        <w:tc>
          <w:tcPr>
            <w:tcW w:w="1905" w:type="dxa"/>
            <w:tcBorders>
              <w:top w:val="nil"/>
            </w:tcBorders>
            <w:shd w:val="clear" w:color="auto" w:fill="auto"/>
            <w:vAlign w:val="center"/>
          </w:tcPr>
          <w:p>
            <w:pPr>
              <w:spacing w:before="60" w:after="60"/>
              <w:jc w:val="center"/>
              <w:rPr>
                <w:rFonts w:eastAsia="Times New Roman"/>
                <w:noProof/>
                <w:szCs w:val="24"/>
              </w:rPr>
            </w:pPr>
            <w:r>
              <w:rPr>
                <w:noProof/>
              </w:rPr>
              <w:t>(0,23 %)</w:t>
            </w:r>
          </w:p>
        </w:tc>
      </w:tr>
      <w:tr>
        <w:tc>
          <w:tcPr>
            <w:tcW w:w="4414" w:type="dxa"/>
            <w:shd w:val="clear" w:color="auto" w:fill="auto"/>
          </w:tcPr>
          <w:p>
            <w:pPr>
              <w:spacing w:before="60" w:after="60"/>
              <w:jc w:val="left"/>
              <w:rPr>
                <w:rFonts w:eastAsia="Times New Roman"/>
                <w:noProof/>
                <w:sz w:val="22"/>
              </w:rPr>
            </w:pPr>
            <w:r>
              <w:rPr>
                <w:noProof/>
                <w:sz w:val="22"/>
              </w:rPr>
              <w:t>Coût total (a + b + c):</w:t>
            </w:r>
          </w:p>
        </w:tc>
        <w:tc>
          <w:tcPr>
            <w:tcW w:w="2970" w:type="dxa"/>
            <w:gridSpan w:val="2"/>
            <w:shd w:val="clear" w:color="auto" w:fill="D9D9D9"/>
            <w:vAlign w:val="center"/>
          </w:tcPr>
          <w:p>
            <w:pPr>
              <w:spacing w:before="60" w:after="60"/>
              <w:jc w:val="center"/>
              <w:rPr>
                <w:rFonts w:eastAsia="Times New Roman"/>
                <w:noProof/>
                <w:sz w:val="22"/>
              </w:rPr>
            </w:pPr>
            <w:r>
              <w:rPr>
                <w:noProof/>
                <w:sz w:val="22"/>
              </w:rPr>
              <w:t>–</w:t>
            </w:r>
          </w:p>
        </w:tc>
        <w:tc>
          <w:tcPr>
            <w:tcW w:w="1905" w:type="dxa"/>
            <w:shd w:val="clear" w:color="auto" w:fill="auto"/>
          </w:tcPr>
          <w:p>
            <w:pPr>
              <w:spacing w:before="60" w:after="60"/>
              <w:jc w:val="center"/>
              <w:rPr>
                <w:noProof/>
                <w:szCs w:val="24"/>
              </w:rPr>
            </w:pPr>
            <w:r>
              <w:rPr>
                <w:noProof/>
              </w:rPr>
              <w:t>7 759 806 </w:t>
            </w:r>
          </w:p>
        </w:tc>
      </w:tr>
      <w:tr>
        <w:tc>
          <w:tcPr>
            <w:tcW w:w="4414" w:type="dxa"/>
            <w:shd w:val="clear" w:color="auto" w:fill="auto"/>
          </w:tcPr>
          <w:p>
            <w:pPr>
              <w:spacing w:before="60" w:after="60"/>
              <w:jc w:val="left"/>
              <w:rPr>
                <w:rFonts w:eastAsia="Times New Roman"/>
                <w:noProof/>
                <w:sz w:val="22"/>
              </w:rPr>
            </w:pPr>
            <w:r>
              <w:rPr>
                <w:noProof/>
                <w:sz w:val="22"/>
              </w:rPr>
              <w:t>Contribution du FEM (60 % du coût total)</w:t>
            </w:r>
          </w:p>
        </w:tc>
        <w:tc>
          <w:tcPr>
            <w:tcW w:w="2970" w:type="dxa"/>
            <w:gridSpan w:val="2"/>
            <w:shd w:val="clear" w:color="auto" w:fill="D9D9D9"/>
            <w:vAlign w:val="center"/>
          </w:tcPr>
          <w:p>
            <w:pPr>
              <w:spacing w:before="60" w:after="60"/>
              <w:jc w:val="center"/>
              <w:rPr>
                <w:rFonts w:eastAsia="Times New Roman"/>
                <w:noProof/>
                <w:sz w:val="22"/>
              </w:rPr>
            </w:pPr>
            <w:r>
              <w:rPr>
                <w:noProof/>
                <w:sz w:val="22"/>
              </w:rPr>
              <w:t>–</w:t>
            </w:r>
          </w:p>
        </w:tc>
        <w:tc>
          <w:tcPr>
            <w:tcW w:w="1905" w:type="dxa"/>
            <w:shd w:val="clear" w:color="auto" w:fill="auto"/>
          </w:tcPr>
          <w:p>
            <w:pPr>
              <w:spacing w:before="60" w:after="60"/>
              <w:jc w:val="center"/>
              <w:rPr>
                <w:rFonts w:eastAsia="Times New Roman"/>
                <w:noProof/>
                <w:szCs w:val="24"/>
              </w:rPr>
            </w:pPr>
            <w:r>
              <w:rPr>
                <w:noProof/>
              </w:rPr>
              <w:t>4 655 883 </w:t>
            </w:r>
          </w:p>
        </w:tc>
      </w:tr>
    </w:tbl>
    <w:p>
      <w:pPr>
        <w:pStyle w:val="Text1"/>
        <w:ind w:left="0"/>
        <w:rPr>
          <w:noProof/>
        </w:rPr>
      </w:pPr>
      <w:r>
        <w:rPr>
          <w:noProof/>
        </w:rPr>
        <w:t>  * Afin d’éviter les décimales, les coûts estimés par participant ont été arrondis. Ces arrondis n’ont toutefois pas d’incidence sur le coût total de chaque mesure, qui ne diffère pas de celui indiqué dans la demande présentée par le Portugal.</w:t>
      </w:r>
    </w:p>
    <w:p>
      <w:pPr>
        <w:pStyle w:val="Text1"/>
        <w:ind w:left="0"/>
        <w:rPr>
          <w:noProof/>
        </w:rPr>
      </w:pPr>
      <w:r>
        <w:rPr>
          <w:noProof/>
        </w:rPr>
        <w:t>  ** Le total diffère de la somme des rubriques en raison de l’arrondi.</w:t>
      </w:r>
    </w:p>
    <w:p>
      <w:pPr>
        <w:pStyle w:val="Text1"/>
        <w:ind w:left="0"/>
        <w:rPr>
          <w:noProof/>
        </w:rPr>
      </w:pPr>
      <w:r>
        <w:rPr>
          <w:noProof/>
        </w:rPr>
        <w:t>  *** Le nombre de participants est supérieur à l’estimation du nombre total de bénéficiaires visés, car certains participants prennent part à plusieurs activités de formation.</w:t>
      </w:r>
    </w:p>
    <w:p>
      <w:pPr>
        <w:pStyle w:val="ManualNumPar1"/>
        <w:rPr>
          <w:noProof/>
          <w:szCs w:val="20"/>
        </w:rPr>
      </w:pPr>
      <w:r>
        <w:t>28.</w:t>
      </w:r>
      <w:r>
        <w:tab/>
      </w:r>
      <w:r>
        <w:rPr>
          <w:noProof/>
        </w:rPr>
        <w:t>Le coût des actions indiquées dans le tableau ci-dessus en tant qu’actions menées au titre de l’article 7, paragraphe 1, point b), du règlement FEM ne dépasse pas 35 % du coût total de l’ensemble coordonné de services personnalisés. Le Portugal a confirmé que ces actions étaient conditionnées à la participation active des bénéficiaires visés à des activités de recherche d’emploi ou de formation.</w:t>
      </w:r>
    </w:p>
    <w:p>
      <w:pPr>
        <w:pStyle w:val="ManualNumPar1"/>
        <w:rPr>
          <w:noProof/>
        </w:rPr>
      </w:pPr>
      <w:r>
        <w:t>29.</w:t>
      </w:r>
      <w:r>
        <w:tab/>
      </w:r>
      <w:r>
        <w:rPr>
          <w:noProof/>
        </w:rPr>
        <w:t>Le Portugal a également confirmé que les coûts d’investissement pour l’emploi indépendant, la création d’entreprises et la reprise d’entreprises par les salariés ne dépasseront pas 15 000 EUR par bénéficiaire.</w:t>
      </w:r>
    </w:p>
    <w:p>
      <w:pPr>
        <w:pStyle w:val="ManualHeading3"/>
        <w:rPr>
          <w:noProof/>
        </w:rPr>
      </w:pPr>
      <w:r>
        <w:rPr>
          <w:noProof/>
        </w:rPr>
        <w:t>Période d’admissibilité des dépenses</w:t>
      </w:r>
    </w:p>
    <w:p>
      <w:pPr>
        <w:pStyle w:val="ManualNumPar1"/>
        <w:rPr>
          <w:noProof/>
        </w:rPr>
      </w:pPr>
      <w:r>
        <w:t>30.</w:t>
      </w:r>
      <w:r>
        <w:tab/>
      </w:r>
      <w:r>
        <w:rPr>
          <w:noProof/>
        </w:rPr>
        <w:t>Le Portugal a commencé à fournir les services personnalisés aux bénéficiaires visés le 1</w:t>
      </w:r>
      <w:r>
        <w:rPr>
          <w:noProof/>
          <w:vertAlign w:val="superscript"/>
        </w:rPr>
        <w:t>er</w:t>
      </w:r>
      <w:r>
        <w:rPr>
          <w:noProof/>
        </w:rPr>
        <w:t xml:space="preserve"> juin 2018. Les dépenses relatives aux actions seront donc admissibles, au titre de la participation financière du FEM, du 1</w:t>
      </w:r>
      <w:r>
        <w:rPr>
          <w:noProof/>
          <w:vertAlign w:val="superscript"/>
        </w:rPr>
        <w:t>er</w:t>
      </w:r>
      <w:r>
        <w:rPr>
          <w:noProof/>
        </w:rPr>
        <w:t xml:space="preserve"> juin 2018 au 1</w:t>
      </w:r>
      <w:r>
        <w:rPr>
          <w:noProof/>
          <w:vertAlign w:val="superscript"/>
        </w:rPr>
        <w:t>er</w:t>
      </w:r>
      <w:r>
        <w:rPr>
          <w:noProof/>
        </w:rPr>
        <w:t xml:space="preserve"> juin 2020.</w:t>
      </w:r>
    </w:p>
    <w:p>
      <w:pPr>
        <w:pStyle w:val="ManualNumPar1"/>
        <w:rPr>
          <w:noProof/>
        </w:rPr>
      </w:pPr>
      <w:r>
        <w:t>31.</w:t>
      </w:r>
      <w:r>
        <w:tab/>
      </w:r>
      <w:r>
        <w:rPr>
          <w:noProof/>
        </w:rPr>
        <w:t>Le Portugal a commencé à engager les dépenses administratives pour la mise en œuvre du FEM le 1</w:t>
      </w:r>
      <w:r>
        <w:rPr>
          <w:noProof/>
          <w:vertAlign w:val="superscript"/>
        </w:rPr>
        <w:t>er</w:t>
      </w:r>
      <w:r>
        <w:rPr>
          <w:noProof/>
        </w:rPr>
        <w:t xml:space="preserve"> juin 2018. Les dépenses relatives aux activités de préparation, de gestion, d’information et de publicité, de contrôle et de rapport peuvent par conséquent faire l’objet d’une contribution financière du FEM du 1</w:t>
      </w:r>
      <w:r>
        <w:rPr>
          <w:noProof/>
          <w:vertAlign w:val="superscript"/>
        </w:rPr>
        <w:t>er</w:t>
      </w:r>
      <w:r>
        <w:rPr>
          <w:noProof/>
        </w:rPr>
        <w:t xml:space="preserve"> juin 2018 au 1</w:t>
      </w:r>
      <w:r>
        <w:rPr>
          <w:noProof/>
          <w:vertAlign w:val="superscript"/>
        </w:rPr>
        <w:t>er </w:t>
      </w:r>
      <w:r>
        <w:rPr>
          <w:noProof/>
        </w:rPr>
        <w:t xml:space="preserve">décembre 2020. </w:t>
      </w:r>
    </w:p>
    <w:p>
      <w:pPr>
        <w:pStyle w:val="ManualHeading3"/>
        <w:rPr>
          <w:noProof/>
        </w:rPr>
      </w:pPr>
      <w:r>
        <w:rPr>
          <w:noProof/>
        </w:rPr>
        <w:t>Complémentarité avec les actions financées par des fonds nationaux ou de l’Union</w:t>
      </w:r>
    </w:p>
    <w:p>
      <w:pPr>
        <w:pStyle w:val="ManualNumPar1"/>
        <w:rPr>
          <w:noProof/>
        </w:rPr>
      </w:pPr>
      <w:r>
        <w:t>32.</w:t>
      </w:r>
      <w:r>
        <w:tab/>
      </w:r>
      <w:r>
        <w:rPr>
          <w:noProof/>
        </w:rPr>
        <w:t>Les services publics pour l’emploi portugais (IEFP) sont la source de préfinancement ou de cofinancement national.</w:t>
      </w:r>
    </w:p>
    <w:p>
      <w:pPr>
        <w:pStyle w:val="ManualNumPar1"/>
        <w:rPr>
          <w:noProof/>
        </w:rPr>
      </w:pPr>
      <w:r>
        <w:t>33.</w:t>
      </w:r>
      <w:r>
        <w:tab/>
      </w:r>
      <w:r>
        <w:rPr>
          <w:noProof/>
        </w:rPr>
        <w:t>Le Portugal a confirmé que les mesures décrites ci-dessus bénéficiant d’une contribution financière du FEM ne recevront pas d’aide au titre d’autres instruments financiers de l’Union.</w:t>
      </w:r>
    </w:p>
    <w:p>
      <w:pPr>
        <w:pStyle w:val="ManualHeading3"/>
        <w:tabs>
          <w:tab w:val="clear" w:pos="850"/>
          <w:tab w:val="left" w:pos="0"/>
        </w:tabs>
        <w:ind w:left="0" w:firstLine="0"/>
        <w:rPr>
          <w:noProof/>
          <w:u w:val="single"/>
        </w:rPr>
      </w:pPr>
      <w:r>
        <w:rPr>
          <w:noProof/>
        </w:rPr>
        <w:t>Procédures suivies pour la consultation des bénéficiaires visés ou de leurs représentants, des partenaires sociaux et des collectivités locales et régionales</w:t>
      </w:r>
    </w:p>
    <w:p>
      <w:pPr>
        <w:pStyle w:val="ManualNumPar1"/>
        <w:rPr>
          <w:noProof/>
        </w:rPr>
      </w:pPr>
      <w:r>
        <w:t>34.</w:t>
      </w:r>
      <w:r>
        <w:tab/>
      </w:r>
      <w:r>
        <w:rPr>
          <w:noProof/>
        </w:rPr>
        <w:t xml:space="preserve">Le Portugal a indiqué que l’ensemble coordonné de services personnalisés avait été élaboré en consultation avec un groupe de travail incluant les services publics pour l’emploi, les représentants des syndicats, l’Institut de la sécurité sociale et l’Autorité responsable des conditions de travail. </w:t>
      </w:r>
    </w:p>
    <w:p>
      <w:pPr>
        <w:pStyle w:val="ManualHeading2"/>
        <w:rPr>
          <w:noProof/>
        </w:rPr>
      </w:pPr>
      <w:r>
        <w:rPr>
          <w:noProof/>
        </w:rPr>
        <w:t>Systèmes de gestion et de contrôle</w:t>
      </w:r>
    </w:p>
    <w:p>
      <w:pPr>
        <w:pStyle w:val="ManualNumPar1"/>
        <w:rPr>
          <w:noProof/>
        </w:rPr>
      </w:pPr>
      <w:r>
        <w:t>35.</w:t>
      </w:r>
      <w:r>
        <w:tab/>
      </w:r>
      <w:r>
        <w:rPr>
          <w:noProof/>
        </w:rPr>
        <w:t>La demande contient une description des systèmes de gestion et de contrôle qui précise les responsabilités des organismes concernés. Le Portugal a fait savoir à la Commission que la contribution financière serait gérée et contrôlée par les organismes déjà chargés de cette mission pour le Fonds social européen (FSE).</w:t>
      </w:r>
    </w:p>
    <w:p>
      <w:pPr>
        <w:pStyle w:val="ManualHeading2"/>
        <w:rPr>
          <w:noProof/>
        </w:rPr>
      </w:pPr>
      <w:r>
        <w:rPr>
          <w:noProof/>
        </w:rPr>
        <w:t>Engagements de l’État membre concerné</w:t>
      </w:r>
    </w:p>
    <w:p>
      <w:pPr>
        <w:pStyle w:val="ManualNumPar1"/>
        <w:rPr>
          <w:noProof/>
        </w:rPr>
      </w:pPr>
      <w:r>
        <w:t>36.</w:t>
      </w:r>
      <w:r>
        <w:tab/>
      </w:r>
      <w:r>
        <w:rPr>
          <w:noProof/>
        </w:rPr>
        <w:t xml:space="preserve">Le Portugal a apporté toutes les assurances nécessaires concernant les aspects suivants: </w:t>
      </w:r>
    </w:p>
    <w:p>
      <w:pPr>
        <w:pStyle w:val="Tiret1"/>
        <w:numPr>
          <w:ilvl w:val="0"/>
          <w:numId w:val="12"/>
        </w:numPr>
        <w:rPr>
          <w:noProof/>
        </w:rPr>
      </w:pPr>
      <w:r>
        <w:rPr>
          <w:noProof/>
        </w:rPr>
        <w:t>les principes d’égalité de traitement et de non-discrimination seront respectés pour l’accès aux actions proposées et leur réalisation;</w:t>
      </w:r>
    </w:p>
    <w:p>
      <w:pPr>
        <w:pStyle w:val="Tiret1"/>
        <w:rPr>
          <w:noProof/>
        </w:rPr>
      </w:pPr>
      <w:r>
        <w:rPr>
          <w:noProof/>
        </w:rPr>
        <w:t>les exigences fixées dans la législation nationale et dans celle de l’UE concernant les licenciements collectifs ont été respectées;</w:t>
      </w:r>
    </w:p>
    <w:p>
      <w:pPr>
        <w:pStyle w:val="Tiret1"/>
        <w:rPr>
          <w:noProof/>
        </w:rPr>
      </w:pPr>
      <w:r>
        <w:rPr>
          <w:noProof/>
        </w:rPr>
        <w:t>les actions proposées ne bénéficieront d’aucune aide financière provenant d’autres fonds ou instruments financiers de l’Union et les doubles financements seront évités;</w:t>
      </w:r>
    </w:p>
    <w:p>
      <w:pPr>
        <w:pStyle w:val="Tiret1"/>
        <w:rPr>
          <w:noProof/>
        </w:rPr>
      </w:pPr>
      <w:r>
        <w:rPr>
          <w:noProof/>
        </w:rPr>
        <w:t>les actions proposées seront complémentaires des actions financées par les Fonds structurels;</w:t>
      </w:r>
    </w:p>
    <w:p>
      <w:pPr>
        <w:pStyle w:val="Tiret1"/>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37.</w:t>
      </w:r>
      <w:r>
        <w:tab/>
      </w:r>
      <w:r>
        <w:rPr>
          <w:noProof/>
        </w:rPr>
        <w:t>La dotation annuelle du FEM n’excède pas 150 millions d’EUR (aux prix de 2011), comme le prévoit l’article 12 du règlement (UE, Euratom) nº 1311/2013 du Conseil du 2 décembre 2013 fixant le cadre financier pluriannuel pour la période 2014-2020</w:t>
      </w:r>
      <w:r>
        <w:rPr>
          <w:rStyle w:val="FootnoteReference"/>
          <w:noProof/>
        </w:rPr>
        <w:footnoteReference w:id="15"/>
      </w:r>
      <w:r>
        <w:rPr>
          <w:noProof/>
        </w:rPr>
        <w:t>.</w:t>
      </w:r>
    </w:p>
    <w:p>
      <w:pPr>
        <w:pStyle w:val="ManualNumPar1"/>
        <w:rPr>
          <w:rFonts w:eastAsia="Calibri"/>
          <w:noProof/>
        </w:rPr>
      </w:pPr>
      <w:r>
        <w:t>38.</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un montant de 4 655 883 EUR, soit 60 % du coût total des actions proposées, afin d’apporter une contribution financière en réponse à la demande.</w:t>
      </w:r>
    </w:p>
    <w:p>
      <w:pPr>
        <w:pStyle w:val="ManualNumPar1"/>
        <w:rPr>
          <w:rFonts w:eastAsia="Times New Roman"/>
          <w:noProof/>
        </w:rPr>
      </w:pPr>
      <w:r>
        <w:t>39.</w:t>
      </w:r>
      <w:r>
        <w:tab/>
      </w:r>
      <w:r>
        <w:rPr>
          <w:noProof/>
        </w:rPr>
        <w:t>La décision proposée de mobilisation du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6"/>
      </w:r>
      <w:r>
        <w:rPr>
          <w:noProof/>
        </w:rPr>
        <w:t>.</w:t>
      </w:r>
    </w:p>
    <w:p>
      <w:pPr>
        <w:pStyle w:val="ManualHeading2"/>
        <w:rPr>
          <w:noProof/>
        </w:rPr>
      </w:pPr>
      <w:r>
        <w:rPr>
          <w:noProof/>
        </w:rPr>
        <w:t>Actes liés</w:t>
      </w:r>
    </w:p>
    <w:p>
      <w:pPr>
        <w:pStyle w:val="ManualNumPar1"/>
        <w:rPr>
          <w:noProof/>
        </w:rPr>
      </w:pPr>
      <w:r>
        <w:t>40.</w:t>
      </w:r>
      <w:r>
        <w:tab/>
      </w:r>
      <w:r>
        <w:rPr>
          <w:noProof/>
        </w:rPr>
        <w:t>En même temps qu’elle présentera sa proposition de décision de mobilisation du FEM, la Commission présentera au Parlement européen et au Conseil une proposition de virement d’un montant de 4 655 883 EUR sur la ligne budgétaire concernée.</w:t>
      </w:r>
    </w:p>
    <w:p>
      <w:pPr>
        <w:pStyle w:val="ManualNumPar1"/>
        <w:rPr>
          <w:noProof/>
        </w:rPr>
      </w:pPr>
      <w:r>
        <w:t>41.</w:t>
      </w:r>
      <w:r>
        <w:tab/>
      </w:r>
      <w:r>
        <w:rPr>
          <w:noProof/>
        </w:rPr>
        <w:t>En même temps que l’adoption de cette proposition de décision de mobilisation du FEM, la Commission adoptera une décision d’octroi d’une contribution financière, par la voie d’un acte d’exécution, qui entrera en vigueur à la date à laquelle le Parlement européen et le Conseil adopteront la décision de mobilisation du FEM.</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à la suite</w:t>
      </w:r>
      <w:r>
        <w:rPr>
          <w:noProof/>
        </w:rPr>
        <w:br/>
        <w:t>d’une demande présentée par le Portugal – EGF/2018/002 PT/Norte - Centro - Lisboa wearing apparel</w:t>
      </w:r>
      <w:r>
        <w:rPr>
          <w:noProof/>
        </w:rPr>
        <w:tab/>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7"/>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8"/>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millions d’EUR (aux prix de 2011), comme le prévoit l’article 12 du règlement (UE, Euratom) nº 1311/2013 du Conseil</w:t>
      </w:r>
      <w:r>
        <w:rPr>
          <w:rStyle w:val="FootnoteReference"/>
          <w:noProof/>
        </w:rPr>
        <w:footnoteReference w:id="19"/>
      </w:r>
      <w:r>
        <w:rPr>
          <w:noProof/>
        </w:rPr>
        <w:t>.</w:t>
      </w:r>
    </w:p>
    <w:p>
      <w:pPr>
        <w:pStyle w:val="ManualConsidrant"/>
        <w:rPr>
          <w:noProof/>
        </w:rPr>
      </w:pPr>
      <w:r>
        <w:t>(3)</w:t>
      </w:r>
      <w:r>
        <w:tab/>
      </w:r>
      <w:r>
        <w:rPr>
          <w:noProof/>
        </w:rPr>
        <w:t>Le 24 avril 2018, le Portugal a présenté une demande d’intervention du FEM pour des licenciements survenus dans le secteur économique relevant de la division 14 (Industrie de l’habillement) de la NACE (nomenclature statistique des activités économiques dans la Communauté européenne) Rév. 2, dans ses régions «Norte» (PT11), «Centro» (PT16) et «Lisboa» (PT17), qui sont des régions de niveau NUTS 2 (nomenclature des unités territoriales statistiques)</w:t>
      </w:r>
      <w:r>
        <w:rPr>
          <w:rStyle w:val="FootnoteReference"/>
          <w:noProof/>
        </w:rPr>
        <w:footnoteReference w:id="20"/>
      </w:r>
      <w:r>
        <w:rPr>
          <w:noProof/>
        </w:rPr>
        <w:t>. Cette demande remplit les conditions relatives à la fixation du montant de la contribution financière du FEM telles qu’établies à l’article 13 du règlement (UE) n° 1309/2013.</w:t>
      </w:r>
    </w:p>
    <w:p>
      <w:pPr>
        <w:pStyle w:val="ManualConsidrant"/>
        <w:rPr>
          <w:noProof/>
        </w:rPr>
      </w:pPr>
      <w:r>
        <w:t>(4)</w:t>
      </w:r>
      <w:r>
        <w:tab/>
      </w:r>
      <w:r>
        <w:rPr>
          <w:noProof/>
        </w:rPr>
        <w:t>En vertu de l'article 6, paragraphe 2, du règlement (UE) n° 1309/2013, le Portugal a, en outre, décidé de fournir des services personnalisés cofinancés par le FEM à 730 jeunes sans emploi, sortis du système scolaire et sans formation (NEET).</w:t>
      </w:r>
    </w:p>
    <w:p>
      <w:pPr>
        <w:pStyle w:val="ManualConsidrant"/>
        <w:rPr>
          <w:noProof/>
        </w:rPr>
      </w:pPr>
      <w:r>
        <w:t>(5)</w:t>
      </w:r>
      <w:r>
        <w:tab/>
      </w:r>
      <w:r>
        <w:rPr>
          <w:noProof/>
        </w:rPr>
        <w:t>Il convient par conséquent de mobiliser le FEM en vue d’octroyer une contribution financière d’un montant de 4 655 883 EUR en réponse à la demande présentée par le Portugal.</w:t>
      </w:r>
    </w:p>
    <w:p>
      <w:pPr>
        <w:pStyle w:val="ManualConsidrant"/>
        <w:rPr>
          <w:noProof/>
        </w:rPr>
      </w:pPr>
      <w:r>
        <w:t>(6)</w:t>
      </w:r>
      <w:r>
        <w:tab/>
      </w:r>
      <w:r>
        <w:rPr>
          <w:noProof/>
        </w:rPr>
        <w:t>Afin de limiter au maximum le délai de mobilisation du FEM, la présente décision devrait s'appliquer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2018, un montant de 4 655 883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w:t>
      </w:r>
      <w:r>
        <w:rPr>
          <w:i/>
          <w:noProof/>
        </w:rPr>
        <w:t>Journal officiel de l’Union européenne</w:t>
      </w:r>
      <w:r>
        <w:rPr>
          <w:noProof/>
        </w:rPr>
        <w:t xml:space="preserve">. Elle est applicable à partir du </w:t>
      </w:r>
      <w:r>
        <w:rPr>
          <w:noProof/>
          <w:color w:val="FF0000"/>
        </w:rPr>
        <w:t>[</w:t>
      </w:r>
      <w:r>
        <w:rPr>
          <w:i/>
          <w:noProof/>
          <w:color w:val="FF0000"/>
        </w:rPr>
        <w:t>date de son adoption</w:t>
      </w:r>
      <w:r>
        <w:rPr>
          <w:noProof/>
          <w:color w:val="FF0000"/>
        </w:rPr>
        <w:t>]</w:t>
      </w:r>
      <w:r>
        <w:rPr>
          <w:rStyle w:val="FootnoteReference"/>
          <w:noProof/>
          <w:color w:val="FF0000"/>
        </w:rPr>
        <w:sym w:font="Symbol" w:char="F02A"/>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855.</w:t>
      </w:r>
    </w:p>
  </w:footnote>
  <w:footnote w:id="2">
    <w:p>
      <w:pPr>
        <w:pStyle w:val="FootnoteText"/>
      </w:pPr>
      <w:r>
        <w:rPr>
          <w:rStyle w:val="FootnoteReference"/>
        </w:rPr>
        <w:footnoteRef/>
      </w:r>
      <w:r>
        <w:tab/>
        <w:t>Au sens de l’article 3 du règlement FEM.</w:t>
      </w:r>
    </w:p>
  </w:footnote>
  <w:footnote w:id="3">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4">
    <w:p>
      <w:pPr>
        <w:pStyle w:val="FootnoteText"/>
      </w:pPr>
      <w:r>
        <w:rPr>
          <w:rStyle w:val="FootnoteReference"/>
        </w:rPr>
        <w:footnoteRef/>
      </w:r>
      <w:r>
        <w:tab/>
        <w:t>JO L 393 du 30.12.2006, p. 1.</w:t>
      </w:r>
    </w:p>
  </w:footnote>
  <w:footnote w:id="5">
    <w:p>
      <w:pPr>
        <w:pStyle w:val="FootnoteText"/>
      </w:pPr>
      <w:r>
        <w:rPr>
          <w:rStyle w:val="FootnoteReference"/>
        </w:rPr>
        <w:footnoteRef/>
      </w:r>
      <w:r>
        <w:tab/>
        <w:t>Conformément à l’article 7, paragraphe 4, du règlement (UE) nº 1309/2013.</w:t>
      </w:r>
    </w:p>
  </w:footnote>
  <w:footnote w:id="6">
    <w:p>
      <w:pPr>
        <w:pStyle w:val="FootnoteText"/>
        <w:rPr>
          <w:rStyle w:val="tm-p-"/>
        </w:rPr>
      </w:pPr>
      <w:r>
        <w:rPr>
          <w:rStyle w:val="FootnoteReference"/>
        </w:rPr>
        <w:footnoteRef/>
      </w:r>
      <w:r>
        <w:tab/>
        <w:t>L’accord Multifibres est entré en vigueur</w:t>
      </w:r>
      <w:r>
        <w:rPr>
          <w:rStyle w:val="tm-p-em"/>
        </w:rPr>
        <w:t xml:space="preserve"> en 1974 et a expiré en 2004.</w:t>
      </w:r>
    </w:p>
    <w:p>
      <w:pPr>
        <w:pStyle w:val="FootnoteText"/>
        <w:rPr>
          <w:rStyle w:val="Hyperlink"/>
          <w:color w:val="auto"/>
        </w:rPr>
      </w:pPr>
      <w:r>
        <w:tab/>
      </w:r>
      <w:hyperlink r:id="rId1">
        <w:r>
          <w:rPr>
            <w:rStyle w:val="Hyperlink"/>
            <w:color w:val="auto"/>
          </w:rPr>
          <w:t>https://www.odi.org/sites/odi.org.uk/files/odi-assets/publications-opinion-files/6604.pdf</w:t>
        </w:r>
      </w:hyperlink>
    </w:p>
    <w:p>
      <w:pPr>
        <w:pStyle w:val="FootnoteText"/>
        <w:ind w:firstLine="0"/>
      </w:pPr>
      <w:hyperlink r:id="rId2" w:anchor="MFA">
        <w:r>
          <w:rPr>
            <w:rStyle w:val="Hyperlink"/>
            <w:color w:val="auto"/>
          </w:rPr>
          <w:t>https://www.wto.org/english/tratop_e/texti_e/texintro_e.htm#MFA</w:t>
        </w:r>
      </w:hyperlink>
    </w:p>
  </w:footnote>
  <w:footnote w:id="7">
    <w:p>
      <w:pPr>
        <w:pStyle w:val="FootnoteText"/>
      </w:pPr>
      <w:r>
        <w:rPr>
          <w:rStyle w:val="FootnoteReference"/>
        </w:rPr>
        <w:footnoteRef/>
      </w:r>
      <w:r>
        <w:tab/>
        <w:t xml:space="preserve">De 2008 à 2016, les importations en provenance du Bangladesh et de la Turquie ont respectivement enregistré une hausse de 314 % et 119 %. </w:t>
      </w:r>
      <w:hyperlink r:id="rId3">
        <w:r>
          <w:rPr>
            <w:rStyle w:val="Hyperlink"/>
            <w:color w:val="auto"/>
          </w:rPr>
          <w:t>http://epp.eurostat.ec.europa.eu/newxtweb/</w:t>
        </w:r>
      </w:hyperlink>
    </w:p>
  </w:footnote>
  <w:footnote w:id="8">
    <w:p>
      <w:pPr>
        <w:pStyle w:val="FootnoteText"/>
      </w:pPr>
      <w:r>
        <w:rPr>
          <w:rStyle w:val="FootnoteReference"/>
        </w:rPr>
        <w:footnoteRef/>
      </w:r>
      <w:r>
        <w:tab/>
        <w:t>Demandes fondées sur la mondialisation des échanges: EGF/2018/002 PT (présente proposition de décision), EGF/2007/008 MT/Textiles, COM(2008) 94, EGF/2010/003 ES/Galicia textile, COM(2010) 437 et EGF/2017/006 ES/Galicia apparel, COM(2017) 686. Demandes fondées sur la crise financière et économique mondiale: EGF/2009/018 LT/Wearing apparel, COM(2010) 56 et EGF/2010/014 SI/Mura, COM(2010) 582.</w:t>
      </w:r>
    </w:p>
  </w:footnote>
  <w:footnote w:id="9">
    <w:p>
      <w:pPr>
        <w:pStyle w:val="FootnoteText"/>
      </w:pPr>
      <w:r>
        <w:rPr>
          <w:rStyle w:val="FootnoteReference"/>
        </w:rPr>
        <w:footnoteRef/>
      </w:r>
      <w:r>
        <w:tab/>
        <w:t>Source: Cointega (confédération des industries de l’habillement de la Galice) (www.cointega.com)</w:t>
      </w:r>
    </w:p>
  </w:footnote>
  <w:footnote w:id="10">
    <w:p>
      <w:pPr>
        <w:pStyle w:val="FootnoteText"/>
      </w:pPr>
      <w:r>
        <w:rPr>
          <w:rStyle w:val="FootnoteReference"/>
        </w:rPr>
        <w:footnoteRef/>
      </w:r>
      <w:r>
        <w:tab/>
      </w:r>
      <w:hyperlink r:id="rId4">
        <w:r>
          <w:rPr>
            <w:rStyle w:val="Hyperlink"/>
            <w:color w:val="auto"/>
          </w:rPr>
          <w:t>http://epp.eurostat.ec.europa.eu/newxtweb/mainxtnet.do?noredirectnewsession=true</w:t>
        </w:r>
      </w:hyperlink>
      <w:r>
        <w:t xml:space="preserve">: Statistiques structurelles sur les entreprises - Statistiques annuelles détaillées sur les entreprises  </w:t>
      </w:r>
    </w:p>
  </w:footnote>
  <w:footnote w:id="11">
    <w:p>
      <w:pPr>
        <w:pStyle w:val="FootnoteText"/>
      </w:pPr>
      <w:r>
        <w:rPr>
          <w:rStyle w:val="FootnoteReference"/>
        </w:rPr>
        <w:footnoteRef/>
      </w:r>
      <w:r>
        <w:tab/>
      </w:r>
      <w:hyperlink r:id="rId5">
        <w:r>
          <w:rPr>
            <w:rStyle w:val="Hyperlink"/>
            <w:color w:val="auto"/>
          </w:rPr>
          <w:t>https://www.ine.pt/xportal/xmain?xpid=INE&amp;xpgid=ine_indicadores&amp;indOcorrCod=0006186&amp;context</w:t>
        </w:r>
        <w:r>
          <w:rPr>
            <w:rStyle w:val="Hyperlink"/>
            <w:color w:val="auto"/>
          </w:rPr>
          <w:br/>
          <w:t>o=bd&amp;selTab=tab2</w:t>
        </w:r>
      </w:hyperlink>
    </w:p>
  </w:footnote>
  <w:footnote w:id="12">
    <w:p>
      <w:pPr>
        <w:pStyle w:val="FootnoteText"/>
        <w:ind w:left="0" w:firstLine="0"/>
      </w:pPr>
      <w:r>
        <w:rPr>
          <w:rStyle w:val="FootnoteReference"/>
        </w:rPr>
        <w:footnoteRef/>
      </w:r>
      <w:r>
        <w:tab/>
        <w:t xml:space="preserve">IEFP, IP - </w:t>
      </w:r>
      <w:r>
        <w:rPr>
          <w:i/>
        </w:rPr>
        <w:t>Direção de Serviços de Estudos, Planeamento e Controlo de Gestão</w:t>
      </w:r>
      <w:r>
        <w:t xml:space="preserve"> (Direction des services d’études, de planification et de contrôle de gestion de l’Institut pour l’emploi et la formation professionnelle).</w:t>
      </w:r>
      <w:r>
        <w:tab/>
      </w:r>
    </w:p>
    <w:p>
      <w:pPr>
        <w:pStyle w:val="FootnoteText"/>
        <w:ind w:firstLine="0"/>
      </w:pPr>
      <w:hyperlink r:id="rId6">
        <w:r>
          <w:rPr>
            <w:rStyle w:val="Hyperlink"/>
            <w:color w:val="auto"/>
          </w:rPr>
          <w:t>https://www.iefp.pt/documents/10181/6814977/SIE+-+Desemprego+registado+por+concelhos+dezembro+2017.pdf/ab672c06-ce47-42c4-af0a-8d4c1ac62003</w:t>
        </w:r>
      </w:hyperlink>
    </w:p>
    <w:p>
      <w:pPr>
        <w:pStyle w:val="FootnoteText"/>
        <w:ind w:firstLine="0"/>
      </w:pPr>
      <w:hyperlink r:id="rId7">
        <w:r>
          <w:rPr>
            <w:rStyle w:val="Hyperlink"/>
            <w:color w:val="auto"/>
          </w:rPr>
          <w:t>https://www.ine.pt/xportal/xmain?xpid=INE&amp;xpgid=ine_indicadores&amp;indOcorrCod=0008273&amp;contexto=bd&amp;selTab=tab2</w:t>
        </w:r>
      </w:hyperlink>
    </w:p>
  </w:footnote>
  <w:footnote w:id="13">
    <w:p>
      <w:pPr>
        <w:pStyle w:val="FootnoteText"/>
        <w:rPr>
          <w:rStyle w:val="Hyperlink"/>
          <w:color w:val="auto"/>
        </w:rPr>
      </w:pPr>
      <w:r>
        <w:rPr>
          <w:rStyle w:val="FootnoteReference"/>
        </w:rPr>
        <w:footnoteRef/>
      </w:r>
      <w:r>
        <w:tab/>
      </w:r>
      <w:hyperlink r:id="rId8">
        <w:r>
          <w:rPr>
            <w:rStyle w:val="Hyperlink"/>
            <w:color w:val="auto"/>
          </w:rPr>
          <w:t>https://www.iefp.pt/documents/10181/7971477/Informa%C3%A7%C3%A3o+Mensal+janeiro+2018.pd</w:t>
        </w:r>
        <w:r>
          <w:rPr>
            <w:rStyle w:val="Hyperlink"/>
            <w:color w:val="auto"/>
          </w:rPr>
          <w:br/>
          <w:t>f/bea9ab6a-899c-4e92-a63b-5f2d12b5d259</w:t>
        </w:r>
      </w:hyperlink>
    </w:p>
    <w:p>
      <w:pPr>
        <w:pStyle w:val="FootnoteText"/>
        <w:rPr>
          <w:b/>
        </w:rPr>
      </w:pPr>
      <w:r>
        <w:tab/>
      </w:r>
      <w:hyperlink r:id="rId9">
        <w:r>
          <w:rPr>
            <w:rStyle w:val="Hyperlink"/>
            <w:color w:val="auto"/>
          </w:rPr>
          <w:t>https://www.iefp.pt/documents/10181/6817457/Informa%C3%A7%C3%A3o+Mensal+dezembro+2017.pdf/31a5727c-fd90-47f0-8e7c-8fc087d5e18b</w:t>
        </w:r>
      </w:hyperlink>
    </w:p>
    <w:p>
      <w:pPr>
        <w:pStyle w:val="FootnoteText"/>
        <w:ind w:firstLine="0"/>
      </w:pPr>
      <w:hyperlink r:id="rId10">
        <w:r>
          <w:rPr>
            <w:rStyle w:val="Hyperlink"/>
            <w:color w:val="auto"/>
          </w:rPr>
          <w:t>https://www.iefp.pt/documents/10181/5565497/Informa%C3%A7%C3%A3o+Mensal+dezembro+2016.pdf/663d49b3-2cbe-4869-9f7c-4856af399891</w:t>
        </w:r>
      </w:hyperlink>
    </w:p>
    <w:p>
      <w:pPr>
        <w:pStyle w:val="FootnoteText"/>
        <w:rPr>
          <w:rStyle w:val="Hyperlink"/>
          <w:color w:val="auto"/>
        </w:rPr>
      </w:pPr>
      <w:r>
        <w:rPr>
          <w:rStyle w:val="Hyperlink"/>
          <w:color w:val="auto"/>
        </w:rPr>
        <w:tab/>
      </w:r>
      <w:hyperlink r:id="rId11">
        <w:r>
          <w:rPr>
            <w:rStyle w:val="Hyperlink"/>
            <w:color w:val="auto"/>
          </w:rPr>
          <w:t>https://www.iefp.pt/documents/10181/3943898/Informa%C3%A7%C3%A3o+Mensal+dezembro+2015.pdf/ff648dba-07db-4853-aced-ae4a44ceed61</w:t>
        </w:r>
      </w:hyperlink>
    </w:p>
  </w:footnote>
  <w:footnote w:id="14">
    <w:p>
      <w:pPr>
        <w:pStyle w:val="FootnoteText"/>
      </w:pPr>
      <w:r>
        <w:rPr>
          <w:rStyle w:val="FootnoteReference"/>
        </w:rPr>
        <w:footnoteRef/>
      </w:r>
      <w:r>
        <w:rPr>
          <w:rStyle w:val="Hyperlink"/>
          <w:color w:val="auto"/>
        </w:rPr>
        <w:tab/>
      </w:r>
      <w:hyperlink r:id="rId12">
        <w:r>
          <w:rPr>
            <w:rStyle w:val="Hyperlink"/>
            <w:color w:val="auto"/>
          </w:rPr>
          <w:t>https://www.pordata.pt/Portugal/Taxa+de+desemprego+total+e+por+n%C3%ADvel+de+escolaridade+</w:t>
        </w:r>
        <w:r>
          <w:rPr>
            <w:rStyle w:val="Hyperlink"/>
            <w:color w:val="auto"/>
          </w:rPr>
          <w:br/>
          <w:t>completo+(percentagem)-1009</w:t>
        </w:r>
      </w:hyperlink>
    </w:p>
  </w:footnote>
  <w:footnote w:id="15">
    <w:p>
      <w:pPr>
        <w:pStyle w:val="FootnoteText"/>
      </w:pPr>
      <w:r>
        <w:rPr>
          <w:rStyle w:val="FootnoteReference"/>
        </w:rPr>
        <w:footnoteRef/>
      </w:r>
      <w:r>
        <w:tab/>
        <w:t>JO L 347 du 20.12.2013, p. 884.</w:t>
      </w:r>
    </w:p>
  </w:footnote>
  <w:footnote w:id="16">
    <w:p>
      <w:pPr>
        <w:pStyle w:val="FootnoteText"/>
      </w:pPr>
      <w:r>
        <w:rPr>
          <w:rStyle w:val="FootnoteReference"/>
        </w:rPr>
        <w:footnoteRef/>
      </w:r>
      <w:r>
        <w:tab/>
        <w:t>JO C 373 du 20.12.2013, p. 1.</w:t>
      </w:r>
    </w:p>
  </w:footnote>
  <w:footnote w:id="17">
    <w:p>
      <w:pPr>
        <w:pStyle w:val="FootnoteText"/>
      </w:pPr>
      <w:r>
        <w:rPr>
          <w:rStyle w:val="FootnoteReference"/>
        </w:rPr>
        <w:footnoteRef/>
      </w:r>
      <w:r>
        <w:tab/>
        <w:t>JO L 347 du 20.12.2013, p. 855.</w:t>
      </w:r>
    </w:p>
  </w:footnote>
  <w:footnote w:id="18">
    <w:p>
      <w:pPr>
        <w:pStyle w:val="FootnoteText"/>
      </w:pPr>
      <w:r>
        <w:rPr>
          <w:rStyle w:val="FootnoteReference"/>
        </w:rPr>
        <w:footnoteRef/>
      </w:r>
      <w:r>
        <w:tab/>
        <w:t>JO C 373 du 20.12.2013, p. 1.</w:t>
      </w:r>
    </w:p>
  </w:footnote>
  <w:footnote w:id="19">
    <w:p>
      <w:pPr>
        <w:pStyle w:val="FootnoteText"/>
      </w:pPr>
      <w:r>
        <w:rPr>
          <w:rStyle w:val="FootnoteReference"/>
        </w:rPr>
        <w:footnoteRef/>
      </w:r>
      <w:r>
        <w:tab/>
        <w:t>Règlement (UE, Euratom) n° 1311/2013 du Conseil du 2 décembre 2013 fixant le cadre financier pluriannuel pour la période 2014-2020 (JO L 347 du 20.12.2013, p. 884).</w:t>
      </w:r>
    </w:p>
  </w:footnote>
  <w:footnote w:id="20">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04 14:24:40"/>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12"/>
    <w:docVar w:name="DQCResult_ModifiedMarkers" w:val="0;0"/>
    <w:docVar w:name="DQCResult_ModifiedNumbering" w:val="0;0"/>
    <w:docVar w:name="DQCResult_Objects" w:val="0;0"/>
    <w:docVar w:name="DQCResult_Sections" w:val="0;1"/>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7E74DE0-300F-43AB-9D49-FB401706DB72"/>
    <w:docVar w:name="LW_COVERPAGE_TYPE" w:val="1"/>
    <w:docVar w:name="LW_CROSSREFERENCE" w:val="&lt;UNUSED&gt;"/>
    <w:docVar w:name="LW_DocType" w:val="COM"/>
    <w:docVar w:name="LW_EMISSION" w:val="10.9.2018"/>
    <w:docVar w:name="LW_EMISSION_ISODATE" w:val="2018-09-10"/>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mobilisation du Fonds européen d\u8217?ajustement à la mondialisation à la suite_x000b_d\u8217?une demande présentée par le Portugal \u8211? EGF/2018/002 PT/Norte - Centro - Lisboa wearing apparel_x0009_"/>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tm-p-em">
    <w:name w:val="tm-p-em"/>
    <w:basedOn w:val="DefaultParagraphFont"/>
  </w:style>
  <w:style w:type="character" w:customStyle="1" w:styleId="tm-p-hide1">
    <w:name w:val="tm-p-hide1"/>
    <w:basedOn w:val="DefaultParagraphFont"/>
  </w:style>
  <w:style w:type="character" w:customStyle="1" w:styleId="tm-p-">
    <w:name w:val="tm-p-"/>
    <w:basedOn w:val="DefaultParagraphFont"/>
  </w:style>
  <w:style w:type="character" w:customStyle="1" w:styleId="DeltaViewInsertion">
    <w:name w:val="DeltaView Insertion"/>
    <w:uiPriority w:val="99"/>
    <w:rPr>
      <w:b/>
      <w:i/>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tm-p-em">
    <w:name w:val="tm-p-em"/>
    <w:basedOn w:val="DefaultParagraphFont"/>
  </w:style>
  <w:style w:type="character" w:customStyle="1" w:styleId="tm-p-hide1">
    <w:name w:val="tm-p-hide1"/>
    <w:basedOn w:val="DefaultParagraphFont"/>
  </w:style>
  <w:style w:type="character" w:customStyle="1" w:styleId="tm-p-">
    <w:name w:val="tm-p-"/>
    <w:basedOn w:val="DefaultParagraphFont"/>
  </w:style>
  <w:style w:type="character" w:customStyle="1" w:styleId="DeltaViewInsertion">
    <w:name w:val="DeltaView Insertion"/>
    <w:uiPriority w:val="99"/>
    <w:rPr>
      <w:b/>
      <w:i/>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6239">
      <w:bodyDiv w:val="1"/>
      <w:marLeft w:val="0"/>
      <w:marRight w:val="0"/>
      <w:marTop w:val="0"/>
      <w:marBottom w:val="0"/>
      <w:divBdr>
        <w:top w:val="none" w:sz="0" w:space="0" w:color="auto"/>
        <w:left w:val="none" w:sz="0" w:space="0" w:color="auto"/>
        <w:bottom w:val="none" w:sz="0" w:space="0" w:color="auto"/>
        <w:right w:val="none" w:sz="0" w:space="0" w:color="auto"/>
      </w:divBdr>
    </w:div>
    <w:div w:id="908225698">
      <w:bodyDiv w:val="1"/>
      <w:marLeft w:val="0"/>
      <w:marRight w:val="0"/>
      <w:marTop w:val="0"/>
      <w:marBottom w:val="0"/>
      <w:divBdr>
        <w:top w:val="none" w:sz="0" w:space="0" w:color="auto"/>
        <w:left w:val="none" w:sz="0" w:space="0" w:color="auto"/>
        <w:bottom w:val="none" w:sz="0" w:space="0" w:color="auto"/>
        <w:right w:val="none" w:sz="0" w:space="0" w:color="auto"/>
      </w:divBdr>
      <w:divsChild>
        <w:div w:id="139353084">
          <w:marLeft w:val="0"/>
          <w:marRight w:val="0"/>
          <w:marTop w:val="0"/>
          <w:marBottom w:val="0"/>
          <w:divBdr>
            <w:top w:val="none" w:sz="0" w:space="0" w:color="auto"/>
            <w:left w:val="none" w:sz="0" w:space="0" w:color="auto"/>
            <w:bottom w:val="none" w:sz="0" w:space="0" w:color="auto"/>
            <w:right w:val="none" w:sz="0" w:space="0" w:color="auto"/>
          </w:divBdr>
        </w:div>
        <w:div w:id="107624720">
          <w:marLeft w:val="0"/>
          <w:marRight w:val="0"/>
          <w:marTop w:val="0"/>
          <w:marBottom w:val="0"/>
          <w:divBdr>
            <w:top w:val="none" w:sz="0" w:space="0" w:color="auto"/>
            <w:left w:val="none" w:sz="0" w:space="0" w:color="auto"/>
            <w:bottom w:val="none" w:sz="0" w:space="0" w:color="auto"/>
            <w:right w:val="none" w:sz="0" w:space="0" w:color="auto"/>
          </w:divBdr>
        </w:div>
      </w:divsChild>
    </w:div>
    <w:div w:id="975373343">
      <w:bodyDiv w:val="1"/>
      <w:marLeft w:val="0"/>
      <w:marRight w:val="0"/>
      <w:marTop w:val="0"/>
      <w:marBottom w:val="0"/>
      <w:divBdr>
        <w:top w:val="none" w:sz="0" w:space="0" w:color="auto"/>
        <w:left w:val="none" w:sz="0" w:space="0" w:color="auto"/>
        <w:bottom w:val="none" w:sz="0" w:space="0" w:color="auto"/>
        <w:right w:val="none" w:sz="0" w:space="0" w:color="auto"/>
      </w:divBdr>
    </w:div>
    <w:div w:id="1054504562">
      <w:bodyDiv w:val="1"/>
      <w:marLeft w:val="0"/>
      <w:marRight w:val="0"/>
      <w:marTop w:val="0"/>
      <w:marBottom w:val="0"/>
      <w:divBdr>
        <w:top w:val="none" w:sz="0" w:space="0" w:color="auto"/>
        <w:left w:val="none" w:sz="0" w:space="0" w:color="auto"/>
        <w:bottom w:val="none" w:sz="0" w:space="0" w:color="auto"/>
        <w:right w:val="none" w:sz="0" w:space="0" w:color="auto"/>
      </w:divBdr>
    </w:div>
    <w:div w:id="1621453940">
      <w:bodyDiv w:val="1"/>
      <w:marLeft w:val="0"/>
      <w:marRight w:val="0"/>
      <w:marTop w:val="0"/>
      <w:marBottom w:val="0"/>
      <w:divBdr>
        <w:top w:val="none" w:sz="0" w:space="0" w:color="auto"/>
        <w:left w:val="none" w:sz="0" w:space="0" w:color="auto"/>
        <w:bottom w:val="none" w:sz="0" w:space="0" w:color="auto"/>
        <w:right w:val="none" w:sz="0" w:space="0" w:color="auto"/>
      </w:divBdr>
      <w:divsChild>
        <w:div w:id="1853911618">
          <w:marLeft w:val="0"/>
          <w:marRight w:val="0"/>
          <w:marTop w:val="0"/>
          <w:marBottom w:val="0"/>
          <w:divBdr>
            <w:top w:val="none" w:sz="0" w:space="0" w:color="auto"/>
            <w:left w:val="none" w:sz="0" w:space="0" w:color="auto"/>
            <w:bottom w:val="none" w:sz="0" w:space="0" w:color="auto"/>
            <w:right w:val="none" w:sz="0" w:space="0" w:color="auto"/>
          </w:divBdr>
        </w:div>
        <w:div w:id="65493478">
          <w:marLeft w:val="0"/>
          <w:marRight w:val="0"/>
          <w:marTop w:val="0"/>
          <w:marBottom w:val="0"/>
          <w:divBdr>
            <w:top w:val="none" w:sz="0" w:space="0" w:color="auto"/>
            <w:left w:val="none" w:sz="0" w:space="0" w:color="auto"/>
            <w:bottom w:val="none" w:sz="0" w:space="0" w:color="auto"/>
            <w:right w:val="none" w:sz="0" w:space="0" w:color="auto"/>
          </w:divBdr>
        </w:div>
      </w:divsChild>
    </w:div>
    <w:div w:id="1863320010">
      <w:bodyDiv w:val="1"/>
      <w:marLeft w:val="0"/>
      <w:marRight w:val="0"/>
      <w:marTop w:val="0"/>
      <w:marBottom w:val="0"/>
      <w:divBdr>
        <w:top w:val="none" w:sz="0" w:space="0" w:color="auto"/>
        <w:left w:val="none" w:sz="0" w:space="0" w:color="auto"/>
        <w:bottom w:val="none" w:sz="0" w:space="0" w:color="auto"/>
        <w:right w:val="none" w:sz="0" w:space="0" w:color="auto"/>
      </w:divBdr>
      <w:divsChild>
        <w:div w:id="378021225">
          <w:marLeft w:val="0"/>
          <w:marRight w:val="0"/>
          <w:marTop w:val="0"/>
          <w:marBottom w:val="0"/>
          <w:divBdr>
            <w:top w:val="none" w:sz="0" w:space="0" w:color="auto"/>
            <w:left w:val="none" w:sz="0" w:space="0" w:color="auto"/>
            <w:bottom w:val="none" w:sz="0" w:space="0" w:color="auto"/>
            <w:right w:val="none" w:sz="0" w:space="0" w:color="auto"/>
          </w:divBdr>
        </w:div>
        <w:div w:id="928275118">
          <w:marLeft w:val="0"/>
          <w:marRight w:val="0"/>
          <w:marTop w:val="0"/>
          <w:marBottom w:val="0"/>
          <w:divBdr>
            <w:top w:val="none" w:sz="0" w:space="0" w:color="auto"/>
            <w:left w:val="none" w:sz="0" w:space="0" w:color="auto"/>
            <w:bottom w:val="none" w:sz="0" w:space="0" w:color="auto"/>
            <w:right w:val="none" w:sz="0" w:space="0" w:color="auto"/>
          </w:divBdr>
        </w:div>
      </w:divsChild>
    </w:div>
    <w:div w:id="20011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iefp.pt/documents/10181/7971477/Informa%C3%A7%C3%A3o+Mensal+janeiro+2018.pdf/bea9ab6a-899c-4e92-a63b-5f2d12b5d259" TargetMode="External"/><Relationship Id="rId3" Type="http://schemas.openxmlformats.org/officeDocument/2006/relationships/hyperlink" Target="http://epp.eurostat.ec.europa.eu/newxtweb/" TargetMode="External"/><Relationship Id="rId7" Type="http://schemas.openxmlformats.org/officeDocument/2006/relationships/hyperlink" Target="https://www.ine.pt/xportal/xmain?xpid=INE&amp;xpgid=ine_indicadores&amp;indOcorrCod=0008273&amp;contexto=bd&amp;selTab=tab2" TargetMode="External"/><Relationship Id="rId12" Type="http://schemas.openxmlformats.org/officeDocument/2006/relationships/hyperlink" Target="https://www.pordata.pt/Portugal/Taxa+de+desemprego+total+e+por+n%C3%ADvel+de+escolaridade+completo+(percentagem)-1009" TargetMode="External"/><Relationship Id="rId2" Type="http://schemas.openxmlformats.org/officeDocument/2006/relationships/hyperlink" Target="https://www.wto.org/english/tratop_e/texti_e/texintro_e.htm" TargetMode="External"/><Relationship Id="rId1" Type="http://schemas.openxmlformats.org/officeDocument/2006/relationships/hyperlink" Target="https://www.odi.org/sites/odi.org.uk/files/odi-assets/publications-opinion-files/6604.pdf" TargetMode="External"/><Relationship Id="rId6" Type="http://schemas.openxmlformats.org/officeDocument/2006/relationships/hyperlink" Target="https://www.iefp.pt/documents/10181/6814977/SIE+-+Desemprego+registado+por+concelhos+dezembro+2017.pdf/ab672c06-ce47-42c4-af0a-8d4c1ac62003" TargetMode="External"/><Relationship Id="rId11" Type="http://schemas.openxmlformats.org/officeDocument/2006/relationships/hyperlink" Target="https://www.iefp.pt/documents/10181/3943898/Informa%C3%A7%C3%A3o+Mensal+dezembro+2015.pdf/ff648dba-07db-4853-aced-ae4a44ceed61" TargetMode="External"/><Relationship Id="rId5" Type="http://schemas.openxmlformats.org/officeDocument/2006/relationships/hyperlink" Target="https://www.ine.pt/xportal/xmain?xpid=INE&amp;xpgid=ine_indicadores&amp;indOcorrCod=0006186&amp;contexto=bd&amp;selTab=tab2" TargetMode="External"/><Relationship Id="rId10" Type="http://schemas.openxmlformats.org/officeDocument/2006/relationships/hyperlink" Target="https://www.iefp.pt/documents/10181/5565497/Informa%C3%A7%C3%A3o+Mensal+dezembro+2016.pdf/663d49b3-2cbe-4869-9f7c-4856af399891" TargetMode="External"/><Relationship Id="rId4" Type="http://schemas.openxmlformats.org/officeDocument/2006/relationships/hyperlink" Target="http://epp.eurostat.ec.europa.eu/newxtweb/mainxtnet.do?noredirectnewsession=true" TargetMode="External"/><Relationship Id="rId9" Type="http://schemas.openxmlformats.org/officeDocument/2006/relationships/hyperlink" Target="https://www.iefp.pt/documents/10181/6817457/Informa%C3%A7%C3%A3o+Mensal+dezembro+2017.pdf/31a5727c-fd90-47f0-8e7c-8fc087d5e1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BA30-94A4-4AB5-BA5E-D2A13F70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3596</Words>
  <Characters>18921</Characters>
  <Application>Microsoft Office Word</Application>
  <DocSecurity>0</DocSecurity>
  <Lines>573</Lines>
  <Paragraphs>381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2018-08-07T07:56:00Z</cp:lastPrinted>
  <dcterms:created xsi:type="dcterms:W3CDTF">2018-08-22T10:12:00Z</dcterms:created>
  <dcterms:modified xsi:type="dcterms:W3CDTF">2018-09-04T12:24:00Z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