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C46760A0-60C3-4523-9F32-93B9F991DF0E" style="width:451.85pt;height:434.5pt">
            <v:imagedata r:id="rId13" o:title=""/>
          </v:shape>
        </w:pict>
      </w:r>
    </w:p>
    <w:bookmarkEnd w:id="0"/>
    <w:p>
      <w:pPr>
        <w:jc w:val="both"/>
        <w:rPr>
          <w:noProof/>
        </w:rPr>
        <w:sectPr>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0"/>
          <w:cols w:space="720"/>
          <w:docGrid w:linePitch="360"/>
        </w:sectPr>
      </w:pPr>
    </w:p>
    <w:bookmarkStart w:id="1" w:name="_GoBack"/>
    <w:bookmarkEnd w:id="1"/>
    <w:p>
      <w:pPr>
        <w:jc w:val="both"/>
        <w:rPr>
          <w:rFonts w:ascii="PFSquareSansPro-Regular" w:hAnsi="PFSquareSansPro-Regular"/>
          <w:noProof/>
          <w:sz w:val="16"/>
          <w:szCs w:val="16"/>
        </w:rPr>
      </w:pPr>
      <w:r>
        <w:rPr>
          <w:noProof/>
          <w:lang w:val="en-US"/>
        </w:rPr>
        <w:lastRenderedPageBreak/>
        <mc:AlternateContent>
          <mc:Choice Requires="wps">
            <w:drawing>
              <wp:anchor distT="0" distB="0" distL="114300" distR="114300" simplePos="0" relativeHeight="251652608" behindDoc="0" locked="0" layoutInCell="1" allowOverlap="1">
                <wp:simplePos x="0" y="0"/>
                <wp:positionH relativeFrom="page">
                  <wp:posOffset>-2157095</wp:posOffset>
                </wp:positionH>
                <wp:positionV relativeFrom="page">
                  <wp:posOffset>3130550</wp:posOffset>
                </wp:positionV>
                <wp:extent cx="302895" cy="302895"/>
                <wp:effectExtent l="43180" t="44450" r="0" b="0"/>
                <wp:wrapNone/>
                <wp:docPr id="6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302895"/>
                        </a:xfrm>
                        <a:custGeom>
                          <a:avLst/>
                          <a:gdLst>
                            <a:gd name="T0" fmla="*/ 0 w 1"/>
                            <a:gd name="T1" fmla="*/ 0 h 1"/>
                            <a:gd name="T2" fmla="*/ 0 w 1"/>
                            <a:gd name="T3" fmla="*/ 0 h 1"/>
                          </a:gdLst>
                          <a:ahLst/>
                          <a:cxnLst>
                            <a:cxn ang="0">
                              <a:pos x="T0" y="T1"/>
                            </a:cxn>
                            <a:cxn ang="0">
                              <a:pos x="T2" y="T3"/>
                            </a:cxn>
                          </a:cxnLst>
                          <a:rect l="0" t="0" r="r" b="b"/>
                          <a:pathLst>
                            <a:path w="1" h="1" extrusionOk="0">
                              <a:moveTo>
                                <a:pt x="0" y="0"/>
                              </a:moveTo>
                              <a:lnTo>
                                <a:pt x="0" y="0"/>
                              </a:lnTo>
                            </a:path>
                          </a:pathLst>
                        </a:custGeom>
                        <a:noFill/>
                        <a:ln w="76201" cap="rnd" algn="ctr">
                          <a:solidFill>
                            <a:srgbClr val="00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988EFF" id="Freeform 67" o:spid="_x0000_s1026" style="position:absolute;margin-left:-169.85pt;margin-top:246.5pt;width:23.85pt;height:23.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CBQMAAJAGAAAOAAAAZHJzL2Uyb0RvYy54bWysVdtu2zAMfR+wfxD0OCC1nbi5GHWKIpdh&#10;QLcWaPYBiiRfUFnyJCVOV+zfR8mOm7QrMAzrg0qZx+Qhj8lcXR8qgfZcm1LJFEcXIUZcUsVKmaf4&#10;+2Y9mGJkLJGMCCV5ip+4wdfzjx+umjrhQ1UowbhGEESapKlTXFhbJ0FgaMErYi5UzSU4M6UrYuGq&#10;84Bp0kD0SgTDMBwHjdKs1opyY+DpsnXiuY+fZZzauywz3CKRYuBm/an9uXVnML8iSa5JXZS0o0H+&#10;gUVFSglJ+1BLYgna6fJNqKqkWhmV2QuqqkBlWUm5rwGqicJX1TwUpOa+FmiOqfs2mf8Xln7b32tU&#10;shSPJxhJUoFGa8256ziCR9CfpjYJwB7qe+0qNPWtoo8GSbUoiMz5jdaqKThhwCpy+ODsBXcx8Cra&#10;Nl8Vg+hkZ5Vv1SHTlQsITUAHr8hTrwg/WETh4SgcTmeXGFFwdbbLQJLjy3Rn7GeufCCyvzW2FZSB&#10;5eVgXU0bED+rBGj7KUAhapCnCnr1gOgMULwFDM8Af4gwOgN0EYBrfmRDiiNBepAdQ7AQtNFV7gjX&#10;yrhmOLpQ8qZtKEkA5bzvgIGZA4989zsw5H1JomEOXk+AxggmYNtOQE2s4+YZgIkapyUq/Ala6J2b&#10;77vHI8tK7flGebR9pR3kffEK+T6q9QHc5faa9iQc9xNdpVqXQnhhhXTUJmMYFvgoCCwMLRlGROSw&#10;fajVvodGiZK5VxxBo/PtQmi0J24D+L+uTWcwrXaS+RTuU151tiWlaG2gJLwE0I2uUe4b9SP+PAtn&#10;q+lqGg/i4Xg1iMPlcnCzXsSD8TqaXC5Hy8ViGf1y1KI4KUrGuHTsjusmiv9unLvF1y6KfuH0zQnO&#10;o/uOAsXjf0/aj6abxnaqt4o9wWRq1a5FWONgFEr/xKiBlZhi82NHNMdIfJEw3bMojt0O9Zf4cjKE&#10;iz71bE89RFIIlWIL8nhzYdu9u6t1mReQKfJqSXUDGyEr3eR6fi2r7gJrz1fQrWi3V0/vHvXyQzL/&#10;DQAA//8DAFBLAwQUAAYACAAAACEAVx+j7+IAAAANAQAADwAAAGRycy9kb3ducmV2LnhtbEyPwU6D&#10;QBCG7ya+w2ZMvNFFqFSQpWk0nmyjVi/etjCyRHaWsNuCPr3jSW8zmS//fH+5nm0vTjj6zpGCq0UM&#10;Aql2TUetgrfXh+gGhA+aGt07QgVf6GFdnZ+VumjcRC942odWcAj5QiswIQyFlL42aLVfuAGJbx9u&#10;tDrwOrayGfXE4baXSRxn0uqO+IPRA94ZrD/3R6uAzO4+m+NxxufNJN+fvrePmdwqdXkxb25BBJzD&#10;Hwy/+qwOFTsd3JEaL3oFUZrmK2YVLPOUWzESJXnC00HB9TJegaxK+b9F9QMAAP//AwBQSwECLQAU&#10;AAYACAAAACEAtoM4kv4AAADhAQAAEwAAAAAAAAAAAAAAAAAAAAAAW0NvbnRlbnRfVHlwZXNdLnht&#10;bFBLAQItABQABgAIAAAAIQA4/SH/1gAAAJQBAAALAAAAAAAAAAAAAAAAAC8BAABfcmVscy8ucmVs&#10;c1BLAQItABQABgAIAAAAIQD+i6ACBQMAAJAGAAAOAAAAAAAAAAAAAAAAAC4CAABkcnMvZTJvRG9j&#10;LnhtbFBLAQItABQABgAIAAAAIQBXH6Pv4gAAAA0BAAAPAAAAAAAAAAAAAAAAAF8FAABkcnMvZG93&#10;bnJldi54bWxQSwUGAAAAAAQABADzAAAAbgYAAAAA&#10;" path="m,l,e" filled="f" strokeweight="2.11669mm">
                <v:stroke endcap="round"/>
                <v:path o:extrusionok="f" o:connecttype="custom" o:connectlocs="0,0;0,0" o:connectangles="0,0"/>
                <w10:wrap anchorx="page" anchory="page"/>
              </v:shape>
            </w:pict>
          </mc:Fallback>
        </mc:AlternateContent>
      </w:r>
      <w:r>
        <w:rPr>
          <w:noProof/>
          <w:lang w:val="en-US"/>
        </w:rPr>
        <mc:AlternateContent>
          <mc:Choice Requires="wps">
            <w:drawing>
              <wp:anchor distT="0" distB="0" distL="114300" distR="114300" simplePos="0" relativeHeight="251653632" behindDoc="0" locked="0" layoutInCell="1" allowOverlap="1">
                <wp:simplePos x="0" y="0"/>
                <wp:positionH relativeFrom="column">
                  <wp:posOffset>-408940</wp:posOffset>
                </wp:positionH>
                <wp:positionV relativeFrom="paragraph">
                  <wp:posOffset>-838835</wp:posOffset>
                </wp:positionV>
                <wp:extent cx="6848475" cy="438150"/>
                <wp:effectExtent l="0" t="0" r="9525" b="0"/>
                <wp:wrapNone/>
                <wp:docPr id="65" name="Text Box 65"/>
                <wp:cNvGraphicFramePr/>
                <a:graphic xmlns:a="http://schemas.openxmlformats.org/drawingml/2006/main">
                  <a:graphicData uri="http://schemas.microsoft.com/office/word/2010/wordprocessingShape">
                    <wps:wsp>
                      <wps:cNvSpPr txBox="1"/>
                      <wps:spPr>
                        <a:xfrm>
                          <a:off x="0" y="0"/>
                          <a:ext cx="68484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z w:val="36"/>
                              </w:rPr>
                            </w:pPr>
                            <w:r>
                              <w:rPr>
                                <w:b/>
                                <w:sz w:val="36"/>
                              </w:rPr>
                              <w:t>Annex 4: Mapping of cybersecurity expertise centres: survey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left:0;text-align:left;margin-left:-32.2pt;margin-top:-66.05pt;width:539.25pt;height:3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rAiwIAAIwFAAAOAAAAZHJzL2Uyb0RvYy54bWysVE1PGzEQvVfqf7B8L5tAoGnEBqUgqkoI&#10;UKHi7HhtsqrX49pOsumv77N381HKhaqXXXvmzdfzzJxftI1hK+VDTbbkw6MBZ8pKqmr7XPLvj9cf&#10;xpyFKGwlDFlV8o0K/GL6/t352k3UMS3IVMozOLFhsnYlX8ToJkUR5EI1IhyRUxZKTb4REVf/XFRe&#10;rOG9McXxYHBWrMlXzpNUIUB61Sn5NPvXWsl4p3VQkZmSI7eYvz5/5+lbTM/F5NkLt6hln4b4hywa&#10;UVsE3bm6ElGwpa//ctXU0lMgHY8kNQVpXUuVa0A1w8GLah4WwqlcC8gJbkdT+H9u5e3q3rO6KvnZ&#10;KWdWNHijR9VG9plaBhH4WbswAezBARhbyPHOW3mAMJXdat+kPwpi0IPpzY7d5E1CeDYejUcfEUVC&#10;NzoZD08z/cXe2vkQvyhqWDqU3OP1MqlidRMiMgF0C0nBApm6uq6NyZfUMerSeLYSeGsTc46w+ANl&#10;LFsjkxOETkaWknnn2dgkUbln+nCp8q7CfIoboxLG2G9Kg7Nc6CuxhZTK7uJndEJphHqLYY/fZ/UW&#10;464OWOTIZOPOuKkt+Vx9HrI9ZdWPLWW6w4Pwg7rTMbbztu+IOVUbNISnbqSCk9c1Xu1GhHgvPGYI&#10;PYC9EO/w0YbAOvUnzhbkf70mT3i0NrScrTGTJQ8/l8IrzsxXi6b/NByN0hDny+j04zEu/lAzP9TY&#10;ZXNJaIUhNpCT+Zjw0WyP2lPzhPUxS1GhElYidsnj9ngZu02B9SPVbJZBGFsn4o19cDK5TvSmnnxs&#10;n4R3feNGtPwtbadXTF70b4dNlpZmy0i6zs2dCO5Y7YnHyOee79dT2imH94zaL9HpbwAAAP//AwBQ&#10;SwMEFAAGAAgAAAAhAAMGb77iAAAADQEAAA8AAABkcnMvZG93bnJldi54bWxMj0tPhEAQhO8m/odJ&#10;m3gxuwMLrgYZNsb4SLy5+Ii3WaYFItNDmFnAf29z0lt16kt1Vb6bbSdGHHzrSEG8jkAgVc60VCt4&#10;LR9W1yB80GR05wgV/KCHXXF6kuvMuIlecNyHWnAI+UwraELoMyl91aDVfu16JPa+3GB14HOopRn0&#10;xOG2k5so2kqrW+IPje7xrsHqe3+0Cj4v6o9nPz++Tcll0t8/jeXVuymVOj+bb29ABJzDHwxLfa4O&#10;BXc6uCMZLzoFq22aMsoiTjYxiAWJ4pTVYTGTGGSRy/8ril8AAAD//wMAUEsBAi0AFAAGAAgAAAAh&#10;ALaDOJL+AAAA4QEAABMAAAAAAAAAAAAAAAAAAAAAAFtDb250ZW50X1R5cGVzXS54bWxQSwECLQAU&#10;AAYACAAAACEAOP0h/9YAAACUAQAACwAAAAAAAAAAAAAAAAAvAQAAX3JlbHMvLnJlbHNQSwECLQAU&#10;AAYACAAAACEAqZFawIsCAACMBQAADgAAAAAAAAAAAAAAAAAuAgAAZHJzL2Uyb0RvYy54bWxQSwEC&#10;LQAUAAYACAAAACEAAwZvvuIAAAANAQAADwAAAAAAAAAAAAAAAADlBAAAZHJzL2Rvd25yZXYueG1s&#10;UEsFBgAAAAAEAAQA8wAAAPQFAAAAAA==&#10;" fillcolor="white [3201]" stroked="f" strokeweight=".5pt">
                <v:textbox>
                  <w:txbxContent>
                    <w:p>
                      <w:pPr>
                        <w:jc w:val="center"/>
                        <w:rPr>
                          <w:b/>
                          <w:sz w:val="36"/>
                        </w:rPr>
                      </w:pPr>
                      <w:r>
                        <w:rPr>
                          <w:b/>
                          <w:sz w:val="36"/>
                        </w:rPr>
                        <w:t>Annex 4: Mapping of cybersecurity expertise centres: survey outcomes</w:t>
                      </w:r>
                    </w:p>
                  </w:txbxContent>
                </v:textbox>
              </v:shape>
            </w:pict>
          </mc:Fallback>
        </mc:AlternateContent>
      </w:r>
      <w:bookmarkStart w:id="2" w:name="_Toc456357332"/>
      <w:r>
        <w:rPr>
          <w:noProof/>
          <w:lang w:val="en-US"/>
        </w:rPr>
        <w:drawing>
          <wp:anchor distT="0" distB="0" distL="114300" distR="114300" simplePos="0" relativeHeight="251654656" behindDoc="1" locked="0" layoutInCell="1" allowOverlap="1">
            <wp:simplePos x="0" y="0"/>
            <wp:positionH relativeFrom="column">
              <wp:posOffset>-899795</wp:posOffset>
            </wp:positionH>
            <wp:positionV relativeFrom="paragraph">
              <wp:posOffset>-879475</wp:posOffset>
            </wp:positionV>
            <wp:extent cx="7589520" cy="2513965"/>
            <wp:effectExtent l="0" t="0" r="0" b="63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89520" cy="2513965"/>
                    </a:xfrm>
                    <a:prstGeom prst="rect">
                      <a:avLst/>
                    </a:prstGeom>
                    <a:noFill/>
                  </pic:spPr>
                </pic:pic>
              </a:graphicData>
            </a:graphic>
            <wp14:sizeRelH relativeFrom="page">
              <wp14:pctWidth>0</wp14:pctWidth>
            </wp14:sizeRelH>
            <wp14:sizeRelV relativeFrom="page">
              <wp14:pctHeight>0</wp14:pctHeight>
            </wp14:sizeRelV>
          </wp:anchor>
        </w:drawing>
      </w:r>
    </w:p>
    <w:p>
      <w:pPr>
        <w:jc w:val="both"/>
        <w:rPr>
          <w:noProof/>
        </w:rPr>
      </w:pPr>
    </w:p>
    <w:p>
      <w:pPr>
        <w:spacing w:before="600" w:after="600" w:line="640" w:lineRule="exact"/>
        <w:ind w:left="-567"/>
        <w:jc w:val="both"/>
        <w:rPr>
          <w:rFonts w:ascii="Verdana" w:eastAsia="Calibri" w:hAnsi="Verdana" w:cs="Times New Roman"/>
          <w:noProof/>
          <w:sz w:val="56"/>
          <w:szCs w:val="56"/>
          <w:lang w:eastAsia="en-GB"/>
        </w:rPr>
      </w:pPr>
    </w:p>
    <w:p>
      <w:pPr>
        <w:spacing w:before="600" w:after="600" w:line="640" w:lineRule="exact"/>
        <w:ind w:left="-567"/>
        <w:jc w:val="both"/>
        <w:rPr>
          <w:rFonts w:ascii="Verdana" w:eastAsia="Calibri" w:hAnsi="Verdana"/>
          <w:noProof/>
          <w:sz w:val="56"/>
          <w:szCs w:val="56"/>
        </w:rPr>
      </w:pPr>
    </w:p>
    <w:p>
      <w:pPr>
        <w:spacing w:before="600" w:after="600" w:line="640" w:lineRule="exact"/>
        <w:ind w:left="-567"/>
        <w:jc w:val="both"/>
        <w:rPr>
          <w:rFonts w:ascii="Verdana" w:eastAsia="Calibri" w:hAnsi="Verdana"/>
          <w:noProof/>
          <w:sz w:val="56"/>
          <w:szCs w:val="56"/>
        </w:rPr>
      </w:pPr>
      <w:r>
        <w:rPr>
          <w:rFonts w:ascii="Verdana" w:eastAsia="Calibri" w:hAnsi="Verdana"/>
          <w:noProof/>
          <w:sz w:val="56"/>
          <w:szCs w:val="56"/>
        </w:rPr>
        <w:t>European Cybersecurity Centre of Expertise</w:t>
      </w:r>
    </w:p>
    <w:p>
      <w:pPr>
        <w:spacing w:after="600" w:line="640" w:lineRule="exact"/>
        <w:ind w:left="-567"/>
        <w:jc w:val="both"/>
        <w:rPr>
          <w:rFonts w:ascii="Verdana" w:eastAsia="Calibri" w:hAnsi="Verdana"/>
          <w:i/>
          <w:noProof/>
          <w:sz w:val="40"/>
          <w:szCs w:val="40"/>
        </w:rPr>
      </w:pPr>
      <w:r>
        <w:rPr>
          <w:rFonts w:ascii="Times New Roman" w:hAnsi="Times New Roman"/>
          <w:noProof/>
          <w:sz w:val="24"/>
          <w:lang w:val="en-US"/>
        </w:rPr>
        <w:drawing>
          <wp:anchor distT="0" distB="0" distL="114300" distR="114300" simplePos="0" relativeHeight="251662336" behindDoc="1" locked="0" layoutInCell="1" allowOverlap="1">
            <wp:simplePos x="0" y="0"/>
            <wp:positionH relativeFrom="page">
              <wp:posOffset>213360</wp:posOffset>
            </wp:positionH>
            <wp:positionV relativeFrom="paragraph">
              <wp:posOffset>850265</wp:posOffset>
            </wp:positionV>
            <wp:extent cx="7802880" cy="3436620"/>
            <wp:effectExtent l="0" t="0" r="7620" b="0"/>
            <wp:wrapNone/>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21" cstate="print">
                      <a:duotone>
                        <a:schemeClr val="accent1">
                          <a:shade val="45000"/>
                          <a:satMod val="135000"/>
                        </a:schemeClr>
                        <a:prstClr val="white"/>
                      </a:duotone>
                      <a:extLst>
                        <a:ext uri="{BEBA8EAE-BF5A-486C-A8C5-ECC9F3942E4B}">
                          <a14:imgProps xmlns:a14="http://schemas.microsoft.com/office/drawing/2010/main">
                            <a14:imgLayer r:embed="rId22">
                              <a14:imgEffect>
                                <a14:artisticChalkSketch/>
                              </a14:imgEffect>
                            </a14:imgLayer>
                          </a14:imgProps>
                        </a:ext>
                        <a:ext uri="{28A0092B-C50C-407E-A947-70E740481C1C}">
                          <a14:useLocalDpi xmlns:a14="http://schemas.microsoft.com/office/drawing/2010/main" val="0"/>
                        </a:ext>
                      </a:extLst>
                    </a:blip>
                    <a:stretch>
                      <a:fillRect/>
                    </a:stretch>
                  </pic:blipFill>
                  <pic:spPr>
                    <a:xfrm>
                      <a:off x="0" y="0"/>
                      <a:ext cx="7802880" cy="3436620"/>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Calibri" w:hAnsi="Verdana"/>
          <w:i/>
          <w:noProof/>
          <w:sz w:val="40"/>
          <w:szCs w:val="40"/>
        </w:rPr>
        <w:t>Cybersecurity Competence Survey</w:t>
      </w:r>
      <w:r>
        <w:rPr>
          <w:rFonts w:ascii="Times New Roman" w:eastAsia="Times New Roman" w:hAnsi="Times New Roman"/>
          <w:noProof/>
          <w:sz w:val="24"/>
          <w:szCs w:val="24"/>
          <w:lang w:val="en-US"/>
        </w:rPr>
        <mc:AlternateContent>
          <mc:Choice Requires="wps">
            <w:drawing>
              <wp:anchor distT="0" distB="0" distL="114300" distR="114300" simplePos="0" relativeHeight="251657216" behindDoc="0" locked="1" layoutInCell="1" allowOverlap="1">
                <wp:simplePos x="0" y="0"/>
                <wp:positionH relativeFrom="page">
                  <wp:posOffset>6461760</wp:posOffset>
                </wp:positionH>
                <wp:positionV relativeFrom="page">
                  <wp:posOffset>8183880</wp:posOffset>
                </wp:positionV>
                <wp:extent cx="873760" cy="182880"/>
                <wp:effectExtent l="0" t="0" r="2540" b="762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760" cy="182880"/>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a14="http://schemas.microsoft.com/office/drawing/2010/main" xmlns=""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a14="http://schemas.microsoft.com/office/drawing/2010/main" xmlns="" xmlns:w16se="http://schemas.microsoft.com/office/word/2015/wordml/symex" xmlns:w15="http://schemas.microsoft.com/office/word/2012/wordml" xmlns:cx1="http://schemas.microsoft.com/office/drawing/2015/9/8/chartex" xmlns:cx="http://schemas.microsoft.com/office/drawing/2014/chartex"/>
                          </a:ext>
                        </a:extLst>
                      </wps:spPr>
                      <wps:txbx>
                        <w:txbxContent>
                          <w:p>
                            <w:pPr>
                              <w:pStyle w:val="JRCCoverEUR"/>
                            </w:pPr>
                            <w:r>
                              <w:t>EUR 29330 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27" type="#_x0000_t202" style="position:absolute;left:0;text-align:left;margin-left:508.8pt;margin-top:644.4pt;width:68.8pt;height:1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zchAIAAOYEAAAOAAAAZHJzL2Uyb0RvYy54bWysVFtvmzAUfp+0/2D5nXJpEigqqdwgpklR&#10;Wymd+uwY06CB7dlOoZv233dsQtt1e5r24hzO/XznO7m8GvsOPXFtWikKHJ9FGHHBZN2KxwJ/ua+C&#10;DCNjqahpJwUv8DM3+Gr98cPloHKeyIPsaq4RJBEmH1SBD9aqPAwNO/CemjOpuABjI3VPLXzqx7DW&#10;dIDsfRcmUbQKB6lrpSXjxoC2nIx47fM3DWf2tmkMt6grMPRm/av9u3dvuL6k+aOm6tCyUxv0H7ro&#10;aSug6EuqklqKjrr9I1XfMi2NbOwZk30om6Zl3M8A08TRu2l2B6q4nwXAMeoFJvP/0rKbpzuN2rrA&#10;qxVGgvawo3s+WnQtRwQqwGdQJge3nQJHO4Ie9uxnNWor2VcDLuEbnynAgLfDY2x0735hUgSBsILn&#10;F9hdGQbKLD1PV2BhYIqzJMv8WsLXYKWN/cRlj5xQYA1b9Q3Qp62xrjzNZxdXS8iq7Tq/2U78pgDH&#10;ScM9NaZomkMjIDpP15Jf24+KkGRVnpdBmV2kwWLPkyCrokVwTRbLeJOmVVymPyf6vAZtlmlC0uVF&#10;sCLLOFjEURYQEiVBWZGIRItqc7G49kHQyFzUYzfB5VC04370+4hn7PeyfgbotZzIaxSrWsBhS429&#10;oxrYCtDBBdpbeJpODgWWJwmjg9Tf/6Z3/kAisGI0APsLbL4dqeYYdZ8F0MudyizoWdjPgjj2GwkH&#10;FcNtK+ZFCNC2m8VGy/4BDpO4KmCigkGtAttZ3NjpBuGwGSfEO8FBKGq3YqfYzDC31fvxgWp1Wr0F&#10;1G7kfBc0f8eAyXdaOTla2bSeHg7XCcUTVeGYPGtOh++u9e2393r9e1r/AgAA//8DAFBLAwQUAAYA&#10;CAAAACEAduiynuAAAAAPAQAADwAAAGRycy9kb3ducmV2LnhtbExPPU/DMBTckfgP1kNio06C0kZp&#10;nAoVVQyIoQUkRjd244j4OYrd1P33vEx0u9Od7qPaRNuzSY++cyggXSTANDZOddgK+PrcPRXAfJCo&#10;ZO9QC7hqD5v6/q6SpXIX3OvpEFpGIehLKcCEMJSc+8ZoK/3CDRpJO7nRykB0bLka5YXCbc+zJFly&#10;KzukBiMHvTW6+T2crYDv7bB7jz9Gfky5envNVvvr2EQhHh/iyxpY0DH8m2GeT9Ohpk1Hd0blWU88&#10;SVdL8hLKioJezJ40zzNgR0LPs8rrit/+qP8AAAD//wMAUEsBAi0AFAAGAAgAAAAhALaDOJL+AAAA&#10;4QEAABMAAAAAAAAAAAAAAAAAAAAAAFtDb250ZW50X1R5cGVzXS54bWxQSwECLQAUAAYACAAAACEA&#10;OP0h/9YAAACUAQAACwAAAAAAAAAAAAAAAAAvAQAAX3JlbHMvLnJlbHNQSwECLQAUAAYACAAAACEA&#10;rBnM3IQCAADmBAAADgAAAAAAAAAAAAAAAAAuAgAAZHJzL2Uyb0RvYy54bWxQSwECLQAUAAYACAAA&#10;ACEAduiynuAAAAAPAQAADwAAAAAAAAAAAAAAAADeBAAAZHJzL2Rvd25yZXYueG1sUEsFBgAAAAAE&#10;AAQA8wAAAOsFAAAAAA==&#10;" filled="f" stroked="f">
                <v:path arrowok="t"/>
                <v:textbox inset="0,0,0,0">
                  <w:txbxContent>
                    <w:p>
                      <w:pPr>
                        <w:pStyle w:val="JRCCoverEUR"/>
                      </w:pPr>
                      <w:r>
                        <w:t>EUR 29330 EN</w:t>
                      </w:r>
                    </w:p>
                  </w:txbxContent>
                </v:textbox>
                <w10:wrap anchorx="page" anchory="page"/>
                <w10:anchorlock/>
              </v:shape>
            </w:pict>
          </mc:Fallback>
        </mc:AlternateContent>
      </w:r>
    </w:p>
    <w:p>
      <w:pPr>
        <w:spacing w:before="120" w:after="120"/>
        <w:ind w:left="5103"/>
        <w:jc w:val="both"/>
        <w:rPr>
          <w:rFonts w:ascii="Verdana" w:eastAsia="Times New Roman" w:hAnsi="Verdana"/>
          <w:noProof/>
          <w:sz w:val="20"/>
          <w:szCs w:val="24"/>
        </w:rPr>
      </w:pPr>
    </w:p>
    <w:p>
      <w:pPr>
        <w:spacing w:after="120"/>
        <w:ind w:left="5103"/>
        <w:jc w:val="both"/>
        <w:rPr>
          <w:rFonts w:ascii="Verdana" w:hAnsi="Verdana"/>
          <w:noProof/>
          <w:sz w:val="20"/>
          <w:lang w:val="it-IT"/>
        </w:rPr>
      </w:pPr>
      <w:r>
        <w:rPr>
          <w:rFonts w:ascii="Times New Roman" w:hAnsi="Times New Roman"/>
          <w:noProof/>
          <w:sz w:val="24"/>
          <w:lang w:val="en-US"/>
        </w:rPr>
        <mc:AlternateContent>
          <mc:Choice Requires="wps">
            <w:drawing>
              <wp:anchor distT="0" distB="0" distL="114300" distR="114300" simplePos="0" relativeHeight="251659264" behindDoc="0" locked="1" layoutInCell="1" allowOverlap="1">
                <wp:simplePos x="0" y="0"/>
                <wp:positionH relativeFrom="margin">
                  <wp:posOffset>3241675</wp:posOffset>
                </wp:positionH>
                <wp:positionV relativeFrom="page">
                  <wp:posOffset>6858000</wp:posOffset>
                </wp:positionV>
                <wp:extent cx="2260600" cy="826770"/>
                <wp:effectExtent l="0" t="0" r="635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826770"/>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a14="http://schemas.microsoft.com/office/drawing/2010/main" xmlns=""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a14="http://schemas.microsoft.com/office/drawing/2010/main" xmlns="" xmlns:w16se="http://schemas.microsoft.com/office/word/2015/wordml/symex" xmlns:w15="http://schemas.microsoft.com/office/word/2012/wordml" xmlns:cx1="http://schemas.microsoft.com/office/drawing/2015/9/8/chartex" xmlns:cx="http://schemas.microsoft.com/office/drawing/2014/chartex"/>
                          </a:ext>
                        </a:extLst>
                      </wps:spPr>
                      <wps:txbx>
                        <w:txbxContent>
                          <w:p>
                            <w:pPr>
                              <w:pStyle w:val="JRCCoveryear"/>
                              <w:spacing w:after="120"/>
                            </w:pPr>
                            <w:r>
                              <w:t xml:space="preserve">2018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28" type="#_x0000_t202" style="position:absolute;left:0;text-align:left;margin-left:255.25pt;margin-top:540pt;width:178pt;height:6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7khAIAAOcEAAAOAAAAZHJzL2Uyb0RvYy54bWysVFtvmzAUfp+0/2D5nXJZAikqqdwgpklR&#10;W6md+uwY06CB7dlOoZv633dsQtp1e5r24hzO/XznO7m4HPsOPXFtWikKHJ9FGHHBZN2KxwJ/va+C&#10;FUbGUlHTTgpe4Gdu8OX644eLQeU8kXvZ1VwjSCJMPqgC761VeRgatuc9NWdScQHGRuqeWvjUj2Gt&#10;6QDZ+y5MoigNB6lrpSXjxoC2nIx47fM3DWf2pmkMt6grMPRm/av9u3NvuL6g+aOmat+yYxv0H7ro&#10;aSug6ClVSS1FB93+kapvmZZGNvaMyT6UTdMy7meAaeLo3TR3e6q4nwXAMeoEk/l/adn1061GbV3g&#10;NMFI0B52dM9Hi67kiEAF+AzK5OB2p8DRjqCHPftZjdpK9s2AS/jGZwow4O3wGBvdu1+YFEEgrOD5&#10;BLsrw0CZJGmURmBiYFslaZb5vYSv0Uob+5nLHjmhwBrW6jugT1tjXX2azy6umJBV23V+tZ34TQGO&#10;k4Z7bkzRNIdOQHSerie/t58VIUlafiqDcnWeBYsdT4JVFS2CK7JYxpssq+Iye5n48xq0WWYJyZbn&#10;QUqWcbCIo1VASJQEZUUiEi2qzfniygdBI3NRD96El4PRjrvRL+QE/k7Wz4C9lhN7jWJVCzhsqbG3&#10;VANdATo4QXsDT9PJocDyKGG0l/rH3/TOH1gEVowGoH+BzfcD1Ryj7osAfrlbmQU9C7tZEId+I+Gi&#10;YjhuxbwIAdp2s9ho2T/AZRJXBUxUMKhVYDuLGzsdIVw244R4J7gIRe1W3Ck2U8xt9X58oFodV28B&#10;tWs5HwbN3zFg8p1WTg5WNq2nh8N1QvHIVbgmz5rj5btzffvtvV7/n9a/AAAA//8DAFBLAwQUAAYA&#10;CAAAACEAOYjkQeAAAAANAQAADwAAAGRycy9kb3ducmV2LnhtbEyPwU7DMBBE70j8g7VI3KidSAlR&#10;GqdCRRUHxKEFJI7b2I0jYjuK3dT9e5YTHHfmaXam2SQ7skXPYfBOQrYSwLTrvBpcL+HjffdQAQsR&#10;ncLROy3hqgNs2tubBmvlL26vl0PsGYW4UKMEE+NUcx46oy2GlZ+0I+/kZ4uRzrnnasYLhduR50KU&#10;3OLg6IPBSW+N7r4PZyvhczvtXtOXwbelUC/P+eP+OndJyvu79LQGFnWKfzD81qfq0FKnoz87Fdgo&#10;ochEQSgZohK0ipCqLEk6kpRnIgfeNvz/ivYHAAD//wMAUEsBAi0AFAAGAAgAAAAhALaDOJL+AAAA&#10;4QEAABMAAAAAAAAAAAAAAAAAAAAAAFtDb250ZW50X1R5cGVzXS54bWxQSwECLQAUAAYACAAAACEA&#10;OP0h/9YAAACUAQAACwAAAAAAAAAAAAAAAAAvAQAAX3JlbHMvLnJlbHNQSwECLQAUAAYACAAAACEA&#10;kpne5IQCAADnBAAADgAAAAAAAAAAAAAAAAAuAgAAZHJzL2Uyb0RvYy54bWxQSwECLQAUAAYACAAA&#10;ACEAOYjkQeAAAAANAQAADwAAAAAAAAAAAAAAAADeBAAAZHJzL2Rvd25yZXYueG1sUEsFBgAAAAAE&#10;AAQA8wAAAOsFAAAAAA==&#10;" filled="f" stroked="f">
                <v:path arrowok="t"/>
                <v:textbox inset="0,0,0,0">
                  <w:txbxContent>
                    <w:p>
                      <w:pPr>
                        <w:pStyle w:val="JRCCoveryear"/>
                        <w:spacing w:after="120"/>
                      </w:pPr>
                      <w:r>
                        <w:t xml:space="preserve">2018 </w:t>
                      </w:r>
                    </w:p>
                  </w:txbxContent>
                </v:textbox>
                <w10:wrap anchorx="margin" anchory="page"/>
                <w10:anchorlock/>
              </v:shape>
            </w:pict>
          </mc:Fallback>
        </mc:AlternateContent>
      </w:r>
      <w:r>
        <w:rPr>
          <w:rFonts w:ascii="Verdana" w:hAnsi="Verdana"/>
          <w:noProof/>
          <w:sz w:val="20"/>
          <w:lang w:val="it-IT"/>
        </w:rPr>
        <w:t>NAI-FOVINO, I.</w:t>
      </w:r>
    </w:p>
    <w:p>
      <w:pPr>
        <w:spacing w:before="120" w:after="120"/>
        <w:ind w:left="5103"/>
        <w:jc w:val="both"/>
        <w:rPr>
          <w:rFonts w:ascii="Verdana" w:hAnsi="Verdana"/>
          <w:noProof/>
          <w:sz w:val="20"/>
          <w:lang w:val="it-IT"/>
        </w:rPr>
      </w:pPr>
      <w:r>
        <w:rPr>
          <w:rFonts w:ascii="Verdana" w:hAnsi="Verdana"/>
          <w:noProof/>
          <w:sz w:val="20"/>
          <w:lang w:val="it-IT"/>
        </w:rPr>
        <w:t xml:space="preserve">NEISSE, R. </w:t>
      </w:r>
    </w:p>
    <w:p>
      <w:pPr>
        <w:spacing w:before="120" w:after="120"/>
        <w:ind w:left="5103"/>
        <w:jc w:val="both"/>
        <w:rPr>
          <w:rFonts w:ascii="Verdana" w:hAnsi="Verdana"/>
          <w:noProof/>
          <w:sz w:val="20"/>
        </w:rPr>
      </w:pPr>
      <w:r>
        <w:rPr>
          <w:rFonts w:ascii="Verdana" w:hAnsi="Verdana"/>
          <w:noProof/>
          <w:sz w:val="20"/>
        </w:rPr>
        <w:t>LAZARI, A.</w:t>
      </w:r>
    </w:p>
    <w:p>
      <w:pPr>
        <w:spacing w:before="120" w:after="120"/>
        <w:ind w:left="5103"/>
        <w:jc w:val="both"/>
        <w:rPr>
          <w:rFonts w:ascii="Verdana" w:hAnsi="Verdana"/>
          <w:noProof/>
          <w:sz w:val="20"/>
        </w:rPr>
      </w:pPr>
      <w:r>
        <w:rPr>
          <w:rFonts w:ascii="Verdana" w:hAnsi="Verdana"/>
          <w:noProof/>
          <w:sz w:val="20"/>
        </w:rPr>
        <w:t>RUZZANTE, G.</w:t>
      </w:r>
    </w:p>
    <w:p>
      <w:pPr>
        <w:spacing w:before="120" w:after="120"/>
        <w:ind w:left="5103"/>
        <w:jc w:val="both"/>
        <w:rPr>
          <w:rFonts w:ascii="Verdana" w:hAnsi="Verdana"/>
          <w:noProof/>
          <w:sz w:val="20"/>
        </w:rPr>
      </w:pPr>
    </w:p>
    <w:p>
      <w:pPr>
        <w:spacing w:before="120" w:after="120"/>
        <w:ind w:left="5103"/>
        <w:jc w:val="both"/>
        <w:rPr>
          <w:rFonts w:ascii="Verdana" w:hAnsi="Verdana"/>
          <w:noProof/>
          <w:sz w:val="20"/>
        </w:rPr>
      </w:pPr>
    </w:p>
    <w:p>
      <w:pPr>
        <w:spacing w:before="120" w:after="120"/>
        <w:ind w:left="5103"/>
        <w:jc w:val="both"/>
        <w:rPr>
          <w:rFonts w:ascii="Verdana" w:hAnsi="Verdana"/>
          <w:noProof/>
          <w:sz w:val="20"/>
        </w:rPr>
      </w:pPr>
    </w:p>
    <w:p>
      <w:pPr>
        <w:spacing w:before="120" w:after="120"/>
        <w:ind w:left="5103"/>
        <w:jc w:val="both"/>
        <w:rPr>
          <w:rFonts w:ascii="Verdana" w:hAnsi="Verdana"/>
          <w:noProof/>
          <w:sz w:val="20"/>
        </w:rPr>
      </w:pPr>
    </w:p>
    <w:p>
      <w:pPr>
        <w:spacing w:after="120"/>
        <w:jc w:val="both"/>
        <w:rPr>
          <w:rFonts w:ascii="Verdana" w:hAnsi="Verdana"/>
          <w:noProof/>
          <w:sz w:val="20"/>
        </w:rPr>
      </w:pPr>
      <w:r>
        <w:rPr>
          <w:rFonts w:ascii="Times New Roman" w:eastAsia="Times New Roman" w:hAnsi="Times New Roman"/>
          <w:noProof/>
          <w:sz w:val="24"/>
          <w:szCs w:val="24"/>
          <w:lang w:val="en-US"/>
        </w:rPr>
        <w:drawing>
          <wp:anchor distT="0" distB="0" distL="114300" distR="114300" simplePos="0" relativeHeight="251655168" behindDoc="0" locked="0" layoutInCell="1" allowOverlap="1">
            <wp:simplePos x="0" y="0"/>
            <wp:positionH relativeFrom="page">
              <wp:posOffset>3360420</wp:posOffset>
            </wp:positionH>
            <wp:positionV relativeFrom="page">
              <wp:posOffset>7970520</wp:posOffset>
            </wp:positionV>
            <wp:extent cx="842645" cy="701040"/>
            <wp:effectExtent l="0" t="0" r="0" b="3810"/>
            <wp:wrapSquare wrapText="bothSides"/>
            <wp:docPr id="63" name="Picture 63" descr="jobs:JRC Templates:LAST-reports-templates:Material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jobs:JRC Templates:LAST-reports-templates:Materials:Foot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2645" cy="701040"/>
                    </a:xfrm>
                    <a:prstGeom prst="rect">
                      <a:avLst/>
                    </a:prstGeom>
                    <a:noFill/>
                  </pic:spPr>
                </pic:pic>
              </a:graphicData>
            </a:graphic>
            <wp14:sizeRelH relativeFrom="page">
              <wp14:pctWidth>0</wp14:pctWidth>
            </wp14:sizeRelH>
            <wp14:sizeRelV relativeFrom="page">
              <wp14:pctHeight>0</wp14:pctHeight>
            </wp14:sizeRelV>
          </wp:anchor>
        </w:drawing>
      </w:r>
    </w:p>
    <w:p>
      <w:pPr>
        <w:jc w:val="both"/>
        <w:rPr>
          <w:rFonts w:ascii="Verdana" w:hAnsi="Verdana"/>
          <w:noProof/>
          <w:sz w:val="20"/>
        </w:rPr>
        <w:sectPr>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20"/>
        </w:sectPr>
      </w:pPr>
    </w:p>
    <w:p>
      <w:pPr>
        <w:widowControl w:val="0"/>
        <w:spacing w:line="200" w:lineRule="exact"/>
        <w:jc w:val="both"/>
        <w:rPr>
          <w:rFonts w:ascii="Verdana" w:hAnsi="Verdana"/>
          <w:noProof/>
          <w:sz w:val="16"/>
          <w:szCs w:val="14"/>
        </w:rPr>
      </w:pPr>
      <w:r>
        <w:rPr>
          <w:rFonts w:ascii="Verdana" w:hAnsi="Verdana"/>
          <w:noProof/>
          <w:sz w:val="16"/>
          <w:szCs w:val="14"/>
        </w:rPr>
        <w:lastRenderedPageBreak/>
        <w:t>This publication is a Technical report by the Joint Research Centre (JRC), the European Commission’s science and knowledge service. It aims to provide evidence-based scientific support to the European policymaking process. The scientific output expressed does not imply a policy position of the European Commission. Neither the European Commission nor any person acting on behalf of the Commission is responsible for the use that might be made of this publication.</w:t>
      </w:r>
    </w:p>
    <w:p>
      <w:pPr>
        <w:widowControl w:val="0"/>
        <w:spacing w:line="200" w:lineRule="exact"/>
        <w:jc w:val="both"/>
        <w:rPr>
          <w:rFonts w:ascii="Verdana" w:hAnsi="Verdana"/>
          <w:noProof/>
          <w:sz w:val="16"/>
          <w:szCs w:val="14"/>
        </w:rPr>
      </w:pPr>
    </w:p>
    <w:p>
      <w:pPr>
        <w:widowControl w:val="0"/>
        <w:spacing w:line="200" w:lineRule="exact"/>
        <w:jc w:val="both"/>
        <w:rPr>
          <w:rFonts w:ascii="Verdana" w:hAnsi="Verdana"/>
          <w:b/>
          <w:noProof/>
          <w:sz w:val="16"/>
          <w:szCs w:val="14"/>
          <w:lang w:val="fr-FR"/>
        </w:rPr>
      </w:pPr>
      <w:r>
        <w:rPr>
          <w:rFonts w:ascii="Verdana" w:hAnsi="Verdana"/>
          <w:b/>
          <w:noProof/>
          <w:sz w:val="16"/>
          <w:szCs w:val="14"/>
          <w:lang w:val="fr-FR"/>
        </w:rPr>
        <w:t>JRC Science Hub</w:t>
      </w:r>
    </w:p>
    <w:p>
      <w:pPr>
        <w:widowControl w:val="0"/>
        <w:spacing w:line="200" w:lineRule="exact"/>
        <w:jc w:val="both"/>
        <w:rPr>
          <w:rFonts w:ascii="Verdana" w:hAnsi="Verdana"/>
          <w:noProof/>
          <w:sz w:val="16"/>
          <w:szCs w:val="14"/>
          <w:lang w:val="fr-FR"/>
        </w:rPr>
      </w:pPr>
      <w:r>
        <w:rPr>
          <w:rFonts w:ascii="Verdana" w:hAnsi="Verdana"/>
          <w:noProof/>
          <w:sz w:val="16"/>
          <w:szCs w:val="14"/>
          <w:lang w:val="fr-FR"/>
        </w:rPr>
        <w:t>https://ec.europa.eu/jrc</w:t>
      </w:r>
    </w:p>
    <w:p>
      <w:pPr>
        <w:widowControl w:val="0"/>
        <w:spacing w:line="200" w:lineRule="exact"/>
        <w:jc w:val="both"/>
        <w:rPr>
          <w:rFonts w:ascii="Verdana" w:hAnsi="Verdana"/>
          <w:noProof/>
          <w:sz w:val="16"/>
          <w:szCs w:val="14"/>
          <w:lang w:val="fr-FR"/>
        </w:rPr>
      </w:pPr>
    </w:p>
    <w:p>
      <w:pPr>
        <w:widowControl w:val="0"/>
        <w:spacing w:line="200" w:lineRule="exact"/>
        <w:jc w:val="both"/>
        <w:rPr>
          <w:rFonts w:ascii="Verdana" w:hAnsi="Verdana"/>
          <w:noProof/>
          <w:sz w:val="16"/>
          <w:szCs w:val="14"/>
          <w:lang w:val="fr-FR"/>
        </w:rPr>
      </w:pPr>
    </w:p>
    <w:p>
      <w:pPr>
        <w:widowControl w:val="0"/>
        <w:spacing w:line="200" w:lineRule="exact"/>
        <w:jc w:val="both"/>
        <w:rPr>
          <w:rFonts w:ascii="Verdana" w:hAnsi="Verdana"/>
          <w:noProof/>
          <w:sz w:val="16"/>
          <w:szCs w:val="14"/>
        </w:rPr>
      </w:pPr>
      <w:r>
        <w:rPr>
          <w:rFonts w:ascii="Verdana" w:hAnsi="Verdana"/>
          <w:noProof/>
          <w:sz w:val="16"/>
          <w:szCs w:val="14"/>
        </w:rPr>
        <w:t>JRC 111211</w:t>
      </w:r>
    </w:p>
    <w:p>
      <w:pPr>
        <w:widowControl w:val="0"/>
        <w:spacing w:line="200" w:lineRule="exact"/>
        <w:jc w:val="both"/>
        <w:rPr>
          <w:rFonts w:ascii="Verdana" w:hAnsi="Verdana"/>
          <w:noProof/>
          <w:sz w:val="16"/>
          <w:szCs w:val="14"/>
        </w:rPr>
      </w:pPr>
    </w:p>
    <w:p>
      <w:pPr>
        <w:widowControl w:val="0"/>
        <w:spacing w:line="200" w:lineRule="exact"/>
        <w:jc w:val="both"/>
        <w:rPr>
          <w:rFonts w:ascii="Verdana" w:hAnsi="Verdana"/>
          <w:noProof/>
          <w:sz w:val="16"/>
          <w:szCs w:val="14"/>
        </w:rPr>
      </w:pPr>
      <w:r>
        <w:rPr>
          <w:rFonts w:ascii="Verdana" w:hAnsi="Verdana"/>
          <w:noProof/>
          <w:sz w:val="16"/>
          <w:szCs w:val="14"/>
        </w:rPr>
        <w:t>EUR 29330 EN</w:t>
      </w:r>
    </w:p>
    <w:p>
      <w:pPr>
        <w:widowControl w:val="0"/>
        <w:spacing w:line="200" w:lineRule="exact"/>
        <w:jc w:val="both"/>
        <w:rPr>
          <w:rFonts w:ascii="Verdana" w:hAnsi="Verdana"/>
          <w:noProof/>
          <w:sz w:val="16"/>
          <w:szCs w:val="14"/>
        </w:rPr>
      </w:pPr>
    </w:p>
    <w:tbl>
      <w:tblPr>
        <w:tblStyle w:val="TableGrid2"/>
        <w:tblW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
        <w:gridCol w:w="2443"/>
        <w:gridCol w:w="1701"/>
        <w:gridCol w:w="2126"/>
      </w:tblGrid>
      <w:tr>
        <w:trPr>
          <w:trHeight w:val="396"/>
        </w:trPr>
        <w:tc>
          <w:tcPr>
            <w:tcW w:w="818" w:type="dxa"/>
            <w:vAlign w:val="center"/>
            <w:hideMark/>
          </w:tcPr>
          <w:p>
            <w:pPr>
              <w:widowControl w:val="0"/>
              <w:spacing w:line="200" w:lineRule="exact"/>
              <w:rPr>
                <w:rFonts w:ascii="Verdana" w:hAnsi="Verdana" w:cs="Arial"/>
                <w:noProof/>
                <w:sz w:val="16"/>
                <w:szCs w:val="14"/>
              </w:rPr>
            </w:pPr>
            <w:r>
              <w:rPr>
                <w:rFonts w:ascii="Verdana" w:hAnsi="Verdana" w:cs="Arial"/>
                <w:noProof/>
                <w:sz w:val="16"/>
                <w:szCs w:val="14"/>
              </w:rPr>
              <w:t>PDF</w:t>
            </w:r>
          </w:p>
        </w:tc>
        <w:tc>
          <w:tcPr>
            <w:tcW w:w="2443" w:type="dxa"/>
            <w:vAlign w:val="center"/>
            <w:hideMark/>
          </w:tcPr>
          <w:p>
            <w:pPr>
              <w:widowControl w:val="0"/>
              <w:spacing w:line="200" w:lineRule="exact"/>
              <w:rPr>
                <w:rFonts w:ascii="Verdana" w:hAnsi="Verdana" w:cs="Arial"/>
                <w:noProof/>
                <w:sz w:val="16"/>
                <w:szCs w:val="14"/>
              </w:rPr>
            </w:pPr>
            <w:r>
              <w:rPr>
                <w:rFonts w:ascii="Verdana" w:hAnsi="Verdana" w:cs="Arial"/>
                <w:noProof/>
                <w:sz w:val="16"/>
                <w:szCs w:val="14"/>
              </w:rPr>
              <w:t>ISBN 978-92-79-92954-0</w:t>
            </w:r>
          </w:p>
        </w:tc>
        <w:tc>
          <w:tcPr>
            <w:tcW w:w="1701" w:type="dxa"/>
            <w:vAlign w:val="center"/>
            <w:hideMark/>
          </w:tcPr>
          <w:p>
            <w:pPr>
              <w:widowControl w:val="0"/>
              <w:spacing w:line="200" w:lineRule="exact"/>
              <w:rPr>
                <w:rFonts w:ascii="Verdana" w:hAnsi="Verdana" w:cs="Arial"/>
                <w:noProof/>
                <w:sz w:val="16"/>
                <w:szCs w:val="14"/>
              </w:rPr>
            </w:pPr>
            <w:r>
              <w:rPr>
                <w:rFonts w:ascii="Verdana" w:hAnsi="Verdana" w:cs="Arial"/>
                <w:noProof/>
                <w:sz w:val="16"/>
                <w:szCs w:val="14"/>
              </w:rPr>
              <w:t>ISSN 1831-9424</w:t>
            </w:r>
          </w:p>
        </w:tc>
        <w:tc>
          <w:tcPr>
            <w:tcW w:w="2126" w:type="dxa"/>
            <w:vAlign w:val="center"/>
            <w:hideMark/>
          </w:tcPr>
          <w:p>
            <w:pPr>
              <w:widowControl w:val="0"/>
              <w:spacing w:line="200" w:lineRule="exact"/>
              <w:rPr>
                <w:rFonts w:ascii="Verdana" w:hAnsi="Verdana" w:cs="Arial"/>
                <w:noProof/>
                <w:sz w:val="16"/>
                <w:szCs w:val="14"/>
              </w:rPr>
            </w:pPr>
            <w:r>
              <w:rPr>
                <w:rFonts w:ascii="Verdana" w:hAnsi="Verdana" w:cs="Arial"/>
                <w:noProof/>
                <w:sz w:val="16"/>
                <w:szCs w:val="14"/>
              </w:rPr>
              <w:t>doi:</w:t>
            </w:r>
            <w:r>
              <w:rPr>
                <w:rFonts w:ascii="Verdana" w:hAnsi="Verdana"/>
                <w:noProof/>
                <w:sz w:val="16"/>
                <w:szCs w:val="14"/>
              </w:rPr>
              <w:t xml:space="preserve"> </w:t>
            </w:r>
            <w:r>
              <w:rPr>
                <w:rFonts w:ascii="Verdana" w:hAnsi="Verdana" w:cs="Arial"/>
                <w:noProof/>
                <w:sz w:val="16"/>
                <w:szCs w:val="14"/>
              </w:rPr>
              <w:t>10.2760/42369</w:t>
            </w:r>
          </w:p>
        </w:tc>
      </w:tr>
    </w:tbl>
    <w:p>
      <w:pPr>
        <w:widowControl w:val="0"/>
        <w:spacing w:line="200" w:lineRule="exact"/>
        <w:jc w:val="both"/>
        <w:rPr>
          <w:rFonts w:ascii="Verdana" w:eastAsia="Times New Roman" w:hAnsi="Verdana" w:cs="Times New Roman"/>
          <w:noProof/>
          <w:sz w:val="16"/>
          <w:szCs w:val="14"/>
        </w:rPr>
      </w:pPr>
    </w:p>
    <w:p>
      <w:pPr>
        <w:widowControl w:val="0"/>
        <w:spacing w:line="200" w:lineRule="exact"/>
        <w:jc w:val="both"/>
        <w:rPr>
          <w:rFonts w:ascii="Verdana" w:hAnsi="Verdana"/>
          <w:noProof/>
          <w:color w:val="FF0000"/>
          <w:sz w:val="16"/>
          <w:szCs w:val="14"/>
        </w:rPr>
      </w:pPr>
      <w:r>
        <w:rPr>
          <w:rFonts w:ascii="Verdana" w:hAnsi="Verdana"/>
          <w:noProof/>
          <w:sz w:val="16"/>
          <w:szCs w:val="14"/>
        </w:rPr>
        <w:t>Luxembourg: Publications Office of the European Union, 2018</w:t>
      </w:r>
    </w:p>
    <w:p>
      <w:pPr>
        <w:widowControl w:val="0"/>
        <w:spacing w:line="200" w:lineRule="exact"/>
        <w:jc w:val="both"/>
        <w:rPr>
          <w:rFonts w:ascii="Verdana" w:hAnsi="Verdana"/>
          <w:noProof/>
          <w:sz w:val="16"/>
          <w:szCs w:val="14"/>
        </w:rPr>
      </w:pPr>
    </w:p>
    <w:p>
      <w:pPr>
        <w:widowControl w:val="0"/>
        <w:spacing w:line="200" w:lineRule="exact"/>
        <w:jc w:val="both"/>
        <w:rPr>
          <w:rFonts w:ascii="Verdana" w:hAnsi="Verdana"/>
          <w:b/>
          <w:noProof/>
          <w:sz w:val="16"/>
          <w:szCs w:val="14"/>
        </w:rPr>
      </w:pPr>
      <w:r>
        <w:rPr>
          <w:rFonts w:ascii="Verdana" w:hAnsi="Verdana"/>
          <w:noProof/>
          <w:sz w:val="16"/>
          <w:szCs w:val="14"/>
        </w:rPr>
        <w:t>© European Union, 2018</w:t>
      </w:r>
    </w:p>
    <w:p>
      <w:pPr>
        <w:widowControl w:val="0"/>
        <w:spacing w:line="200" w:lineRule="exact"/>
        <w:jc w:val="both"/>
        <w:rPr>
          <w:rFonts w:ascii="Verdana" w:hAnsi="Verdana"/>
          <w:noProof/>
          <w:sz w:val="16"/>
          <w:szCs w:val="14"/>
        </w:rPr>
      </w:pPr>
    </w:p>
    <w:p>
      <w:pPr>
        <w:widowControl w:val="0"/>
        <w:spacing w:line="200" w:lineRule="exact"/>
        <w:jc w:val="both"/>
        <w:rPr>
          <w:rFonts w:ascii="Verdana" w:hAnsi="Verdana"/>
          <w:noProof/>
          <w:sz w:val="16"/>
          <w:szCs w:val="14"/>
        </w:rPr>
      </w:pPr>
      <w:r>
        <w:rPr>
          <w:rFonts w:ascii="Verdana" w:hAnsi="Verdana"/>
          <w:noProof/>
          <w:sz w:val="16"/>
          <w:szCs w:val="14"/>
        </w:rPr>
        <w:t>The reuse policy of the European Commission is implemented by Commission Decision 2011/833/EU of 12 December 2011 on the reuse of Commission documents (OJ L 330, 14.12.2011, p. 39). Reuse is authorised, provided the source of the document is acknowledged and its original meaning or message is not distorted. The European Commission shall not be liable for any consequence stemming from the reuse. For any use or reproduction of photos or other material that is not owned by the EU, permission must be sought directly from the copyright holders.</w:t>
      </w:r>
    </w:p>
    <w:p>
      <w:pPr>
        <w:widowControl w:val="0"/>
        <w:spacing w:line="200" w:lineRule="exact"/>
        <w:jc w:val="both"/>
        <w:rPr>
          <w:rFonts w:ascii="Verdana" w:hAnsi="Verdana"/>
          <w:noProof/>
          <w:sz w:val="16"/>
          <w:szCs w:val="14"/>
        </w:rPr>
      </w:pPr>
    </w:p>
    <w:p>
      <w:pPr>
        <w:widowControl w:val="0"/>
        <w:spacing w:line="200" w:lineRule="exact"/>
        <w:jc w:val="both"/>
        <w:rPr>
          <w:rFonts w:ascii="Verdana" w:hAnsi="Verdana"/>
          <w:noProof/>
          <w:sz w:val="16"/>
          <w:szCs w:val="14"/>
        </w:rPr>
      </w:pPr>
      <w:r>
        <w:rPr>
          <w:rFonts w:ascii="Verdana" w:hAnsi="Verdana"/>
          <w:noProof/>
          <w:sz w:val="16"/>
          <w:szCs w:val="14"/>
        </w:rPr>
        <w:t xml:space="preserve">All content © European Union 2018 </w:t>
      </w:r>
    </w:p>
    <w:p>
      <w:pPr>
        <w:widowControl w:val="0"/>
        <w:spacing w:line="200" w:lineRule="exact"/>
        <w:jc w:val="both"/>
        <w:rPr>
          <w:rFonts w:ascii="Verdana" w:hAnsi="Verdana"/>
          <w:noProof/>
          <w:sz w:val="16"/>
          <w:szCs w:val="14"/>
        </w:rPr>
      </w:pPr>
    </w:p>
    <w:p>
      <w:pPr>
        <w:widowControl w:val="0"/>
        <w:spacing w:line="200" w:lineRule="exact"/>
        <w:jc w:val="both"/>
        <w:rPr>
          <w:rFonts w:ascii="Verdana" w:hAnsi="Verdana"/>
          <w:noProof/>
          <w:sz w:val="16"/>
          <w:szCs w:val="16"/>
        </w:rPr>
      </w:pPr>
      <w:r>
        <w:rPr>
          <w:rFonts w:ascii="Verdana" w:hAnsi="Verdana"/>
          <w:noProof/>
          <w:sz w:val="16"/>
          <w:szCs w:val="14"/>
        </w:rPr>
        <w:t xml:space="preserve">How to cite this report: </w:t>
      </w:r>
      <w:r>
        <w:rPr>
          <w:rFonts w:ascii="Verdana" w:hAnsi="Verdana"/>
          <w:noProof/>
          <w:sz w:val="16"/>
          <w:szCs w:val="16"/>
        </w:rPr>
        <w:t xml:space="preserve">NAI-FOVINO, I.; NEISSE, R.;'LAZARI, A.; RUZZANTE, G. European Cybersecurity Centre of Expertise - Cybersecurity Competence Survey. </w:t>
      </w:r>
      <w:r>
        <w:rPr>
          <w:rFonts w:ascii="Verdana" w:hAnsi="Verdana"/>
          <w:noProof/>
          <w:sz w:val="16"/>
          <w:szCs w:val="14"/>
        </w:rPr>
        <w:t>EUR 29330 EN</w:t>
      </w:r>
      <w:r>
        <w:rPr>
          <w:rFonts w:ascii="Verdana" w:hAnsi="Verdana"/>
          <w:noProof/>
          <w:sz w:val="16"/>
          <w:szCs w:val="16"/>
        </w:rPr>
        <w:t xml:space="preserve">, </w:t>
      </w:r>
      <w:r>
        <w:rPr>
          <w:rFonts w:ascii="Verdana" w:hAnsi="Verdana"/>
          <w:noProof/>
          <w:sz w:val="16"/>
          <w:szCs w:val="14"/>
        </w:rPr>
        <w:t>Publications Office of the European Union, Luxembourg</w:t>
      </w:r>
      <w:r>
        <w:rPr>
          <w:rFonts w:ascii="Verdana" w:hAnsi="Verdana"/>
          <w:noProof/>
          <w:sz w:val="16"/>
          <w:szCs w:val="16"/>
        </w:rPr>
        <w:t xml:space="preserve">, 2018, ISBN </w:t>
      </w:r>
      <w:r>
        <w:rPr>
          <w:rFonts w:ascii="Verdana" w:hAnsi="Verdana" w:cs="Arial"/>
          <w:noProof/>
          <w:sz w:val="16"/>
          <w:szCs w:val="14"/>
        </w:rPr>
        <w:t>978-92-79-92954-0</w:t>
      </w:r>
      <w:r>
        <w:rPr>
          <w:rFonts w:ascii="Verdana" w:hAnsi="Verdana"/>
          <w:noProof/>
          <w:sz w:val="16"/>
          <w:szCs w:val="16"/>
        </w:rPr>
        <w:t>, doi:</w:t>
      </w:r>
      <w:r>
        <w:rPr>
          <w:rFonts w:ascii="Verdana" w:hAnsi="Verdana" w:cs="Arial"/>
          <w:noProof/>
          <w:sz w:val="16"/>
          <w:szCs w:val="14"/>
        </w:rPr>
        <w:t xml:space="preserve"> 10.2760/42369</w:t>
      </w:r>
      <w:r>
        <w:rPr>
          <w:rFonts w:ascii="Verdana" w:hAnsi="Verdana"/>
          <w:noProof/>
          <w:sz w:val="16"/>
          <w:szCs w:val="16"/>
        </w:rPr>
        <w:t xml:space="preserve">, </w:t>
      </w:r>
      <w:r>
        <w:rPr>
          <w:rFonts w:ascii="Verdana" w:hAnsi="Verdana"/>
          <w:noProof/>
          <w:sz w:val="16"/>
          <w:szCs w:val="14"/>
        </w:rPr>
        <w:t>JRC111211</w:t>
      </w:r>
      <w:r>
        <w:rPr>
          <w:rFonts w:ascii="Verdana" w:hAnsi="Verdana"/>
          <w:noProof/>
          <w:sz w:val="16"/>
          <w:szCs w:val="16"/>
        </w:rPr>
        <w:t>.</w:t>
      </w:r>
    </w:p>
    <w:p>
      <w:pPr>
        <w:widowControl w:val="0"/>
        <w:spacing w:line="200" w:lineRule="exact"/>
        <w:jc w:val="both"/>
        <w:rPr>
          <w:rFonts w:ascii="Verdana" w:hAnsi="Verdana"/>
          <w:noProof/>
          <w:sz w:val="16"/>
          <w:szCs w:val="14"/>
        </w:rPr>
      </w:pPr>
    </w:p>
    <w:p>
      <w:pPr>
        <w:widowControl w:val="0"/>
        <w:spacing w:line="200" w:lineRule="exact"/>
        <w:jc w:val="both"/>
        <w:rPr>
          <w:rFonts w:ascii="Verdana" w:hAnsi="Verdana"/>
          <w:noProof/>
          <w:sz w:val="16"/>
          <w:szCs w:val="14"/>
        </w:rPr>
      </w:pPr>
    </w:p>
    <w:p>
      <w:pPr>
        <w:jc w:val="both"/>
        <w:rPr>
          <w:noProof/>
        </w:rPr>
        <w:sectPr>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20"/>
        </w:sectPr>
      </w:pPr>
    </w:p>
    <w:p>
      <w:pPr>
        <w:keepNext/>
        <w:pageBreakBefore/>
        <w:spacing w:after="120"/>
        <w:jc w:val="both"/>
        <w:rPr>
          <w:rFonts w:ascii="Verdana" w:hAnsi="Verdana"/>
          <w:b/>
          <w:noProof/>
          <w:sz w:val="26"/>
          <w:szCs w:val="26"/>
        </w:rPr>
      </w:pPr>
      <w:r>
        <w:rPr>
          <w:rFonts w:ascii="Verdana" w:hAnsi="Verdana"/>
          <w:b/>
          <w:noProof/>
          <w:sz w:val="26"/>
          <w:szCs w:val="26"/>
        </w:rPr>
        <w:lastRenderedPageBreak/>
        <w:t>Contents</w:t>
      </w:r>
    </w:p>
    <w:p>
      <w:pPr>
        <w:tabs>
          <w:tab w:val="right" w:leader="dot" w:pos="8640"/>
        </w:tabs>
        <w:spacing w:before="240" w:after="120"/>
        <w:ind w:left="482" w:right="720" w:hanging="482"/>
        <w:jc w:val="both"/>
        <w:rPr>
          <w:rFonts w:eastAsiaTheme="minorEastAsia"/>
          <w:noProof/>
          <w:lang w:val="en-US"/>
        </w:rPr>
      </w:pPr>
      <w:r>
        <w:rPr>
          <w:noProof/>
        </w:rPr>
        <w:fldChar w:fldCharType="begin"/>
      </w:r>
      <w:r>
        <w:rPr>
          <w:rFonts w:ascii="Arial" w:hAnsi="Arial"/>
          <w:caps/>
          <w:noProof/>
          <w:sz w:val="20"/>
          <w:szCs w:val="20"/>
        </w:rPr>
        <w:instrText xml:space="preserve"> TOC \o "1-3" \h \z \u </w:instrText>
      </w:r>
      <w:r>
        <w:rPr>
          <w:noProof/>
        </w:rPr>
        <w:fldChar w:fldCharType="separate"/>
      </w:r>
      <w:hyperlink r:id="rId36" w:anchor="_Toc523835936" w:history="1">
        <w:r>
          <w:rPr>
            <w:rStyle w:val="Hyperlink"/>
            <w:rFonts w:ascii="Verdana" w:hAnsi="Verdana"/>
            <w:noProof/>
          </w:rPr>
          <w:t>1</w:t>
        </w:r>
        <w:r>
          <w:rPr>
            <w:rStyle w:val="Hyperlink"/>
            <w:rFonts w:eastAsiaTheme="minorEastAsia"/>
            <w:noProof/>
            <w:color w:val="auto"/>
            <w:lang w:val="en-US"/>
          </w:rPr>
          <w:tab/>
        </w:r>
        <w:r>
          <w:rPr>
            <w:rStyle w:val="Hyperlink"/>
            <w:rFonts w:ascii="Verdana" w:hAnsi="Verdana"/>
            <w:noProof/>
          </w:rPr>
          <w:t>Introduction</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_Toc523835936 \h </w:instrText>
        </w:r>
        <w:r>
          <w:rPr>
            <w:rStyle w:val="Hyperlink"/>
            <w:noProof/>
          </w:rPr>
        </w:r>
        <w:r>
          <w:rPr>
            <w:rStyle w:val="Hyperlink"/>
            <w:noProof/>
          </w:rPr>
          <w:fldChar w:fldCharType="separate"/>
        </w:r>
        <w:r>
          <w:rPr>
            <w:rStyle w:val="Hyperlink"/>
            <w:rFonts w:ascii="Verdana" w:hAnsi="Verdana"/>
            <w:noProof/>
            <w:webHidden/>
            <w:color w:val="auto"/>
          </w:rPr>
          <w:t>5</w:t>
        </w:r>
        <w:r>
          <w:rPr>
            <w:rStyle w:val="Hyperlink"/>
            <w:noProof/>
          </w:rPr>
          <w:fldChar w:fldCharType="end"/>
        </w:r>
      </w:hyperlink>
    </w:p>
    <w:p>
      <w:pPr>
        <w:tabs>
          <w:tab w:val="right" w:leader="dot" w:pos="8640"/>
        </w:tabs>
        <w:spacing w:before="240" w:after="120"/>
        <w:ind w:left="482" w:right="720" w:hanging="482"/>
        <w:jc w:val="both"/>
        <w:rPr>
          <w:rFonts w:eastAsiaTheme="minorEastAsia"/>
          <w:noProof/>
          <w:lang w:val="en-US"/>
        </w:rPr>
      </w:pPr>
      <w:hyperlink r:id="rId37" w:anchor="_Toc523835937" w:history="1">
        <w:r>
          <w:rPr>
            <w:rStyle w:val="Hyperlink"/>
            <w:rFonts w:ascii="Verdana" w:hAnsi="Verdana"/>
            <w:noProof/>
          </w:rPr>
          <w:t>2</w:t>
        </w:r>
        <w:r>
          <w:rPr>
            <w:rStyle w:val="Hyperlink"/>
            <w:rFonts w:eastAsiaTheme="minorEastAsia"/>
            <w:noProof/>
            <w:color w:val="auto"/>
            <w:lang w:val="en-US"/>
          </w:rPr>
          <w:tab/>
        </w:r>
        <w:r>
          <w:rPr>
            <w:rStyle w:val="Hyperlink"/>
            <w:rFonts w:ascii="Verdana" w:hAnsi="Verdana"/>
            <w:noProof/>
          </w:rPr>
          <w:t>Survey Description and Design</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_Toc523835937 \h </w:instrText>
        </w:r>
        <w:r>
          <w:rPr>
            <w:rStyle w:val="Hyperlink"/>
            <w:noProof/>
          </w:rPr>
        </w:r>
        <w:r>
          <w:rPr>
            <w:rStyle w:val="Hyperlink"/>
            <w:noProof/>
          </w:rPr>
          <w:fldChar w:fldCharType="separate"/>
        </w:r>
        <w:r>
          <w:rPr>
            <w:rStyle w:val="Hyperlink"/>
            <w:rFonts w:ascii="Verdana" w:hAnsi="Verdana"/>
            <w:noProof/>
            <w:webHidden/>
            <w:color w:val="auto"/>
          </w:rPr>
          <w:t>6</w:t>
        </w:r>
        <w:r>
          <w:rPr>
            <w:rStyle w:val="Hyperlink"/>
            <w:noProof/>
          </w:rPr>
          <w:fldChar w:fldCharType="end"/>
        </w:r>
      </w:hyperlink>
    </w:p>
    <w:p>
      <w:pPr>
        <w:tabs>
          <w:tab w:val="right" w:leader="dot" w:pos="8640"/>
        </w:tabs>
        <w:spacing w:before="240" w:after="120"/>
        <w:ind w:left="482" w:right="720" w:hanging="482"/>
        <w:jc w:val="both"/>
        <w:rPr>
          <w:rFonts w:eastAsiaTheme="minorEastAsia"/>
          <w:noProof/>
          <w:lang w:val="en-US"/>
        </w:rPr>
      </w:pPr>
      <w:hyperlink r:id="rId38" w:anchor="_Toc523835938" w:history="1">
        <w:r>
          <w:rPr>
            <w:rStyle w:val="Hyperlink"/>
            <w:rFonts w:ascii="Verdana" w:hAnsi="Verdana"/>
            <w:noProof/>
          </w:rPr>
          <w:t>3</w:t>
        </w:r>
        <w:r>
          <w:rPr>
            <w:rStyle w:val="Hyperlink"/>
            <w:rFonts w:eastAsiaTheme="minorEastAsia"/>
            <w:noProof/>
            <w:color w:val="auto"/>
            <w:lang w:val="en-US"/>
          </w:rPr>
          <w:tab/>
        </w:r>
        <w:r>
          <w:rPr>
            <w:rStyle w:val="Hyperlink"/>
            <w:rFonts w:ascii="Verdana" w:hAnsi="Verdana"/>
            <w:noProof/>
          </w:rPr>
          <w:t>Survey Dissemination Strategy and Analysis of Results</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_Toc523835938 \h </w:instrText>
        </w:r>
        <w:r>
          <w:rPr>
            <w:rStyle w:val="Hyperlink"/>
            <w:noProof/>
          </w:rPr>
        </w:r>
        <w:r>
          <w:rPr>
            <w:rStyle w:val="Hyperlink"/>
            <w:noProof/>
          </w:rPr>
          <w:fldChar w:fldCharType="separate"/>
        </w:r>
        <w:r>
          <w:rPr>
            <w:rStyle w:val="Hyperlink"/>
            <w:rFonts w:ascii="Verdana" w:hAnsi="Verdana"/>
            <w:noProof/>
            <w:webHidden/>
            <w:color w:val="auto"/>
          </w:rPr>
          <w:t>9</w:t>
        </w:r>
        <w:r>
          <w:rPr>
            <w:rStyle w:val="Hyperlink"/>
            <w:noProof/>
          </w:rPr>
          <w:fldChar w:fldCharType="end"/>
        </w:r>
      </w:hyperlink>
    </w:p>
    <w:p>
      <w:pPr>
        <w:tabs>
          <w:tab w:val="left" w:pos="879"/>
          <w:tab w:val="right" w:leader="dot" w:pos="8640"/>
        </w:tabs>
        <w:spacing w:before="120" w:after="120"/>
        <w:ind w:left="879" w:right="720" w:hanging="595"/>
        <w:jc w:val="both"/>
        <w:rPr>
          <w:rFonts w:eastAsiaTheme="minorEastAsia"/>
          <w:noProof/>
          <w:lang w:val="en-US"/>
        </w:rPr>
      </w:pPr>
      <w:hyperlink r:id="rId39" w:anchor="_Toc523835939" w:history="1">
        <w:r>
          <w:rPr>
            <w:rStyle w:val="Hyperlink"/>
            <w:rFonts w:ascii="Verdana" w:hAnsi="Verdana"/>
            <w:noProof/>
          </w:rPr>
          <w:t>3.1</w:t>
        </w:r>
        <w:r>
          <w:rPr>
            <w:rStyle w:val="Hyperlink"/>
            <w:rFonts w:eastAsiaTheme="minorEastAsia"/>
            <w:noProof/>
            <w:color w:val="auto"/>
            <w:lang w:val="en-US"/>
          </w:rPr>
          <w:tab/>
        </w:r>
        <w:r>
          <w:rPr>
            <w:rStyle w:val="Hyperlink"/>
            <w:rFonts w:ascii="Verdana" w:hAnsi="Verdana"/>
            <w:noProof/>
          </w:rPr>
          <w:t>Survey Dissemination Strategy</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_Toc523835939 \h </w:instrText>
        </w:r>
        <w:r>
          <w:rPr>
            <w:rStyle w:val="Hyperlink"/>
            <w:noProof/>
          </w:rPr>
        </w:r>
        <w:r>
          <w:rPr>
            <w:rStyle w:val="Hyperlink"/>
            <w:noProof/>
          </w:rPr>
          <w:fldChar w:fldCharType="separate"/>
        </w:r>
        <w:r>
          <w:rPr>
            <w:rStyle w:val="Hyperlink"/>
            <w:rFonts w:ascii="Verdana" w:hAnsi="Verdana"/>
            <w:noProof/>
            <w:webHidden/>
            <w:color w:val="auto"/>
          </w:rPr>
          <w:t>9</w:t>
        </w:r>
        <w:r>
          <w:rPr>
            <w:rStyle w:val="Hyperlink"/>
            <w:noProof/>
          </w:rPr>
          <w:fldChar w:fldCharType="end"/>
        </w:r>
      </w:hyperlink>
    </w:p>
    <w:p>
      <w:pPr>
        <w:tabs>
          <w:tab w:val="left" w:pos="879"/>
          <w:tab w:val="right" w:leader="dot" w:pos="8640"/>
        </w:tabs>
        <w:spacing w:before="120" w:after="120"/>
        <w:ind w:left="879" w:right="720" w:hanging="595"/>
        <w:jc w:val="both"/>
        <w:rPr>
          <w:rFonts w:eastAsiaTheme="minorEastAsia"/>
          <w:noProof/>
          <w:lang w:val="en-US"/>
        </w:rPr>
      </w:pPr>
      <w:hyperlink r:id="rId40" w:anchor="_Toc523835940" w:history="1">
        <w:r>
          <w:rPr>
            <w:rStyle w:val="Hyperlink"/>
            <w:rFonts w:ascii="Verdana" w:hAnsi="Verdana"/>
            <w:noProof/>
          </w:rPr>
          <w:t>3.2</w:t>
        </w:r>
        <w:r>
          <w:rPr>
            <w:rStyle w:val="Hyperlink"/>
            <w:rFonts w:eastAsiaTheme="minorEastAsia"/>
            <w:noProof/>
            <w:color w:val="auto"/>
            <w:lang w:val="en-US"/>
          </w:rPr>
          <w:tab/>
        </w:r>
        <w:r>
          <w:rPr>
            <w:rStyle w:val="Hyperlink"/>
            <w:rFonts w:ascii="Verdana" w:hAnsi="Verdana"/>
            <w:noProof/>
          </w:rPr>
          <w:t>Number and Geographical Distribution of Participants</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_Toc523835940 \h </w:instrText>
        </w:r>
        <w:r>
          <w:rPr>
            <w:rStyle w:val="Hyperlink"/>
            <w:noProof/>
          </w:rPr>
        </w:r>
        <w:r>
          <w:rPr>
            <w:rStyle w:val="Hyperlink"/>
            <w:noProof/>
          </w:rPr>
          <w:fldChar w:fldCharType="separate"/>
        </w:r>
        <w:r>
          <w:rPr>
            <w:rStyle w:val="Hyperlink"/>
            <w:rFonts w:ascii="Verdana" w:hAnsi="Verdana"/>
            <w:noProof/>
            <w:webHidden/>
            <w:color w:val="auto"/>
          </w:rPr>
          <w:t>10</w:t>
        </w:r>
        <w:r>
          <w:rPr>
            <w:rStyle w:val="Hyperlink"/>
            <w:noProof/>
          </w:rPr>
          <w:fldChar w:fldCharType="end"/>
        </w:r>
      </w:hyperlink>
    </w:p>
    <w:p>
      <w:pPr>
        <w:tabs>
          <w:tab w:val="left" w:pos="879"/>
          <w:tab w:val="right" w:leader="dot" w:pos="8640"/>
        </w:tabs>
        <w:spacing w:before="120" w:after="120"/>
        <w:ind w:left="879" w:right="720" w:hanging="595"/>
        <w:jc w:val="both"/>
        <w:rPr>
          <w:rFonts w:eastAsiaTheme="minorEastAsia"/>
          <w:noProof/>
          <w:lang w:val="en-US"/>
        </w:rPr>
      </w:pPr>
      <w:hyperlink r:id="rId41" w:anchor="_Toc523835941" w:history="1">
        <w:r>
          <w:rPr>
            <w:rStyle w:val="Hyperlink"/>
            <w:rFonts w:ascii="Verdana" w:hAnsi="Verdana"/>
            <w:noProof/>
          </w:rPr>
          <w:t>3.3</w:t>
        </w:r>
        <w:r>
          <w:rPr>
            <w:rStyle w:val="Hyperlink"/>
            <w:rFonts w:eastAsiaTheme="minorEastAsia"/>
            <w:noProof/>
            <w:color w:val="auto"/>
            <w:lang w:val="en-US"/>
          </w:rPr>
          <w:tab/>
        </w:r>
        <w:r>
          <w:rPr>
            <w:rStyle w:val="Hyperlink"/>
            <w:rFonts w:ascii="Verdana" w:hAnsi="Verdana"/>
            <w:noProof/>
          </w:rPr>
          <w:t>Entity Type and Legal Status of Participants</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_Toc523835941 \h </w:instrText>
        </w:r>
        <w:r>
          <w:rPr>
            <w:rStyle w:val="Hyperlink"/>
            <w:noProof/>
          </w:rPr>
        </w:r>
        <w:r>
          <w:rPr>
            <w:rStyle w:val="Hyperlink"/>
            <w:noProof/>
          </w:rPr>
          <w:fldChar w:fldCharType="separate"/>
        </w:r>
        <w:r>
          <w:rPr>
            <w:rStyle w:val="Hyperlink"/>
            <w:rFonts w:ascii="Verdana" w:hAnsi="Verdana"/>
            <w:noProof/>
            <w:webHidden/>
            <w:color w:val="auto"/>
          </w:rPr>
          <w:t>11</w:t>
        </w:r>
        <w:r>
          <w:rPr>
            <w:rStyle w:val="Hyperlink"/>
            <w:noProof/>
          </w:rPr>
          <w:fldChar w:fldCharType="end"/>
        </w:r>
      </w:hyperlink>
    </w:p>
    <w:p>
      <w:pPr>
        <w:tabs>
          <w:tab w:val="left" w:pos="879"/>
          <w:tab w:val="right" w:leader="dot" w:pos="8640"/>
        </w:tabs>
        <w:spacing w:before="120" w:after="120"/>
        <w:ind w:left="879" w:right="720" w:hanging="595"/>
        <w:jc w:val="both"/>
        <w:rPr>
          <w:rFonts w:eastAsiaTheme="minorEastAsia"/>
          <w:noProof/>
          <w:lang w:val="en-US"/>
        </w:rPr>
      </w:pPr>
      <w:hyperlink r:id="rId42" w:anchor="_Toc523835942" w:history="1">
        <w:r>
          <w:rPr>
            <w:rStyle w:val="Hyperlink"/>
            <w:rFonts w:ascii="Verdana" w:hAnsi="Verdana"/>
            <w:noProof/>
          </w:rPr>
          <w:t>3.4</w:t>
        </w:r>
        <w:r>
          <w:rPr>
            <w:rStyle w:val="Hyperlink"/>
            <w:rFonts w:eastAsiaTheme="minorEastAsia"/>
            <w:noProof/>
            <w:color w:val="auto"/>
            <w:lang w:val="en-US"/>
          </w:rPr>
          <w:tab/>
        </w:r>
        <w:r>
          <w:rPr>
            <w:rStyle w:val="Hyperlink"/>
            <w:rFonts w:ascii="Verdana" w:hAnsi="Verdana"/>
            <w:noProof/>
          </w:rPr>
          <w:t>Cybersecurity Domains and Subdomains</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_Toc523835942 \h </w:instrText>
        </w:r>
        <w:r>
          <w:rPr>
            <w:rStyle w:val="Hyperlink"/>
            <w:noProof/>
          </w:rPr>
        </w:r>
        <w:r>
          <w:rPr>
            <w:rStyle w:val="Hyperlink"/>
            <w:noProof/>
          </w:rPr>
          <w:fldChar w:fldCharType="separate"/>
        </w:r>
        <w:r>
          <w:rPr>
            <w:rStyle w:val="Hyperlink"/>
            <w:rFonts w:ascii="Verdana" w:hAnsi="Verdana"/>
            <w:noProof/>
            <w:webHidden/>
            <w:color w:val="auto"/>
          </w:rPr>
          <w:t>13</w:t>
        </w:r>
        <w:r>
          <w:rPr>
            <w:rStyle w:val="Hyperlink"/>
            <w:noProof/>
          </w:rPr>
          <w:fldChar w:fldCharType="end"/>
        </w:r>
      </w:hyperlink>
    </w:p>
    <w:p>
      <w:pPr>
        <w:tabs>
          <w:tab w:val="left" w:pos="879"/>
          <w:tab w:val="right" w:leader="dot" w:pos="8640"/>
        </w:tabs>
        <w:spacing w:before="120" w:after="120"/>
        <w:ind w:left="879" w:right="720" w:hanging="595"/>
        <w:jc w:val="both"/>
        <w:rPr>
          <w:rFonts w:eastAsiaTheme="minorEastAsia"/>
          <w:noProof/>
          <w:lang w:val="en-US"/>
        </w:rPr>
      </w:pPr>
      <w:hyperlink r:id="rId43" w:anchor="_Toc523835943" w:history="1">
        <w:r>
          <w:rPr>
            <w:rStyle w:val="Hyperlink"/>
            <w:rFonts w:ascii="Verdana" w:hAnsi="Verdana"/>
            <w:noProof/>
          </w:rPr>
          <w:t>3.5</w:t>
        </w:r>
        <w:r>
          <w:rPr>
            <w:rStyle w:val="Hyperlink"/>
            <w:rFonts w:eastAsiaTheme="minorEastAsia"/>
            <w:noProof/>
            <w:color w:val="auto"/>
            <w:lang w:val="en-US"/>
          </w:rPr>
          <w:tab/>
        </w:r>
        <w:r>
          <w:rPr>
            <w:rStyle w:val="Hyperlink"/>
            <w:rFonts w:ascii="Verdana" w:hAnsi="Verdana"/>
            <w:noProof/>
          </w:rPr>
          <w:t>Types of Funding Sources</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_Toc523835943 \h </w:instrText>
        </w:r>
        <w:r>
          <w:rPr>
            <w:rStyle w:val="Hyperlink"/>
            <w:noProof/>
          </w:rPr>
        </w:r>
        <w:r>
          <w:rPr>
            <w:rStyle w:val="Hyperlink"/>
            <w:noProof/>
          </w:rPr>
          <w:fldChar w:fldCharType="separate"/>
        </w:r>
        <w:r>
          <w:rPr>
            <w:rStyle w:val="Hyperlink"/>
            <w:rFonts w:ascii="Verdana" w:hAnsi="Verdana"/>
            <w:noProof/>
            <w:webHidden/>
            <w:color w:val="auto"/>
          </w:rPr>
          <w:t>18</w:t>
        </w:r>
        <w:r>
          <w:rPr>
            <w:rStyle w:val="Hyperlink"/>
            <w:noProof/>
          </w:rPr>
          <w:fldChar w:fldCharType="end"/>
        </w:r>
      </w:hyperlink>
    </w:p>
    <w:p>
      <w:pPr>
        <w:tabs>
          <w:tab w:val="left" w:pos="879"/>
          <w:tab w:val="right" w:leader="dot" w:pos="8640"/>
        </w:tabs>
        <w:spacing w:before="120" w:after="120"/>
        <w:ind w:left="879" w:right="720" w:hanging="595"/>
        <w:jc w:val="both"/>
        <w:rPr>
          <w:rFonts w:eastAsiaTheme="minorEastAsia"/>
          <w:noProof/>
          <w:lang w:val="en-US"/>
        </w:rPr>
      </w:pPr>
      <w:hyperlink r:id="rId44" w:anchor="_Toc523835944" w:history="1">
        <w:r>
          <w:rPr>
            <w:rStyle w:val="Hyperlink"/>
            <w:rFonts w:ascii="Verdana" w:hAnsi="Verdana"/>
            <w:noProof/>
          </w:rPr>
          <w:t>3.6</w:t>
        </w:r>
        <w:r>
          <w:rPr>
            <w:rStyle w:val="Hyperlink"/>
            <w:rFonts w:eastAsiaTheme="minorEastAsia"/>
            <w:noProof/>
            <w:color w:val="auto"/>
            <w:lang w:val="en-US"/>
          </w:rPr>
          <w:tab/>
        </w:r>
        <w:r>
          <w:rPr>
            <w:rStyle w:val="Hyperlink"/>
            <w:rFonts w:ascii="Verdana" w:hAnsi="Verdana"/>
            <w:noProof/>
          </w:rPr>
          <w:t>Type and Number of Employees (FTE)</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_Toc523835944 \h </w:instrText>
        </w:r>
        <w:r>
          <w:rPr>
            <w:rStyle w:val="Hyperlink"/>
            <w:noProof/>
          </w:rPr>
        </w:r>
        <w:r>
          <w:rPr>
            <w:rStyle w:val="Hyperlink"/>
            <w:noProof/>
          </w:rPr>
          <w:fldChar w:fldCharType="separate"/>
        </w:r>
        <w:r>
          <w:rPr>
            <w:rStyle w:val="Hyperlink"/>
            <w:rFonts w:ascii="Verdana" w:hAnsi="Verdana"/>
            <w:noProof/>
            <w:webHidden/>
            <w:color w:val="auto"/>
          </w:rPr>
          <w:t>18</w:t>
        </w:r>
        <w:r>
          <w:rPr>
            <w:rStyle w:val="Hyperlink"/>
            <w:noProof/>
          </w:rPr>
          <w:fldChar w:fldCharType="end"/>
        </w:r>
      </w:hyperlink>
    </w:p>
    <w:p>
      <w:pPr>
        <w:tabs>
          <w:tab w:val="left" w:pos="879"/>
          <w:tab w:val="right" w:leader="dot" w:pos="8640"/>
        </w:tabs>
        <w:spacing w:before="120" w:after="120"/>
        <w:ind w:left="879" w:right="720" w:hanging="595"/>
        <w:jc w:val="both"/>
        <w:rPr>
          <w:rFonts w:eastAsiaTheme="minorEastAsia"/>
          <w:noProof/>
          <w:lang w:val="en-US"/>
        </w:rPr>
      </w:pPr>
      <w:hyperlink r:id="rId45" w:anchor="_Toc523835945" w:history="1">
        <w:r>
          <w:rPr>
            <w:rStyle w:val="Hyperlink"/>
            <w:rFonts w:ascii="Verdana" w:hAnsi="Verdana"/>
            <w:noProof/>
          </w:rPr>
          <w:t>3.7</w:t>
        </w:r>
        <w:r>
          <w:rPr>
            <w:rStyle w:val="Hyperlink"/>
            <w:rFonts w:eastAsiaTheme="minorEastAsia"/>
            <w:noProof/>
            <w:color w:val="auto"/>
            <w:lang w:val="en-US"/>
          </w:rPr>
          <w:tab/>
        </w:r>
        <w:r>
          <w:rPr>
            <w:rStyle w:val="Hyperlink"/>
            <w:rFonts w:ascii="Verdana" w:hAnsi="Verdana"/>
            <w:noProof/>
          </w:rPr>
          <w:t>Publications</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_Toc523835945 \h </w:instrText>
        </w:r>
        <w:r>
          <w:rPr>
            <w:rStyle w:val="Hyperlink"/>
            <w:noProof/>
          </w:rPr>
        </w:r>
        <w:r>
          <w:rPr>
            <w:rStyle w:val="Hyperlink"/>
            <w:noProof/>
          </w:rPr>
          <w:fldChar w:fldCharType="separate"/>
        </w:r>
        <w:r>
          <w:rPr>
            <w:rStyle w:val="Hyperlink"/>
            <w:rFonts w:ascii="Verdana" w:hAnsi="Verdana"/>
            <w:noProof/>
            <w:webHidden/>
            <w:color w:val="auto"/>
          </w:rPr>
          <w:t>20</w:t>
        </w:r>
        <w:r>
          <w:rPr>
            <w:rStyle w:val="Hyperlink"/>
            <w:noProof/>
          </w:rPr>
          <w:fldChar w:fldCharType="end"/>
        </w:r>
      </w:hyperlink>
    </w:p>
    <w:p>
      <w:pPr>
        <w:tabs>
          <w:tab w:val="left" w:pos="879"/>
          <w:tab w:val="right" w:leader="dot" w:pos="8640"/>
        </w:tabs>
        <w:spacing w:before="120" w:after="120"/>
        <w:ind w:left="879" w:right="720" w:hanging="595"/>
        <w:jc w:val="both"/>
        <w:rPr>
          <w:rFonts w:eastAsiaTheme="minorEastAsia"/>
          <w:noProof/>
          <w:lang w:val="en-US"/>
        </w:rPr>
      </w:pPr>
      <w:hyperlink r:id="rId46" w:anchor="_Toc523835947" w:history="1">
        <w:r>
          <w:rPr>
            <w:rStyle w:val="Hyperlink"/>
            <w:rFonts w:ascii="Verdana" w:hAnsi="Verdana"/>
            <w:noProof/>
          </w:rPr>
          <w:t>3.8</w:t>
        </w:r>
        <w:r>
          <w:rPr>
            <w:rStyle w:val="Hyperlink"/>
            <w:rFonts w:eastAsiaTheme="minorEastAsia"/>
            <w:noProof/>
            <w:color w:val="auto"/>
            <w:lang w:val="en-US"/>
          </w:rPr>
          <w:tab/>
        </w:r>
        <w:r>
          <w:rPr>
            <w:rStyle w:val="Hyperlink"/>
            <w:rFonts w:ascii="Verdana" w:hAnsi="Verdana"/>
            <w:noProof/>
          </w:rPr>
          <w:t>Sectors, Applications and Technologies</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_Toc523835947 \h </w:instrText>
        </w:r>
        <w:r>
          <w:rPr>
            <w:rStyle w:val="Hyperlink"/>
            <w:noProof/>
          </w:rPr>
        </w:r>
        <w:r>
          <w:rPr>
            <w:rStyle w:val="Hyperlink"/>
            <w:noProof/>
          </w:rPr>
          <w:fldChar w:fldCharType="separate"/>
        </w:r>
        <w:r>
          <w:rPr>
            <w:rStyle w:val="Hyperlink"/>
            <w:rFonts w:ascii="Verdana" w:hAnsi="Verdana"/>
            <w:noProof/>
            <w:webHidden/>
            <w:color w:val="auto"/>
          </w:rPr>
          <w:t>23</w:t>
        </w:r>
        <w:r>
          <w:rPr>
            <w:rStyle w:val="Hyperlink"/>
            <w:noProof/>
          </w:rPr>
          <w:fldChar w:fldCharType="end"/>
        </w:r>
      </w:hyperlink>
    </w:p>
    <w:p>
      <w:pPr>
        <w:tabs>
          <w:tab w:val="left" w:pos="879"/>
          <w:tab w:val="right" w:leader="dot" w:pos="8640"/>
        </w:tabs>
        <w:spacing w:before="120" w:after="120"/>
        <w:ind w:left="879" w:right="720" w:hanging="595"/>
        <w:jc w:val="both"/>
        <w:rPr>
          <w:rFonts w:eastAsiaTheme="minorEastAsia"/>
          <w:noProof/>
          <w:lang w:val="en-US"/>
        </w:rPr>
      </w:pPr>
      <w:hyperlink r:id="rId47" w:anchor="_Toc523835948" w:history="1">
        <w:r>
          <w:rPr>
            <w:rStyle w:val="Hyperlink"/>
            <w:rFonts w:ascii="Verdana" w:hAnsi="Verdana"/>
            <w:noProof/>
          </w:rPr>
          <w:t>3.9</w:t>
        </w:r>
        <w:r>
          <w:rPr>
            <w:rStyle w:val="Hyperlink"/>
            <w:rFonts w:eastAsiaTheme="minorEastAsia"/>
            <w:noProof/>
            <w:color w:val="auto"/>
            <w:lang w:val="en-US"/>
          </w:rPr>
          <w:tab/>
        </w:r>
        <w:r>
          <w:rPr>
            <w:rStyle w:val="Hyperlink"/>
            <w:rFonts w:ascii="Verdana" w:hAnsi="Verdana"/>
            <w:noProof/>
          </w:rPr>
          <w:t>International Collaborations and Joint Programs</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_Toc523835948 \h </w:instrText>
        </w:r>
        <w:r>
          <w:rPr>
            <w:rStyle w:val="Hyperlink"/>
            <w:noProof/>
          </w:rPr>
        </w:r>
        <w:r>
          <w:rPr>
            <w:rStyle w:val="Hyperlink"/>
            <w:noProof/>
          </w:rPr>
          <w:fldChar w:fldCharType="separate"/>
        </w:r>
        <w:r>
          <w:rPr>
            <w:rStyle w:val="Hyperlink"/>
            <w:rFonts w:ascii="Verdana" w:hAnsi="Verdana"/>
            <w:noProof/>
            <w:webHidden/>
            <w:color w:val="auto"/>
          </w:rPr>
          <w:t>25</w:t>
        </w:r>
        <w:r>
          <w:rPr>
            <w:rStyle w:val="Hyperlink"/>
            <w:noProof/>
          </w:rPr>
          <w:fldChar w:fldCharType="end"/>
        </w:r>
      </w:hyperlink>
    </w:p>
    <w:p>
      <w:pPr>
        <w:tabs>
          <w:tab w:val="left" w:pos="1134"/>
          <w:tab w:val="right" w:leader="dot" w:pos="8640"/>
        </w:tabs>
        <w:spacing w:before="120" w:after="120"/>
        <w:ind w:left="879" w:right="720" w:hanging="595"/>
        <w:jc w:val="both"/>
        <w:rPr>
          <w:rFonts w:eastAsiaTheme="minorEastAsia"/>
          <w:noProof/>
          <w:lang w:val="en-US"/>
        </w:rPr>
      </w:pPr>
      <w:hyperlink r:id="rId48" w:anchor="_Toc523835949" w:history="1">
        <w:r>
          <w:rPr>
            <w:rStyle w:val="Hyperlink"/>
            <w:rFonts w:ascii="Verdana" w:hAnsi="Verdana"/>
            <w:noProof/>
          </w:rPr>
          <w:t>3.10</w:t>
        </w:r>
        <w:r>
          <w:rPr>
            <w:rStyle w:val="Hyperlink"/>
            <w:rFonts w:eastAsiaTheme="minorEastAsia"/>
            <w:noProof/>
            <w:color w:val="auto"/>
            <w:lang w:val="en-US"/>
          </w:rPr>
          <w:tab/>
        </w:r>
        <w:r>
          <w:rPr>
            <w:rStyle w:val="Hyperlink"/>
            <w:rFonts w:ascii="Verdana" w:hAnsi="Verdana"/>
            <w:noProof/>
          </w:rPr>
          <w:t>Missing/Overstated Elements and Mitigation Strategy</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_Toc523835949 \h </w:instrText>
        </w:r>
        <w:r>
          <w:rPr>
            <w:rStyle w:val="Hyperlink"/>
            <w:noProof/>
          </w:rPr>
        </w:r>
        <w:r>
          <w:rPr>
            <w:rStyle w:val="Hyperlink"/>
            <w:noProof/>
          </w:rPr>
          <w:fldChar w:fldCharType="separate"/>
        </w:r>
        <w:r>
          <w:rPr>
            <w:rStyle w:val="Hyperlink"/>
            <w:rFonts w:ascii="Verdana" w:hAnsi="Verdana"/>
            <w:noProof/>
            <w:webHidden/>
            <w:color w:val="auto"/>
          </w:rPr>
          <w:t>26</w:t>
        </w:r>
        <w:r>
          <w:rPr>
            <w:rStyle w:val="Hyperlink"/>
            <w:noProof/>
          </w:rPr>
          <w:fldChar w:fldCharType="end"/>
        </w:r>
      </w:hyperlink>
    </w:p>
    <w:p>
      <w:pPr>
        <w:tabs>
          <w:tab w:val="right" w:leader="dot" w:pos="8640"/>
        </w:tabs>
        <w:spacing w:before="240" w:after="120"/>
        <w:ind w:left="482" w:right="720" w:hanging="482"/>
        <w:jc w:val="both"/>
        <w:rPr>
          <w:rFonts w:eastAsiaTheme="minorEastAsia"/>
          <w:noProof/>
          <w:lang w:val="en-US"/>
        </w:rPr>
      </w:pPr>
      <w:hyperlink r:id="rId49" w:anchor="_Toc523835950" w:history="1">
        <w:r>
          <w:rPr>
            <w:rStyle w:val="Hyperlink"/>
            <w:rFonts w:ascii="Verdana" w:hAnsi="Verdana"/>
            <w:noProof/>
          </w:rPr>
          <w:t>4</w:t>
        </w:r>
        <w:r>
          <w:rPr>
            <w:rStyle w:val="Hyperlink"/>
            <w:rFonts w:eastAsiaTheme="minorEastAsia"/>
            <w:noProof/>
            <w:color w:val="auto"/>
            <w:lang w:val="en-US"/>
          </w:rPr>
          <w:tab/>
        </w:r>
        <w:r>
          <w:rPr>
            <w:rStyle w:val="Hyperlink"/>
            <w:rFonts w:ascii="Verdana" w:hAnsi="Verdana"/>
            <w:noProof/>
          </w:rPr>
          <w:t>Scientific and Technological Development Analysis</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_Toc523835950 \h </w:instrText>
        </w:r>
        <w:r>
          <w:rPr>
            <w:rStyle w:val="Hyperlink"/>
            <w:noProof/>
          </w:rPr>
        </w:r>
        <w:r>
          <w:rPr>
            <w:rStyle w:val="Hyperlink"/>
            <w:noProof/>
          </w:rPr>
          <w:fldChar w:fldCharType="separate"/>
        </w:r>
        <w:r>
          <w:rPr>
            <w:rStyle w:val="Hyperlink"/>
            <w:rFonts w:ascii="Verdana" w:hAnsi="Verdana"/>
            <w:noProof/>
            <w:webHidden/>
            <w:color w:val="auto"/>
          </w:rPr>
          <w:t>28</w:t>
        </w:r>
        <w:r>
          <w:rPr>
            <w:rStyle w:val="Hyperlink"/>
            <w:noProof/>
          </w:rPr>
          <w:fldChar w:fldCharType="end"/>
        </w:r>
      </w:hyperlink>
    </w:p>
    <w:p>
      <w:pPr>
        <w:tabs>
          <w:tab w:val="left" w:pos="879"/>
          <w:tab w:val="right" w:leader="dot" w:pos="8640"/>
        </w:tabs>
        <w:spacing w:before="120" w:after="120"/>
        <w:ind w:left="879" w:right="720" w:hanging="595"/>
        <w:jc w:val="both"/>
        <w:rPr>
          <w:rFonts w:eastAsiaTheme="minorEastAsia"/>
          <w:noProof/>
          <w:lang w:val="en-US"/>
        </w:rPr>
      </w:pPr>
      <w:hyperlink r:id="rId50" w:anchor="_Toc523835951" w:history="1">
        <w:r>
          <w:rPr>
            <w:rStyle w:val="Hyperlink"/>
            <w:rFonts w:ascii="Verdana" w:hAnsi="Verdana"/>
            <w:noProof/>
          </w:rPr>
          <w:t>4.1</w:t>
        </w:r>
        <w:r>
          <w:rPr>
            <w:rStyle w:val="Hyperlink"/>
            <w:rFonts w:eastAsiaTheme="minorEastAsia"/>
            <w:noProof/>
            <w:color w:val="auto"/>
            <w:lang w:val="en-US"/>
          </w:rPr>
          <w:tab/>
        </w:r>
        <w:r>
          <w:rPr>
            <w:rStyle w:val="Hyperlink"/>
            <w:rFonts w:ascii="Verdana" w:hAnsi="Verdana"/>
            <w:noProof/>
          </w:rPr>
          <w:t>Analysis of publications</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_Toc523835951 \h </w:instrText>
        </w:r>
        <w:r>
          <w:rPr>
            <w:rStyle w:val="Hyperlink"/>
            <w:noProof/>
          </w:rPr>
        </w:r>
        <w:r>
          <w:rPr>
            <w:rStyle w:val="Hyperlink"/>
            <w:noProof/>
          </w:rPr>
          <w:fldChar w:fldCharType="separate"/>
        </w:r>
        <w:r>
          <w:rPr>
            <w:rStyle w:val="Hyperlink"/>
            <w:rFonts w:ascii="Verdana" w:hAnsi="Verdana"/>
            <w:noProof/>
            <w:webHidden/>
            <w:color w:val="auto"/>
          </w:rPr>
          <w:t>28</w:t>
        </w:r>
        <w:r>
          <w:rPr>
            <w:rStyle w:val="Hyperlink"/>
            <w:noProof/>
          </w:rPr>
          <w:fldChar w:fldCharType="end"/>
        </w:r>
      </w:hyperlink>
    </w:p>
    <w:p>
      <w:pPr>
        <w:tabs>
          <w:tab w:val="left" w:pos="879"/>
          <w:tab w:val="right" w:leader="dot" w:pos="8640"/>
        </w:tabs>
        <w:spacing w:before="120" w:after="120"/>
        <w:ind w:left="879" w:right="720" w:hanging="595"/>
        <w:jc w:val="both"/>
        <w:rPr>
          <w:rFonts w:eastAsiaTheme="minorEastAsia"/>
          <w:noProof/>
          <w:lang w:val="en-US"/>
        </w:rPr>
      </w:pPr>
      <w:hyperlink r:id="rId51" w:anchor="_Toc523835952" w:history="1">
        <w:r>
          <w:rPr>
            <w:rStyle w:val="Hyperlink"/>
            <w:rFonts w:ascii="Verdana" w:hAnsi="Verdana"/>
            <w:noProof/>
          </w:rPr>
          <w:t>4.2</w:t>
        </w:r>
        <w:r>
          <w:rPr>
            <w:rStyle w:val="Hyperlink"/>
            <w:rFonts w:eastAsiaTheme="minorEastAsia"/>
            <w:noProof/>
            <w:color w:val="auto"/>
            <w:lang w:val="en-US"/>
          </w:rPr>
          <w:tab/>
        </w:r>
        <w:r>
          <w:rPr>
            <w:rStyle w:val="Hyperlink"/>
            <w:rFonts w:ascii="Verdana" w:hAnsi="Verdana"/>
            <w:noProof/>
          </w:rPr>
          <w:t>H2020 projects</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_Toc523835952 \h </w:instrText>
        </w:r>
        <w:r>
          <w:rPr>
            <w:rStyle w:val="Hyperlink"/>
            <w:noProof/>
          </w:rPr>
        </w:r>
        <w:r>
          <w:rPr>
            <w:rStyle w:val="Hyperlink"/>
            <w:noProof/>
          </w:rPr>
          <w:fldChar w:fldCharType="separate"/>
        </w:r>
        <w:r>
          <w:rPr>
            <w:rStyle w:val="Hyperlink"/>
            <w:rFonts w:ascii="Verdana" w:hAnsi="Verdana"/>
            <w:noProof/>
            <w:webHidden/>
            <w:color w:val="auto"/>
          </w:rPr>
          <w:t>30</w:t>
        </w:r>
        <w:r>
          <w:rPr>
            <w:rStyle w:val="Hyperlink"/>
            <w:noProof/>
          </w:rPr>
          <w:fldChar w:fldCharType="end"/>
        </w:r>
      </w:hyperlink>
    </w:p>
    <w:p>
      <w:pPr>
        <w:tabs>
          <w:tab w:val="left" w:pos="879"/>
          <w:tab w:val="right" w:leader="dot" w:pos="8640"/>
        </w:tabs>
        <w:spacing w:before="120" w:after="120"/>
        <w:ind w:left="879" w:right="720" w:hanging="595"/>
        <w:jc w:val="both"/>
        <w:rPr>
          <w:rFonts w:eastAsiaTheme="minorEastAsia"/>
          <w:noProof/>
          <w:lang w:val="en-US"/>
        </w:rPr>
      </w:pPr>
      <w:hyperlink r:id="rId52" w:anchor="_Toc523835953" w:history="1">
        <w:r>
          <w:rPr>
            <w:rStyle w:val="Hyperlink"/>
            <w:rFonts w:ascii="Verdana" w:hAnsi="Verdana"/>
            <w:noProof/>
          </w:rPr>
          <w:t>4.3</w:t>
        </w:r>
        <w:r>
          <w:rPr>
            <w:rStyle w:val="Hyperlink"/>
            <w:rFonts w:eastAsiaTheme="minorEastAsia"/>
            <w:noProof/>
            <w:color w:val="auto"/>
            <w:lang w:val="en-US"/>
          </w:rPr>
          <w:tab/>
        </w:r>
        <w:r>
          <w:rPr>
            <w:rStyle w:val="Hyperlink"/>
            <w:rFonts w:ascii="Verdana" w:hAnsi="Verdana"/>
            <w:noProof/>
          </w:rPr>
          <w:t>Patent Analysis</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_Toc523835953 \h </w:instrText>
        </w:r>
        <w:r>
          <w:rPr>
            <w:rStyle w:val="Hyperlink"/>
            <w:noProof/>
          </w:rPr>
        </w:r>
        <w:r>
          <w:rPr>
            <w:rStyle w:val="Hyperlink"/>
            <w:noProof/>
          </w:rPr>
          <w:fldChar w:fldCharType="separate"/>
        </w:r>
        <w:r>
          <w:rPr>
            <w:rStyle w:val="Hyperlink"/>
            <w:rFonts w:ascii="Verdana" w:hAnsi="Verdana"/>
            <w:noProof/>
            <w:webHidden/>
            <w:color w:val="auto"/>
          </w:rPr>
          <w:t>31</w:t>
        </w:r>
        <w:r>
          <w:rPr>
            <w:rStyle w:val="Hyperlink"/>
            <w:noProof/>
          </w:rPr>
          <w:fldChar w:fldCharType="end"/>
        </w:r>
      </w:hyperlink>
    </w:p>
    <w:p>
      <w:pPr>
        <w:tabs>
          <w:tab w:val="right" w:leader="dot" w:pos="8640"/>
        </w:tabs>
        <w:spacing w:before="240" w:after="120"/>
        <w:ind w:left="482" w:right="720" w:hanging="482"/>
        <w:jc w:val="both"/>
        <w:rPr>
          <w:rFonts w:eastAsiaTheme="minorEastAsia"/>
          <w:noProof/>
          <w:lang w:val="en-US"/>
        </w:rPr>
      </w:pPr>
      <w:hyperlink r:id="rId53" w:anchor="_Toc523835954" w:history="1">
        <w:r>
          <w:rPr>
            <w:rStyle w:val="Hyperlink"/>
            <w:rFonts w:ascii="Verdana" w:hAnsi="Verdana"/>
            <w:noProof/>
          </w:rPr>
          <w:t>5</w:t>
        </w:r>
        <w:r>
          <w:rPr>
            <w:rStyle w:val="Hyperlink"/>
            <w:rFonts w:eastAsiaTheme="minorEastAsia"/>
            <w:noProof/>
            <w:color w:val="auto"/>
            <w:lang w:val="en-US"/>
          </w:rPr>
          <w:tab/>
        </w:r>
        <w:r>
          <w:rPr>
            <w:rStyle w:val="Hyperlink"/>
            <w:rFonts w:ascii="Verdana" w:hAnsi="Verdana"/>
            <w:noProof/>
          </w:rPr>
          <w:t>Conclusions</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_Toc523835954 \h </w:instrText>
        </w:r>
        <w:r>
          <w:rPr>
            <w:rStyle w:val="Hyperlink"/>
            <w:noProof/>
          </w:rPr>
        </w:r>
        <w:r>
          <w:rPr>
            <w:rStyle w:val="Hyperlink"/>
            <w:noProof/>
          </w:rPr>
          <w:fldChar w:fldCharType="separate"/>
        </w:r>
        <w:r>
          <w:rPr>
            <w:rStyle w:val="Hyperlink"/>
            <w:rFonts w:ascii="Verdana" w:hAnsi="Verdana"/>
            <w:noProof/>
            <w:webHidden/>
            <w:color w:val="auto"/>
          </w:rPr>
          <w:t>33</w:t>
        </w:r>
        <w:r>
          <w:rPr>
            <w:rStyle w:val="Hyperlink"/>
            <w:noProof/>
          </w:rPr>
          <w:fldChar w:fldCharType="end"/>
        </w:r>
      </w:hyperlink>
    </w:p>
    <w:p>
      <w:pPr>
        <w:tabs>
          <w:tab w:val="right" w:leader="dot" w:pos="8640"/>
        </w:tabs>
        <w:spacing w:before="240" w:after="120"/>
        <w:ind w:left="482" w:right="720" w:hanging="482"/>
        <w:jc w:val="both"/>
        <w:rPr>
          <w:rFonts w:eastAsiaTheme="minorEastAsia"/>
          <w:noProof/>
          <w:lang w:val="en-US"/>
        </w:rPr>
      </w:pPr>
      <w:hyperlink r:id="rId54" w:anchor="_Toc523835955" w:history="1">
        <w:r>
          <w:rPr>
            <w:rStyle w:val="Hyperlink"/>
            <w:rFonts w:ascii="Verdana" w:hAnsi="Verdana"/>
            <w:noProof/>
          </w:rPr>
          <w:t>Annex I – Cybersecurity Survey</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_Toc523835955 \h </w:instrText>
        </w:r>
        <w:r>
          <w:rPr>
            <w:rStyle w:val="Hyperlink"/>
            <w:noProof/>
          </w:rPr>
        </w:r>
        <w:r>
          <w:rPr>
            <w:rStyle w:val="Hyperlink"/>
            <w:noProof/>
          </w:rPr>
          <w:fldChar w:fldCharType="separate"/>
        </w:r>
        <w:r>
          <w:rPr>
            <w:rStyle w:val="Hyperlink"/>
            <w:rFonts w:ascii="Verdana" w:hAnsi="Verdana"/>
            <w:noProof/>
            <w:webHidden/>
            <w:color w:val="auto"/>
          </w:rPr>
          <w:t>36</w:t>
        </w:r>
        <w:r>
          <w:rPr>
            <w:rStyle w:val="Hyperlink"/>
            <w:noProof/>
          </w:rPr>
          <w:fldChar w:fldCharType="end"/>
        </w:r>
      </w:hyperlink>
    </w:p>
    <w:p>
      <w:pPr>
        <w:tabs>
          <w:tab w:val="right" w:leader="dot" w:pos="8640"/>
        </w:tabs>
        <w:spacing w:before="240" w:after="120"/>
        <w:ind w:left="482" w:right="720" w:hanging="482"/>
        <w:jc w:val="both"/>
        <w:rPr>
          <w:rFonts w:eastAsiaTheme="minorEastAsia"/>
          <w:noProof/>
          <w:lang w:val="en-US"/>
        </w:rPr>
      </w:pPr>
      <w:hyperlink r:id="rId55" w:anchor="_Toc523835956" w:history="1">
        <w:r>
          <w:rPr>
            <w:rStyle w:val="Hyperlink"/>
            <w:rFonts w:ascii="Verdana" w:hAnsi="Verdana"/>
            <w:noProof/>
          </w:rPr>
          <w:t>List of figures</w:t>
        </w:r>
        <w:r>
          <w:rPr>
            <w:rStyle w:val="Hyperlink"/>
            <w:rFonts w:ascii="Verdana" w:hAnsi="Verdana"/>
            <w:noProof/>
            <w:webHidden/>
            <w:color w:val="auto"/>
          </w:rPr>
          <w:tab/>
        </w:r>
        <w:r>
          <w:rPr>
            <w:rStyle w:val="Hyperlink"/>
            <w:noProof/>
          </w:rPr>
          <w:fldChar w:fldCharType="begin"/>
        </w:r>
        <w:r>
          <w:rPr>
            <w:rStyle w:val="Hyperlink"/>
            <w:rFonts w:ascii="Verdana" w:hAnsi="Verdana"/>
            <w:noProof/>
            <w:webHidden/>
            <w:color w:val="auto"/>
          </w:rPr>
          <w:instrText xml:space="preserve"> PAGEREF _Toc523835956 \h </w:instrText>
        </w:r>
        <w:r>
          <w:rPr>
            <w:rStyle w:val="Hyperlink"/>
            <w:noProof/>
          </w:rPr>
        </w:r>
        <w:r>
          <w:rPr>
            <w:rStyle w:val="Hyperlink"/>
            <w:noProof/>
          </w:rPr>
          <w:fldChar w:fldCharType="separate"/>
        </w:r>
        <w:r>
          <w:rPr>
            <w:rStyle w:val="Hyperlink"/>
            <w:rFonts w:ascii="Verdana" w:hAnsi="Verdana"/>
            <w:noProof/>
            <w:webHidden/>
            <w:color w:val="auto"/>
          </w:rPr>
          <w:t>54</w:t>
        </w:r>
        <w:r>
          <w:rPr>
            <w:rStyle w:val="Hyperlink"/>
            <w:noProof/>
          </w:rPr>
          <w:fldChar w:fldCharType="end"/>
        </w:r>
      </w:hyperlink>
    </w:p>
    <w:p>
      <w:pPr>
        <w:spacing w:before="120"/>
        <w:jc w:val="both"/>
        <w:rPr>
          <w:rFonts w:ascii="Verdana" w:eastAsia="Times New Roman" w:hAnsi="Verdana" w:cs="Times New Roman"/>
          <w:noProof/>
          <w:sz w:val="20"/>
          <w:szCs w:val="20"/>
          <w:lang w:eastAsia="en-GB"/>
        </w:rPr>
      </w:pPr>
      <w:r>
        <w:rPr>
          <w:noProof/>
        </w:rPr>
        <w:fldChar w:fldCharType="end"/>
      </w:r>
    </w:p>
    <w:p>
      <w:pPr>
        <w:jc w:val="both"/>
        <w:rPr>
          <w:rFonts w:ascii="Verdana" w:hAnsi="Verdana"/>
          <w:noProof/>
          <w:sz w:val="20"/>
          <w:szCs w:val="20"/>
        </w:rPr>
        <w:sectPr>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20"/>
        </w:sectPr>
      </w:pPr>
    </w:p>
    <w:p>
      <w:pPr>
        <w:keepNext/>
        <w:pageBreakBefore/>
        <w:spacing w:after="120"/>
        <w:jc w:val="both"/>
        <w:rPr>
          <w:rFonts w:ascii="Verdana" w:hAnsi="Verdana"/>
          <w:b/>
          <w:noProof/>
          <w:sz w:val="26"/>
          <w:szCs w:val="26"/>
        </w:rPr>
      </w:pPr>
      <w:r>
        <w:rPr>
          <w:rFonts w:ascii="Verdana" w:hAnsi="Verdana"/>
          <w:b/>
          <w:noProof/>
          <w:sz w:val="26"/>
          <w:szCs w:val="26"/>
        </w:rPr>
        <w:lastRenderedPageBreak/>
        <w:t>Abstract</w:t>
      </w:r>
    </w:p>
    <w:p>
      <w:pPr>
        <w:jc w:val="both"/>
        <w:rPr>
          <w:rFonts w:ascii="Verdana" w:hAnsi="Verdana"/>
          <w:noProof/>
          <w:sz w:val="20"/>
          <w:szCs w:val="20"/>
        </w:rPr>
      </w:pPr>
      <w:r>
        <w:rPr>
          <w:rFonts w:ascii="Verdana" w:hAnsi="Verdana"/>
          <w:noProof/>
          <w:sz w:val="20"/>
          <w:szCs w:val="20"/>
        </w:rPr>
        <w:t>In its September 2017 Joint Communication "Resilience, Deterrence and Defence: Building strong cybersecurity for the EU"</w:t>
      </w:r>
      <w:r>
        <w:rPr>
          <w:noProof/>
          <w:szCs w:val="20"/>
          <w:vertAlign w:val="superscript"/>
        </w:rPr>
        <w:footnoteReference w:id="1"/>
      </w:r>
      <w:r>
        <w:rPr>
          <w:rFonts w:ascii="Verdana" w:hAnsi="Verdana"/>
          <w:noProof/>
          <w:sz w:val="20"/>
          <w:szCs w:val="20"/>
        </w:rPr>
        <w:t xml:space="preserve"> the European Commission announced the intention to support the creation of a network of cybersecurity competence centres to stimulate the development and deployment of technology in cybersecurity. In the scope of this initiative, the main goal of this document is to present the design and results of the survey conducted in order to identify the cybersecurity competence centres (e.g. research organisations /laboratories/associations/academic groups /institutions, operational centres) in Europe. The survey was open for participation from middle January until middle March of 2018 and 665 centres participated. This report also presents a scientific and technological development analysis comparing the survey results presented here with a desktop research mapping exercise performed by JRC and described in a separated JRC Technical Report (“European Cyber Security Centres of Expertise, Preliminary Mapping Exercise”)  </w:t>
      </w:r>
    </w:p>
    <w:p>
      <w:pPr>
        <w:jc w:val="both"/>
        <w:rPr>
          <w:noProof/>
        </w:rPr>
      </w:pPr>
    </w:p>
    <w:p>
      <w:pPr>
        <w:jc w:val="both"/>
        <w:rPr>
          <w:noProof/>
        </w:rPr>
      </w:pPr>
      <w:r>
        <w:rPr>
          <w:noProof/>
        </w:rPr>
        <w:br w:type="page"/>
      </w:r>
    </w:p>
    <w:p>
      <w:pPr>
        <w:keepNext/>
        <w:pageBreakBefore/>
        <w:numPr>
          <w:ilvl w:val="0"/>
          <w:numId w:val="8"/>
        </w:numPr>
        <w:spacing w:after="120"/>
        <w:jc w:val="both"/>
        <w:outlineLvl w:val="0"/>
        <w:rPr>
          <w:rFonts w:ascii="Verdana" w:eastAsia="Calibri" w:hAnsi="Verdana" w:cs="Times New Roman"/>
          <w:b/>
          <w:noProof/>
          <w:sz w:val="26"/>
          <w:szCs w:val="24"/>
          <w:lang w:eastAsia="en-GB"/>
        </w:rPr>
      </w:pPr>
      <w:bookmarkStart w:id="3" w:name="_Toc523835936"/>
      <w:bookmarkStart w:id="4" w:name="_Toc484614559"/>
      <w:r>
        <w:rPr>
          <w:rFonts w:ascii="Verdana" w:eastAsia="Calibri" w:hAnsi="Verdana"/>
          <w:b/>
          <w:noProof/>
          <w:sz w:val="26"/>
        </w:rPr>
        <w:lastRenderedPageBreak/>
        <w:t>Introduction</w:t>
      </w:r>
      <w:bookmarkEnd w:id="3"/>
      <w:bookmarkEnd w:id="4"/>
    </w:p>
    <w:p>
      <w:pPr>
        <w:spacing w:before="120" w:after="120" w:line="240" w:lineRule="auto"/>
        <w:jc w:val="both"/>
        <w:rPr>
          <w:rFonts w:ascii="Verdana" w:eastAsia="Times New Roman" w:hAnsi="Verdana"/>
          <w:noProof/>
          <w:sz w:val="20"/>
          <w:szCs w:val="20"/>
        </w:rPr>
      </w:pPr>
      <w:r>
        <w:rPr>
          <w:rFonts w:ascii="Verdana" w:hAnsi="Verdana"/>
          <w:noProof/>
          <w:sz w:val="20"/>
          <w:szCs w:val="20"/>
        </w:rPr>
        <w:t>In its September 2017 Joint Communication "Resilience, Deterrence and Defence: Building strong cybersecurity for the EU"</w:t>
      </w:r>
      <w:r>
        <w:rPr>
          <w:noProof/>
          <w:vertAlign w:val="superscript"/>
        </w:rPr>
        <w:footnoteReference w:id="2"/>
      </w:r>
      <w:r>
        <w:rPr>
          <w:rFonts w:ascii="Verdana" w:hAnsi="Verdana"/>
          <w:noProof/>
          <w:sz w:val="20"/>
          <w:szCs w:val="20"/>
        </w:rPr>
        <w:t xml:space="preserve"> the European Commission announced the intention to support the creation of a network of cybersecurity competence centres to stimulate the development and deployment of technology in cybersecurity. </w:t>
      </w:r>
    </w:p>
    <w:p>
      <w:pPr>
        <w:spacing w:before="120" w:after="120" w:line="240" w:lineRule="auto"/>
        <w:jc w:val="both"/>
        <w:rPr>
          <w:rFonts w:ascii="Verdana" w:hAnsi="Verdana"/>
          <w:noProof/>
          <w:sz w:val="20"/>
          <w:szCs w:val="20"/>
        </w:rPr>
      </w:pPr>
      <w:r>
        <w:rPr>
          <w:rFonts w:ascii="Verdana" w:hAnsi="Verdana"/>
          <w:noProof/>
          <w:sz w:val="20"/>
          <w:szCs w:val="20"/>
        </w:rPr>
        <w:t>The first step of this ambitious initiative is the clear definition of the cybersecurity context, its domains of application, research and knowledge. The DG-JRC, in collaboration with DG-CNECT, proposed a cybersecurity taxonomy and classification scheme for this purpose aligning the cybersecurity terminologies, definitions and domains. This taxonomy considers the different dimensions of the cybersecurity domain using as sources some of the most widely accepted cybersecurity standards, international working group classification systems, regulations, best practices, and recommendations. The goal of this taxonomy was to provide a high level set of definitions and categorisation domains are proposed so that they:</w:t>
      </w:r>
    </w:p>
    <w:p>
      <w:pPr>
        <w:numPr>
          <w:ilvl w:val="0"/>
          <w:numId w:val="13"/>
        </w:numPr>
        <w:spacing w:before="120" w:after="120" w:line="240" w:lineRule="auto"/>
        <w:jc w:val="both"/>
        <w:rPr>
          <w:rFonts w:ascii="Verdana" w:hAnsi="Verdana"/>
          <w:noProof/>
          <w:sz w:val="20"/>
          <w:szCs w:val="20"/>
        </w:rPr>
      </w:pPr>
      <w:r>
        <w:rPr>
          <w:rFonts w:ascii="Verdana" w:hAnsi="Verdana"/>
          <w:noProof/>
          <w:sz w:val="20"/>
          <w:szCs w:val="20"/>
        </w:rPr>
        <w:t>can be used by the EC cybersecurity initiatives;</w:t>
      </w:r>
    </w:p>
    <w:p>
      <w:pPr>
        <w:numPr>
          <w:ilvl w:val="0"/>
          <w:numId w:val="13"/>
        </w:numPr>
        <w:spacing w:before="120" w:after="120" w:line="240" w:lineRule="auto"/>
        <w:jc w:val="both"/>
        <w:rPr>
          <w:rFonts w:ascii="Verdana" w:hAnsi="Verdana"/>
          <w:noProof/>
          <w:sz w:val="20"/>
          <w:szCs w:val="20"/>
        </w:rPr>
      </w:pPr>
      <w:r>
        <w:rPr>
          <w:rFonts w:ascii="Verdana" w:hAnsi="Verdana"/>
          <w:noProof/>
          <w:sz w:val="20"/>
          <w:szCs w:val="20"/>
        </w:rPr>
        <w:t>become a point of reference for the cybersecurity activities (research, industrial, marketing, operational, training, education) in the DSM by all sectors/industries (health, telecom, finance, transport, space, defence, banking etc.);</w:t>
      </w:r>
    </w:p>
    <w:p>
      <w:pPr>
        <w:numPr>
          <w:ilvl w:val="0"/>
          <w:numId w:val="13"/>
        </w:numPr>
        <w:spacing w:before="120" w:after="120" w:line="240" w:lineRule="auto"/>
        <w:jc w:val="both"/>
        <w:rPr>
          <w:rFonts w:ascii="Verdana" w:hAnsi="Verdana"/>
          <w:noProof/>
          <w:sz w:val="20"/>
          <w:szCs w:val="20"/>
        </w:rPr>
      </w:pPr>
      <w:r>
        <w:rPr>
          <w:rFonts w:ascii="Verdana" w:hAnsi="Verdana"/>
          <w:noProof/>
          <w:sz w:val="20"/>
          <w:szCs w:val="20"/>
        </w:rPr>
        <w:t>can be used to index the cybersecurity research entities (e.g. research organisations/laboratories/ associations/academic institutions/groups, operational centres</w:t>
      </w:r>
      <w:r>
        <w:rPr>
          <w:rFonts w:ascii="Verdana" w:hAnsi="Verdana"/>
          <w:i/>
          <w:noProof/>
          <w:sz w:val="20"/>
          <w:szCs w:val="20"/>
        </w:rPr>
        <w:t>/academies</w:t>
      </w:r>
      <w:r>
        <w:rPr>
          <w:rFonts w:ascii="Verdana" w:hAnsi="Verdana"/>
          <w:noProof/>
          <w:sz w:val="20"/>
          <w:szCs w:val="20"/>
        </w:rPr>
        <w:t>) in Europe;</w:t>
      </w:r>
    </w:p>
    <w:p>
      <w:pPr>
        <w:numPr>
          <w:ilvl w:val="0"/>
          <w:numId w:val="13"/>
        </w:numPr>
        <w:spacing w:before="120" w:after="120" w:line="240" w:lineRule="auto"/>
        <w:jc w:val="both"/>
        <w:rPr>
          <w:rFonts w:ascii="Verdana" w:hAnsi="Verdana"/>
          <w:noProof/>
          <w:sz w:val="20"/>
          <w:szCs w:val="20"/>
        </w:rPr>
      </w:pPr>
      <w:r>
        <w:rPr>
          <w:rFonts w:ascii="Verdana" w:hAnsi="Verdana"/>
          <w:i/>
          <w:noProof/>
          <w:sz w:val="20"/>
          <w:szCs w:val="20"/>
        </w:rPr>
        <w:t>meet compliance</w:t>
      </w:r>
      <w:r>
        <w:rPr>
          <w:rFonts w:ascii="Verdana" w:hAnsi="Verdana"/>
          <w:noProof/>
          <w:sz w:val="20"/>
          <w:szCs w:val="20"/>
        </w:rPr>
        <w:t xml:space="preserve"> with international cybersecurity standards</w:t>
      </w:r>
      <w:r>
        <w:rPr>
          <w:rFonts w:ascii="Verdana" w:hAnsi="Verdana"/>
          <w:i/>
          <w:noProof/>
          <w:sz w:val="20"/>
          <w:szCs w:val="20"/>
        </w:rPr>
        <w:t>;</w:t>
      </w:r>
    </w:p>
    <w:p>
      <w:pPr>
        <w:numPr>
          <w:ilvl w:val="0"/>
          <w:numId w:val="13"/>
        </w:numPr>
        <w:spacing w:before="120" w:after="120" w:line="240" w:lineRule="auto"/>
        <w:jc w:val="both"/>
        <w:rPr>
          <w:rFonts w:ascii="Verdana" w:hAnsi="Verdana"/>
          <w:noProof/>
          <w:sz w:val="20"/>
          <w:szCs w:val="20"/>
        </w:rPr>
      </w:pPr>
      <w:r>
        <w:rPr>
          <w:rFonts w:ascii="Verdana" w:hAnsi="Verdana"/>
          <w:i/>
          <w:noProof/>
          <w:sz w:val="20"/>
          <w:szCs w:val="20"/>
        </w:rPr>
        <w:t xml:space="preserve">can be </w:t>
      </w:r>
      <w:r>
        <w:rPr>
          <w:rFonts w:ascii="Verdana" w:hAnsi="Verdana"/>
          <w:noProof/>
          <w:sz w:val="20"/>
          <w:szCs w:val="20"/>
        </w:rPr>
        <w:t>sustainable, easily modifiable and extensible.</w:t>
      </w:r>
    </w:p>
    <w:p>
      <w:pPr>
        <w:spacing w:before="120" w:after="120" w:line="240" w:lineRule="auto"/>
        <w:jc w:val="both"/>
        <w:rPr>
          <w:rFonts w:ascii="Verdana" w:hAnsi="Verdana"/>
          <w:noProof/>
          <w:sz w:val="20"/>
          <w:szCs w:val="20"/>
        </w:rPr>
      </w:pPr>
      <w:r>
        <w:rPr>
          <w:rFonts w:ascii="Verdana" w:hAnsi="Verdana"/>
          <w:noProof/>
          <w:sz w:val="20"/>
          <w:szCs w:val="20"/>
        </w:rPr>
        <w:t xml:space="preserve">The second step of this initiative is the identification and mapping of existing EU cybersecurity centres (e.g. research organisations/laboratories/associations/academic groups /institutions, operational centres) according to their cybersecurity expertise in specific domains using the proposed taxonomy. This mapping exercise was performed through two parallel activities: </w:t>
      </w:r>
    </w:p>
    <w:p>
      <w:pPr>
        <w:numPr>
          <w:ilvl w:val="0"/>
          <w:numId w:val="14"/>
        </w:numPr>
        <w:spacing w:before="120" w:after="120" w:line="240" w:lineRule="auto"/>
        <w:jc w:val="both"/>
        <w:rPr>
          <w:rFonts w:ascii="Verdana" w:hAnsi="Verdana"/>
          <w:noProof/>
          <w:sz w:val="20"/>
          <w:szCs w:val="20"/>
        </w:rPr>
      </w:pPr>
      <w:r>
        <w:rPr>
          <w:rFonts w:ascii="Verdana" w:hAnsi="Verdana"/>
          <w:noProof/>
          <w:sz w:val="20"/>
          <w:szCs w:val="20"/>
        </w:rPr>
        <w:t>A desktop research taking as input online data from scientific publication databases, patent registries, H2020 projects;</w:t>
      </w:r>
    </w:p>
    <w:p>
      <w:pPr>
        <w:numPr>
          <w:ilvl w:val="0"/>
          <w:numId w:val="14"/>
        </w:numPr>
        <w:spacing w:before="120" w:after="120" w:line="240" w:lineRule="auto"/>
        <w:jc w:val="both"/>
        <w:rPr>
          <w:rFonts w:ascii="Verdana" w:hAnsi="Verdana"/>
          <w:noProof/>
          <w:sz w:val="20"/>
          <w:szCs w:val="20"/>
        </w:rPr>
      </w:pPr>
      <w:r>
        <w:rPr>
          <w:rFonts w:ascii="Verdana" w:hAnsi="Verdana"/>
          <w:noProof/>
          <w:sz w:val="20"/>
          <w:szCs w:val="20"/>
        </w:rPr>
        <w:t>An online survey addressed to the European cyber-security research entities.</w:t>
      </w:r>
    </w:p>
    <w:p>
      <w:pPr>
        <w:spacing w:before="120" w:after="120" w:line="240" w:lineRule="auto"/>
        <w:jc w:val="both"/>
        <w:rPr>
          <w:rFonts w:ascii="Verdana" w:hAnsi="Verdana"/>
          <w:noProof/>
          <w:sz w:val="20"/>
          <w:szCs w:val="20"/>
        </w:rPr>
      </w:pPr>
      <w:r>
        <w:rPr>
          <w:rFonts w:ascii="Verdana" w:hAnsi="Verdana"/>
          <w:noProof/>
          <w:sz w:val="20"/>
          <w:szCs w:val="20"/>
        </w:rPr>
        <w:t>In the scope of this mapping exercise, the goal of this document is to present the design and results of the survey conducted in order to identify the cybersecurity competence centres in Europe. The survey was open for participation from middle January until middle March of 2018 and over 660 centres participated.</w:t>
      </w:r>
    </w:p>
    <w:p>
      <w:pPr>
        <w:spacing w:before="120" w:after="120" w:line="240" w:lineRule="auto"/>
        <w:jc w:val="both"/>
        <w:rPr>
          <w:rFonts w:ascii="Verdana" w:hAnsi="Verdana"/>
          <w:noProof/>
          <w:sz w:val="20"/>
          <w:szCs w:val="20"/>
        </w:rPr>
      </w:pPr>
      <w:r>
        <w:rPr>
          <w:rFonts w:ascii="Verdana" w:hAnsi="Verdana"/>
          <w:noProof/>
          <w:sz w:val="20"/>
          <w:szCs w:val="20"/>
        </w:rPr>
        <w:t>This report is organised as follows: Section 2 presents a description of the designed survey including the questions and information expected to be obtained. Section 3 summarizes the survey results including a quantitative analysis and a list of missing and misplaced survey elements with a mitigation strategy to be followed where the centres that participated will be invited to update and complement their data. Section 4 presents a scientific and technological development analysis comparing the survey results with a manual desktop research. Section 5 finishes this report with conclusions and final considerations.</w:t>
      </w:r>
    </w:p>
    <w:p>
      <w:pPr>
        <w:jc w:val="both"/>
        <w:rPr>
          <w:rFonts w:ascii="Verdana" w:hAnsi="Verdana"/>
          <w:noProof/>
          <w:sz w:val="20"/>
          <w:szCs w:val="20"/>
        </w:rPr>
      </w:pPr>
    </w:p>
    <w:p>
      <w:pPr>
        <w:keepNext/>
        <w:pageBreakBefore/>
        <w:numPr>
          <w:ilvl w:val="0"/>
          <w:numId w:val="8"/>
        </w:numPr>
        <w:spacing w:after="120"/>
        <w:jc w:val="both"/>
        <w:outlineLvl w:val="0"/>
        <w:rPr>
          <w:rFonts w:ascii="Verdana" w:eastAsia="Calibri" w:hAnsi="Verdana"/>
          <w:b/>
          <w:noProof/>
          <w:sz w:val="26"/>
          <w:szCs w:val="24"/>
        </w:rPr>
      </w:pPr>
      <w:bookmarkStart w:id="5" w:name="_Ref507746677"/>
      <w:bookmarkStart w:id="6" w:name="_Toc523835937"/>
      <w:r>
        <w:rPr>
          <w:rFonts w:ascii="Verdana" w:eastAsia="Calibri" w:hAnsi="Verdana"/>
          <w:b/>
          <w:noProof/>
          <w:sz w:val="26"/>
        </w:rPr>
        <w:lastRenderedPageBreak/>
        <w:t>Survey</w:t>
      </w:r>
      <w:bookmarkEnd w:id="5"/>
      <w:r>
        <w:rPr>
          <w:rFonts w:ascii="Verdana" w:eastAsia="Calibri" w:hAnsi="Verdana"/>
          <w:b/>
          <w:noProof/>
          <w:sz w:val="26"/>
        </w:rPr>
        <w:t xml:space="preserve"> Description and Design</w:t>
      </w:r>
      <w:bookmarkEnd w:id="6"/>
    </w:p>
    <w:p>
      <w:pPr>
        <w:spacing w:before="120" w:after="120" w:line="240" w:lineRule="auto"/>
        <w:jc w:val="both"/>
        <w:rPr>
          <w:rFonts w:ascii="Verdana" w:eastAsia="Times New Roman" w:hAnsi="Verdana"/>
          <w:noProof/>
          <w:sz w:val="20"/>
          <w:szCs w:val="20"/>
        </w:rPr>
      </w:pPr>
      <w:bookmarkStart w:id="7" w:name="_Toc498795074"/>
      <w:bookmarkStart w:id="8" w:name="_Toc498795212"/>
      <w:bookmarkStart w:id="9" w:name="_Toc498795075"/>
      <w:bookmarkStart w:id="10" w:name="_Toc498795213"/>
      <w:bookmarkEnd w:id="7"/>
      <w:bookmarkEnd w:id="8"/>
      <w:bookmarkEnd w:id="9"/>
      <w:bookmarkEnd w:id="10"/>
      <w:r>
        <w:rPr>
          <w:rFonts w:ascii="Verdana" w:hAnsi="Verdana"/>
          <w:noProof/>
          <w:sz w:val="20"/>
          <w:szCs w:val="20"/>
        </w:rPr>
        <w:t>The scope of the survey was to call on all cybersecurity competence centres across the EU, whether public or private, to register their organisations and share information about their contact details, work and expertise. The expected time to complete the 27 either open-ended or closed-ended questions was from 20 minutes to 1 hour depending on the level of details shared. The survey also included a glossary of terms defined together with the cybersecurity taxonomy. The full survey as published is presented in Annex I, in this section only a few screenshots are presented as an example in order to give an overview of the information requested.</w:t>
      </w:r>
    </w:p>
    <w:p>
      <w:pPr>
        <w:spacing w:before="120" w:after="120" w:line="240" w:lineRule="auto"/>
        <w:jc w:val="both"/>
        <w:rPr>
          <w:rFonts w:ascii="Verdana" w:hAnsi="Verdana"/>
          <w:noProof/>
          <w:sz w:val="20"/>
          <w:szCs w:val="20"/>
        </w:rPr>
      </w:pPr>
      <w:r>
        <w:rPr>
          <w:rFonts w:ascii="Verdana" w:hAnsi="Verdana"/>
          <w:noProof/>
          <w:sz w:val="20"/>
          <w:szCs w:val="20"/>
        </w:rPr>
        <w:t>The following sections were defined:</w:t>
      </w:r>
    </w:p>
    <w:p>
      <w:pPr>
        <w:numPr>
          <w:ilvl w:val="0"/>
          <w:numId w:val="15"/>
        </w:numPr>
        <w:spacing w:before="120" w:after="120" w:line="240" w:lineRule="auto"/>
        <w:jc w:val="both"/>
        <w:rPr>
          <w:rFonts w:ascii="Verdana" w:hAnsi="Verdana"/>
          <w:noProof/>
          <w:sz w:val="20"/>
          <w:szCs w:val="20"/>
        </w:rPr>
      </w:pPr>
      <w:r>
        <w:rPr>
          <w:rFonts w:ascii="Verdana" w:hAnsi="Verdana"/>
          <w:noProof/>
          <w:sz w:val="20"/>
          <w:szCs w:val="20"/>
        </w:rPr>
        <w:t>General information;</w:t>
      </w:r>
    </w:p>
    <w:p>
      <w:pPr>
        <w:numPr>
          <w:ilvl w:val="0"/>
          <w:numId w:val="15"/>
        </w:numPr>
        <w:spacing w:before="120" w:after="120" w:line="240" w:lineRule="auto"/>
        <w:jc w:val="both"/>
        <w:rPr>
          <w:rFonts w:ascii="Verdana" w:hAnsi="Verdana"/>
          <w:noProof/>
          <w:sz w:val="20"/>
          <w:szCs w:val="20"/>
        </w:rPr>
      </w:pPr>
      <w:r>
        <w:rPr>
          <w:rFonts w:ascii="Verdana" w:hAnsi="Verdana"/>
          <w:noProof/>
          <w:sz w:val="20"/>
          <w:szCs w:val="20"/>
        </w:rPr>
        <w:t>Cybersecurity expertise;</w:t>
      </w:r>
    </w:p>
    <w:p>
      <w:pPr>
        <w:numPr>
          <w:ilvl w:val="0"/>
          <w:numId w:val="15"/>
        </w:numPr>
        <w:spacing w:before="120" w:after="120" w:line="240" w:lineRule="auto"/>
        <w:jc w:val="both"/>
        <w:rPr>
          <w:rFonts w:ascii="Verdana" w:hAnsi="Verdana"/>
          <w:noProof/>
          <w:sz w:val="20"/>
          <w:szCs w:val="20"/>
        </w:rPr>
      </w:pPr>
      <w:r>
        <w:rPr>
          <w:rFonts w:ascii="Verdana" w:hAnsi="Verdana"/>
          <w:noProof/>
          <w:sz w:val="20"/>
          <w:szCs w:val="20"/>
        </w:rPr>
        <w:t>Sectors, applications and technologies;</w:t>
      </w:r>
    </w:p>
    <w:p>
      <w:pPr>
        <w:numPr>
          <w:ilvl w:val="0"/>
          <w:numId w:val="15"/>
        </w:numPr>
        <w:spacing w:before="120" w:after="120" w:line="240" w:lineRule="auto"/>
        <w:jc w:val="both"/>
        <w:rPr>
          <w:rFonts w:ascii="Verdana" w:hAnsi="Verdana"/>
          <w:noProof/>
          <w:sz w:val="20"/>
          <w:szCs w:val="20"/>
        </w:rPr>
      </w:pPr>
      <w:r>
        <w:rPr>
          <w:rFonts w:ascii="Verdana" w:hAnsi="Verdana"/>
          <w:noProof/>
          <w:sz w:val="20"/>
          <w:szCs w:val="20"/>
        </w:rPr>
        <w:t>International collaborations and joint programs;</w:t>
      </w:r>
    </w:p>
    <w:p>
      <w:pPr>
        <w:numPr>
          <w:ilvl w:val="0"/>
          <w:numId w:val="15"/>
        </w:numPr>
        <w:spacing w:before="120" w:after="120" w:line="240" w:lineRule="auto"/>
        <w:jc w:val="both"/>
        <w:rPr>
          <w:rFonts w:ascii="Verdana" w:hAnsi="Verdana"/>
          <w:noProof/>
          <w:sz w:val="20"/>
          <w:szCs w:val="20"/>
        </w:rPr>
      </w:pPr>
      <w:r>
        <w:rPr>
          <w:rFonts w:ascii="Verdana" w:hAnsi="Verdana"/>
          <w:noProof/>
          <w:sz w:val="20"/>
          <w:szCs w:val="20"/>
        </w:rPr>
        <w:t>Confirmation and agreement with the privacy policy.</w:t>
      </w:r>
    </w:p>
    <w:p>
      <w:pPr>
        <w:spacing w:before="120" w:after="120" w:line="240" w:lineRule="auto"/>
        <w:jc w:val="both"/>
        <w:rPr>
          <w:rFonts w:ascii="Verdana" w:hAnsi="Verdana"/>
          <w:noProof/>
          <w:sz w:val="20"/>
          <w:szCs w:val="20"/>
        </w:rPr>
      </w:pPr>
      <w:r>
        <w:rPr>
          <w:rFonts w:ascii="Verdana" w:hAnsi="Verdana"/>
          <w:noProof/>
          <w:sz w:val="20"/>
          <w:szCs w:val="20"/>
        </w:rPr>
        <w:t xml:space="preserve">The </w:t>
      </w:r>
      <w:r>
        <w:rPr>
          <w:rFonts w:ascii="Verdana" w:hAnsi="Verdana"/>
          <w:b/>
          <w:noProof/>
          <w:sz w:val="20"/>
          <w:szCs w:val="20"/>
        </w:rPr>
        <w:t>general information</w:t>
      </w:r>
      <w:r>
        <w:rPr>
          <w:rFonts w:ascii="Verdana" w:hAnsi="Verdana"/>
          <w:noProof/>
          <w:sz w:val="20"/>
          <w:szCs w:val="20"/>
        </w:rPr>
        <w:t xml:space="preserve"> section requested the name of the centre both in English and national language, department, address, country, website, management and general contact information. For the purpose of classification of the entity this section also requested the entity type, legal status, types of funding received, and number/type of Full Time Equivalent (FTE) employees). The following figure shows the entity type, legal status, and funding types made available for the survey participants to choose from:</w:t>
      </w:r>
    </w:p>
    <w:p>
      <w:pPr>
        <w:spacing w:before="120" w:after="120"/>
        <w:jc w:val="both"/>
        <w:rPr>
          <w:rFonts w:ascii="Verdana" w:hAnsi="Verdana"/>
          <w:noProof/>
          <w:sz w:val="20"/>
          <w:szCs w:val="20"/>
        </w:rPr>
      </w:pPr>
    </w:p>
    <w:p>
      <w:pPr>
        <w:keepNext/>
        <w:jc w:val="both"/>
        <w:rPr>
          <w:rFonts w:ascii="Verdana" w:hAnsi="Verdana"/>
          <w:noProof/>
          <w:sz w:val="20"/>
          <w:szCs w:val="20"/>
        </w:rPr>
      </w:pPr>
      <w:r>
        <w:rPr>
          <w:rFonts w:ascii="Verdana" w:hAnsi="Verdana"/>
          <w:noProof/>
          <w:sz w:val="20"/>
          <w:szCs w:val="20"/>
          <w:lang w:val="en-US"/>
        </w:rPr>
        <w:drawing>
          <wp:inline distT="0" distB="0" distL="0" distR="0">
            <wp:extent cx="5151120" cy="4191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51120" cy="4191000"/>
                    </a:xfrm>
                    <a:prstGeom prst="rect">
                      <a:avLst/>
                    </a:prstGeom>
                    <a:noFill/>
                    <a:ln>
                      <a:noFill/>
                    </a:ln>
                  </pic:spPr>
                </pic:pic>
              </a:graphicData>
            </a:graphic>
          </wp:inline>
        </w:drawing>
      </w:r>
    </w:p>
    <w:p>
      <w:pPr>
        <w:spacing w:after="240"/>
        <w:jc w:val="both"/>
        <w:rPr>
          <w:rFonts w:ascii="Verdana" w:hAnsi="Verdana"/>
          <w:noProof/>
          <w:sz w:val="18"/>
          <w:szCs w:val="20"/>
        </w:rPr>
      </w:pPr>
      <w:bookmarkStart w:id="11" w:name="_Toc523835957"/>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1</w:t>
      </w:r>
      <w:r>
        <w:rPr>
          <w:noProof/>
        </w:rPr>
        <w:fldChar w:fldCharType="end"/>
      </w:r>
      <w:r>
        <w:rPr>
          <w:rFonts w:ascii="Verdana" w:hAnsi="Verdana"/>
          <w:b/>
          <w:noProof/>
          <w:sz w:val="18"/>
          <w:szCs w:val="20"/>
        </w:rPr>
        <w:t>.</w:t>
      </w:r>
      <w:r>
        <w:rPr>
          <w:rFonts w:ascii="Verdana" w:hAnsi="Verdana"/>
          <w:noProof/>
          <w:sz w:val="18"/>
          <w:szCs w:val="20"/>
        </w:rPr>
        <w:t xml:space="preserve"> Entity type, legal status, and funding types.</w:t>
      </w:r>
      <w:bookmarkEnd w:id="11"/>
    </w:p>
    <w:p>
      <w:pPr>
        <w:keepNext/>
        <w:jc w:val="both"/>
        <w:rPr>
          <w:rFonts w:ascii="Verdana" w:hAnsi="Verdana"/>
          <w:noProof/>
          <w:sz w:val="20"/>
          <w:szCs w:val="20"/>
        </w:rPr>
      </w:pPr>
    </w:p>
    <w:p>
      <w:pPr>
        <w:spacing w:before="120" w:after="120"/>
        <w:jc w:val="both"/>
        <w:rPr>
          <w:rFonts w:ascii="Verdana" w:hAnsi="Verdana"/>
          <w:noProof/>
          <w:sz w:val="20"/>
          <w:szCs w:val="20"/>
        </w:rPr>
      </w:pPr>
      <w:r>
        <w:rPr>
          <w:rFonts w:ascii="Verdana" w:hAnsi="Verdana"/>
          <w:noProof/>
          <w:sz w:val="20"/>
          <w:szCs w:val="20"/>
        </w:rPr>
        <w:t xml:space="preserve">The </w:t>
      </w:r>
      <w:r>
        <w:rPr>
          <w:rFonts w:ascii="Verdana" w:hAnsi="Verdana"/>
          <w:b/>
          <w:noProof/>
          <w:sz w:val="20"/>
          <w:szCs w:val="20"/>
        </w:rPr>
        <w:t xml:space="preserve">cybersecurity expertise </w:t>
      </w:r>
      <w:r>
        <w:rPr>
          <w:rFonts w:ascii="Verdana" w:hAnsi="Verdana"/>
          <w:noProof/>
          <w:sz w:val="20"/>
          <w:szCs w:val="20"/>
        </w:rPr>
        <w:t xml:space="preserve">section requested information about the cybersecurity </w:t>
      </w:r>
      <w:r>
        <w:rPr>
          <w:rFonts w:ascii="Verdana" w:hAnsi="Verdana"/>
          <w:b/>
          <w:noProof/>
          <w:sz w:val="20"/>
          <w:szCs w:val="20"/>
        </w:rPr>
        <w:t>domains and subdomains of expertise</w:t>
      </w:r>
      <w:r>
        <w:rPr>
          <w:rFonts w:ascii="Verdana" w:hAnsi="Verdana"/>
          <w:noProof/>
          <w:sz w:val="20"/>
          <w:szCs w:val="20"/>
        </w:rPr>
        <w:t>, which were defined using the cybersecurity taxonomy as input. The following figure shows the list of cybersecurity domains displayed to the survey participants:</w:t>
      </w:r>
    </w:p>
    <w:p>
      <w:pPr>
        <w:keepNext/>
        <w:jc w:val="both"/>
        <w:rPr>
          <w:noProof/>
        </w:rPr>
      </w:pPr>
      <w:r>
        <w:rPr>
          <w:noProof/>
          <w:lang w:val="en-US"/>
        </w:rPr>
        <w:drawing>
          <wp:inline distT="0" distB="0" distL="0" distR="0">
            <wp:extent cx="4953000" cy="3886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53000" cy="388620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12" w:name="_Toc523835958"/>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2</w:t>
      </w:r>
      <w:r>
        <w:rPr>
          <w:noProof/>
        </w:rPr>
        <w:fldChar w:fldCharType="end"/>
      </w:r>
      <w:r>
        <w:rPr>
          <w:rFonts w:ascii="Verdana" w:hAnsi="Verdana"/>
          <w:b/>
          <w:noProof/>
          <w:sz w:val="18"/>
          <w:szCs w:val="20"/>
        </w:rPr>
        <w:t>.</w:t>
      </w:r>
      <w:r>
        <w:rPr>
          <w:rFonts w:ascii="Verdana" w:hAnsi="Verdana"/>
          <w:noProof/>
          <w:sz w:val="18"/>
          <w:szCs w:val="20"/>
        </w:rPr>
        <w:t xml:space="preserve"> Cybersecurity domains.</w:t>
      </w:r>
      <w:bookmarkEnd w:id="12"/>
    </w:p>
    <w:p>
      <w:pPr>
        <w:spacing w:before="120" w:after="120"/>
        <w:jc w:val="both"/>
        <w:rPr>
          <w:rFonts w:ascii="Verdana" w:hAnsi="Verdana"/>
          <w:noProof/>
          <w:sz w:val="20"/>
          <w:szCs w:val="20"/>
        </w:rPr>
      </w:pPr>
      <w:r>
        <w:rPr>
          <w:rFonts w:ascii="Verdana" w:hAnsi="Verdana"/>
          <w:noProof/>
          <w:sz w:val="20"/>
          <w:szCs w:val="20"/>
        </w:rPr>
        <w:t xml:space="preserve">For each cybersecurity domain the participant could specify if they have or not expertise in this domain, and in case they declared to have expertise in each particular domain a list of </w:t>
      </w:r>
      <w:r>
        <w:rPr>
          <w:rFonts w:ascii="Verdana" w:hAnsi="Verdana"/>
          <w:b/>
          <w:noProof/>
          <w:sz w:val="20"/>
          <w:szCs w:val="20"/>
        </w:rPr>
        <w:t>subdomains</w:t>
      </w:r>
      <w:r>
        <w:rPr>
          <w:rFonts w:ascii="Verdana" w:hAnsi="Verdana"/>
          <w:noProof/>
          <w:sz w:val="20"/>
          <w:szCs w:val="20"/>
        </w:rPr>
        <w:t xml:space="preserve"> was displayed asking the participant to specify the particular subdomains of expertise, a textual description of the core competencies, a list of key researchers in the domain, the total number of publications and patents in this domain. Considering that the proposed taxonomy may not be complete participants were also given the choice to provide using an text field other subdomains of expertise not listed. The following figure shows as an example the subdomains defined for the Cryptology domain.</w:t>
      </w:r>
    </w:p>
    <w:p>
      <w:pPr>
        <w:keepNext/>
        <w:jc w:val="both"/>
        <w:rPr>
          <w:noProof/>
        </w:rPr>
      </w:pPr>
      <w:r>
        <w:rPr>
          <w:noProof/>
          <w:lang w:val="en-US"/>
        </w:rPr>
        <w:lastRenderedPageBreak/>
        <w:drawing>
          <wp:inline distT="0" distB="0" distL="0" distR="0">
            <wp:extent cx="5920740" cy="331470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20740" cy="331470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13" w:name="_Toc523835959"/>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3</w:t>
      </w:r>
      <w:r>
        <w:rPr>
          <w:noProof/>
        </w:rPr>
        <w:fldChar w:fldCharType="end"/>
      </w:r>
      <w:r>
        <w:rPr>
          <w:rFonts w:ascii="Verdana" w:hAnsi="Verdana"/>
          <w:b/>
          <w:noProof/>
          <w:sz w:val="18"/>
          <w:szCs w:val="20"/>
        </w:rPr>
        <w:t>.</w:t>
      </w:r>
      <w:r>
        <w:rPr>
          <w:rFonts w:ascii="Verdana" w:hAnsi="Verdana"/>
          <w:noProof/>
          <w:sz w:val="18"/>
          <w:szCs w:val="20"/>
        </w:rPr>
        <w:t xml:space="preserve"> Cryptology subdomains.</w:t>
      </w:r>
      <w:bookmarkEnd w:id="13"/>
    </w:p>
    <w:p>
      <w:pPr>
        <w:spacing w:before="120" w:after="120"/>
        <w:jc w:val="both"/>
        <w:rPr>
          <w:rFonts w:ascii="Verdana" w:hAnsi="Verdana"/>
          <w:noProof/>
          <w:sz w:val="20"/>
          <w:szCs w:val="20"/>
        </w:rPr>
      </w:pPr>
      <w:r>
        <w:rPr>
          <w:rFonts w:ascii="Verdana" w:hAnsi="Verdana"/>
          <w:noProof/>
          <w:sz w:val="20"/>
          <w:szCs w:val="20"/>
        </w:rPr>
        <w:t xml:space="preserve">After specifying the domains and subdomains of expertise the survey participants was requested to specify the </w:t>
      </w:r>
      <w:r>
        <w:rPr>
          <w:rFonts w:ascii="Verdana" w:hAnsi="Verdana"/>
          <w:b/>
          <w:noProof/>
          <w:sz w:val="20"/>
          <w:szCs w:val="20"/>
        </w:rPr>
        <w:t>sectors, applications and technologies</w:t>
      </w:r>
      <w:r>
        <w:rPr>
          <w:rFonts w:ascii="Verdana" w:hAnsi="Verdana"/>
          <w:noProof/>
          <w:sz w:val="20"/>
          <w:szCs w:val="20"/>
        </w:rPr>
        <w:t>. This information is useful to further refine and identify the area of work of the centre, for example, cryptology work in embedded systems versus cloud computing are of significant different nature considering the restrictions of each technology. The following figure shows the survey items displayed in this section.</w:t>
      </w:r>
    </w:p>
    <w:p>
      <w:pPr>
        <w:keepNext/>
        <w:jc w:val="both"/>
        <w:rPr>
          <w:rFonts w:ascii="Verdana" w:eastAsia="Times New Roman" w:hAnsi="Verdana" w:cs="Times New Roman"/>
          <w:noProof/>
          <w:sz w:val="20"/>
          <w:szCs w:val="20"/>
          <w:lang w:eastAsia="en-GB"/>
        </w:rPr>
      </w:pPr>
      <w:r>
        <w:rPr>
          <w:rFonts w:ascii="Verdana" w:hAnsi="Verdana"/>
          <w:noProof/>
          <w:sz w:val="20"/>
          <w:szCs w:val="20"/>
          <w:lang w:val="en-US"/>
        </w:rPr>
        <w:lastRenderedPageBreak/>
        <w:drawing>
          <wp:inline distT="0" distB="0" distL="0" distR="0">
            <wp:extent cx="6004560" cy="39014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4560" cy="3901440"/>
                    </a:xfrm>
                    <a:prstGeom prst="rect">
                      <a:avLst/>
                    </a:prstGeom>
                    <a:noFill/>
                    <a:ln>
                      <a:noFill/>
                    </a:ln>
                  </pic:spPr>
                </pic:pic>
              </a:graphicData>
            </a:graphic>
          </wp:inline>
        </w:drawing>
      </w:r>
    </w:p>
    <w:p>
      <w:pPr>
        <w:spacing w:after="240"/>
        <w:jc w:val="both"/>
        <w:rPr>
          <w:rFonts w:ascii="Verdana" w:hAnsi="Verdana"/>
          <w:noProof/>
          <w:sz w:val="18"/>
          <w:szCs w:val="20"/>
        </w:rPr>
      </w:pPr>
      <w:bookmarkStart w:id="14" w:name="_Toc523835960"/>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4</w:t>
      </w:r>
      <w:r>
        <w:rPr>
          <w:noProof/>
        </w:rPr>
        <w:fldChar w:fldCharType="end"/>
      </w:r>
      <w:r>
        <w:rPr>
          <w:rFonts w:ascii="Verdana" w:hAnsi="Verdana"/>
          <w:b/>
          <w:noProof/>
          <w:sz w:val="18"/>
          <w:szCs w:val="20"/>
        </w:rPr>
        <w:t>.</w:t>
      </w:r>
      <w:r>
        <w:rPr>
          <w:rFonts w:ascii="Verdana" w:hAnsi="Verdana"/>
          <w:noProof/>
          <w:sz w:val="18"/>
          <w:szCs w:val="20"/>
        </w:rPr>
        <w:t xml:space="preserve"> Sectors, applications, and technologies.</w:t>
      </w:r>
      <w:bookmarkEnd w:id="14"/>
    </w:p>
    <w:p>
      <w:pPr>
        <w:spacing w:before="120" w:after="120"/>
        <w:jc w:val="both"/>
        <w:rPr>
          <w:rFonts w:ascii="Verdana" w:hAnsi="Verdana"/>
          <w:noProof/>
          <w:sz w:val="20"/>
          <w:szCs w:val="20"/>
        </w:rPr>
      </w:pPr>
      <w:r>
        <w:rPr>
          <w:rFonts w:ascii="Verdana" w:hAnsi="Verdana"/>
          <w:noProof/>
          <w:sz w:val="20"/>
          <w:szCs w:val="20"/>
        </w:rPr>
        <w:t xml:space="preserve">In the </w:t>
      </w:r>
      <w:r>
        <w:rPr>
          <w:rFonts w:ascii="Verdana" w:hAnsi="Verdana"/>
          <w:b/>
          <w:noProof/>
          <w:sz w:val="20"/>
          <w:szCs w:val="20"/>
        </w:rPr>
        <w:t>international collaborations and joint programs</w:t>
      </w:r>
      <w:r>
        <w:rPr>
          <w:rFonts w:ascii="Verdana" w:hAnsi="Verdana"/>
          <w:noProof/>
          <w:sz w:val="20"/>
          <w:szCs w:val="20"/>
        </w:rPr>
        <w:t xml:space="preserve"> section the survey participants were asked to informed the number of cybersecurity research projects (EU and national), cybersecurity patents, agreements/contracts with industries and governments, and memorandums of understanding with other organizations.</w:t>
      </w:r>
    </w:p>
    <w:p>
      <w:pPr>
        <w:spacing w:before="120" w:after="120"/>
        <w:jc w:val="both"/>
        <w:rPr>
          <w:rFonts w:ascii="Verdana" w:eastAsia="Calibri" w:hAnsi="Verdana"/>
          <w:b/>
          <w:noProof/>
          <w:sz w:val="26"/>
          <w:szCs w:val="24"/>
        </w:rPr>
      </w:pPr>
      <w:r>
        <w:rPr>
          <w:rFonts w:ascii="Verdana" w:hAnsi="Verdana"/>
          <w:noProof/>
          <w:sz w:val="20"/>
          <w:szCs w:val="20"/>
        </w:rPr>
        <w:t xml:space="preserve">Finally, in the </w:t>
      </w:r>
      <w:r>
        <w:rPr>
          <w:rFonts w:ascii="Verdana" w:hAnsi="Verdana"/>
          <w:b/>
          <w:noProof/>
          <w:sz w:val="20"/>
          <w:szCs w:val="20"/>
        </w:rPr>
        <w:t>confirmation and agreement with the privacy policy</w:t>
      </w:r>
      <w:r>
        <w:rPr>
          <w:rFonts w:ascii="Verdana" w:hAnsi="Verdana"/>
          <w:noProof/>
          <w:sz w:val="20"/>
          <w:szCs w:val="20"/>
        </w:rPr>
        <w:t xml:space="preserve"> section the participants had the option of providing supporting documents and to check the box informing if they agree to make the declared information public and confirm that the declared information is correct.</w:t>
      </w:r>
      <w:bookmarkStart w:id="15" w:name="_Ref507746683"/>
      <w:bookmarkStart w:id="16" w:name="_Toc523835938"/>
      <w:r>
        <w:rPr>
          <w:rFonts w:ascii="Verdana" w:eastAsia="Calibri" w:hAnsi="Verdana"/>
          <w:b/>
          <w:noProof/>
          <w:sz w:val="26"/>
        </w:rPr>
        <w:t>Survey Dissemination Strategy and Analysis</w:t>
      </w:r>
      <w:bookmarkEnd w:id="15"/>
      <w:r>
        <w:rPr>
          <w:rFonts w:ascii="Verdana" w:eastAsia="Calibri" w:hAnsi="Verdana"/>
          <w:b/>
          <w:noProof/>
          <w:sz w:val="26"/>
        </w:rPr>
        <w:t xml:space="preserve"> of Results</w:t>
      </w:r>
      <w:bookmarkEnd w:id="16"/>
    </w:p>
    <w:p>
      <w:pPr>
        <w:spacing w:before="120" w:after="120"/>
        <w:jc w:val="both"/>
        <w:rPr>
          <w:rFonts w:ascii="Verdana" w:eastAsia="Times New Roman" w:hAnsi="Verdana"/>
          <w:noProof/>
          <w:sz w:val="20"/>
          <w:szCs w:val="20"/>
        </w:rPr>
      </w:pPr>
      <w:r>
        <w:rPr>
          <w:rFonts w:ascii="Verdana" w:hAnsi="Verdana"/>
          <w:noProof/>
          <w:sz w:val="20"/>
          <w:szCs w:val="20"/>
        </w:rPr>
        <w:t>In this chapter the survey dissemination strategy and the analysis of the results are presented. As a disclaimer, the numbers presented here are the straightforward analysis of the numbers provided by the survey participants, which in a few cases may not be accurate, and no thorough manual analysis of the entries was done.</w:t>
      </w:r>
    </w:p>
    <w:p>
      <w:pPr>
        <w:keepNext/>
        <w:keepLines/>
        <w:numPr>
          <w:ilvl w:val="1"/>
          <w:numId w:val="8"/>
        </w:numPr>
        <w:spacing w:before="240" w:after="120"/>
        <w:jc w:val="both"/>
        <w:outlineLvl w:val="1"/>
        <w:rPr>
          <w:rFonts w:ascii="Verdana" w:hAnsi="Verdana"/>
          <w:b/>
          <w:bCs/>
          <w:iCs/>
          <w:noProof/>
          <w:sz w:val="24"/>
          <w:szCs w:val="26"/>
        </w:rPr>
      </w:pPr>
      <w:bookmarkStart w:id="17" w:name="_Toc523835939"/>
      <w:r>
        <w:rPr>
          <w:rFonts w:ascii="Verdana" w:hAnsi="Verdana"/>
          <w:b/>
          <w:bCs/>
          <w:iCs/>
          <w:noProof/>
          <w:szCs w:val="26"/>
        </w:rPr>
        <w:t>Survey Dissemination Strategy</w:t>
      </w:r>
      <w:bookmarkEnd w:id="17"/>
    </w:p>
    <w:p>
      <w:pPr>
        <w:spacing w:before="120" w:after="120"/>
        <w:jc w:val="both"/>
        <w:rPr>
          <w:rFonts w:ascii="Verdana" w:hAnsi="Verdana"/>
          <w:noProof/>
          <w:sz w:val="20"/>
          <w:szCs w:val="20"/>
        </w:rPr>
      </w:pPr>
      <w:r>
        <w:rPr>
          <w:rFonts w:ascii="Verdana" w:hAnsi="Verdana"/>
          <w:noProof/>
          <w:sz w:val="20"/>
          <w:szCs w:val="20"/>
        </w:rPr>
        <w:t>The survey was initially disseminated through the following channels:</w:t>
      </w:r>
    </w:p>
    <w:p>
      <w:pPr>
        <w:numPr>
          <w:ilvl w:val="0"/>
          <w:numId w:val="16"/>
        </w:numPr>
        <w:spacing w:before="120" w:after="120" w:line="256" w:lineRule="auto"/>
        <w:contextualSpacing/>
        <w:jc w:val="both"/>
        <w:rPr>
          <w:rFonts w:ascii="Verdana" w:eastAsia="Times New Roman" w:hAnsi="Verdana" w:cs="Times New Roman"/>
          <w:noProof/>
          <w:sz w:val="20"/>
          <w:szCs w:val="20"/>
          <w:lang w:eastAsia="en-GB"/>
        </w:rPr>
      </w:pPr>
      <w:r>
        <w:rPr>
          <w:rFonts w:ascii="Verdana" w:hAnsi="Verdana"/>
          <w:noProof/>
          <w:sz w:val="20"/>
          <w:szCs w:val="20"/>
        </w:rPr>
        <w:t>DG-CNECT and DG-JRC social media;</w:t>
      </w:r>
    </w:p>
    <w:p>
      <w:pPr>
        <w:numPr>
          <w:ilvl w:val="0"/>
          <w:numId w:val="16"/>
        </w:numPr>
        <w:spacing w:before="120" w:after="120" w:line="256" w:lineRule="auto"/>
        <w:contextualSpacing/>
        <w:jc w:val="both"/>
        <w:rPr>
          <w:rFonts w:ascii="Verdana" w:hAnsi="Verdana"/>
          <w:noProof/>
          <w:sz w:val="20"/>
          <w:szCs w:val="20"/>
        </w:rPr>
      </w:pPr>
      <w:r>
        <w:rPr>
          <w:rFonts w:ascii="Verdana" w:hAnsi="Verdana"/>
          <w:noProof/>
          <w:sz w:val="20"/>
          <w:szCs w:val="20"/>
        </w:rPr>
        <w:t>DG-CNECT newsletter contacts;</w:t>
      </w:r>
    </w:p>
    <w:p>
      <w:pPr>
        <w:numPr>
          <w:ilvl w:val="0"/>
          <w:numId w:val="16"/>
        </w:numPr>
        <w:spacing w:before="120" w:after="120" w:line="256" w:lineRule="auto"/>
        <w:contextualSpacing/>
        <w:jc w:val="both"/>
        <w:rPr>
          <w:rFonts w:ascii="Verdana" w:hAnsi="Verdana"/>
          <w:noProof/>
          <w:sz w:val="20"/>
          <w:szCs w:val="20"/>
        </w:rPr>
      </w:pPr>
      <w:r>
        <w:rPr>
          <w:rFonts w:ascii="Verdana" w:hAnsi="Verdana"/>
          <w:noProof/>
          <w:sz w:val="20"/>
          <w:szCs w:val="20"/>
        </w:rPr>
        <w:t>ERNCIP mailing list;</w:t>
      </w:r>
    </w:p>
    <w:p>
      <w:pPr>
        <w:numPr>
          <w:ilvl w:val="0"/>
          <w:numId w:val="16"/>
        </w:numPr>
        <w:spacing w:before="120" w:after="120" w:line="256" w:lineRule="auto"/>
        <w:contextualSpacing/>
        <w:jc w:val="both"/>
        <w:rPr>
          <w:rFonts w:ascii="Verdana" w:hAnsi="Verdana"/>
          <w:noProof/>
          <w:sz w:val="20"/>
          <w:szCs w:val="20"/>
        </w:rPr>
      </w:pPr>
      <w:r>
        <w:rPr>
          <w:rFonts w:ascii="Verdana" w:hAnsi="Verdana"/>
          <w:noProof/>
          <w:sz w:val="20"/>
          <w:szCs w:val="20"/>
        </w:rPr>
        <w:t>ECSO mailing lists;</w:t>
      </w:r>
    </w:p>
    <w:p>
      <w:pPr>
        <w:numPr>
          <w:ilvl w:val="0"/>
          <w:numId w:val="16"/>
        </w:numPr>
        <w:spacing w:before="120" w:after="120" w:line="256" w:lineRule="auto"/>
        <w:contextualSpacing/>
        <w:jc w:val="both"/>
        <w:rPr>
          <w:rFonts w:ascii="Verdana" w:hAnsi="Verdana"/>
          <w:noProof/>
          <w:sz w:val="20"/>
          <w:szCs w:val="20"/>
        </w:rPr>
      </w:pPr>
      <w:r>
        <w:rPr>
          <w:rFonts w:ascii="Verdana" w:hAnsi="Verdana"/>
          <w:noProof/>
          <w:sz w:val="20"/>
          <w:szCs w:val="20"/>
        </w:rPr>
        <w:t>The three (3) CSAs (cyberwatching.eu, AEGIS, EUNITY) mailing lists;</w:t>
      </w:r>
    </w:p>
    <w:p>
      <w:pPr>
        <w:numPr>
          <w:ilvl w:val="0"/>
          <w:numId w:val="16"/>
        </w:numPr>
        <w:spacing w:before="120" w:after="120" w:line="256" w:lineRule="auto"/>
        <w:contextualSpacing/>
        <w:jc w:val="both"/>
        <w:rPr>
          <w:rFonts w:ascii="Verdana" w:hAnsi="Verdana"/>
          <w:noProof/>
          <w:sz w:val="20"/>
          <w:szCs w:val="20"/>
        </w:rPr>
      </w:pPr>
      <w:r>
        <w:rPr>
          <w:rFonts w:ascii="Verdana" w:hAnsi="Verdana"/>
          <w:noProof/>
          <w:sz w:val="20"/>
          <w:szCs w:val="20"/>
        </w:rPr>
        <w:t>The National Contact Points network.</w:t>
      </w:r>
    </w:p>
    <w:p>
      <w:pPr>
        <w:spacing w:before="120" w:after="120"/>
        <w:jc w:val="both"/>
        <w:rPr>
          <w:rFonts w:ascii="Verdana" w:hAnsi="Verdana"/>
          <w:noProof/>
          <w:sz w:val="20"/>
          <w:szCs w:val="20"/>
        </w:rPr>
      </w:pPr>
      <w:r>
        <w:rPr>
          <w:rFonts w:ascii="Verdana" w:hAnsi="Verdana"/>
          <w:noProof/>
          <w:sz w:val="20"/>
          <w:szCs w:val="20"/>
        </w:rPr>
        <w:lastRenderedPageBreak/>
        <w:t>After the initial dissemination many entities used their national distribution channels to further disseminate the survey, for example, national cybersecurity mailing lists, twitter accounts, etc. As a result, the dissemination strategy was successful considering the high number of participants.</w:t>
      </w:r>
    </w:p>
    <w:p>
      <w:pPr>
        <w:keepNext/>
        <w:keepLines/>
        <w:numPr>
          <w:ilvl w:val="1"/>
          <w:numId w:val="8"/>
        </w:numPr>
        <w:spacing w:before="240" w:after="120"/>
        <w:jc w:val="both"/>
        <w:outlineLvl w:val="1"/>
        <w:rPr>
          <w:rFonts w:ascii="Verdana" w:eastAsia="Times New Roman" w:hAnsi="Verdana" w:cs="Times New Roman"/>
          <w:b/>
          <w:bCs/>
          <w:iCs/>
          <w:noProof/>
          <w:sz w:val="24"/>
          <w:szCs w:val="26"/>
          <w:lang w:eastAsia="en-GB"/>
        </w:rPr>
      </w:pPr>
      <w:bookmarkStart w:id="18" w:name="_Toc523835940"/>
      <w:r>
        <w:rPr>
          <w:rFonts w:ascii="Verdana" w:hAnsi="Verdana"/>
          <w:b/>
          <w:bCs/>
          <w:iCs/>
          <w:noProof/>
          <w:szCs w:val="26"/>
        </w:rPr>
        <w:t>Number and Geographical Distribution of Participants</w:t>
      </w:r>
      <w:bookmarkEnd w:id="18"/>
    </w:p>
    <w:p>
      <w:pPr>
        <w:spacing w:before="120" w:after="120"/>
        <w:jc w:val="both"/>
        <w:rPr>
          <w:rFonts w:ascii="Verdana" w:hAnsi="Verdana"/>
          <w:noProof/>
          <w:sz w:val="20"/>
          <w:szCs w:val="20"/>
        </w:rPr>
      </w:pPr>
      <w:r>
        <w:rPr>
          <w:rFonts w:ascii="Verdana" w:hAnsi="Verdana"/>
          <w:noProof/>
          <w:sz w:val="20"/>
          <w:szCs w:val="20"/>
        </w:rPr>
        <w:t>The total number of surveys completed by March 5</w:t>
      </w:r>
      <w:r>
        <w:rPr>
          <w:rFonts w:ascii="Verdana" w:hAnsi="Verdana"/>
          <w:noProof/>
          <w:sz w:val="20"/>
          <w:szCs w:val="20"/>
          <w:vertAlign w:val="superscript"/>
        </w:rPr>
        <w:t>th</w:t>
      </w:r>
      <w:r>
        <w:rPr>
          <w:rFonts w:ascii="Verdana" w:hAnsi="Verdana"/>
          <w:noProof/>
          <w:sz w:val="20"/>
          <w:szCs w:val="20"/>
        </w:rPr>
        <w:t xml:space="preserve">, 2018 was </w:t>
      </w:r>
      <w:r>
        <w:rPr>
          <w:rFonts w:ascii="Verdana" w:hAnsi="Verdana"/>
          <w:b/>
          <w:noProof/>
          <w:sz w:val="20"/>
          <w:szCs w:val="20"/>
        </w:rPr>
        <w:t>665</w:t>
      </w:r>
      <w:r>
        <w:rPr>
          <w:rFonts w:ascii="Verdana" w:hAnsi="Verdana"/>
          <w:noProof/>
          <w:sz w:val="20"/>
          <w:szCs w:val="20"/>
        </w:rPr>
        <w:t xml:space="preserve">, of which </w:t>
      </w:r>
      <w:r>
        <w:rPr>
          <w:rFonts w:ascii="Verdana" w:hAnsi="Verdana"/>
          <w:b/>
          <w:noProof/>
          <w:sz w:val="20"/>
          <w:szCs w:val="20"/>
        </w:rPr>
        <w:t>61</w:t>
      </w:r>
      <w:r>
        <w:rPr>
          <w:rFonts w:ascii="Verdana" w:hAnsi="Verdana"/>
          <w:noProof/>
          <w:sz w:val="20"/>
          <w:szCs w:val="20"/>
        </w:rPr>
        <w:t xml:space="preserve"> centres provided supporting documents. As it is possible to see in </w:t>
      </w:r>
      <w:r>
        <w:rPr>
          <w:noProof/>
        </w:rPr>
        <w:fldChar w:fldCharType="begin"/>
      </w:r>
      <w:r>
        <w:rPr>
          <w:rFonts w:ascii="Verdana" w:hAnsi="Verdana"/>
          <w:noProof/>
          <w:sz w:val="20"/>
          <w:szCs w:val="20"/>
        </w:rPr>
        <w:instrText xml:space="preserve"> REF _Ref508008214 \h  \* MERGEFORMAT </w:instrText>
      </w:r>
      <w:r>
        <w:rPr>
          <w:noProof/>
        </w:rPr>
      </w:r>
      <w:r>
        <w:rPr>
          <w:noProof/>
        </w:rPr>
        <w:fldChar w:fldCharType="separate"/>
      </w:r>
      <w:r>
        <w:rPr>
          <w:rFonts w:ascii="Verdana" w:hAnsi="Verdana"/>
          <w:noProof/>
          <w:sz w:val="20"/>
          <w:szCs w:val="20"/>
        </w:rPr>
        <w:t>Figure 5</w:t>
      </w:r>
      <w:r>
        <w:rPr>
          <w:noProof/>
        </w:rPr>
        <w:fldChar w:fldCharType="end"/>
      </w:r>
      <w:r>
        <w:rPr>
          <w:rFonts w:ascii="Verdana" w:hAnsi="Verdana"/>
          <w:noProof/>
          <w:sz w:val="20"/>
          <w:szCs w:val="20"/>
        </w:rPr>
        <w:t xml:space="preserve">, the survey results cover all the EU MS plus additional countries having access to the H2020 research program. </w:t>
      </w:r>
      <w:r>
        <w:rPr>
          <w:noProof/>
        </w:rPr>
        <w:fldChar w:fldCharType="begin"/>
      </w:r>
      <w:r>
        <w:rPr>
          <w:rFonts w:ascii="Verdana" w:hAnsi="Verdana"/>
          <w:noProof/>
          <w:sz w:val="20"/>
          <w:szCs w:val="20"/>
        </w:rPr>
        <w:instrText xml:space="preserve"> REF _Ref508023660 \h  \* MERGEFORMAT </w:instrText>
      </w:r>
      <w:r>
        <w:rPr>
          <w:noProof/>
        </w:rPr>
      </w:r>
      <w:r>
        <w:rPr>
          <w:noProof/>
        </w:rPr>
        <w:fldChar w:fldCharType="separate"/>
      </w:r>
      <w:r>
        <w:rPr>
          <w:rFonts w:ascii="Verdana" w:hAnsi="Verdana"/>
          <w:noProof/>
          <w:sz w:val="20"/>
          <w:szCs w:val="20"/>
        </w:rPr>
        <w:t>Figure 6</w:t>
      </w:r>
      <w:r>
        <w:rPr>
          <w:noProof/>
        </w:rPr>
        <w:fldChar w:fldCharType="end"/>
      </w:r>
      <w:r>
        <w:rPr>
          <w:rFonts w:ascii="Verdana" w:hAnsi="Verdana"/>
          <w:noProof/>
          <w:sz w:val="20"/>
          <w:szCs w:val="20"/>
        </w:rPr>
        <w:t xml:space="preserve"> presents the same data showing the number of participants per country using a bar chart, with the countries in crescent order considering the number of participating centres.</w:t>
      </w:r>
    </w:p>
    <w:p>
      <w:pPr>
        <w:jc w:val="both"/>
        <w:rPr>
          <w:rFonts w:ascii="Verdana" w:eastAsia="Times New Roman" w:hAnsi="Verdana" w:cs="Times New Roman"/>
          <w:noProof/>
          <w:sz w:val="20"/>
          <w:szCs w:val="20"/>
          <w:lang w:eastAsia="en-GB"/>
        </w:rPr>
      </w:pPr>
    </w:p>
    <w:p>
      <w:pPr>
        <w:keepNext/>
        <w:jc w:val="both"/>
        <w:rPr>
          <w:rFonts w:ascii="Verdana" w:hAnsi="Verdana"/>
          <w:noProof/>
          <w:sz w:val="20"/>
          <w:szCs w:val="20"/>
        </w:rPr>
      </w:pPr>
      <w:r>
        <w:rPr>
          <w:rFonts w:ascii="Verdana" w:hAnsi="Verdana"/>
          <w:noProof/>
          <w:sz w:val="20"/>
          <w:szCs w:val="20"/>
          <w:lang w:val="en-US"/>
        </w:rPr>
        <w:drawing>
          <wp:inline distT="0" distB="0" distL="0" distR="0">
            <wp:extent cx="5547360" cy="50444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47360" cy="5044440"/>
                    </a:xfrm>
                    <a:prstGeom prst="rect">
                      <a:avLst/>
                    </a:prstGeom>
                    <a:noFill/>
                    <a:ln>
                      <a:noFill/>
                    </a:ln>
                  </pic:spPr>
                </pic:pic>
              </a:graphicData>
            </a:graphic>
          </wp:inline>
        </w:drawing>
      </w:r>
    </w:p>
    <w:p>
      <w:pPr>
        <w:spacing w:after="240"/>
        <w:jc w:val="both"/>
        <w:rPr>
          <w:rFonts w:ascii="Verdana" w:hAnsi="Verdana"/>
          <w:noProof/>
          <w:sz w:val="18"/>
          <w:szCs w:val="20"/>
        </w:rPr>
      </w:pPr>
      <w:bookmarkStart w:id="19" w:name="_Ref508008214"/>
      <w:bookmarkStart w:id="20" w:name="_Toc523835961"/>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5</w:t>
      </w:r>
      <w:r>
        <w:rPr>
          <w:noProof/>
        </w:rPr>
        <w:fldChar w:fldCharType="end"/>
      </w:r>
      <w:bookmarkEnd w:id="19"/>
      <w:r>
        <w:rPr>
          <w:rFonts w:ascii="Verdana" w:hAnsi="Verdana"/>
          <w:b/>
          <w:noProof/>
          <w:sz w:val="18"/>
          <w:szCs w:val="20"/>
        </w:rPr>
        <w:t>.</w:t>
      </w:r>
      <w:r>
        <w:rPr>
          <w:rFonts w:ascii="Verdana" w:hAnsi="Verdana"/>
          <w:noProof/>
          <w:sz w:val="18"/>
          <w:szCs w:val="20"/>
        </w:rPr>
        <w:t xml:space="preserve"> Geographical distribution of number of survey participants per country with a color legend indicating with darker blue color countries with a higher number.</w:t>
      </w:r>
      <w:bookmarkEnd w:id="20"/>
    </w:p>
    <w:p>
      <w:pPr>
        <w:jc w:val="both"/>
        <w:rPr>
          <w:rFonts w:ascii="Verdana" w:hAnsi="Verdana"/>
          <w:noProof/>
          <w:sz w:val="20"/>
          <w:szCs w:val="20"/>
        </w:rPr>
      </w:pPr>
    </w:p>
    <w:p>
      <w:pPr>
        <w:keepNext/>
        <w:jc w:val="both"/>
        <w:rPr>
          <w:rFonts w:ascii="Verdana" w:hAnsi="Verdana"/>
          <w:noProof/>
          <w:sz w:val="20"/>
          <w:szCs w:val="20"/>
        </w:rPr>
      </w:pPr>
      <w:r>
        <w:rPr>
          <w:rFonts w:ascii="Verdana" w:hAnsi="Verdana"/>
          <w:noProof/>
          <w:sz w:val="20"/>
          <w:szCs w:val="20"/>
          <w:lang w:val="en-US"/>
        </w:rPr>
        <w:lastRenderedPageBreak/>
        <w:drawing>
          <wp:inline distT="0" distB="0" distL="0" distR="0">
            <wp:extent cx="5737860" cy="58369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7860" cy="5836920"/>
                    </a:xfrm>
                    <a:prstGeom prst="rect">
                      <a:avLst/>
                    </a:prstGeom>
                    <a:noFill/>
                    <a:ln>
                      <a:noFill/>
                    </a:ln>
                  </pic:spPr>
                </pic:pic>
              </a:graphicData>
            </a:graphic>
          </wp:inline>
        </w:drawing>
      </w:r>
    </w:p>
    <w:p>
      <w:pPr>
        <w:spacing w:after="240"/>
        <w:jc w:val="both"/>
        <w:rPr>
          <w:rFonts w:ascii="Verdana" w:hAnsi="Verdana"/>
          <w:noProof/>
          <w:sz w:val="18"/>
          <w:szCs w:val="20"/>
        </w:rPr>
      </w:pPr>
      <w:bookmarkStart w:id="21" w:name="_Ref508023660"/>
      <w:bookmarkStart w:id="22" w:name="_Toc523835962"/>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6</w:t>
      </w:r>
      <w:r>
        <w:rPr>
          <w:noProof/>
        </w:rPr>
        <w:fldChar w:fldCharType="end"/>
      </w:r>
      <w:bookmarkEnd w:id="21"/>
      <w:r>
        <w:rPr>
          <w:rFonts w:ascii="Verdana" w:hAnsi="Verdana"/>
          <w:b/>
          <w:noProof/>
          <w:sz w:val="18"/>
          <w:szCs w:val="20"/>
        </w:rPr>
        <w:t>.</w:t>
      </w:r>
      <w:r>
        <w:rPr>
          <w:rFonts w:ascii="Verdana" w:hAnsi="Verdana"/>
          <w:noProof/>
          <w:sz w:val="18"/>
          <w:szCs w:val="20"/>
        </w:rPr>
        <w:t xml:space="preserve"> Number of survey participants per country. Non-EU participants are highlighted in in grey.</w:t>
      </w:r>
      <w:bookmarkEnd w:id="22"/>
    </w:p>
    <w:p>
      <w:pPr>
        <w:keepNext/>
        <w:keepLines/>
        <w:numPr>
          <w:ilvl w:val="1"/>
          <w:numId w:val="8"/>
        </w:numPr>
        <w:spacing w:before="240" w:after="120"/>
        <w:jc w:val="both"/>
        <w:outlineLvl w:val="1"/>
        <w:rPr>
          <w:rFonts w:ascii="Verdana" w:hAnsi="Verdana"/>
          <w:b/>
          <w:bCs/>
          <w:iCs/>
          <w:noProof/>
          <w:sz w:val="24"/>
          <w:szCs w:val="26"/>
        </w:rPr>
      </w:pPr>
      <w:bookmarkStart w:id="23" w:name="_Toc523835941"/>
      <w:r>
        <w:rPr>
          <w:rFonts w:ascii="Verdana" w:hAnsi="Verdana"/>
          <w:b/>
          <w:bCs/>
          <w:iCs/>
          <w:noProof/>
          <w:szCs w:val="26"/>
        </w:rPr>
        <w:t>Entity Type and Legal Status of Participants</w:t>
      </w:r>
      <w:bookmarkEnd w:id="23"/>
    </w:p>
    <w:p>
      <w:pPr>
        <w:spacing w:before="120" w:after="120"/>
        <w:jc w:val="both"/>
        <w:rPr>
          <w:rFonts w:ascii="Verdana" w:hAnsi="Verdana"/>
          <w:noProof/>
          <w:sz w:val="20"/>
          <w:szCs w:val="20"/>
        </w:rPr>
      </w:pPr>
      <w:r>
        <w:rPr>
          <w:rFonts w:ascii="Verdana" w:hAnsi="Verdana"/>
          <w:noProof/>
          <w:sz w:val="20"/>
          <w:szCs w:val="20"/>
        </w:rPr>
        <w:t xml:space="preserve">The responders were clustered per type of institution (see </w:t>
      </w:r>
      <w:r>
        <w:rPr>
          <w:noProof/>
        </w:rPr>
        <w:fldChar w:fldCharType="begin"/>
      </w:r>
      <w:r>
        <w:rPr>
          <w:rFonts w:ascii="Verdana" w:hAnsi="Verdana"/>
          <w:noProof/>
          <w:sz w:val="20"/>
          <w:szCs w:val="20"/>
        </w:rPr>
        <w:instrText xml:space="preserve"> REF _Ref508023712 \h </w:instrText>
      </w:r>
      <w:r>
        <w:rPr>
          <w:noProof/>
        </w:rPr>
        <w:instrText xml:space="preserve"> \* MERGEFORMAT </w:instrText>
      </w:r>
      <w:r>
        <w:rPr>
          <w:noProof/>
        </w:rPr>
      </w:r>
      <w:r>
        <w:rPr>
          <w:noProof/>
        </w:rPr>
        <w:fldChar w:fldCharType="separate"/>
      </w:r>
      <w:r>
        <w:rPr>
          <w:b/>
          <w:noProof/>
        </w:rPr>
        <w:t>Figure 7</w:t>
      </w:r>
      <w:r>
        <w:rPr>
          <w:noProof/>
        </w:rPr>
        <w:fldChar w:fldCharType="end"/>
      </w:r>
      <w:r>
        <w:rPr>
          <w:rFonts w:ascii="Verdana" w:hAnsi="Verdana"/>
          <w:noProof/>
          <w:sz w:val="20"/>
          <w:szCs w:val="20"/>
        </w:rPr>
        <w:t>), where higher education departments were the majority. The “Other” entity type, which ranked 2</w:t>
      </w:r>
      <w:r>
        <w:rPr>
          <w:rFonts w:ascii="Verdana" w:hAnsi="Verdana"/>
          <w:noProof/>
          <w:sz w:val="20"/>
          <w:szCs w:val="20"/>
          <w:vertAlign w:val="superscript"/>
        </w:rPr>
        <w:t>nd</w:t>
      </w:r>
      <w:r>
        <w:rPr>
          <w:rFonts w:ascii="Verdana" w:hAnsi="Verdana"/>
          <w:noProof/>
          <w:sz w:val="20"/>
          <w:szCs w:val="20"/>
        </w:rPr>
        <w:t xml:space="preserve"> place in the participation, clustered together Small and medium-sized enterprises (SMEs), private Non-governmental organizations (NGO) and other more generic entities.</w:t>
      </w:r>
    </w:p>
    <w:p>
      <w:pPr>
        <w:spacing w:after="240"/>
        <w:jc w:val="both"/>
        <w:rPr>
          <w:rFonts w:ascii="Verdana" w:eastAsia="Times New Roman" w:hAnsi="Verdana" w:cs="Times New Roman"/>
          <w:noProof/>
          <w:sz w:val="18"/>
          <w:szCs w:val="20"/>
          <w:lang w:eastAsia="en-GB"/>
        </w:rPr>
      </w:pPr>
      <w:r>
        <w:rPr>
          <w:rFonts w:ascii="Verdana" w:hAnsi="Verdana"/>
          <w:noProof/>
          <w:sz w:val="18"/>
          <w:szCs w:val="20"/>
          <w:lang w:val="en-US"/>
        </w:rPr>
        <w:lastRenderedPageBreak/>
        <w:drawing>
          <wp:inline distT="0" distB="0" distL="0" distR="0">
            <wp:extent cx="5554980" cy="163068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54980" cy="1630680"/>
                    </a:xfrm>
                    <a:prstGeom prst="rect">
                      <a:avLst/>
                    </a:prstGeom>
                    <a:noFill/>
                    <a:ln>
                      <a:noFill/>
                    </a:ln>
                  </pic:spPr>
                </pic:pic>
              </a:graphicData>
            </a:graphic>
          </wp:inline>
        </w:drawing>
      </w:r>
    </w:p>
    <w:p>
      <w:pPr>
        <w:spacing w:after="240"/>
        <w:jc w:val="both"/>
        <w:rPr>
          <w:rFonts w:ascii="Verdana" w:hAnsi="Verdana"/>
          <w:noProof/>
          <w:sz w:val="18"/>
          <w:szCs w:val="20"/>
        </w:rPr>
      </w:pPr>
      <w:bookmarkStart w:id="24" w:name="_Ref508023712"/>
      <w:bookmarkStart w:id="25" w:name="_Toc523835963"/>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7</w:t>
      </w:r>
      <w:r>
        <w:rPr>
          <w:noProof/>
        </w:rPr>
        <w:fldChar w:fldCharType="end"/>
      </w:r>
      <w:bookmarkEnd w:id="24"/>
      <w:r>
        <w:rPr>
          <w:rFonts w:ascii="Verdana" w:hAnsi="Verdana"/>
          <w:b/>
          <w:noProof/>
          <w:sz w:val="18"/>
          <w:szCs w:val="20"/>
        </w:rPr>
        <w:t>.</w:t>
      </w:r>
      <w:r>
        <w:rPr>
          <w:rFonts w:ascii="Verdana" w:hAnsi="Verdana"/>
          <w:noProof/>
          <w:sz w:val="18"/>
          <w:szCs w:val="20"/>
        </w:rPr>
        <w:t xml:space="preserve"> Distribution of participants according to their entity type.</w:t>
      </w:r>
      <w:bookmarkEnd w:id="25"/>
    </w:p>
    <w:p>
      <w:pPr>
        <w:spacing w:before="120" w:after="120"/>
        <w:jc w:val="both"/>
        <w:rPr>
          <w:rFonts w:ascii="Verdana" w:hAnsi="Verdana"/>
          <w:noProof/>
          <w:sz w:val="20"/>
          <w:szCs w:val="20"/>
        </w:rPr>
      </w:pPr>
      <w:r>
        <w:rPr>
          <w:noProof/>
        </w:rPr>
        <w:fldChar w:fldCharType="begin"/>
      </w:r>
      <w:r>
        <w:rPr>
          <w:rFonts w:ascii="Verdana" w:hAnsi="Verdana"/>
          <w:noProof/>
          <w:sz w:val="20"/>
          <w:szCs w:val="20"/>
        </w:rPr>
        <w:instrText xml:space="preserve"> REF _Ref508008501 \h </w:instrText>
      </w:r>
      <w:r>
        <w:rPr>
          <w:noProof/>
        </w:rPr>
        <w:instrText xml:space="preserve"> \* MERGEFORMAT </w:instrText>
      </w:r>
      <w:r>
        <w:rPr>
          <w:noProof/>
        </w:rPr>
      </w:r>
      <w:r>
        <w:rPr>
          <w:noProof/>
        </w:rPr>
        <w:fldChar w:fldCharType="separate"/>
      </w:r>
      <w:r>
        <w:rPr>
          <w:b/>
          <w:noProof/>
        </w:rPr>
        <w:t>Figure 8</w:t>
      </w:r>
      <w:r>
        <w:rPr>
          <w:noProof/>
        </w:rPr>
        <w:fldChar w:fldCharType="end"/>
      </w:r>
      <w:r>
        <w:rPr>
          <w:rFonts w:ascii="Verdana" w:hAnsi="Verdana"/>
          <w:noProof/>
          <w:sz w:val="20"/>
          <w:szCs w:val="20"/>
        </w:rPr>
        <w:t xml:space="preserve"> summarizes the clustering of entity types per country, showing that among the survey participants the bulk on the research activities reported seems to be performed mainly by higher education departments (universities). </w:t>
      </w:r>
    </w:p>
    <w:p>
      <w:pPr>
        <w:keepNext/>
        <w:jc w:val="both"/>
        <w:rPr>
          <w:noProof/>
        </w:rPr>
      </w:pPr>
      <w:r>
        <w:rPr>
          <w:noProof/>
          <w:lang w:val="en-US"/>
        </w:rPr>
        <w:drawing>
          <wp:inline distT="0" distB="0" distL="0" distR="0">
            <wp:extent cx="5745480" cy="303276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45480" cy="303276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26" w:name="_Ref508008501"/>
      <w:bookmarkStart w:id="27" w:name="_Toc523835964"/>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8</w:t>
      </w:r>
      <w:r>
        <w:rPr>
          <w:noProof/>
        </w:rPr>
        <w:fldChar w:fldCharType="end"/>
      </w:r>
      <w:bookmarkEnd w:id="26"/>
      <w:r>
        <w:rPr>
          <w:rFonts w:ascii="Verdana" w:hAnsi="Verdana"/>
          <w:b/>
          <w:noProof/>
          <w:sz w:val="18"/>
          <w:szCs w:val="20"/>
        </w:rPr>
        <w:t>.</w:t>
      </w:r>
      <w:r>
        <w:rPr>
          <w:rFonts w:ascii="Verdana" w:hAnsi="Verdana"/>
          <w:noProof/>
          <w:sz w:val="18"/>
          <w:szCs w:val="20"/>
        </w:rPr>
        <w:t xml:space="preserve"> Distribution of entity types per country.</w:t>
      </w:r>
      <w:bookmarkEnd w:id="27"/>
    </w:p>
    <w:p>
      <w:pPr>
        <w:spacing w:before="120" w:after="120"/>
        <w:jc w:val="both"/>
        <w:rPr>
          <w:rFonts w:ascii="Verdana" w:hAnsi="Verdana"/>
          <w:noProof/>
          <w:sz w:val="20"/>
          <w:szCs w:val="20"/>
        </w:rPr>
      </w:pPr>
      <w:r>
        <w:rPr>
          <w:noProof/>
        </w:rPr>
        <w:fldChar w:fldCharType="begin"/>
      </w:r>
      <w:r>
        <w:rPr>
          <w:rFonts w:ascii="Verdana" w:hAnsi="Verdana"/>
          <w:noProof/>
          <w:sz w:val="20"/>
          <w:szCs w:val="20"/>
        </w:rPr>
        <w:instrText xml:space="preserve"> REF _Ref508026874 \h </w:instrText>
      </w:r>
      <w:r>
        <w:rPr>
          <w:noProof/>
        </w:rPr>
        <w:instrText xml:space="preserve"> \* MERGEFORMAT </w:instrText>
      </w:r>
      <w:r>
        <w:rPr>
          <w:noProof/>
        </w:rPr>
      </w:r>
      <w:r>
        <w:rPr>
          <w:noProof/>
        </w:rPr>
        <w:fldChar w:fldCharType="separate"/>
      </w:r>
      <w:r>
        <w:rPr>
          <w:b/>
          <w:noProof/>
        </w:rPr>
        <w:t>Figure 9</w:t>
      </w:r>
      <w:r>
        <w:rPr>
          <w:noProof/>
        </w:rPr>
        <w:fldChar w:fldCharType="end"/>
      </w:r>
      <w:r>
        <w:rPr>
          <w:rFonts w:ascii="Verdana" w:hAnsi="Verdana"/>
          <w:noProof/>
          <w:sz w:val="20"/>
          <w:szCs w:val="20"/>
        </w:rPr>
        <w:t xml:space="preserve"> shows the overall distribution of all participants according to their legal status where the “Other” status usually represents entities without an independent legal status (e.g. research centre dedicated institutes or university departments).</w:t>
      </w:r>
    </w:p>
    <w:p>
      <w:pPr>
        <w:keepNext/>
        <w:jc w:val="both"/>
        <w:rPr>
          <w:noProof/>
        </w:rPr>
      </w:pPr>
      <w:r>
        <w:rPr>
          <w:noProof/>
          <w:lang w:val="en-US"/>
        </w:rPr>
        <w:lastRenderedPageBreak/>
        <w:drawing>
          <wp:inline distT="0" distB="0" distL="0" distR="0">
            <wp:extent cx="5730240" cy="150876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0240" cy="150876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28" w:name="_Ref508026874"/>
      <w:bookmarkStart w:id="29" w:name="_Toc523835965"/>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9</w:t>
      </w:r>
      <w:r>
        <w:rPr>
          <w:noProof/>
        </w:rPr>
        <w:fldChar w:fldCharType="end"/>
      </w:r>
      <w:bookmarkEnd w:id="28"/>
      <w:r>
        <w:rPr>
          <w:rFonts w:ascii="Verdana" w:hAnsi="Verdana"/>
          <w:b/>
          <w:noProof/>
          <w:sz w:val="18"/>
          <w:szCs w:val="20"/>
        </w:rPr>
        <w:t>.</w:t>
      </w:r>
      <w:r>
        <w:rPr>
          <w:rFonts w:ascii="Verdana" w:hAnsi="Verdana"/>
          <w:noProof/>
          <w:sz w:val="18"/>
          <w:szCs w:val="20"/>
        </w:rPr>
        <w:t xml:space="preserve"> Distribution of participants according to their legal status.</w:t>
      </w:r>
      <w:bookmarkEnd w:id="29"/>
    </w:p>
    <w:p>
      <w:pPr>
        <w:spacing w:before="120" w:after="120"/>
        <w:jc w:val="both"/>
        <w:rPr>
          <w:rFonts w:ascii="Verdana" w:hAnsi="Verdana"/>
          <w:noProof/>
          <w:sz w:val="20"/>
          <w:szCs w:val="20"/>
        </w:rPr>
      </w:pPr>
      <w:r>
        <w:rPr>
          <w:noProof/>
        </w:rPr>
        <w:fldChar w:fldCharType="begin"/>
      </w:r>
      <w:r>
        <w:rPr>
          <w:rFonts w:ascii="Verdana" w:hAnsi="Verdana"/>
          <w:noProof/>
          <w:sz w:val="20"/>
          <w:szCs w:val="20"/>
        </w:rPr>
        <w:instrText xml:space="preserve"> REF _Ref508008492 \h </w:instrText>
      </w:r>
      <w:r>
        <w:rPr>
          <w:noProof/>
        </w:rPr>
        <w:instrText xml:space="preserve"> \* MERGEFORMAT </w:instrText>
      </w:r>
      <w:r>
        <w:rPr>
          <w:noProof/>
        </w:rPr>
      </w:r>
      <w:r>
        <w:rPr>
          <w:noProof/>
        </w:rPr>
        <w:fldChar w:fldCharType="separate"/>
      </w:r>
      <w:r>
        <w:rPr>
          <w:b/>
          <w:noProof/>
        </w:rPr>
        <w:t>Figure 10</w:t>
      </w:r>
      <w:r>
        <w:rPr>
          <w:noProof/>
        </w:rPr>
        <w:fldChar w:fldCharType="end"/>
      </w:r>
      <w:r>
        <w:rPr>
          <w:rFonts w:ascii="Verdana" w:hAnsi="Verdana"/>
          <w:noProof/>
          <w:sz w:val="20"/>
          <w:szCs w:val="20"/>
        </w:rPr>
        <w:t xml:space="preserve"> shows instead the distribution per country and per type of “legal status” of the responders (public, private or Public Private Partnership - PPP). It is interesting to note how, with a few exceptions, that there is a certain numerical balance between public and private organisations, as well as the fact that, despite being a new instrument, PPPs on cybersecurity research exist in the majority of the countries of the responders. </w:t>
      </w:r>
    </w:p>
    <w:p>
      <w:pPr>
        <w:keepNext/>
        <w:jc w:val="both"/>
        <w:rPr>
          <w:noProof/>
        </w:rPr>
      </w:pPr>
      <w:r>
        <w:rPr>
          <w:noProof/>
          <w:lang w:val="en-US"/>
        </w:rPr>
        <w:drawing>
          <wp:inline distT="0" distB="0" distL="0" distR="0">
            <wp:extent cx="5852160" cy="3124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52160" cy="312420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30" w:name="_Ref508008492"/>
      <w:bookmarkStart w:id="31" w:name="_Toc523835966"/>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10</w:t>
      </w:r>
      <w:r>
        <w:rPr>
          <w:noProof/>
        </w:rPr>
        <w:fldChar w:fldCharType="end"/>
      </w:r>
      <w:bookmarkEnd w:id="30"/>
      <w:r>
        <w:rPr>
          <w:rFonts w:ascii="Verdana" w:hAnsi="Verdana"/>
          <w:b/>
          <w:noProof/>
          <w:sz w:val="18"/>
          <w:szCs w:val="20"/>
        </w:rPr>
        <w:t>.</w:t>
      </w:r>
      <w:r>
        <w:rPr>
          <w:rFonts w:ascii="Verdana" w:hAnsi="Verdana"/>
          <w:noProof/>
          <w:sz w:val="18"/>
          <w:szCs w:val="20"/>
        </w:rPr>
        <w:t xml:space="preserve"> Distribution of entities per country according to their legal status.</w:t>
      </w:r>
      <w:bookmarkEnd w:id="31"/>
    </w:p>
    <w:p>
      <w:pPr>
        <w:keepNext/>
        <w:keepLines/>
        <w:numPr>
          <w:ilvl w:val="1"/>
          <w:numId w:val="8"/>
        </w:numPr>
        <w:spacing w:before="240" w:after="120"/>
        <w:jc w:val="both"/>
        <w:outlineLvl w:val="1"/>
        <w:rPr>
          <w:rFonts w:ascii="Verdana" w:hAnsi="Verdana"/>
          <w:b/>
          <w:bCs/>
          <w:iCs/>
          <w:noProof/>
          <w:sz w:val="24"/>
          <w:szCs w:val="26"/>
        </w:rPr>
      </w:pPr>
      <w:bookmarkStart w:id="32" w:name="_Toc523835942"/>
      <w:r>
        <w:rPr>
          <w:rFonts w:ascii="Verdana" w:hAnsi="Verdana"/>
          <w:b/>
          <w:bCs/>
          <w:iCs/>
          <w:noProof/>
          <w:szCs w:val="26"/>
        </w:rPr>
        <w:t>Cybersecurity Domains and Subdomains</w:t>
      </w:r>
      <w:bookmarkEnd w:id="32"/>
    </w:p>
    <w:p>
      <w:pPr>
        <w:spacing w:before="120" w:after="120"/>
        <w:jc w:val="both"/>
        <w:rPr>
          <w:rFonts w:ascii="Verdana" w:hAnsi="Verdana"/>
          <w:noProof/>
          <w:sz w:val="20"/>
          <w:szCs w:val="20"/>
        </w:rPr>
      </w:pPr>
      <w:r>
        <w:rPr>
          <w:rFonts w:ascii="Verdana" w:hAnsi="Verdana"/>
          <w:noProof/>
          <w:sz w:val="20"/>
          <w:szCs w:val="20"/>
        </w:rPr>
        <w:t>The analysis of the answers related to the domains of research of the responders, shows that all of them are covered (</w:t>
      </w:r>
      <w:r>
        <w:rPr>
          <w:noProof/>
        </w:rPr>
        <w:fldChar w:fldCharType="begin"/>
      </w:r>
      <w:r>
        <w:rPr>
          <w:rFonts w:ascii="Verdana" w:hAnsi="Verdana"/>
          <w:noProof/>
          <w:sz w:val="20"/>
          <w:szCs w:val="20"/>
        </w:rPr>
        <w:instrText xml:space="preserve"> REF _Ref508008549 \h </w:instrText>
      </w:r>
      <w:r>
        <w:rPr>
          <w:noProof/>
        </w:rPr>
        <w:instrText xml:space="preserve"> \* MERGEFORMAT </w:instrText>
      </w:r>
      <w:r>
        <w:rPr>
          <w:noProof/>
        </w:rPr>
      </w:r>
      <w:r>
        <w:rPr>
          <w:noProof/>
        </w:rPr>
        <w:fldChar w:fldCharType="separate"/>
      </w:r>
      <w:r>
        <w:rPr>
          <w:b/>
          <w:noProof/>
        </w:rPr>
        <w:t>Figure 11</w:t>
      </w:r>
      <w:r>
        <w:rPr>
          <w:noProof/>
        </w:rPr>
        <w:fldChar w:fldCharType="end"/>
      </w:r>
      <w:r>
        <w:rPr>
          <w:rFonts w:ascii="Verdana" w:hAnsi="Verdana"/>
          <w:noProof/>
          <w:sz w:val="20"/>
          <w:szCs w:val="20"/>
        </w:rPr>
        <w:t>) at European level as well as per at country level (</w:t>
      </w:r>
      <w:r>
        <w:rPr>
          <w:noProof/>
        </w:rPr>
        <w:fldChar w:fldCharType="begin"/>
      </w:r>
      <w:r>
        <w:rPr>
          <w:rFonts w:ascii="Verdana" w:hAnsi="Verdana"/>
          <w:noProof/>
          <w:sz w:val="20"/>
          <w:szCs w:val="20"/>
        </w:rPr>
        <w:instrText xml:space="preserve"> REF _Ref508008559 \h </w:instrText>
      </w:r>
      <w:r>
        <w:rPr>
          <w:noProof/>
        </w:rPr>
        <w:instrText xml:space="preserve"> \* MERGEFORMAT </w:instrText>
      </w:r>
      <w:r>
        <w:rPr>
          <w:noProof/>
        </w:rPr>
      </w:r>
      <w:r>
        <w:rPr>
          <w:noProof/>
        </w:rPr>
        <w:fldChar w:fldCharType="separate"/>
      </w:r>
      <w:r>
        <w:rPr>
          <w:b/>
          <w:noProof/>
        </w:rPr>
        <w:t>Figure 12</w:t>
      </w:r>
      <w:r>
        <w:rPr>
          <w:noProof/>
        </w:rPr>
        <w:fldChar w:fldCharType="end"/>
      </w:r>
      <w:r>
        <w:rPr>
          <w:rFonts w:ascii="Verdana" w:hAnsi="Verdana"/>
          <w:noProof/>
          <w:sz w:val="20"/>
          <w:szCs w:val="20"/>
        </w:rPr>
        <w:t xml:space="preserve">). It interesting to note that 39 institutions declared to cover all the 14 cybersecurity domains. Taking into consideration all the institutions that declared to cover at least 10 out of the 14 cybersecurity domains specified in the survey the number become an impressive 191. </w:t>
      </w:r>
    </w:p>
    <w:p>
      <w:pPr>
        <w:jc w:val="both"/>
        <w:rPr>
          <w:rFonts w:ascii="Verdana" w:eastAsia="Times New Roman" w:hAnsi="Verdana" w:cs="Times New Roman"/>
          <w:noProof/>
          <w:sz w:val="20"/>
          <w:szCs w:val="20"/>
          <w:lang w:eastAsia="en-GB"/>
        </w:rPr>
      </w:pPr>
    </w:p>
    <w:p>
      <w:pPr>
        <w:keepNext/>
        <w:jc w:val="both"/>
        <w:rPr>
          <w:noProof/>
        </w:rPr>
      </w:pPr>
      <w:r>
        <w:rPr>
          <w:noProof/>
          <w:lang w:val="en-US"/>
        </w:rPr>
        <w:lastRenderedPageBreak/>
        <w:drawing>
          <wp:inline distT="0" distB="0" distL="0" distR="0">
            <wp:extent cx="5722620" cy="2575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22620" cy="257556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33" w:name="_Ref508008549"/>
      <w:bookmarkStart w:id="34" w:name="_Toc523835967"/>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11</w:t>
      </w:r>
      <w:r>
        <w:rPr>
          <w:noProof/>
        </w:rPr>
        <w:fldChar w:fldCharType="end"/>
      </w:r>
      <w:bookmarkEnd w:id="33"/>
      <w:r>
        <w:rPr>
          <w:rFonts w:ascii="Verdana" w:hAnsi="Verdana"/>
          <w:b/>
          <w:noProof/>
          <w:sz w:val="18"/>
          <w:szCs w:val="20"/>
        </w:rPr>
        <w:t>.</w:t>
      </w:r>
      <w:r>
        <w:rPr>
          <w:rFonts w:ascii="Verdana" w:hAnsi="Verdana"/>
          <w:noProof/>
          <w:sz w:val="18"/>
          <w:szCs w:val="20"/>
        </w:rPr>
        <w:t xml:space="preserve"> Distribution of participants according to their expertise in the cybersecurity domains.</w:t>
      </w:r>
      <w:bookmarkEnd w:id="34"/>
    </w:p>
    <w:p>
      <w:pPr>
        <w:jc w:val="both"/>
        <w:rPr>
          <w:noProof/>
        </w:rPr>
      </w:pPr>
    </w:p>
    <w:p>
      <w:pPr>
        <w:keepNext/>
        <w:jc w:val="both"/>
        <w:rPr>
          <w:noProof/>
        </w:rPr>
      </w:pPr>
      <w:r>
        <w:rPr>
          <w:noProof/>
          <w:lang w:val="en-US"/>
        </w:rPr>
        <w:drawing>
          <wp:inline distT="0" distB="0" distL="0" distR="0">
            <wp:extent cx="5730240" cy="301752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0240" cy="301752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35" w:name="_Ref508008559"/>
      <w:bookmarkStart w:id="36" w:name="_Toc523835968"/>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12</w:t>
      </w:r>
      <w:r>
        <w:rPr>
          <w:noProof/>
        </w:rPr>
        <w:fldChar w:fldCharType="end"/>
      </w:r>
      <w:bookmarkEnd w:id="35"/>
      <w:r>
        <w:rPr>
          <w:rFonts w:ascii="Verdana" w:hAnsi="Verdana"/>
          <w:b/>
          <w:noProof/>
          <w:sz w:val="18"/>
          <w:szCs w:val="20"/>
        </w:rPr>
        <w:t>.</w:t>
      </w:r>
      <w:r>
        <w:rPr>
          <w:rFonts w:ascii="Verdana" w:hAnsi="Verdana"/>
          <w:noProof/>
          <w:sz w:val="18"/>
          <w:szCs w:val="20"/>
        </w:rPr>
        <w:t xml:space="preserve"> Distribution of domains per country using stacked columns showing total of replies per country and partition per domain.</w:t>
      </w:r>
      <w:bookmarkEnd w:id="36"/>
    </w:p>
    <w:p>
      <w:pPr>
        <w:spacing w:before="120" w:after="120"/>
        <w:jc w:val="both"/>
        <w:rPr>
          <w:rFonts w:ascii="Verdana" w:hAnsi="Verdana"/>
          <w:noProof/>
          <w:sz w:val="20"/>
          <w:szCs w:val="20"/>
        </w:rPr>
      </w:pPr>
      <w:r>
        <w:rPr>
          <w:rFonts w:ascii="Verdana" w:hAnsi="Verdana"/>
          <w:noProof/>
          <w:sz w:val="20"/>
          <w:szCs w:val="20"/>
        </w:rPr>
        <w:t>These graphs however, do not tell all the truth. In fact, by analysing each domain and checking the coverage of the related subdomains, it results remarkably less homogeneous. In other words, there are relevant sub-domains that are today poorly investigated (post-quantum cryptography is a clear example).</w:t>
      </w:r>
    </w:p>
    <w:p>
      <w:pPr>
        <w:spacing w:before="120" w:after="120"/>
        <w:jc w:val="both"/>
        <w:rPr>
          <w:rFonts w:ascii="Verdana" w:hAnsi="Verdana"/>
          <w:noProof/>
          <w:sz w:val="20"/>
          <w:szCs w:val="20"/>
        </w:rPr>
      </w:pPr>
      <w:r>
        <w:rPr>
          <w:noProof/>
        </w:rPr>
        <w:fldChar w:fldCharType="begin"/>
      </w:r>
      <w:r>
        <w:rPr>
          <w:rFonts w:ascii="Verdana" w:hAnsi="Verdana"/>
          <w:noProof/>
          <w:sz w:val="20"/>
          <w:szCs w:val="20"/>
        </w:rPr>
        <w:instrText xml:space="preserve"> REF _Ref508095221 \h </w:instrText>
      </w:r>
      <w:r>
        <w:rPr>
          <w:noProof/>
        </w:rPr>
        <w:instrText xml:space="preserve"> \* MERGEFORMAT </w:instrText>
      </w:r>
      <w:r>
        <w:rPr>
          <w:noProof/>
        </w:rPr>
      </w:r>
      <w:r>
        <w:rPr>
          <w:noProof/>
        </w:rPr>
        <w:fldChar w:fldCharType="separate"/>
      </w:r>
      <w:r>
        <w:rPr>
          <w:b/>
          <w:noProof/>
        </w:rPr>
        <w:t>Figure 13</w:t>
      </w:r>
      <w:r>
        <w:rPr>
          <w:noProof/>
        </w:rPr>
        <w:fldChar w:fldCharType="end"/>
      </w:r>
      <w:r>
        <w:rPr>
          <w:rFonts w:ascii="Verdana" w:hAnsi="Verdana"/>
          <w:noProof/>
          <w:sz w:val="20"/>
          <w:szCs w:val="20"/>
        </w:rPr>
        <w:t xml:space="preserve"> and </w:t>
      </w:r>
      <w:r>
        <w:rPr>
          <w:noProof/>
        </w:rPr>
        <w:fldChar w:fldCharType="begin"/>
      </w:r>
      <w:r>
        <w:rPr>
          <w:rFonts w:ascii="Verdana" w:hAnsi="Verdana"/>
          <w:noProof/>
          <w:sz w:val="20"/>
          <w:szCs w:val="20"/>
        </w:rPr>
        <w:instrText xml:space="preserve"> REF _Ref508093728 \h </w:instrText>
      </w:r>
      <w:r>
        <w:rPr>
          <w:noProof/>
        </w:rPr>
        <w:instrText xml:space="preserve"> \* MERGEFORMAT </w:instrText>
      </w:r>
      <w:r>
        <w:rPr>
          <w:noProof/>
        </w:rPr>
      </w:r>
      <w:r>
        <w:rPr>
          <w:noProof/>
        </w:rPr>
        <w:fldChar w:fldCharType="separate"/>
      </w:r>
      <w:r>
        <w:rPr>
          <w:b/>
          <w:noProof/>
        </w:rPr>
        <w:t>Figure 14</w:t>
      </w:r>
      <w:r>
        <w:rPr>
          <w:noProof/>
        </w:rPr>
        <w:fldChar w:fldCharType="end"/>
      </w:r>
      <w:r>
        <w:rPr>
          <w:rFonts w:ascii="Verdana" w:hAnsi="Verdana"/>
          <w:noProof/>
          <w:sz w:val="20"/>
          <w:szCs w:val="20"/>
        </w:rPr>
        <w:t xml:space="preserve"> shows the bar chart listing all selected subdomains and the number of participants that selected each of them. Again, since the majority of survey participants are of higher education institutions it is no surprise that “Cybersecurity education” was </w:t>
      </w:r>
      <w:r>
        <w:rPr>
          <w:rFonts w:ascii="Verdana" w:hAnsi="Verdana"/>
          <w:noProof/>
          <w:sz w:val="20"/>
          <w:szCs w:val="20"/>
        </w:rPr>
        <w:lastRenderedPageBreak/>
        <w:t xml:space="preserve">selected by almost 400 entities. Another interesting trend the the presence of “privacy and data protection” related subdomains in the first positions Figure 13, meaning that several research institutions in Europe have research interest in this domain. This result could be read probably as a direct effect of the entry into force of the General Data Protection Regulation at European level and the general attention is paid today at MS level to privacy and data protection issues. </w:t>
      </w:r>
    </w:p>
    <w:p>
      <w:pPr>
        <w:spacing w:before="120" w:after="120"/>
        <w:jc w:val="both"/>
        <w:rPr>
          <w:rFonts w:ascii="Verdana" w:hAnsi="Verdana"/>
          <w:noProof/>
          <w:sz w:val="20"/>
          <w:szCs w:val="20"/>
        </w:rPr>
      </w:pPr>
      <w:r>
        <w:rPr>
          <w:rFonts w:ascii="Verdana" w:hAnsi="Verdana"/>
          <w:noProof/>
          <w:sz w:val="20"/>
          <w:szCs w:val="20"/>
        </w:rPr>
        <w:t xml:space="preserve">Identity management, secure architectures and network security score also quite high in term of number of institutions working on these domains; again this is not surprising as they are historically the “containers” where the majority of general purpose cybersecurity research activities fall. </w:t>
      </w:r>
    </w:p>
    <w:p>
      <w:pPr>
        <w:spacing w:before="120" w:after="120"/>
        <w:jc w:val="both"/>
        <w:rPr>
          <w:rFonts w:ascii="Verdana" w:hAnsi="Verdana"/>
          <w:noProof/>
          <w:sz w:val="20"/>
          <w:szCs w:val="20"/>
        </w:rPr>
      </w:pPr>
      <w:r>
        <w:rPr>
          <w:rFonts w:ascii="Verdana" w:hAnsi="Verdana"/>
          <w:noProof/>
          <w:sz w:val="20"/>
          <w:szCs w:val="20"/>
        </w:rPr>
        <w:t xml:space="preserve">On the other side of the ranking (Figure 14) it is interesting to note as relevant domains such as quantum and post-quantum cryptography, trusted computing, cybercrime are addressed in the best case by less than 1/6 of the research institutions which responded to the survey. </w:t>
      </w:r>
    </w:p>
    <w:p>
      <w:pPr>
        <w:spacing w:before="120" w:after="120"/>
        <w:jc w:val="both"/>
        <w:rPr>
          <w:rFonts w:ascii="Verdana" w:hAnsi="Verdana"/>
          <w:noProof/>
          <w:sz w:val="20"/>
          <w:szCs w:val="20"/>
        </w:rPr>
      </w:pPr>
      <w:r>
        <w:rPr>
          <w:rFonts w:ascii="Verdana" w:hAnsi="Verdana"/>
          <w:noProof/>
          <w:sz w:val="20"/>
          <w:szCs w:val="20"/>
        </w:rPr>
        <w:t>The meaning of these results needs to be better analysed. On a side it seems to indicate that there is a huge number of horizontal research organisation in Europe, which is, per se positive to ensure a geographically homogeneous coverage of all the different research domains. On the other, this picture is only superficial, as, when looking into the subdomains, it emerges that the majority of the research institutions focus only on a minor portion of the research spectrum aggregated under each high-level cybersecurity domain. Moreover, the analysis of the scientific literature and the study of the participants to cyber-security related H2020 projects (see in the following the related section), provides a completely different picture, where few research institutions polarise the research and knowledge production. The reasons of this dichotomy might be several, but the most plausible is the dispersion of resources (too many actors trying to do all with little resources), and the lack of   overall coordination and collaboration.</w:t>
      </w:r>
    </w:p>
    <w:p>
      <w:pPr>
        <w:jc w:val="both"/>
        <w:rPr>
          <w:noProof/>
        </w:rPr>
      </w:pPr>
    </w:p>
    <w:p>
      <w:pPr>
        <w:spacing w:after="240"/>
        <w:jc w:val="both"/>
        <w:rPr>
          <w:rFonts w:ascii="Verdana" w:eastAsia="Times New Roman" w:hAnsi="Verdana" w:cs="Times New Roman"/>
          <w:noProof/>
          <w:sz w:val="18"/>
          <w:szCs w:val="20"/>
          <w:lang w:eastAsia="en-GB"/>
        </w:rPr>
      </w:pPr>
    </w:p>
    <w:p>
      <w:pPr>
        <w:keepNext/>
        <w:jc w:val="both"/>
        <w:rPr>
          <w:noProof/>
        </w:rPr>
      </w:pPr>
      <w:r>
        <w:rPr>
          <w:b/>
          <w:noProof/>
          <w:lang w:val="en-US"/>
        </w:rPr>
        <w:lastRenderedPageBreak/>
        <w:drawing>
          <wp:inline distT="0" distB="0" distL="0" distR="0">
            <wp:extent cx="5951220" cy="777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51220" cy="7772400"/>
                    </a:xfrm>
                    <a:prstGeom prst="rect">
                      <a:avLst/>
                    </a:prstGeom>
                    <a:noFill/>
                    <a:ln>
                      <a:noFill/>
                    </a:ln>
                  </pic:spPr>
                </pic:pic>
              </a:graphicData>
            </a:graphic>
          </wp:inline>
        </w:drawing>
      </w:r>
    </w:p>
    <w:p>
      <w:pPr>
        <w:spacing w:after="240"/>
        <w:jc w:val="both"/>
        <w:rPr>
          <w:rFonts w:ascii="Verdana" w:eastAsia="Times New Roman" w:hAnsi="Verdana" w:cs="Times New Roman"/>
          <w:b/>
          <w:noProof/>
          <w:sz w:val="18"/>
          <w:szCs w:val="20"/>
          <w:lang w:eastAsia="en-GB"/>
        </w:rPr>
      </w:pPr>
      <w:bookmarkStart w:id="37" w:name="_Ref508095221"/>
      <w:bookmarkStart w:id="38" w:name="_Toc523835969"/>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13</w:t>
      </w:r>
      <w:r>
        <w:rPr>
          <w:noProof/>
        </w:rPr>
        <w:fldChar w:fldCharType="end"/>
      </w:r>
      <w:bookmarkEnd w:id="37"/>
      <w:r>
        <w:rPr>
          <w:rFonts w:ascii="Verdana" w:hAnsi="Verdana"/>
          <w:b/>
          <w:noProof/>
          <w:sz w:val="18"/>
          <w:szCs w:val="20"/>
        </w:rPr>
        <w:t>.</w:t>
      </w:r>
      <w:r>
        <w:rPr>
          <w:rFonts w:ascii="Verdana" w:hAnsi="Verdana"/>
          <w:noProof/>
          <w:sz w:val="18"/>
          <w:szCs w:val="20"/>
        </w:rPr>
        <w:t xml:space="preserve"> Distribution of participants according to their expertise in the cybersecurity subdomains, first half.</w:t>
      </w:r>
      <w:bookmarkEnd w:id="38"/>
    </w:p>
    <w:p>
      <w:pPr>
        <w:jc w:val="both"/>
        <w:rPr>
          <w:b/>
          <w:noProof/>
        </w:rPr>
      </w:pPr>
      <w:r>
        <w:rPr>
          <w:b/>
          <w:noProof/>
          <w:lang w:val="en-US"/>
        </w:rPr>
        <w:lastRenderedPageBreak/>
        <w:drawing>
          <wp:inline distT="0" distB="0" distL="0" distR="0">
            <wp:extent cx="5836920" cy="77266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36920" cy="772668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39" w:name="_Ref508093728"/>
      <w:bookmarkStart w:id="40" w:name="_Toc523835970"/>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14</w:t>
      </w:r>
      <w:r>
        <w:rPr>
          <w:noProof/>
        </w:rPr>
        <w:fldChar w:fldCharType="end"/>
      </w:r>
      <w:bookmarkEnd w:id="39"/>
      <w:r>
        <w:rPr>
          <w:rFonts w:ascii="Verdana" w:hAnsi="Verdana"/>
          <w:b/>
          <w:noProof/>
          <w:sz w:val="18"/>
          <w:szCs w:val="20"/>
        </w:rPr>
        <w:t>.</w:t>
      </w:r>
      <w:r>
        <w:rPr>
          <w:rFonts w:ascii="Verdana" w:hAnsi="Verdana"/>
          <w:noProof/>
          <w:sz w:val="18"/>
          <w:szCs w:val="20"/>
        </w:rPr>
        <w:t xml:space="preserve"> Distribution of participants according to their expertise in the cybersecurity subdomains, second half.</w:t>
      </w:r>
      <w:bookmarkEnd w:id="40"/>
    </w:p>
    <w:p>
      <w:pPr>
        <w:keepNext/>
        <w:keepLines/>
        <w:numPr>
          <w:ilvl w:val="1"/>
          <w:numId w:val="8"/>
        </w:numPr>
        <w:spacing w:before="240" w:after="120"/>
        <w:jc w:val="both"/>
        <w:outlineLvl w:val="1"/>
        <w:rPr>
          <w:rFonts w:ascii="Verdana" w:hAnsi="Verdana"/>
          <w:b/>
          <w:bCs/>
          <w:iCs/>
          <w:noProof/>
          <w:sz w:val="24"/>
          <w:szCs w:val="26"/>
        </w:rPr>
      </w:pPr>
      <w:bookmarkStart w:id="41" w:name="_Toc523835943"/>
      <w:r>
        <w:rPr>
          <w:rFonts w:ascii="Verdana" w:hAnsi="Verdana"/>
          <w:b/>
          <w:bCs/>
          <w:iCs/>
          <w:noProof/>
          <w:szCs w:val="26"/>
        </w:rPr>
        <w:lastRenderedPageBreak/>
        <w:t>Types of Funding Sources</w:t>
      </w:r>
      <w:bookmarkEnd w:id="41"/>
    </w:p>
    <w:p>
      <w:pPr>
        <w:spacing w:before="120" w:after="120"/>
        <w:jc w:val="both"/>
        <w:rPr>
          <w:rFonts w:ascii="Verdana" w:hAnsi="Verdana"/>
          <w:noProof/>
          <w:sz w:val="20"/>
          <w:szCs w:val="20"/>
        </w:rPr>
      </w:pPr>
      <w:r>
        <w:rPr>
          <w:noProof/>
        </w:rPr>
        <w:fldChar w:fldCharType="begin"/>
      </w:r>
      <w:r>
        <w:rPr>
          <w:rFonts w:ascii="Verdana" w:hAnsi="Verdana"/>
          <w:noProof/>
          <w:sz w:val="20"/>
          <w:szCs w:val="20"/>
        </w:rPr>
        <w:instrText xml:space="preserve"> REF _Ref508113263 \h </w:instrText>
      </w:r>
      <w:r>
        <w:rPr>
          <w:noProof/>
        </w:rPr>
        <w:instrText xml:space="preserve"> \* MERGEFORMAT </w:instrText>
      </w:r>
      <w:r>
        <w:rPr>
          <w:noProof/>
        </w:rPr>
      </w:r>
      <w:r>
        <w:rPr>
          <w:noProof/>
        </w:rPr>
        <w:fldChar w:fldCharType="separate"/>
      </w:r>
      <w:r>
        <w:rPr>
          <w:rFonts w:ascii="Verdana" w:hAnsi="Verdana"/>
          <w:b/>
          <w:noProof/>
          <w:sz w:val="20"/>
          <w:szCs w:val="20"/>
        </w:rPr>
        <w:t>Figure 15</w:t>
      </w:r>
      <w:r>
        <w:rPr>
          <w:noProof/>
        </w:rPr>
        <w:fldChar w:fldCharType="end"/>
      </w:r>
      <w:r>
        <w:rPr>
          <w:rFonts w:ascii="Verdana" w:hAnsi="Verdana"/>
          <w:noProof/>
          <w:sz w:val="20"/>
          <w:szCs w:val="20"/>
        </w:rPr>
        <w:t xml:space="preserve"> shows the overall distribution of funding sources while </w:t>
      </w:r>
      <w:r>
        <w:rPr>
          <w:noProof/>
        </w:rPr>
        <w:fldChar w:fldCharType="begin"/>
      </w:r>
      <w:r>
        <w:rPr>
          <w:rFonts w:ascii="Verdana" w:hAnsi="Verdana"/>
          <w:noProof/>
          <w:sz w:val="20"/>
          <w:szCs w:val="20"/>
        </w:rPr>
        <w:instrText xml:space="preserve"> REF _Ref508096276 \h </w:instrText>
      </w:r>
      <w:r>
        <w:rPr>
          <w:noProof/>
        </w:rPr>
        <w:instrText xml:space="preserve"> \* MERGEFORMAT </w:instrText>
      </w:r>
      <w:r>
        <w:rPr>
          <w:noProof/>
        </w:rPr>
      </w:r>
      <w:r>
        <w:rPr>
          <w:noProof/>
        </w:rPr>
        <w:fldChar w:fldCharType="separate"/>
      </w:r>
      <w:r>
        <w:rPr>
          <w:rFonts w:ascii="Verdana" w:hAnsi="Verdana"/>
          <w:b/>
          <w:noProof/>
          <w:sz w:val="20"/>
          <w:szCs w:val="20"/>
        </w:rPr>
        <w:t>Figure 16</w:t>
      </w:r>
      <w:r>
        <w:rPr>
          <w:noProof/>
        </w:rPr>
        <w:fldChar w:fldCharType="end"/>
      </w:r>
      <w:r>
        <w:rPr>
          <w:rFonts w:ascii="Verdana" w:hAnsi="Verdana"/>
          <w:noProof/>
          <w:sz w:val="20"/>
          <w:szCs w:val="20"/>
        </w:rPr>
        <w:t xml:space="preserve"> shows the type of funding sources reported for each country. The ratio per country follows the same overall proportion with a lower number of international programmes for countries with fewer number of survey participants, which may imply that these countries do not collaborate internationally as much as the others. Again, this may lead to the conclusion that resources are dispersed and there are not enough cooperation/coordination schemes in place across borders.</w:t>
      </w:r>
    </w:p>
    <w:p>
      <w:pPr>
        <w:keepNext/>
        <w:jc w:val="both"/>
        <w:rPr>
          <w:rFonts w:ascii="Verdana" w:hAnsi="Verdana"/>
          <w:noProof/>
          <w:sz w:val="20"/>
          <w:szCs w:val="20"/>
        </w:rPr>
      </w:pPr>
      <w:r>
        <w:rPr>
          <w:rFonts w:ascii="Verdana" w:hAnsi="Verdana"/>
          <w:noProof/>
          <w:sz w:val="20"/>
          <w:szCs w:val="20"/>
          <w:lang w:val="en-US"/>
        </w:rPr>
        <w:drawing>
          <wp:inline distT="0" distB="0" distL="0" distR="0">
            <wp:extent cx="5707380" cy="1653540"/>
            <wp:effectExtent l="0" t="0" r="762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07380" cy="1653540"/>
                    </a:xfrm>
                    <a:prstGeom prst="rect">
                      <a:avLst/>
                    </a:prstGeom>
                    <a:noFill/>
                    <a:ln>
                      <a:noFill/>
                    </a:ln>
                  </pic:spPr>
                </pic:pic>
              </a:graphicData>
            </a:graphic>
          </wp:inline>
        </w:drawing>
      </w:r>
    </w:p>
    <w:p>
      <w:pPr>
        <w:spacing w:after="240"/>
        <w:jc w:val="both"/>
        <w:rPr>
          <w:rFonts w:ascii="Verdana" w:hAnsi="Verdana"/>
          <w:noProof/>
          <w:sz w:val="18"/>
          <w:szCs w:val="20"/>
        </w:rPr>
      </w:pPr>
      <w:bookmarkStart w:id="42" w:name="_Ref508113263"/>
      <w:bookmarkStart w:id="43" w:name="_Toc523835971"/>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15</w:t>
      </w:r>
      <w:r>
        <w:rPr>
          <w:noProof/>
        </w:rPr>
        <w:fldChar w:fldCharType="end"/>
      </w:r>
      <w:bookmarkEnd w:id="42"/>
      <w:r>
        <w:rPr>
          <w:rFonts w:ascii="Verdana" w:hAnsi="Verdana"/>
          <w:b/>
          <w:noProof/>
          <w:sz w:val="18"/>
          <w:szCs w:val="20"/>
        </w:rPr>
        <w:t>.</w:t>
      </w:r>
      <w:r>
        <w:rPr>
          <w:rFonts w:ascii="Verdana" w:hAnsi="Verdana"/>
          <w:noProof/>
          <w:sz w:val="18"/>
          <w:szCs w:val="20"/>
        </w:rPr>
        <w:t xml:space="preserve"> Distribution of funding sources.</w:t>
      </w:r>
      <w:bookmarkEnd w:id="43"/>
    </w:p>
    <w:p>
      <w:pPr>
        <w:jc w:val="both"/>
        <w:rPr>
          <w:noProof/>
        </w:rPr>
      </w:pPr>
    </w:p>
    <w:p>
      <w:pPr>
        <w:keepNext/>
        <w:jc w:val="both"/>
        <w:rPr>
          <w:noProof/>
        </w:rPr>
      </w:pPr>
      <w:r>
        <w:rPr>
          <w:noProof/>
          <w:lang w:val="en-US"/>
        </w:rPr>
        <w:drawing>
          <wp:inline distT="0" distB="0" distL="0" distR="0">
            <wp:extent cx="5707380" cy="296418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07380" cy="296418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44" w:name="_Ref508096276"/>
      <w:bookmarkStart w:id="45" w:name="_Toc523835972"/>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16</w:t>
      </w:r>
      <w:r>
        <w:rPr>
          <w:noProof/>
        </w:rPr>
        <w:fldChar w:fldCharType="end"/>
      </w:r>
      <w:bookmarkEnd w:id="44"/>
      <w:r>
        <w:rPr>
          <w:rFonts w:ascii="Verdana" w:hAnsi="Verdana"/>
          <w:b/>
          <w:noProof/>
          <w:sz w:val="18"/>
          <w:szCs w:val="20"/>
        </w:rPr>
        <w:t>.</w:t>
      </w:r>
      <w:r>
        <w:rPr>
          <w:rFonts w:ascii="Verdana" w:hAnsi="Verdana"/>
          <w:noProof/>
          <w:sz w:val="18"/>
          <w:szCs w:val="20"/>
        </w:rPr>
        <w:t xml:space="preserve"> Distribution of funding sources per country.</w:t>
      </w:r>
      <w:bookmarkEnd w:id="45"/>
    </w:p>
    <w:p>
      <w:pPr>
        <w:keepNext/>
        <w:keepLines/>
        <w:numPr>
          <w:ilvl w:val="1"/>
          <w:numId w:val="8"/>
        </w:numPr>
        <w:spacing w:before="240" w:after="120"/>
        <w:jc w:val="both"/>
        <w:outlineLvl w:val="1"/>
        <w:rPr>
          <w:rFonts w:ascii="Verdana" w:hAnsi="Verdana"/>
          <w:b/>
          <w:bCs/>
          <w:iCs/>
          <w:noProof/>
          <w:sz w:val="24"/>
          <w:szCs w:val="26"/>
        </w:rPr>
      </w:pPr>
      <w:bookmarkStart w:id="46" w:name="_Toc523835944"/>
      <w:r>
        <w:rPr>
          <w:rFonts w:ascii="Verdana" w:hAnsi="Verdana"/>
          <w:b/>
          <w:bCs/>
          <w:iCs/>
          <w:noProof/>
          <w:szCs w:val="26"/>
        </w:rPr>
        <w:t>Type and Number of Employees (FTE)</w:t>
      </w:r>
      <w:bookmarkEnd w:id="46"/>
    </w:p>
    <w:p>
      <w:pPr>
        <w:spacing w:before="120" w:after="120"/>
        <w:jc w:val="both"/>
        <w:rPr>
          <w:rFonts w:ascii="Verdana" w:hAnsi="Verdana"/>
          <w:noProof/>
          <w:sz w:val="20"/>
          <w:szCs w:val="20"/>
        </w:rPr>
      </w:pPr>
      <w:r>
        <w:rPr>
          <w:noProof/>
        </w:rPr>
        <w:fldChar w:fldCharType="begin"/>
      </w:r>
      <w:r>
        <w:rPr>
          <w:rFonts w:ascii="Verdana" w:hAnsi="Verdana"/>
          <w:noProof/>
          <w:sz w:val="20"/>
          <w:szCs w:val="20"/>
        </w:rPr>
        <w:instrText xml:space="preserve"> REF _Ref508096285 \h </w:instrText>
      </w:r>
      <w:r>
        <w:rPr>
          <w:noProof/>
        </w:rPr>
        <w:instrText xml:space="preserve"> \* MERGEFORMAT </w:instrText>
      </w:r>
      <w:r>
        <w:rPr>
          <w:noProof/>
        </w:rPr>
      </w:r>
      <w:r>
        <w:rPr>
          <w:noProof/>
        </w:rPr>
        <w:fldChar w:fldCharType="separate"/>
      </w:r>
      <w:r>
        <w:rPr>
          <w:rFonts w:ascii="Verdana" w:hAnsi="Verdana"/>
          <w:b/>
          <w:noProof/>
          <w:sz w:val="20"/>
          <w:szCs w:val="20"/>
        </w:rPr>
        <w:t>Figure 17</w:t>
      </w:r>
      <w:r>
        <w:rPr>
          <w:noProof/>
        </w:rPr>
        <w:fldChar w:fldCharType="end"/>
      </w:r>
      <w:r>
        <w:rPr>
          <w:rFonts w:ascii="Verdana" w:hAnsi="Verdana"/>
          <w:noProof/>
          <w:sz w:val="20"/>
          <w:szCs w:val="20"/>
        </w:rPr>
        <w:t xml:space="preserve"> shows the number of senior and junior researchers reported overall while </w:t>
      </w:r>
      <w:r>
        <w:rPr>
          <w:noProof/>
        </w:rPr>
        <w:fldChar w:fldCharType="begin"/>
      </w:r>
      <w:r>
        <w:rPr>
          <w:rFonts w:ascii="Verdana" w:hAnsi="Verdana"/>
          <w:noProof/>
          <w:sz w:val="20"/>
          <w:szCs w:val="20"/>
        </w:rPr>
        <w:instrText xml:space="preserve"> REF _Ref508096286 \h </w:instrText>
      </w:r>
      <w:r>
        <w:rPr>
          <w:noProof/>
        </w:rPr>
        <w:instrText xml:space="preserve"> \* MERGEFORMAT </w:instrText>
      </w:r>
      <w:r>
        <w:rPr>
          <w:noProof/>
        </w:rPr>
      </w:r>
      <w:r>
        <w:rPr>
          <w:noProof/>
        </w:rPr>
        <w:fldChar w:fldCharType="separate"/>
      </w:r>
      <w:r>
        <w:rPr>
          <w:rFonts w:ascii="Verdana" w:hAnsi="Verdana"/>
          <w:b/>
          <w:noProof/>
          <w:sz w:val="20"/>
          <w:szCs w:val="20"/>
        </w:rPr>
        <w:t>Figure 18</w:t>
      </w:r>
      <w:r>
        <w:rPr>
          <w:noProof/>
        </w:rPr>
        <w:fldChar w:fldCharType="end"/>
      </w:r>
      <w:r>
        <w:rPr>
          <w:rFonts w:ascii="Verdana" w:hAnsi="Verdana"/>
          <w:noProof/>
          <w:sz w:val="20"/>
          <w:szCs w:val="20"/>
        </w:rPr>
        <w:t xml:space="preserve"> shows the same numbers considering each country. Overall the proportion is the same while some </w:t>
      </w:r>
      <w:r>
        <w:rPr>
          <w:rFonts w:ascii="Verdana" w:hAnsi="Verdana"/>
          <w:noProof/>
          <w:sz w:val="20"/>
          <w:szCs w:val="20"/>
        </w:rPr>
        <w:lastRenderedPageBreak/>
        <w:t xml:space="preserve">countries have a significantly higher number of senior researchers in contrast to junior (e.g. Spain, the Netherlands, and Italy). </w:t>
      </w:r>
    </w:p>
    <w:p>
      <w:pPr>
        <w:jc w:val="both"/>
        <w:rPr>
          <w:rFonts w:ascii="Verdana" w:hAnsi="Verdana"/>
          <w:noProof/>
          <w:sz w:val="20"/>
          <w:szCs w:val="20"/>
        </w:rPr>
      </w:pPr>
      <w:r>
        <w:rPr>
          <w:rFonts w:ascii="Verdana" w:hAnsi="Verdana"/>
          <w:noProof/>
          <w:sz w:val="20"/>
          <w:szCs w:val="20"/>
          <w:lang w:val="en-US"/>
        </w:rPr>
        <w:drawing>
          <wp:inline distT="0" distB="0" distL="0" distR="0">
            <wp:extent cx="5646420" cy="10058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46420" cy="1005840"/>
                    </a:xfrm>
                    <a:prstGeom prst="rect">
                      <a:avLst/>
                    </a:prstGeom>
                    <a:noFill/>
                    <a:ln>
                      <a:noFill/>
                    </a:ln>
                  </pic:spPr>
                </pic:pic>
              </a:graphicData>
            </a:graphic>
          </wp:inline>
        </w:drawing>
      </w:r>
    </w:p>
    <w:p>
      <w:pPr>
        <w:spacing w:after="240"/>
        <w:jc w:val="both"/>
        <w:rPr>
          <w:rFonts w:ascii="Verdana" w:hAnsi="Verdana"/>
          <w:noProof/>
          <w:sz w:val="18"/>
          <w:szCs w:val="20"/>
        </w:rPr>
      </w:pPr>
      <w:bookmarkStart w:id="47" w:name="_Ref508096285"/>
      <w:bookmarkStart w:id="48" w:name="_Toc523835973"/>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17</w:t>
      </w:r>
      <w:r>
        <w:rPr>
          <w:noProof/>
        </w:rPr>
        <w:fldChar w:fldCharType="end"/>
      </w:r>
      <w:bookmarkEnd w:id="47"/>
      <w:r>
        <w:rPr>
          <w:rFonts w:ascii="Verdana" w:hAnsi="Verdana"/>
          <w:b/>
          <w:noProof/>
          <w:sz w:val="18"/>
          <w:szCs w:val="20"/>
        </w:rPr>
        <w:t>.</w:t>
      </w:r>
      <w:r>
        <w:rPr>
          <w:rFonts w:ascii="Verdana" w:hAnsi="Verdana"/>
          <w:noProof/>
          <w:sz w:val="18"/>
          <w:szCs w:val="20"/>
        </w:rPr>
        <w:t xml:space="preserve"> Overall distribution of FTE declared to be working on cybersecurity be all survey participants.</w:t>
      </w:r>
      <w:bookmarkEnd w:id="48"/>
    </w:p>
    <w:p>
      <w:pPr>
        <w:keepNext/>
        <w:jc w:val="both"/>
        <w:rPr>
          <w:noProof/>
        </w:rPr>
      </w:pPr>
      <w:r>
        <w:rPr>
          <w:noProof/>
          <w:lang w:val="en-US"/>
        </w:rPr>
        <w:drawing>
          <wp:inline distT="0" distB="0" distL="0" distR="0">
            <wp:extent cx="5646420" cy="29641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46420" cy="296418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49" w:name="_Ref508096286"/>
      <w:bookmarkStart w:id="50" w:name="_Toc523835974"/>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18</w:t>
      </w:r>
      <w:r>
        <w:rPr>
          <w:noProof/>
        </w:rPr>
        <w:fldChar w:fldCharType="end"/>
      </w:r>
      <w:bookmarkEnd w:id="49"/>
      <w:r>
        <w:rPr>
          <w:rFonts w:ascii="Verdana" w:hAnsi="Verdana"/>
          <w:b/>
          <w:noProof/>
          <w:sz w:val="18"/>
          <w:szCs w:val="20"/>
        </w:rPr>
        <w:t>.</w:t>
      </w:r>
      <w:r>
        <w:rPr>
          <w:rFonts w:ascii="Verdana" w:hAnsi="Verdana"/>
          <w:noProof/>
          <w:sz w:val="18"/>
          <w:szCs w:val="20"/>
        </w:rPr>
        <w:t xml:space="preserve"> Distribution of FTE working on cybersecurity per country.</w:t>
      </w:r>
      <w:bookmarkEnd w:id="50"/>
    </w:p>
    <w:p>
      <w:pPr>
        <w:spacing w:before="120" w:after="120"/>
        <w:jc w:val="both"/>
        <w:rPr>
          <w:rFonts w:ascii="Verdana" w:hAnsi="Verdana"/>
          <w:noProof/>
          <w:sz w:val="20"/>
          <w:szCs w:val="20"/>
        </w:rPr>
      </w:pPr>
      <w:r>
        <w:rPr>
          <w:noProof/>
        </w:rPr>
        <w:fldChar w:fldCharType="begin"/>
      </w:r>
      <w:r>
        <w:rPr>
          <w:rFonts w:ascii="Verdana" w:hAnsi="Verdana"/>
          <w:noProof/>
          <w:sz w:val="20"/>
          <w:szCs w:val="20"/>
        </w:rPr>
        <w:instrText xml:space="preserve"> REF _Ref508096294 \h  \* MERGEFORMAT </w:instrText>
      </w:r>
      <w:r>
        <w:rPr>
          <w:noProof/>
        </w:rPr>
      </w:r>
      <w:r>
        <w:rPr>
          <w:noProof/>
        </w:rPr>
        <w:fldChar w:fldCharType="separate"/>
      </w:r>
      <w:r>
        <w:rPr>
          <w:rFonts w:ascii="Verdana" w:hAnsi="Verdana"/>
          <w:noProof/>
          <w:sz w:val="20"/>
          <w:szCs w:val="20"/>
        </w:rPr>
        <w:t>Figure 19</w:t>
      </w:r>
      <w:r>
        <w:rPr>
          <w:noProof/>
        </w:rPr>
        <w:fldChar w:fldCharType="end"/>
      </w:r>
      <w:r>
        <w:rPr>
          <w:rFonts w:ascii="Verdana" w:hAnsi="Verdana"/>
          <w:noProof/>
          <w:sz w:val="20"/>
          <w:szCs w:val="20"/>
        </w:rPr>
        <w:t xml:space="preserve"> shows the total number of FTEs reported for each country in a map. Since a few numbers seemed a bit too large a few survey replies were checked manually revealing that many centres did not report cybersecurity specific FTEs but their total FTE. Therefore, an update should be requested to the survey participants in order to have a better overview of the real cybersecurity workforce of each institution (see Section 3.10 – Missing Elements and Mitigation Strategy).</w:t>
      </w:r>
    </w:p>
    <w:p>
      <w:pPr>
        <w:spacing w:before="120" w:after="120"/>
        <w:jc w:val="both"/>
        <w:rPr>
          <w:rFonts w:ascii="Verdana" w:eastAsia="Calibri" w:hAnsi="Verdana"/>
          <w:noProof/>
          <w:sz w:val="20"/>
          <w:szCs w:val="20"/>
        </w:rPr>
      </w:pPr>
      <w:r>
        <w:rPr>
          <w:rFonts w:ascii="Verdana" w:eastAsia="Calibri" w:hAnsi="Verdana"/>
          <w:noProof/>
          <w:sz w:val="20"/>
          <w:szCs w:val="20"/>
        </w:rPr>
        <w:t xml:space="preserve">The large number reported revealed that the Centers included in their cybersecurity teams all ICT experts in their departments. However, someone may argue that since cybersecurity experts work hand-in-hand with ICT experts to design/integrate a secure ICT system they are all considered to be in the same team. Furthermore, another problem is that since there is not any formal certification of cybersecurity skills, the Centres cannot distinguish the cybersecurity experts for the general ICT experts. </w:t>
      </w:r>
    </w:p>
    <w:p>
      <w:pPr>
        <w:spacing w:before="120" w:after="120"/>
        <w:jc w:val="both"/>
        <w:rPr>
          <w:rFonts w:ascii="Verdana" w:eastAsia="Calibri" w:hAnsi="Verdana"/>
          <w:noProof/>
          <w:sz w:val="20"/>
          <w:szCs w:val="20"/>
        </w:rPr>
      </w:pPr>
      <w:r>
        <w:rPr>
          <w:rFonts w:ascii="Verdana" w:eastAsia="Calibri" w:hAnsi="Verdana"/>
          <w:noProof/>
          <w:sz w:val="20"/>
          <w:szCs w:val="20"/>
        </w:rPr>
        <w:t>In a future  survey the question needs to be more explicit.</w:t>
      </w:r>
    </w:p>
    <w:p>
      <w:pPr>
        <w:jc w:val="both"/>
        <w:rPr>
          <w:noProof/>
        </w:rPr>
      </w:pPr>
    </w:p>
    <w:p>
      <w:pPr>
        <w:keepNext/>
        <w:jc w:val="both"/>
        <w:rPr>
          <w:noProof/>
        </w:rPr>
      </w:pPr>
      <w:r>
        <w:rPr>
          <w:noProof/>
          <w:lang w:val="en-US"/>
        </w:rPr>
        <w:lastRenderedPageBreak/>
        <w:drawing>
          <wp:inline distT="0" distB="0" distL="0" distR="0">
            <wp:extent cx="5638800" cy="53873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38800" cy="538734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51" w:name="_Ref508096294"/>
      <w:bookmarkStart w:id="52" w:name="_Toc523835975"/>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19</w:t>
      </w:r>
      <w:r>
        <w:rPr>
          <w:noProof/>
        </w:rPr>
        <w:fldChar w:fldCharType="end"/>
      </w:r>
      <w:bookmarkEnd w:id="51"/>
      <w:r>
        <w:rPr>
          <w:rFonts w:ascii="Verdana" w:hAnsi="Verdana"/>
          <w:b/>
          <w:noProof/>
          <w:sz w:val="18"/>
          <w:szCs w:val="20"/>
        </w:rPr>
        <w:t>.</w:t>
      </w:r>
      <w:r>
        <w:rPr>
          <w:rFonts w:ascii="Verdana" w:hAnsi="Verdana"/>
          <w:noProof/>
          <w:sz w:val="18"/>
          <w:szCs w:val="20"/>
        </w:rPr>
        <w:t xml:space="preserve"> Geographical distribution of FTE working per country showing number of thousands (k) FTE with a color legend indicating with darker blue color countries with a higher number.</w:t>
      </w:r>
      <w:bookmarkEnd w:id="52"/>
    </w:p>
    <w:p>
      <w:pPr>
        <w:keepNext/>
        <w:keepLines/>
        <w:numPr>
          <w:ilvl w:val="1"/>
          <w:numId w:val="8"/>
        </w:numPr>
        <w:spacing w:before="240" w:after="120"/>
        <w:jc w:val="both"/>
        <w:outlineLvl w:val="1"/>
        <w:rPr>
          <w:rFonts w:ascii="Verdana" w:hAnsi="Verdana"/>
          <w:b/>
          <w:bCs/>
          <w:iCs/>
          <w:noProof/>
          <w:sz w:val="24"/>
          <w:szCs w:val="26"/>
        </w:rPr>
      </w:pPr>
      <w:bookmarkStart w:id="53" w:name="_Toc523835945"/>
      <w:r>
        <w:rPr>
          <w:rFonts w:ascii="Verdana" w:hAnsi="Verdana"/>
          <w:b/>
          <w:bCs/>
          <w:iCs/>
          <w:noProof/>
          <w:szCs w:val="26"/>
        </w:rPr>
        <w:t>Publications</w:t>
      </w:r>
      <w:bookmarkEnd w:id="53"/>
    </w:p>
    <w:p>
      <w:pPr>
        <w:spacing w:before="120" w:after="120"/>
        <w:jc w:val="both"/>
        <w:rPr>
          <w:rFonts w:ascii="Verdana" w:hAnsi="Verdana"/>
          <w:noProof/>
          <w:sz w:val="20"/>
          <w:szCs w:val="20"/>
        </w:rPr>
      </w:pPr>
      <w:r>
        <w:rPr>
          <w:rFonts w:ascii="Verdana" w:hAnsi="Verdana"/>
          <w:noProof/>
          <w:sz w:val="20"/>
          <w:szCs w:val="20"/>
        </w:rPr>
        <w:t xml:space="preserve">From all survey participants only 362 reported their publications in at least one of the cybersecurity domains. </w:t>
      </w:r>
      <w:r>
        <w:rPr>
          <w:noProof/>
        </w:rPr>
        <w:fldChar w:fldCharType="begin"/>
      </w:r>
      <w:r>
        <w:rPr>
          <w:rFonts w:ascii="Verdana" w:hAnsi="Verdana"/>
          <w:noProof/>
          <w:sz w:val="20"/>
          <w:szCs w:val="20"/>
        </w:rPr>
        <w:instrText xml:space="preserve"> REF _Ref508109704 \h </w:instrText>
      </w:r>
      <w:r>
        <w:rPr>
          <w:noProof/>
        </w:rPr>
        <w:instrText xml:space="preserve"> \* MERGEFORMAT </w:instrText>
      </w:r>
      <w:r>
        <w:rPr>
          <w:noProof/>
        </w:rPr>
      </w:r>
      <w:r>
        <w:rPr>
          <w:noProof/>
        </w:rPr>
        <w:fldChar w:fldCharType="separate"/>
      </w:r>
      <w:r>
        <w:rPr>
          <w:rFonts w:ascii="Verdana" w:hAnsi="Verdana"/>
          <w:b/>
          <w:noProof/>
          <w:sz w:val="20"/>
          <w:szCs w:val="20"/>
        </w:rPr>
        <w:t>Figure 20</w:t>
      </w:r>
      <w:r>
        <w:rPr>
          <w:noProof/>
        </w:rPr>
        <w:fldChar w:fldCharType="end"/>
      </w:r>
      <w:r>
        <w:rPr>
          <w:rFonts w:ascii="Verdana" w:hAnsi="Verdana"/>
          <w:noProof/>
          <w:sz w:val="20"/>
          <w:szCs w:val="20"/>
        </w:rPr>
        <w:t xml:space="preserve"> shows the total number of publications reported by all survey participants showing a relative low number of patents overall. </w:t>
      </w:r>
      <w:r>
        <w:rPr>
          <w:noProof/>
        </w:rPr>
        <w:fldChar w:fldCharType="begin"/>
      </w:r>
      <w:r>
        <w:rPr>
          <w:rFonts w:ascii="Verdana" w:hAnsi="Verdana"/>
          <w:noProof/>
          <w:sz w:val="20"/>
          <w:szCs w:val="20"/>
        </w:rPr>
        <w:instrText xml:space="preserve"> REF _Ref508110526 \h </w:instrText>
      </w:r>
      <w:r>
        <w:rPr>
          <w:noProof/>
        </w:rPr>
        <w:instrText xml:space="preserve"> \* MERGEFORMAT </w:instrText>
      </w:r>
      <w:r>
        <w:rPr>
          <w:noProof/>
        </w:rPr>
      </w:r>
      <w:r>
        <w:rPr>
          <w:noProof/>
        </w:rPr>
        <w:fldChar w:fldCharType="separate"/>
      </w:r>
      <w:r>
        <w:rPr>
          <w:rFonts w:ascii="Verdana" w:hAnsi="Verdana"/>
          <w:b/>
          <w:noProof/>
          <w:sz w:val="20"/>
          <w:szCs w:val="20"/>
        </w:rPr>
        <w:t>Figure 21</w:t>
      </w:r>
      <w:r>
        <w:rPr>
          <w:noProof/>
        </w:rPr>
        <w:fldChar w:fldCharType="end"/>
      </w:r>
      <w:r>
        <w:rPr>
          <w:rFonts w:ascii="Verdana" w:hAnsi="Verdana"/>
          <w:noProof/>
          <w:sz w:val="20"/>
          <w:szCs w:val="20"/>
        </w:rPr>
        <w:t xml:space="preserve"> shows the total number of publications reported for each cybersecurity domain, showing that cryptology is the domain with the highest number of publications.</w:t>
      </w:r>
    </w:p>
    <w:p>
      <w:pPr>
        <w:jc w:val="both"/>
        <w:rPr>
          <w:rFonts w:ascii="Verdana" w:hAnsi="Verdana"/>
          <w:noProof/>
          <w:sz w:val="20"/>
          <w:szCs w:val="20"/>
        </w:rPr>
      </w:pPr>
    </w:p>
    <w:p>
      <w:pPr>
        <w:keepNext/>
        <w:jc w:val="both"/>
        <w:rPr>
          <w:rFonts w:ascii="Verdana" w:hAnsi="Verdana"/>
          <w:noProof/>
          <w:sz w:val="20"/>
          <w:szCs w:val="20"/>
        </w:rPr>
      </w:pPr>
      <w:r>
        <w:rPr>
          <w:rFonts w:ascii="Verdana" w:hAnsi="Verdana"/>
          <w:noProof/>
          <w:sz w:val="20"/>
          <w:szCs w:val="20"/>
          <w:lang w:val="en-US"/>
        </w:rPr>
        <w:lastRenderedPageBreak/>
        <w:drawing>
          <wp:inline distT="0" distB="0" distL="0" distR="0">
            <wp:extent cx="5722620" cy="11658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2620" cy="1165860"/>
                    </a:xfrm>
                    <a:prstGeom prst="rect">
                      <a:avLst/>
                    </a:prstGeom>
                    <a:noFill/>
                    <a:ln>
                      <a:noFill/>
                    </a:ln>
                  </pic:spPr>
                </pic:pic>
              </a:graphicData>
            </a:graphic>
          </wp:inline>
        </w:drawing>
      </w:r>
    </w:p>
    <w:p>
      <w:pPr>
        <w:spacing w:after="240"/>
        <w:jc w:val="both"/>
        <w:rPr>
          <w:rFonts w:ascii="Verdana" w:hAnsi="Verdana"/>
          <w:noProof/>
          <w:sz w:val="18"/>
          <w:szCs w:val="20"/>
        </w:rPr>
      </w:pPr>
      <w:bookmarkStart w:id="54" w:name="_Ref508109704"/>
      <w:bookmarkStart w:id="55" w:name="_Toc523835976"/>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20</w:t>
      </w:r>
      <w:r>
        <w:rPr>
          <w:noProof/>
        </w:rPr>
        <w:fldChar w:fldCharType="end"/>
      </w:r>
      <w:bookmarkEnd w:id="54"/>
      <w:r>
        <w:rPr>
          <w:rFonts w:ascii="Verdana" w:hAnsi="Verdana"/>
          <w:b/>
          <w:noProof/>
          <w:sz w:val="18"/>
          <w:szCs w:val="20"/>
        </w:rPr>
        <w:t>.</w:t>
      </w:r>
      <w:r>
        <w:rPr>
          <w:rFonts w:ascii="Verdana" w:hAnsi="Verdana"/>
          <w:noProof/>
          <w:sz w:val="18"/>
          <w:szCs w:val="20"/>
        </w:rPr>
        <w:t xml:space="preserve"> Total number of declared publications.</w:t>
      </w:r>
      <w:bookmarkEnd w:id="55"/>
    </w:p>
    <w:p>
      <w:pPr>
        <w:keepNext/>
        <w:jc w:val="both"/>
        <w:rPr>
          <w:noProof/>
        </w:rPr>
      </w:pPr>
      <w:r>
        <w:rPr>
          <w:noProof/>
          <w:lang w:val="en-US"/>
        </w:rPr>
        <w:drawing>
          <wp:inline distT="0" distB="0" distL="0" distR="0">
            <wp:extent cx="5676900" cy="25679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76900" cy="256794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56" w:name="_Ref508110526"/>
      <w:bookmarkStart w:id="57" w:name="_Toc523835977"/>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21</w:t>
      </w:r>
      <w:r>
        <w:rPr>
          <w:noProof/>
        </w:rPr>
        <w:fldChar w:fldCharType="end"/>
      </w:r>
      <w:bookmarkEnd w:id="56"/>
      <w:r>
        <w:rPr>
          <w:rFonts w:ascii="Verdana" w:hAnsi="Verdana"/>
          <w:b/>
          <w:noProof/>
          <w:sz w:val="18"/>
          <w:szCs w:val="20"/>
        </w:rPr>
        <w:t>.</w:t>
      </w:r>
      <w:r>
        <w:rPr>
          <w:rFonts w:ascii="Verdana" w:hAnsi="Verdana"/>
          <w:noProof/>
          <w:sz w:val="18"/>
          <w:szCs w:val="20"/>
        </w:rPr>
        <w:t xml:space="preserve"> Number of publications reported for each cybersecurity domain.</w:t>
      </w:r>
      <w:bookmarkEnd w:id="57"/>
    </w:p>
    <w:p>
      <w:pPr>
        <w:spacing w:before="120" w:after="120"/>
        <w:jc w:val="both"/>
        <w:rPr>
          <w:rFonts w:ascii="Verdana" w:hAnsi="Verdana"/>
          <w:noProof/>
          <w:sz w:val="20"/>
          <w:szCs w:val="20"/>
        </w:rPr>
      </w:pPr>
      <w:r>
        <w:rPr>
          <w:noProof/>
        </w:rPr>
        <w:fldChar w:fldCharType="begin"/>
      </w:r>
      <w:r>
        <w:rPr>
          <w:rFonts w:ascii="Verdana" w:hAnsi="Verdana"/>
          <w:noProof/>
          <w:sz w:val="20"/>
          <w:szCs w:val="20"/>
        </w:rPr>
        <w:instrText xml:space="preserve"> REF _Ref508110208 \h </w:instrText>
      </w:r>
      <w:r>
        <w:rPr>
          <w:noProof/>
        </w:rPr>
        <w:instrText xml:space="preserve"> \* MERGEFORMAT </w:instrText>
      </w:r>
      <w:r>
        <w:rPr>
          <w:noProof/>
        </w:rPr>
      </w:r>
      <w:r>
        <w:rPr>
          <w:noProof/>
        </w:rPr>
        <w:fldChar w:fldCharType="separate"/>
      </w:r>
      <w:r>
        <w:rPr>
          <w:rFonts w:ascii="Verdana" w:hAnsi="Verdana"/>
          <w:b/>
          <w:noProof/>
          <w:sz w:val="20"/>
          <w:szCs w:val="20"/>
        </w:rPr>
        <w:t>Figure 22</w:t>
      </w:r>
      <w:r>
        <w:rPr>
          <w:noProof/>
        </w:rPr>
        <w:fldChar w:fldCharType="end"/>
      </w:r>
      <w:r>
        <w:rPr>
          <w:rFonts w:ascii="Verdana" w:hAnsi="Verdana"/>
          <w:noProof/>
          <w:sz w:val="20"/>
          <w:szCs w:val="20"/>
        </w:rPr>
        <w:t xml:space="preserve"> and </w:t>
      </w:r>
      <w:r>
        <w:rPr>
          <w:noProof/>
        </w:rPr>
        <w:fldChar w:fldCharType="begin"/>
      </w:r>
      <w:r>
        <w:rPr>
          <w:rFonts w:ascii="Verdana" w:hAnsi="Verdana"/>
          <w:noProof/>
          <w:sz w:val="20"/>
          <w:szCs w:val="20"/>
        </w:rPr>
        <w:instrText xml:space="preserve"> REF _Ref508096328 \h </w:instrText>
      </w:r>
      <w:r>
        <w:rPr>
          <w:noProof/>
        </w:rPr>
        <w:instrText xml:space="preserve"> \* MERGEFORMAT </w:instrText>
      </w:r>
      <w:r>
        <w:rPr>
          <w:noProof/>
        </w:rPr>
      </w:r>
      <w:r>
        <w:rPr>
          <w:noProof/>
        </w:rPr>
        <w:fldChar w:fldCharType="separate"/>
      </w:r>
      <w:r>
        <w:rPr>
          <w:rFonts w:ascii="Verdana" w:hAnsi="Verdana"/>
          <w:b/>
          <w:noProof/>
          <w:sz w:val="20"/>
          <w:szCs w:val="20"/>
        </w:rPr>
        <w:t>Figure 23</w:t>
      </w:r>
      <w:r>
        <w:rPr>
          <w:noProof/>
        </w:rPr>
        <w:fldChar w:fldCharType="end"/>
      </w:r>
      <w:r>
        <w:rPr>
          <w:rFonts w:ascii="Verdana" w:hAnsi="Verdana"/>
          <w:noProof/>
          <w:sz w:val="20"/>
          <w:szCs w:val="20"/>
        </w:rPr>
        <w:t xml:space="preserve"> shows the distribution of publications per country in a map and bar chart, showing that participants from Germany and France together represent around 50% of the total number of publications. Again, as already seen previously, the number of patents is not particularly significant for any country.</w:t>
      </w:r>
    </w:p>
    <w:p>
      <w:pPr>
        <w:spacing w:before="120" w:after="120"/>
        <w:jc w:val="both"/>
        <w:rPr>
          <w:rFonts w:ascii="Verdana" w:hAnsi="Verdana"/>
          <w:noProof/>
          <w:sz w:val="20"/>
          <w:szCs w:val="20"/>
        </w:rPr>
      </w:pPr>
      <w:r>
        <w:rPr>
          <w:rFonts w:ascii="Verdana" w:hAnsi="Verdana"/>
          <w:noProof/>
          <w:sz w:val="20"/>
          <w:szCs w:val="20"/>
        </w:rPr>
        <w:t>Cryptography results to be the top ranking domain for what concerns the number of publications, however this evidence should be treated with due care as under this category of publication are grouped both foundational cryptography (i.e. research where indeed new cryptographic schemes and algorithms are designed, evaluated etc.) and applied cryptography (i.e. where cryptography developed by others is applied used to solve a particular applicative problem). The big majority of publication present in the scientific literature under cryptography fall in the second list (simply because the process of designing a new cryptographic algorithm based on some mathematical foundation, is typically much harder and time consuming than applying existing algorithms on new problems). Considering that the majority ICT-related application today has to deal with encryption/authentication/signatures, it is then not surprising to see cryptography score so high in term of number of publications despite the fact that it is not the top ranked domain in term of number of research centres working on it as showed in Figure 13.</w:t>
      </w:r>
    </w:p>
    <w:p>
      <w:pPr>
        <w:keepNext/>
        <w:jc w:val="both"/>
        <w:rPr>
          <w:noProof/>
        </w:rPr>
      </w:pPr>
      <w:r>
        <w:rPr>
          <w:noProof/>
          <w:lang w:val="en-US"/>
        </w:rPr>
        <w:lastRenderedPageBreak/>
        <w:drawing>
          <wp:inline distT="0" distB="0" distL="0" distR="0">
            <wp:extent cx="5798820" cy="55397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98820" cy="553974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58" w:name="_Ref508110208"/>
      <w:bookmarkStart w:id="59" w:name="_Toc523835978"/>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22</w:t>
      </w:r>
      <w:r>
        <w:rPr>
          <w:noProof/>
        </w:rPr>
        <w:fldChar w:fldCharType="end"/>
      </w:r>
      <w:bookmarkEnd w:id="58"/>
      <w:r>
        <w:rPr>
          <w:rFonts w:ascii="Verdana" w:hAnsi="Verdana"/>
          <w:b/>
          <w:noProof/>
          <w:sz w:val="18"/>
          <w:szCs w:val="20"/>
        </w:rPr>
        <w:t>.</w:t>
      </w:r>
      <w:r>
        <w:rPr>
          <w:rFonts w:ascii="Verdana" w:hAnsi="Verdana"/>
          <w:noProof/>
          <w:sz w:val="18"/>
          <w:szCs w:val="20"/>
        </w:rPr>
        <w:t xml:space="preserve"> Geographical distribution of total number of publications per country showing number of thousands (k) publications with a color legend indicating with darker blue color countries with a higher number.</w:t>
      </w:r>
      <w:bookmarkEnd w:id="59"/>
    </w:p>
    <w:p>
      <w:pPr>
        <w:keepNext/>
        <w:jc w:val="both"/>
        <w:rPr>
          <w:noProof/>
        </w:rPr>
      </w:pPr>
      <w:r>
        <w:rPr>
          <w:noProof/>
          <w:lang w:val="en-US"/>
        </w:rPr>
        <w:drawing>
          <wp:inline distT="0" distB="0" distL="0" distR="0">
            <wp:extent cx="5753100" cy="30251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3100" cy="302514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60" w:name="_Ref508096328"/>
      <w:bookmarkStart w:id="61" w:name="_Toc523835979"/>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23</w:t>
      </w:r>
      <w:r>
        <w:rPr>
          <w:noProof/>
        </w:rPr>
        <w:fldChar w:fldCharType="end"/>
      </w:r>
      <w:bookmarkEnd w:id="60"/>
      <w:r>
        <w:rPr>
          <w:rFonts w:ascii="Verdana" w:hAnsi="Verdana"/>
          <w:b/>
          <w:noProof/>
          <w:sz w:val="18"/>
          <w:szCs w:val="20"/>
        </w:rPr>
        <w:t>.</w:t>
      </w:r>
      <w:r>
        <w:rPr>
          <w:rFonts w:ascii="Verdana" w:hAnsi="Verdana"/>
          <w:noProof/>
          <w:sz w:val="18"/>
          <w:szCs w:val="20"/>
        </w:rPr>
        <w:t xml:space="preserve"> Number of publications per country.</w:t>
      </w:r>
      <w:bookmarkEnd w:id="61"/>
    </w:p>
    <w:p>
      <w:pPr>
        <w:spacing w:before="120" w:after="120"/>
        <w:jc w:val="both"/>
        <w:rPr>
          <w:rFonts w:ascii="Verdana" w:hAnsi="Verdana"/>
          <w:noProof/>
          <w:sz w:val="20"/>
          <w:szCs w:val="20"/>
        </w:rPr>
      </w:pPr>
      <w:r>
        <w:rPr>
          <w:noProof/>
        </w:rPr>
        <w:fldChar w:fldCharType="begin"/>
      </w:r>
      <w:r>
        <w:rPr>
          <w:rFonts w:ascii="Verdana" w:hAnsi="Verdana"/>
          <w:noProof/>
          <w:sz w:val="20"/>
          <w:szCs w:val="20"/>
        </w:rPr>
        <w:instrText xml:space="preserve"> REF _Ref508111266 \h </w:instrText>
      </w:r>
      <w:r>
        <w:rPr>
          <w:noProof/>
        </w:rPr>
        <w:instrText xml:space="preserve"> \* MERGEFORMAT </w:instrText>
      </w:r>
      <w:r>
        <w:rPr>
          <w:noProof/>
        </w:rPr>
      </w:r>
      <w:r>
        <w:rPr>
          <w:noProof/>
        </w:rPr>
        <w:fldChar w:fldCharType="separate"/>
      </w:r>
      <w:r>
        <w:rPr>
          <w:rFonts w:ascii="Verdana" w:hAnsi="Verdana"/>
          <w:b/>
          <w:noProof/>
          <w:sz w:val="20"/>
          <w:szCs w:val="20"/>
        </w:rPr>
        <w:t>Figure 24</w:t>
      </w:r>
      <w:r>
        <w:rPr>
          <w:noProof/>
        </w:rPr>
        <w:fldChar w:fldCharType="end"/>
      </w:r>
      <w:r>
        <w:rPr>
          <w:rFonts w:ascii="Verdana" w:hAnsi="Verdana"/>
          <w:noProof/>
          <w:sz w:val="20"/>
          <w:szCs w:val="20"/>
        </w:rPr>
        <w:t xml:space="preserve"> shows the division of publications for each cybersecurity domain per country, showing again fragmentation of the domains across and inside the countries where very few publications in many different topics were reported by the countries.</w:t>
      </w:r>
    </w:p>
    <w:p>
      <w:pPr>
        <w:keepNext/>
        <w:jc w:val="both"/>
        <w:rPr>
          <w:noProof/>
        </w:rPr>
      </w:pPr>
      <w:r>
        <w:rPr>
          <w:noProof/>
          <w:lang w:val="en-US"/>
        </w:rPr>
        <w:drawing>
          <wp:inline distT="0" distB="0" distL="0" distR="0">
            <wp:extent cx="5669280" cy="291846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69280" cy="291846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62" w:name="_Ref508111266"/>
      <w:bookmarkStart w:id="63" w:name="_Toc523835980"/>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24</w:t>
      </w:r>
      <w:r>
        <w:rPr>
          <w:noProof/>
        </w:rPr>
        <w:fldChar w:fldCharType="end"/>
      </w:r>
      <w:bookmarkEnd w:id="62"/>
      <w:r>
        <w:rPr>
          <w:rFonts w:ascii="Verdana" w:hAnsi="Verdana"/>
          <w:b/>
          <w:noProof/>
          <w:sz w:val="18"/>
          <w:szCs w:val="20"/>
        </w:rPr>
        <w:t>.</w:t>
      </w:r>
      <w:r>
        <w:rPr>
          <w:rFonts w:ascii="Verdana" w:hAnsi="Verdana"/>
          <w:noProof/>
          <w:sz w:val="18"/>
          <w:szCs w:val="20"/>
        </w:rPr>
        <w:t xml:space="preserve"> Number of publications for each cybersecurity domain per country.</w:t>
      </w:r>
      <w:bookmarkEnd w:id="63"/>
    </w:p>
    <w:p>
      <w:pPr>
        <w:keepNext/>
        <w:keepLines/>
        <w:numPr>
          <w:ilvl w:val="1"/>
          <w:numId w:val="8"/>
        </w:numPr>
        <w:spacing w:before="240" w:after="120"/>
        <w:jc w:val="both"/>
        <w:outlineLvl w:val="1"/>
        <w:rPr>
          <w:rFonts w:ascii="Verdana" w:hAnsi="Verdana"/>
          <w:b/>
          <w:bCs/>
          <w:iCs/>
          <w:noProof/>
          <w:sz w:val="24"/>
          <w:szCs w:val="26"/>
        </w:rPr>
      </w:pPr>
      <w:bookmarkStart w:id="64" w:name="_Toc523835411"/>
      <w:bookmarkStart w:id="65" w:name="_Toc523835432"/>
      <w:bookmarkStart w:id="66" w:name="_Toc523835489"/>
      <w:bookmarkStart w:id="67" w:name="_Toc523835946"/>
      <w:bookmarkStart w:id="68" w:name="_Toc523835947"/>
      <w:bookmarkEnd w:id="64"/>
      <w:bookmarkEnd w:id="65"/>
      <w:bookmarkEnd w:id="66"/>
      <w:bookmarkEnd w:id="67"/>
      <w:r>
        <w:rPr>
          <w:rFonts w:ascii="Verdana" w:hAnsi="Verdana"/>
          <w:b/>
          <w:bCs/>
          <w:iCs/>
          <w:noProof/>
          <w:szCs w:val="26"/>
        </w:rPr>
        <w:t>Sectors, Applications and Technologies</w:t>
      </w:r>
      <w:bookmarkEnd w:id="68"/>
    </w:p>
    <w:p>
      <w:pPr>
        <w:spacing w:before="120" w:after="120"/>
        <w:jc w:val="both"/>
        <w:rPr>
          <w:rFonts w:ascii="Verdana" w:hAnsi="Verdana"/>
          <w:noProof/>
          <w:sz w:val="20"/>
          <w:szCs w:val="20"/>
        </w:rPr>
      </w:pPr>
      <w:r>
        <w:rPr>
          <w:rFonts w:ascii="Verdana" w:hAnsi="Verdana"/>
          <w:noProof/>
          <w:sz w:val="20"/>
          <w:szCs w:val="20"/>
        </w:rPr>
        <w:t xml:space="preserve">As shown in </w:t>
      </w:r>
      <w:r>
        <w:rPr>
          <w:noProof/>
        </w:rPr>
        <w:fldChar w:fldCharType="begin"/>
      </w:r>
      <w:r>
        <w:rPr>
          <w:rFonts w:ascii="Verdana" w:hAnsi="Verdana"/>
          <w:noProof/>
          <w:sz w:val="20"/>
          <w:szCs w:val="20"/>
        </w:rPr>
        <w:instrText xml:space="preserve"> REF _Ref508096366 \h </w:instrText>
      </w:r>
      <w:r>
        <w:rPr>
          <w:noProof/>
        </w:rPr>
        <w:instrText xml:space="preserve"> \* MERGEFORMAT </w:instrText>
      </w:r>
      <w:r>
        <w:rPr>
          <w:noProof/>
        </w:rPr>
      </w:r>
      <w:r>
        <w:rPr>
          <w:noProof/>
        </w:rPr>
        <w:fldChar w:fldCharType="separate"/>
      </w:r>
      <w:r>
        <w:rPr>
          <w:rFonts w:ascii="Verdana" w:hAnsi="Verdana"/>
          <w:b/>
          <w:noProof/>
          <w:sz w:val="20"/>
          <w:szCs w:val="20"/>
        </w:rPr>
        <w:t>Figure 25</w:t>
      </w:r>
      <w:r>
        <w:rPr>
          <w:noProof/>
        </w:rPr>
        <w:fldChar w:fldCharType="end"/>
      </w:r>
      <w:r>
        <w:rPr>
          <w:rFonts w:ascii="Verdana" w:hAnsi="Verdana"/>
          <w:noProof/>
          <w:sz w:val="20"/>
          <w:szCs w:val="20"/>
        </w:rPr>
        <w:t xml:space="preserve"> all the sectors mentioned in the survey are subject of work of a number of institutions; however, looking at the distribution among countries (</w:t>
      </w:r>
      <w:r>
        <w:rPr>
          <w:noProof/>
        </w:rPr>
        <w:fldChar w:fldCharType="begin"/>
      </w:r>
      <w:r>
        <w:rPr>
          <w:rFonts w:ascii="Verdana" w:hAnsi="Verdana"/>
          <w:noProof/>
          <w:sz w:val="20"/>
          <w:szCs w:val="20"/>
        </w:rPr>
        <w:instrText xml:space="preserve"> REF _Ref508096378 \h </w:instrText>
      </w:r>
      <w:r>
        <w:rPr>
          <w:noProof/>
        </w:rPr>
        <w:instrText xml:space="preserve"> \* MERGEFORMAT </w:instrText>
      </w:r>
      <w:r>
        <w:rPr>
          <w:noProof/>
        </w:rPr>
      </w:r>
      <w:r>
        <w:rPr>
          <w:noProof/>
        </w:rPr>
        <w:fldChar w:fldCharType="separate"/>
      </w:r>
      <w:r>
        <w:rPr>
          <w:rFonts w:ascii="Verdana" w:hAnsi="Verdana"/>
          <w:b/>
          <w:noProof/>
          <w:sz w:val="20"/>
          <w:szCs w:val="20"/>
        </w:rPr>
        <w:t>Figure 26</w:t>
      </w:r>
      <w:r>
        <w:rPr>
          <w:noProof/>
        </w:rPr>
        <w:fldChar w:fldCharType="end"/>
      </w:r>
      <w:r>
        <w:rPr>
          <w:rFonts w:ascii="Verdana" w:hAnsi="Verdana"/>
          <w:noProof/>
          <w:sz w:val="20"/>
          <w:szCs w:val="20"/>
        </w:rPr>
        <w:t xml:space="preserve">) it is evident for example that the sectors where costly facilities are needed to perform cyber-security research (e.g. energy, space, defense etc.) are well covered only by those countries which traditionally have more resources available to invest in big facilities. </w:t>
      </w:r>
    </w:p>
    <w:p>
      <w:pPr>
        <w:spacing w:before="120" w:after="120"/>
        <w:jc w:val="both"/>
        <w:rPr>
          <w:rFonts w:ascii="Verdana" w:hAnsi="Verdana"/>
          <w:noProof/>
          <w:sz w:val="20"/>
          <w:szCs w:val="20"/>
        </w:rPr>
      </w:pPr>
      <w:r>
        <w:rPr>
          <w:rFonts w:ascii="Verdana" w:hAnsi="Verdana"/>
          <w:noProof/>
          <w:sz w:val="20"/>
          <w:szCs w:val="20"/>
        </w:rPr>
        <w:t>This is again confirmed analysing the field of applications (</w:t>
      </w:r>
      <w:r>
        <w:rPr>
          <w:noProof/>
        </w:rPr>
        <w:fldChar w:fldCharType="begin"/>
      </w:r>
      <w:r>
        <w:rPr>
          <w:rFonts w:ascii="Verdana" w:hAnsi="Verdana"/>
          <w:noProof/>
          <w:sz w:val="20"/>
          <w:szCs w:val="20"/>
        </w:rPr>
        <w:instrText xml:space="preserve"> REF _Ref508096392 \h </w:instrText>
      </w:r>
      <w:r>
        <w:rPr>
          <w:noProof/>
        </w:rPr>
        <w:instrText xml:space="preserve"> \* MERGEFORMAT </w:instrText>
      </w:r>
      <w:r>
        <w:rPr>
          <w:noProof/>
        </w:rPr>
      </w:r>
      <w:r>
        <w:rPr>
          <w:noProof/>
        </w:rPr>
        <w:fldChar w:fldCharType="separate"/>
      </w:r>
      <w:r>
        <w:rPr>
          <w:rFonts w:ascii="Verdana" w:hAnsi="Verdana"/>
          <w:b/>
          <w:noProof/>
          <w:sz w:val="20"/>
          <w:szCs w:val="20"/>
        </w:rPr>
        <w:t>Figure 27</w:t>
      </w:r>
      <w:r>
        <w:rPr>
          <w:noProof/>
        </w:rPr>
        <w:fldChar w:fldCharType="end"/>
      </w:r>
      <w:r>
        <w:rPr>
          <w:rFonts w:ascii="Verdana" w:hAnsi="Verdana"/>
          <w:noProof/>
          <w:sz w:val="20"/>
          <w:szCs w:val="20"/>
        </w:rPr>
        <w:t xml:space="preserve"> and </w:t>
      </w:r>
      <w:r>
        <w:rPr>
          <w:noProof/>
        </w:rPr>
        <w:fldChar w:fldCharType="begin"/>
      </w:r>
      <w:r>
        <w:rPr>
          <w:rFonts w:ascii="Verdana" w:hAnsi="Verdana"/>
          <w:noProof/>
          <w:sz w:val="20"/>
          <w:szCs w:val="20"/>
        </w:rPr>
        <w:instrText xml:space="preserve"> REF _Ref508096402 \h </w:instrText>
      </w:r>
      <w:r>
        <w:rPr>
          <w:noProof/>
        </w:rPr>
        <w:instrText xml:space="preserve"> \* MERGEFORMAT </w:instrText>
      </w:r>
      <w:r>
        <w:rPr>
          <w:noProof/>
        </w:rPr>
      </w:r>
      <w:r>
        <w:rPr>
          <w:noProof/>
        </w:rPr>
        <w:fldChar w:fldCharType="separate"/>
      </w:r>
      <w:r>
        <w:rPr>
          <w:rFonts w:ascii="Verdana" w:hAnsi="Verdana"/>
          <w:b/>
          <w:noProof/>
          <w:sz w:val="20"/>
          <w:szCs w:val="20"/>
        </w:rPr>
        <w:t>Figure 28</w:t>
      </w:r>
      <w:r>
        <w:rPr>
          <w:noProof/>
        </w:rPr>
        <w:fldChar w:fldCharType="end"/>
      </w:r>
      <w:r>
        <w:rPr>
          <w:rFonts w:ascii="Verdana" w:hAnsi="Verdana"/>
          <w:noProof/>
          <w:sz w:val="20"/>
          <w:szCs w:val="20"/>
        </w:rPr>
        <w:t>): as it is possible to see the fields requiring more investments (HPC, artificial intelligence, quantum etc.) are well covered only in countries with traditionally highest availabilities in term of investments.</w:t>
      </w:r>
    </w:p>
    <w:p>
      <w:pPr>
        <w:keepNext/>
        <w:jc w:val="both"/>
        <w:rPr>
          <w:noProof/>
        </w:rPr>
      </w:pPr>
      <w:r>
        <w:rPr>
          <w:noProof/>
          <w:lang w:val="en-US"/>
        </w:rPr>
        <w:drawing>
          <wp:inline distT="0" distB="0" distL="0" distR="0">
            <wp:extent cx="5722620" cy="20878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2620" cy="208788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69" w:name="_Ref508096366"/>
      <w:bookmarkStart w:id="70" w:name="_Toc523835981"/>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25</w:t>
      </w:r>
      <w:r>
        <w:rPr>
          <w:noProof/>
        </w:rPr>
        <w:fldChar w:fldCharType="end"/>
      </w:r>
      <w:bookmarkEnd w:id="69"/>
      <w:r>
        <w:rPr>
          <w:rFonts w:ascii="Verdana" w:hAnsi="Verdana"/>
          <w:b/>
          <w:noProof/>
          <w:sz w:val="18"/>
          <w:szCs w:val="20"/>
        </w:rPr>
        <w:t>.</w:t>
      </w:r>
      <w:r>
        <w:rPr>
          <w:rFonts w:ascii="Verdana" w:hAnsi="Verdana"/>
          <w:noProof/>
          <w:sz w:val="18"/>
          <w:szCs w:val="20"/>
        </w:rPr>
        <w:t xml:space="preserve"> Overall distribution of sectors.</w:t>
      </w:r>
      <w:bookmarkEnd w:id="70"/>
    </w:p>
    <w:p>
      <w:pPr>
        <w:keepNext/>
        <w:jc w:val="both"/>
        <w:rPr>
          <w:noProof/>
        </w:rPr>
      </w:pPr>
      <w:r>
        <w:rPr>
          <w:noProof/>
          <w:lang w:val="en-US"/>
        </w:rPr>
        <w:drawing>
          <wp:inline distT="0" distB="0" distL="0" distR="0">
            <wp:extent cx="5631180" cy="2872740"/>
            <wp:effectExtent l="0" t="0" r="762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31180" cy="287274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71" w:name="_Ref508096378"/>
      <w:bookmarkStart w:id="72" w:name="_Toc523835982"/>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26</w:t>
      </w:r>
      <w:r>
        <w:rPr>
          <w:noProof/>
        </w:rPr>
        <w:fldChar w:fldCharType="end"/>
      </w:r>
      <w:bookmarkEnd w:id="71"/>
      <w:r>
        <w:rPr>
          <w:rFonts w:ascii="Verdana" w:hAnsi="Verdana"/>
          <w:b/>
          <w:noProof/>
          <w:sz w:val="18"/>
          <w:szCs w:val="20"/>
        </w:rPr>
        <w:t>.</w:t>
      </w:r>
      <w:r>
        <w:rPr>
          <w:rFonts w:ascii="Verdana" w:hAnsi="Verdana"/>
          <w:noProof/>
          <w:sz w:val="18"/>
          <w:szCs w:val="20"/>
        </w:rPr>
        <w:t xml:space="preserve"> Distribution of sectors per country.</w:t>
      </w:r>
      <w:bookmarkEnd w:id="72"/>
    </w:p>
    <w:p>
      <w:pPr>
        <w:keepNext/>
        <w:jc w:val="both"/>
        <w:rPr>
          <w:noProof/>
        </w:rPr>
      </w:pPr>
      <w:r>
        <w:rPr>
          <w:noProof/>
          <w:lang w:val="en-US"/>
        </w:rPr>
        <w:drawing>
          <wp:inline distT="0" distB="0" distL="0" distR="0">
            <wp:extent cx="5654040" cy="35433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54040" cy="354330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73" w:name="_Ref508096392"/>
      <w:bookmarkStart w:id="74" w:name="_Toc523835983"/>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27</w:t>
      </w:r>
      <w:r>
        <w:rPr>
          <w:noProof/>
        </w:rPr>
        <w:fldChar w:fldCharType="end"/>
      </w:r>
      <w:bookmarkEnd w:id="73"/>
      <w:r>
        <w:rPr>
          <w:rFonts w:ascii="Verdana" w:hAnsi="Verdana"/>
          <w:b/>
          <w:noProof/>
          <w:sz w:val="18"/>
          <w:szCs w:val="20"/>
        </w:rPr>
        <w:t>.</w:t>
      </w:r>
      <w:r>
        <w:rPr>
          <w:rFonts w:ascii="Verdana" w:hAnsi="Verdana"/>
          <w:noProof/>
          <w:sz w:val="18"/>
          <w:szCs w:val="20"/>
        </w:rPr>
        <w:t xml:space="preserve"> Overall distribution of applications and technologies.</w:t>
      </w:r>
      <w:bookmarkEnd w:id="74"/>
    </w:p>
    <w:p>
      <w:pPr>
        <w:keepNext/>
        <w:jc w:val="both"/>
        <w:rPr>
          <w:noProof/>
        </w:rPr>
      </w:pPr>
      <w:r>
        <w:rPr>
          <w:noProof/>
          <w:lang w:val="en-US"/>
        </w:rPr>
        <w:drawing>
          <wp:inline distT="0" distB="0" distL="0" distR="0">
            <wp:extent cx="5654040" cy="28956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54040" cy="289560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75" w:name="_Ref508096402"/>
      <w:bookmarkStart w:id="76" w:name="_Toc523835984"/>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28</w:t>
      </w:r>
      <w:r>
        <w:rPr>
          <w:noProof/>
        </w:rPr>
        <w:fldChar w:fldCharType="end"/>
      </w:r>
      <w:bookmarkEnd w:id="75"/>
      <w:r>
        <w:rPr>
          <w:rFonts w:ascii="Verdana" w:hAnsi="Verdana"/>
          <w:b/>
          <w:noProof/>
          <w:sz w:val="18"/>
          <w:szCs w:val="20"/>
        </w:rPr>
        <w:t>.</w:t>
      </w:r>
      <w:r>
        <w:rPr>
          <w:rFonts w:ascii="Verdana" w:hAnsi="Verdana"/>
          <w:noProof/>
          <w:sz w:val="18"/>
          <w:szCs w:val="20"/>
        </w:rPr>
        <w:t xml:space="preserve"> Distribution of applications and technologies per country.</w:t>
      </w:r>
      <w:bookmarkEnd w:id="76"/>
    </w:p>
    <w:p>
      <w:pPr>
        <w:keepNext/>
        <w:keepLines/>
        <w:numPr>
          <w:ilvl w:val="1"/>
          <w:numId w:val="8"/>
        </w:numPr>
        <w:spacing w:before="240" w:after="120"/>
        <w:jc w:val="both"/>
        <w:outlineLvl w:val="1"/>
        <w:rPr>
          <w:rFonts w:ascii="Verdana" w:hAnsi="Verdana"/>
          <w:b/>
          <w:bCs/>
          <w:iCs/>
          <w:noProof/>
          <w:sz w:val="24"/>
          <w:szCs w:val="26"/>
        </w:rPr>
      </w:pPr>
      <w:bookmarkStart w:id="77" w:name="_Toc523835948"/>
      <w:r>
        <w:rPr>
          <w:rFonts w:ascii="Verdana" w:hAnsi="Verdana"/>
          <w:b/>
          <w:bCs/>
          <w:iCs/>
          <w:noProof/>
          <w:szCs w:val="26"/>
        </w:rPr>
        <w:t>International Collaborations and Joint Programs</w:t>
      </w:r>
      <w:bookmarkEnd w:id="77"/>
    </w:p>
    <w:p>
      <w:pPr>
        <w:spacing w:before="120" w:after="120"/>
        <w:jc w:val="both"/>
        <w:rPr>
          <w:rFonts w:ascii="Verdana" w:hAnsi="Verdana"/>
          <w:noProof/>
          <w:sz w:val="20"/>
          <w:szCs w:val="20"/>
        </w:rPr>
      </w:pPr>
      <w:r>
        <w:rPr>
          <w:noProof/>
        </w:rPr>
        <w:fldChar w:fldCharType="begin"/>
      </w:r>
      <w:r>
        <w:rPr>
          <w:rFonts w:ascii="Verdana" w:hAnsi="Verdana"/>
          <w:noProof/>
          <w:sz w:val="20"/>
          <w:szCs w:val="20"/>
        </w:rPr>
        <w:instrText xml:space="preserve"> REF _Ref508096413 \h </w:instrText>
      </w:r>
      <w:r>
        <w:rPr>
          <w:noProof/>
        </w:rPr>
        <w:instrText xml:space="preserve"> \* MERGEFORMAT </w:instrText>
      </w:r>
      <w:r>
        <w:rPr>
          <w:noProof/>
        </w:rPr>
      </w:r>
      <w:r>
        <w:rPr>
          <w:noProof/>
        </w:rPr>
        <w:fldChar w:fldCharType="separate"/>
      </w:r>
      <w:r>
        <w:rPr>
          <w:rFonts w:ascii="Verdana" w:hAnsi="Verdana"/>
          <w:b/>
          <w:noProof/>
          <w:sz w:val="20"/>
          <w:szCs w:val="20"/>
        </w:rPr>
        <w:t>Figure 29</w:t>
      </w:r>
      <w:r>
        <w:rPr>
          <w:noProof/>
        </w:rPr>
        <w:fldChar w:fldCharType="end"/>
      </w:r>
      <w:r>
        <w:rPr>
          <w:rFonts w:ascii="Verdana" w:hAnsi="Verdana"/>
          <w:noProof/>
          <w:sz w:val="20"/>
          <w:szCs w:val="20"/>
        </w:rPr>
        <w:t xml:space="preserve"> and </w:t>
      </w:r>
      <w:r>
        <w:rPr>
          <w:noProof/>
        </w:rPr>
        <w:fldChar w:fldCharType="begin"/>
      </w:r>
      <w:r>
        <w:rPr>
          <w:rFonts w:ascii="Verdana" w:hAnsi="Verdana"/>
          <w:noProof/>
          <w:sz w:val="20"/>
          <w:szCs w:val="20"/>
        </w:rPr>
        <w:instrText xml:space="preserve"> REF _Ref508096417 \h </w:instrText>
      </w:r>
      <w:r>
        <w:rPr>
          <w:noProof/>
        </w:rPr>
        <w:instrText xml:space="preserve"> \* MERGEFORMAT </w:instrText>
      </w:r>
      <w:r>
        <w:rPr>
          <w:noProof/>
        </w:rPr>
      </w:r>
      <w:r>
        <w:rPr>
          <w:noProof/>
        </w:rPr>
        <w:fldChar w:fldCharType="separate"/>
      </w:r>
      <w:r>
        <w:rPr>
          <w:rFonts w:ascii="Verdana" w:hAnsi="Verdana"/>
          <w:b/>
          <w:noProof/>
          <w:sz w:val="20"/>
          <w:szCs w:val="20"/>
        </w:rPr>
        <w:t>Figure 30</w:t>
      </w:r>
      <w:r>
        <w:rPr>
          <w:noProof/>
        </w:rPr>
        <w:fldChar w:fldCharType="end"/>
      </w:r>
      <w:r>
        <w:rPr>
          <w:rFonts w:ascii="Verdana" w:hAnsi="Verdana"/>
          <w:noProof/>
          <w:sz w:val="20"/>
          <w:szCs w:val="20"/>
        </w:rPr>
        <w:t xml:space="preserve"> shows respectively the collaborations and joint programs reported overall for all participants and for each country. These numbers do not report the total amount in Euros only the total number, for example, of EU cybersecurity projects.</w:t>
      </w:r>
    </w:p>
    <w:p>
      <w:pPr>
        <w:keepNext/>
        <w:jc w:val="both"/>
        <w:rPr>
          <w:noProof/>
        </w:rPr>
      </w:pPr>
      <w:r>
        <w:rPr>
          <w:noProof/>
          <w:lang w:val="en-US"/>
        </w:rPr>
        <w:drawing>
          <wp:inline distT="0" distB="0" distL="0" distR="0">
            <wp:extent cx="5631180" cy="196596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31180" cy="196596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78" w:name="_Ref508096413"/>
      <w:bookmarkStart w:id="79" w:name="_Toc523835985"/>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29</w:t>
      </w:r>
      <w:r>
        <w:rPr>
          <w:noProof/>
        </w:rPr>
        <w:fldChar w:fldCharType="end"/>
      </w:r>
      <w:bookmarkEnd w:id="78"/>
      <w:r>
        <w:rPr>
          <w:rFonts w:ascii="Verdana" w:hAnsi="Verdana"/>
          <w:b/>
          <w:noProof/>
          <w:sz w:val="18"/>
          <w:szCs w:val="20"/>
        </w:rPr>
        <w:t>.</w:t>
      </w:r>
      <w:r>
        <w:rPr>
          <w:rFonts w:ascii="Verdana" w:hAnsi="Verdana"/>
          <w:noProof/>
          <w:sz w:val="18"/>
          <w:szCs w:val="20"/>
        </w:rPr>
        <w:t xml:space="preserve"> Overall distribution of number of international collaborations or joint programs declared by survey participants.</w:t>
      </w:r>
      <w:bookmarkEnd w:id="79"/>
    </w:p>
    <w:p>
      <w:pPr>
        <w:keepNext/>
        <w:jc w:val="both"/>
        <w:rPr>
          <w:noProof/>
        </w:rPr>
      </w:pPr>
      <w:r>
        <w:rPr>
          <w:noProof/>
          <w:lang w:val="en-US"/>
        </w:rPr>
        <w:drawing>
          <wp:inline distT="0" distB="0" distL="0" distR="0">
            <wp:extent cx="5737860" cy="29946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7860" cy="299466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80" w:name="_Ref508096417"/>
      <w:bookmarkStart w:id="81" w:name="_Toc523835986"/>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30</w:t>
      </w:r>
      <w:r>
        <w:rPr>
          <w:noProof/>
        </w:rPr>
        <w:fldChar w:fldCharType="end"/>
      </w:r>
      <w:bookmarkEnd w:id="80"/>
      <w:r>
        <w:rPr>
          <w:rFonts w:ascii="Verdana" w:hAnsi="Verdana"/>
          <w:b/>
          <w:noProof/>
          <w:sz w:val="18"/>
          <w:szCs w:val="20"/>
        </w:rPr>
        <w:t>.</w:t>
      </w:r>
      <w:r>
        <w:rPr>
          <w:rFonts w:ascii="Verdana" w:hAnsi="Verdana"/>
          <w:noProof/>
          <w:sz w:val="18"/>
          <w:szCs w:val="20"/>
        </w:rPr>
        <w:t xml:space="preserve"> Distribution of  number of international collaborations or joint programs declared by survey participants for each country</w:t>
      </w:r>
      <w:bookmarkEnd w:id="81"/>
    </w:p>
    <w:p>
      <w:pPr>
        <w:spacing w:before="120" w:after="120"/>
        <w:jc w:val="both"/>
        <w:rPr>
          <w:noProof/>
        </w:rPr>
      </w:pPr>
      <w:r>
        <w:rPr>
          <w:rFonts w:ascii="Verdana" w:hAnsi="Verdana"/>
          <w:noProof/>
          <w:sz w:val="20"/>
          <w:szCs w:val="20"/>
        </w:rPr>
        <w:t xml:space="preserve">It seems that many of the Centers have already agreements with the Industries, however, froom the answers to the survey, it was not clear that these Agreements were Consortium Agreements thru EC projects. The sustainability of these Agreements could not be evaluated. In a future version of the survey these points need to be clarified. </w:t>
      </w:r>
    </w:p>
    <w:p>
      <w:pPr>
        <w:keepNext/>
        <w:keepLines/>
        <w:numPr>
          <w:ilvl w:val="1"/>
          <w:numId w:val="8"/>
        </w:numPr>
        <w:spacing w:before="240" w:after="120"/>
        <w:jc w:val="both"/>
        <w:outlineLvl w:val="1"/>
        <w:rPr>
          <w:rFonts w:ascii="Verdana" w:eastAsia="Times New Roman" w:hAnsi="Verdana" w:cs="Times New Roman"/>
          <w:b/>
          <w:bCs/>
          <w:iCs/>
          <w:noProof/>
          <w:sz w:val="24"/>
          <w:szCs w:val="26"/>
          <w:lang w:eastAsia="en-GB"/>
        </w:rPr>
      </w:pPr>
      <w:bookmarkStart w:id="82" w:name="_Toc523835949"/>
      <w:r>
        <w:rPr>
          <w:rFonts w:ascii="Verdana" w:hAnsi="Verdana"/>
          <w:b/>
          <w:bCs/>
          <w:iCs/>
          <w:noProof/>
          <w:szCs w:val="26"/>
        </w:rPr>
        <w:t>Missing/Overstated Elements and Mitigation Strategy</w:t>
      </w:r>
      <w:bookmarkEnd w:id="82"/>
    </w:p>
    <w:p>
      <w:pPr>
        <w:spacing w:before="120" w:after="120"/>
        <w:jc w:val="both"/>
        <w:rPr>
          <w:rFonts w:ascii="Verdana" w:hAnsi="Verdana"/>
          <w:noProof/>
          <w:sz w:val="20"/>
          <w:szCs w:val="20"/>
        </w:rPr>
      </w:pPr>
      <w:r>
        <w:rPr>
          <w:rFonts w:ascii="Verdana" w:hAnsi="Verdana"/>
          <w:noProof/>
          <w:sz w:val="20"/>
          <w:szCs w:val="20"/>
        </w:rPr>
        <w:t>After analysing the survey results a few missing elements from the survey were identified where further investigation could be required for a better overview of the cybersecurity expertise. A possible mitigation strategy is to update or complement the survey questions with the missing elements and to ask the participants to update their information. The following list summarizes these elements:</w:t>
      </w:r>
    </w:p>
    <w:p>
      <w:pPr>
        <w:numPr>
          <w:ilvl w:val="0"/>
          <w:numId w:val="17"/>
        </w:numPr>
        <w:spacing w:before="120" w:after="120"/>
        <w:jc w:val="both"/>
        <w:rPr>
          <w:rFonts w:ascii="Verdana" w:hAnsi="Verdana"/>
          <w:noProof/>
          <w:sz w:val="20"/>
          <w:szCs w:val="20"/>
        </w:rPr>
      </w:pPr>
      <w:r>
        <w:rPr>
          <w:rFonts w:ascii="Verdana" w:hAnsi="Verdana"/>
          <w:b/>
          <w:noProof/>
          <w:sz w:val="20"/>
          <w:szCs w:val="20"/>
        </w:rPr>
        <w:t>Open-ended questions</w:t>
      </w:r>
      <w:r>
        <w:rPr>
          <w:rFonts w:ascii="Verdana" w:hAnsi="Verdana"/>
          <w:noProof/>
          <w:sz w:val="20"/>
          <w:szCs w:val="20"/>
        </w:rPr>
        <w:t xml:space="preserve">: the survey allowed the participants to specify a few items in case the list of answers was not complete considering their entity type, legal status, cybersecurity domains, sectors, applications and technologies. These inputs should be taken into considering in order to refine the cybersecurity taxonomy and  the set of possible answers in order to make the survey more precise, for example, regarding the report legal status </w:t>
      </w:r>
      <w:r>
        <w:rPr>
          <w:noProof/>
        </w:rPr>
        <w:fldChar w:fldCharType="begin"/>
      </w:r>
      <w:r>
        <w:rPr>
          <w:rFonts w:ascii="Verdana" w:hAnsi="Verdana"/>
          <w:noProof/>
          <w:sz w:val="20"/>
          <w:szCs w:val="20"/>
        </w:rPr>
        <w:instrText xml:space="preserve"> REF _Ref508096425 \h </w:instrText>
      </w:r>
      <w:r>
        <w:rPr>
          <w:noProof/>
        </w:rPr>
        <w:instrText xml:space="preserve"> \* MERGEFORMAT </w:instrText>
      </w:r>
      <w:r>
        <w:rPr>
          <w:noProof/>
        </w:rPr>
      </w:r>
      <w:r>
        <w:rPr>
          <w:noProof/>
        </w:rPr>
        <w:fldChar w:fldCharType="separate"/>
      </w:r>
      <w:r>
        <w:rPr>
          <w:rFonts w:ascii="Verdana" w:hAnsi="Verdana"/>
          <w:b/>
          <w:noProof/>
          <w:sz w:val="20"/>
          <w:szCs w:val="20"/>
        </w:rPr>
        <w:t>Figure 31</w:t>
      </w:r>
      <w:r>
        <w:rPr>
          <w:noProof/>
        </w:rPr>
        <w:fldChar w:fldCharType="end"/>
      </w:r>
      <w:r>
        <w:rPr>
          <w:rFonts w:ascii="Verdana" w:hAnsi="Verdana"/>
          <w:noProof/>
          <w:sz w:val="20"/>
          <w:szCs w:val="20"/>
        </w:rPr>
        <w:t xml:space="preserve"> shows the distribution corrected manually considering additional categories not available in the survey;</w:t>
      </w:r>
    </w:p>
    <w:p>
      <w:pPr>
        <w:numPr>
          <w:ilvl w:val="0"/>
          <w:numId w:val="17"/>
        </w:numPr>
        <w:spacing w:before="120" w:after="120"/>
        <w:jc w:val="both"/>
        <w:rPr>
          <w:rFonts w:ascii="Verdana" w:hAnsi="Verdana"/>
          <w:noProof/>
          <w:sz w:val="20"/>
          <w:szCs w:val="20"/>
        </w:rPr>
      </w:pPr>
      <w:r>
        <w:rPr>
          <w:rFonts w:ascii="Verdana" w:hAnsi="Verdana"/>
          <w:b/>
          <w:noProof/>
          <w:sz w:val="20"/>
          <w:szCs w:val="20"/>
        </w:rPr>
        <w:t>Cybersecurity specific FTE</w:t>
      </w:r>
      <w:r>
        <w:rPr>
          <w:rFonts w:ascii="Verdana" w:hAnsi="Verdana"/>
          <w:noProof/>
          <w:sz w:val="20"/>
          <w:szCs w:val="20"/>
        </w:rPr>
        <w:t>: in a many cases the survey participants reported their total FTE, including not only the FTE working on cybersecurity topics, which is a relevant information especially considering that some entities reported over one thousand FTE. The question that remain open is how cybersecurity specific is the expertise of each centre/department;</w:t>
      </w:r>
    </w:p>
    <w:p>
      <w:pPr>
        <w:numPr>
          <w:ilvl w:val="0"/>
          <w:numId w:val="17"/>
        </w:numPr>
        <w:spacing w:before="120" w:after="120"/>
        <w:jc w:val="both"/>
        <w:rPr>
          <w:rFonts w:ascii="Verdana" w:hAnsi="Verdana"/>
          <w:noProof/>
          <w:sz w:val="20"/>
          <w:szCs w:val="20"/>
        </w:rPr>
      </w:pPr>
      <w:r>
        <w:rPr>
          <w:rFonts w:ascii="Verdana" w:hAnsi="Verdana"/>
          <w:b/>
          <w:noProof/>
          <w:sz w:val="20"/>
          <w:szCs w:val="20"/>
        </w:rPr>
        <w:t>Funding numbers</w:t>
      </w:r>
      <w:r>
        <w:rPr>
          <w:rFonts w:ascii="Verdana" w:hAnsi="Verdana"/>
          <w:noProof/>
          <w:sz w:val="20"/>
          <w:szCs w:val="20"/>
        </w:rPr>
        <w:t>: it would be interesting to request from the participants and update regarding the funding received in order to evaluate how much investment in cybersecurity is currently available per country;</w:t>
      </w:r>
    </w:p>
    <w:p>
      <w:pPr>
        <w:numPr>
          <w:ilvl w:val="0"/>
          <w:numId w:val="17"/>
        </w:numPr>
        <w:spacing w:before="120" w:after="120"/>
        <w:jc w:val="both"/>
        <w:rPr>
          <w:rFonts w:ascii="Verdana" w:hAnsi="Verdana"/>
          <w:noProof/>
          <w:sz w:val="20"/>
          <w:szCs w:val="20"/>
        </w:rPr>
      </w:pPr>
      <w:r>
        <w:rPr>
          <w:rFonts w:ascii="Verdana" w:hAnsi="Verdana"/>
          <w:b/>
          <w:noProof/>
          <w:sz w:val="20"/>
          <w:szCs w:val="20"/>
        </w:rPr>
        <w:t>Network and connections</w:t>
      </w:r>
      <w:r>
        <w:rPr>
          <w:rFonts w:ascii="Verdana" w:hAnsi="Verdana"/>
          <w:noProof/>
          <w:sz w:val="20"/>
          <w:szCs w:val="20"/>
        </w:rPr>
        <w:t>: they survey participants could be asked to update their answers including the names of the EU projects and list the principal collaborating entities in order to define a graph of connections between institutions. The same option could be used to define a social graph of collaborating researchers from the different institutions, which could be extracted automatically from publication databases. To include this information, the survey could ask the participants to fill in supporting spreadsheets listing project names, researchers, and collaborating institutions that could be processed automatically in order to create these collaboration graphs;</w:t>
      </w:r>
    </w:p>
    <w:p>
      <w:pPr>
        <w:numPr>
          <w:ilvl w:val="0"/>
          <w:numId w:val="17"/>
        </w:numPr>
        <w:spacing w:before="120" w:after="120"/>
        <w:jc w:val="both"/>
        <w:rPr>
          <w:rFonts w:ascii="Verdana" w:hAnsi="Verdana"/>
          <w:noProof/>
          <w:sz w:val="20"/>
          <w:szCs w:val="20"/>
        </w:rPr>
      </w:pPr>
      <w:r>
        <w:rPr>
          <w:rFonts w:ascii="Verdana" w:hAnsi="Verdana"/>
          <w:b/>
          <w:noProof/>
          <w:sz w:val="20"/>
          <w:szCs w:val="20"/>
        </w:rPr>
        <w:t>Software licenses and open source projects</w:t>
      </w:r>
      <w:r>
        <w:rPr>
          <w:rFonts w:ascii="Verdana" w:hAnsi="Verdana"/>
          <w:noProof/>
          <w:sz w:val="20"/>
          <w:szCs w:val="20"/>
        </w:rPr>
        <w:t xml:space="preserve">: in addition to publications and patents the survey participants could be requested to update their response in order to include the number of software licenses and list open source projects in order to evaluate more objectively technology transfer and collaboration with industry; </w:t>
      </w:r>
    </w:p>
    <w:p>
      <w:pPr>
        <w:jc w:val="both"/>
        <w:rPr>
          <w:rFonts w:ascii="Verdana" w:hAnsi="Verdana"/>
          <w:noProof/>
          <w:sz w:val="20"/>
          <w:szCs w:val="20"/>
        </w:rPr>
      </w:pPr>
    </w:p>
    <w:p>
      <w:pPr>
        <w:keepNext/>
        <w:jc w:val="both"/>
        <w:rPr>
          <w:noProof/>
        </w:rPr>
      </w:pPr>
      <w:r>
        <w:rPr>
          <w:noProof/>
          <w:lang w:val="en-US"/>
        </w:rPr>
        <w:drawing>
          <wp:inline distT="0" distB="0" distL="0" distR="0">
            <wp:extent cx="5440680" cy="19278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40680" cy="192786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83" w:name="_Ref508096425"/>
      <w:bookmarkStart w:id="84" w:name="_Toc523835987"/>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31</w:t>
      </w:r>
      <w:r>
        <w:rPr>
          <w:noProof/>
        </w:rPr>
        <w:fldChar w:fldCharType="end"/>
      </w:r>
      <w:bookmarkEnd w:id="83"/>
      <w:r>
        <w:rPr>
          <w:rFonts w:ascii="Verdana" w:hAnsi="Verdana"/>
          <w:b/>
          <w:noProof/>
          <w:sz w:val="18"/>
          <w:szCs w:val="20"/>
        </w:rPr>
        <w:t>.</w:t>
      </w:r>
      <w:r>
        <w:rPr>
          <w:rFonts w:ascii="Verdana" w:hAnsi="Verdana"/>
          <w:noProof/>
          <w:sz w:val="18"/>
          <w:szCs w:val="20"/>
        </w:rPr>
        <w:t xml:space="preserve"> Distribution of participants according to their legal status after manual correction.</w:t>
      </w:r>
      <w:bookmarkEnd w:id="84"/>
    </w:p>
    <w:p>
      <w:pPr>
        <w:jc w:val="both"/>
        <w:rPr>
          <w:rFonts w:ascii="Verdana" w:hAnsi="Verdana"/>
          <w:noProof/>
          <w:sz w:val="20"/>
          <w:szCs w:val="20"/>
        </w:rPr>
      </w:pPr>
    </w:p>
    <w:p>
      <w:pPr>
        <w:keepNext/>
        <w:pageBreakBefore/>
        <w:numPr>
          <w:ilvl w:val="0"/>
          <w:numId w:val="8"/>
        </w:numPr>
        <w:spacing w:after="120"/>
        <w:jc w:val="both"/>
        <w:outlineLvl w:val="0"/>
        <w:rPr>
          <w:rFonts w:ascii="Verdana" w:eastAsia="Calibri" w:hAnsi="Verdana"/>
          <w:b/>
          <w:noProof/>
          <w:sz w:val="26"/>
          <w:szCs w:val="24"/>
        </w:rPr>
      </w:pPr>
      <w:bookmarkStart w:id="85" w:name="_Toc523835950"/>
      <w:bookmarkStart w:id="86" w:name="_Ref507746697"/>
      <w:r>
        <w:rPr>
          <w:rFonts w:ascii="Verdana" w:eastAsia="Calibri" w:hAnsi="Verdana"/>
          <w:b/>
          <w:noProof/>
          <w:sz w:val="26"/>
        </w:rPr>
        <w:t>Scientific and Technological Development Analysis</w:t>
      </w:r>
      <w:bookmarkEnd w:id="85"/>
    </w:p>
    <w:p>
      <w:pPr>
        <w:spacing w:before="120" w:after="120"/>
        <w:jc w:val="both"/>
        <w:rPr>
          <w:rFonts w:ascii="Verdana" w:hAnsi="Verdana"/>
          <w:noProof/>
          <w:sz w:val="20"/>
          <w:szCs w:val="20"/>
        </w:rPr>
      </w:pPr>
      <w:r>
        <w:rPr>
          <w:rFonts w:ascii="Verdana" w:hAnsi="Verdana"/>
          <w:noProof/>
          <w:sz w:val="20"/>
          <w:szCs w:val="20"/>
        </w:rPr>
        <w:t>Scientific and technological developments are not easy to measure. The number of publications, the participation to H2020 projects, and the analysis of the number of patents could however be used together in order to build a better picture of the scientific and technological development in a certain domain. Therefore, in this section the survey results are compared with a desktop research in order to provide a better overview of cybersecurity expertise and to draw a few conclusions on the data reported by the survey participants.</w:t>
      </w:r>
    </w:p>
    <w:p>
      <w:pPr>
        <w:spacing w:before="120" w:after="120"/>
        <w:jc w:val="both"/>
        <w:rPr>
          <w:rFonts w:ascii="Verdana" w:hAnsi="Verdana"/>
          <w:noProof/>
          <w:sz w:val="20"/>
          <w:szCs w:val="20"/>
        </w:rPr>
      </w:pPr>
      <w:r>
        <w:rPr>
          <w:rFonts w:ascii="Verdana" w:hAnsi="Verdana"/>
          <w:noProof/>
          <w:sz w:val="20"/>
          <w:szCs w:val="20"/>
        </w:rPr>
        <w:t xml:space="preserve">The details of the of the desktop research analysis are presented in the JRC Technical Report </w:t>
      </w:r>
      <w:r>
        <w:rPr>
          <w:rFonts w:ascii="Verdana" w:hAnsi="Verdana"/>
          <w:i/>
          <w:noProof/>
          <w:sz w:val="20"/>
          <w:szCs w:val="20"/>
        </w:rPr>
        <w:t>“European Cyber Security Centres of Expertise Preliminary Mapping Exercise”</w:t>
      </w:r>
      <w:r>
        <w:rPr>
          <w:rFonts w:ascii="Verdana" w:hAnsi="Verdana"/>
          <w:noProof/>
          <w:sz w:val="20"/>
          <w:szCs w:val="20"/>
        </w:rPr>
        <w:t>, while in this section only the relevant evidences instrumental to the survey analysis are reported.</w:t>
      </w:r>
    </w:p>
    <w:p>
      <w:pPr>
        <w:keepNext/>
        <w:keepLines/>
        <w:numPr>
          <w:ilvl w:val="1"/>
          <w:numId w:val="8"/>
        </w:numPr>
        <w:spacing w:before="240" w:after="120"/>
        <w:jc w:val="both"/>
        <w:outlineLvl w:val="1"/>
        <w:rPr>
          <w:rFonts w:ascii="Verdana" w:eastAsia="Times New Roman" w:hAnsi="Verdana" w:cs="Times New Roman"/>
          <w:b/>
          <w:bCs/>
          <w:iCs/>
          <w:noProof/>
          <w:sz w:val="24"/>
          <w:szCs w:val="26"/>
          <w:lang w:eastAsia="en-GB"/>
        </w:rPr>
      </w:pPr>
      <w:bookmarkStart w:id="87" w:name="_Toc523835951"/>
      <w:r>
        <w:rPr>
          <w:rFonts w:ascii="Verdana" w:hAnsi="Verdana"/>
          <w:b/>
          <w:bCs/>
          <w:iCs/>
          <w:noProof/>
          <w:szCs w:val="26"/>
        </w:rPr>
        <w:t>Analysis of publications</w:t>
      </w:r>
      <w:bookmarkEnd w:id="87"/>
    </w:p>
    <w:p>
      <w:pPr>
        <w:spacing w:before="120" w:after="120"/>
        <w:jc w:val="both"/>
        <w:rPr>
          <w:rFonts w:ascii="Verdana" w:hAnsi="Verdana"/>
          <w:noProof/>
          <w:sz w:val="20"/>
          <w:szCs w:val="20"/>
        </w:rPr>
      </w:pPr>
      <w:r>
        <w:rPr>
          <w:rFonts w:ascii="Verdana" w:hAnsi="Verdana"/>
          <w:noProof/>
          <w:sz w:val="20"/>
          <w:szCs w:val="20"/>
        </w:rPr>
        <w:t>The analysis of the cyber-security scientific literature (i.e. scientific papers published in Conferences and</w:t>
      </w:r>
      <w:r>
        <w:rPr>
          <w:noProof/>
        </w:rPr>
        <w:t xml:space="preserve"> </w:t>
      </w:r>
      <w:r>
        <w:rPr>
          <w:rFonts w:ascii="Verdana" w:hAnsi="Verdana"/>
          <w:noProof/>
          <w:sz w:val="20"/>
          <w:szCs w:val="20"/>
        </w:rPr>
        <w:t xml:space="preserve">international journals in the last 8 years, see </w:t>
      </w:r>
      <w:r>
        <w:rPr>
          <w:noProof/>
        </w:rPr>
        <w:fldChar w:fldCharType="begin"/>
      </w:r>
      <w:r>
        <w:rPr>
          <w:rFonts w:ascii="Verdana" w:hAnsi="Verdana"/>
          <w:noProof/>
          <w:sz w:val="20"/>
          <w:szCs w:val="20"/>
        </w:rPr>
        <w:instrText xml:space="preserve"> REF _Ref508095951 \h </w:instrText>
      </w:r>
      <w:r>
        <w:rPr>
          <w:noProof/>
        </w:rPr>
        <w:instrText xml:space="preserve"> \* MERGEFORMAT </w:instrText>
      </w:r>
      <w:r>
        <w:rPr>
          <w:noProof/>
        </w:rPr>
      </w:r>
      <w:r>
        <w:rPr>
          <w:noProof/>
        </w:rPr>
        <w:fldChar w:fldCharType="separate"/>
      </w:r>
      <w:r>
        <w:rPr>
          <w:b/>
          <w:noProof/>
        </w:rPr>
        <w:t>Figure 32</w:t>
      </w:r>
      <w:r>
        <w:rPr>
          <w:noProof/>
        </w:rPr>
        <w:fldChar w:fldCharType="end"/>
      </w:r>
      <w:r>
        <w:rPr>
          <w:rFonts w:ascii="Verdana" w:hAnsi="Verdana"/>
          <w:noProof/>
          <w:sz w:val="20"/>
          <w:szCs w:val="20"/>
        </w:rPr>
        <w:t>) indicates that USA is today leading the scientific research in cybersecurity with approximately 2/4 of the number of publications. EU follows, with ¼ of the total number of publications aggregated publications), while the remaining ¼ aggregates the scientific production of all the remaining non-EU countries (dominated by China, Canada and Japan).</w:t>
      </w:r>
    </w:p>
    <w:p>
      <w:pPr>
        <w:spacing w:before="120" w:after="120"/>
        <w:jc w:val="both"/>
        <w:rPr>
          <w:rFonts w:ascii="Verdana" w:hAnsi="Verdana"/>
          <w:noProof/>
          <w:sz w:val="20"/>
          <w:szCs w:val="20"/>
        </w:rPr>
      </w:pPr>
    </w:p>
    <w:p>
      <w:pPr>
        <w:jc w:val="both"/>
        <w:rPr>
          <w:noProof/>
        </w:rPr>
      </w:pPr>
      <w:r>
        <w:rPr>
          <w:noProof/>
          <w:lang w:val="en-US"/>
        </w:rPr>
        <w:drawing>
          <wp:inline distT="0" distB="0" distL="0" distR="0">
            <wp:extent cx="4434840" cy="321564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34840" cy="321564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88" w:name="_Ref508095951"/>
      <w:bookmarkStart w:id="89" w:name="_Toc523835988"/>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32</w:t>
      </w:r>
      <w:r>
        <w:rPr>
          <w:noProof/>
        </w:rPr>
        <w:fldChar w:fldCharType="end"/>
      </w:r>
      <w:bookmarkEnd w:id="88"/>
      <w:r>
        <w:rPr>
          <w:rFonts w:ascii="Verdana" w:hAnsi="Verdana"/>
          <w:b/>
          <w:noProof/>
          <w:sz w:val="18"/>
          <w:szCs w:val="20"/>
        </w:rPr>
        <w:t>.</w:t>
      </w:r>
      <w:r>
        <w:rPr>
          <w:rFonts w:ascii="Verdana" w:hAnsi="Verdana"/>
          <w:noProof/>
          <w:sz w:val="18"/>
          <w:szCs w:val="20"/>
        </w:rPr>
        <w:t xml:space="preserve"> Scientific publications in Cybersecurity per country (Europe = orange).</w:t>
      </w:r>
      <w:bookmarkEnd w:id="89"/>
    </w:p>
    <w:p>
      <w:pPr>
        <w:spacing w:before="120" w:after="120"/>
        <w:jc w:val="both"/>
        <w:rPr>
          <w:rFonts w:ascii="Verdana" w:hAnsi="Verdana"/>
          <w:noProof/>
          <w:sz w:val="20"/>
          <w:szCs w:val="20"/>
        </w:rPr>
      </w:pPr>
      <w:r>
        <w:rPr>
          <w:rFonts w:ascii="Verdana" w:hAnsi="Verdana"/>
          <w:noProof/>
          <w:sz w:val="20"/>
          <w:szCs w:val="20"/>
        </w:rPr>
        <w:t>The scientific production seems to cover all the traditional domains of cybersecurity (confirming the picture provided by the results of the Survey), however, the majority of the efforts are concentrated in the following domains:</w:t>
      </w:r>
    </w:p>
    <w:p>
      <w:pPr>
        <w:numPr>
          <w:ilvl w:val="0"/>
          <w:numId w:val="18"/>
        </w:numPr>
        <w:spacing w:before="120" w:after="120"/>
        <w:jc w:val="both"/>
        <w:rPr>
          <w:rFonts w:ascii="Verdana" w:eastAsia="Times New Roman" w:hAnsi="Verdana" w:cs="Times New Roman"/>
          <w:noProof/>
          <w:sz w:val="20"/>
          <w:szCs w:val="20"/>
          <w:lang w:eastAsia="en-GB"/>
        </w:rPr>
      </w:pPr>
      <w:r>
        <w:rPr>
          <w:rFonts w:ascii="Verdana" w:hAnsi="Verdana"/>
          <w:noProof/>
          <w:sz w:val="20"/>
          <w:szCs w:val="20"/>
        </w:rPr>
        <w:t>Security Management</w:t>
      </w:r>
    </w:p>
    <w:p>
      <w:pPr>
        <w:numPr>
          <w:ilvl w:val="0"/>
          <w:numId w:val="18"/>
        </w:numPr>
        <w:spacing w:before="120" w:after="120"/>
        <w:jc w:val="both"/>
        <w:rPr>
          <w:rFonts w:ascii="Verdana" w:hAnsi="Verdana"/>
          <w:noProof/>
          <w:sz w:val="20"/>
          <w:szCs w:val="20"/>
        </w:rPr>
      </w:pPr>
      <w:r>
        <w:rPr>
          <w:rFonts w:ascii="Verdana" w:hAnsi="Verdana"/>
          <w:noProof/>
          <w:sz w:val="20"/>
          <w:szCs w:val="20"/>
        </w:rPr>
        <w:t>Network Security</w:t>
      </w:r>
    </w:p>
    <w:p>
      <w:pPr>
        <w:numPr>
          <w:ilvl w:val="0"/>
          <w:numId w:val="18"/>
        </w:numPr>
        <w:spacing w:before="120" w:after="120"/>
        <w:jc w:val="both"/>
        <w:rPr>
          <w:rFonts w:ascii="Verdana" w:hAnsi="Verdana"/>
          <w:noProof/>
          <w:sz w:val="20"/>
          <w:szCs w:val="20"/>
        </w:rPr>
      </w:pPr>
      <w:r>
        <w:rPr>
          <w:rFonts w:ascii="Verdana" w:hAnsi="Verdana"/>
          <w:noProof/>
          <w:sz w:val="20"/>
          <w:szCs w:val="20"/>
        </w:rPr>
        <w:t>Data Security and Privacy</w:t>
      </w:r>
    </w:p>
    <w:p>
      <w:pPr>
        <w:numPr>
          <w:ilvl w:val="0"/>
          <w:numId w:val="18"/>
        </w:numPr>
        <w:spacing w:before="120" w:after="120"/>
        <w:jc w:val="both"/>
        <w:rPr>
          <w:rFonts w:ascii="Verdana" w:hAnsi="Verdana"/>
          <w:noProof/>
          <w:sz w:val="20"/>
          <w:szCs w:val="20"/>
        </w:rPr>
      </w:pPr>
      <w:r>
        <w:rPr>
          <w:rFonts w:ascii="Verdana" w:hAnsi="Verdana"/>
          <w:noProof/>
          <w:sz w:val="20"/>
          <w:szCs w:val="20"/>
        </w:rPr>
        <w:t>Cryptology</w:t>
      </w:r>
    </w:p>
    <w:p>
      <w:pPr>
        <w:spacing w:before="120" w:after="120"/>
        <w:jc w:val="both"/>
        <w:rPr>
          <w:rFonts w:ascii="Verdana" w:hAnsi="Verdana"/>
          <w:noProof/>
          <w:sz w:val="20"/>
          <w:szCs w:val="20"/>
        </w:rPr>
      </w:pPr>
      <w:r>
        <w:rPr>
          <w:rFonts w:ascii="Verdana" w:hAnsi="Verdana"/>
          <w:noProof/>
          <w:sz w:val="20"/>
          <w:szCs w:val="20"/>
        </w:rPr>
        <w:t>It is interesting to note that these domains match with the domains ranking which emerged by the analysis of the surveys.</w:t>
      </w:r>
    </w:p>
    <w:p>
      <w:pPr>
        <w:spacing w:before="120" w:after="120"/>
        <w:jc w:val="both"/>
        <w:rPr>
          <w:rFonts w:ascii="Verdana" w:hAnsi="Verdana"/>
          <w:noProof/>
          <w:sz w:val="20"/>
          <w:szCs w:val="20"/>
        </w:rPr>
      </w:pPr>
      <w:r>
        <w:rPr>
          <w:rFonts w:ascii="Verdana" w:hAnsi="Verdana"/>
          <w:noProof/>
          <w:sz w:val="20"/>
          <w:szCs w:val="20"/>
        </w:rPr>
        <w:t>Concerning this analysis, it is important to underline how the preliminary analysis has been quantitative, i.e. the relevance of the publication has not been weighted (a publication to a conference here is counted as a publication on an international journal). Moreover, even if the four domains just mentioned dominate on all the others in term of scientific production, several of their subdomains results underdeveloped (an example is Cryptology ranking forth in term of total number of publications, but where the post-quantum subdomain results poorly developed (again this confirm the picture provided by the survey).</w:t>
      </w:r>
    </w:p>
    <w:p>
      <w:pPr>
        <w:keepNext/>
        <w:spacing w:before="120" w:after="120"/>
        <w:jc w:val="both"/>
        <w:rPr>
          <w:noProof/>
        </w:rPr>
      </w:pPr>
      <w:r>
        <w:rPr>
          <w:rFonts w:ascii="Verdana" w:hAnsi="Verdana"/>
          <w:noProof/>
          <w:sz w:val="20"/>
          <w:szCs w:val="20"/>
        </w:rPr>
        <w:t xml:space="preserve">An analysis of the collaboration networks shows how US is the strongest partner of EU with regard scientific production in cybersecurity, followed by Switzerland and Israel (see </w:t>
      </w:r>
      <w:r>
        <w:rPr>
          <w:noProof/>
        </w:rPr>
        <w:fldChar w:fldCharType="begin"/>
      </w:r>
      <w:r>
        <w:rPr>
          <w:rFonts w:ascii="Verdana" w:hAnsi="Verdana"/>
          <w:noProof/>
          <w:sz w:val="20"/>
          <w:szCs w:val="20"/>
        </w:rPr>
        <w:instrText xml:space="preserve"> REF _Ref508096112 \h </w:instrText>
      </w:r>
      <w:r>
        <w:rPr>
          <w:noProof/>
        </w:rPr>
        <w:instrText xml:space="preserve"> \* MERGEFORMAT </w:instrText>
      </w:r>
      <w:r>
        <w:rPr>
          <w:noProof/>
        </w:rPr>
      </w:r>
      <w:r>
        <w:rPr>
          <w:noProof/>
        </w:rPr>
        <w:fldChar w:fldCharType="separate"/>
      </w:r>
      <w:r>
        <w:rPr>
          <w:b/>
          <w:noProof/>
        </w:rPr>
        <w:t>Figure 33</w:t>
      </w:r>
      <w:r>
        <w:rPr>
          <w:noProof/>
        </w:rPr>
        <w:fldChar w:fldCharType="end"/>
      </w:r>
      <w:r>
        <w:rPr>
          <w:rFonts w:ascii="Verdana" w:hAnsi="Verdana"/>
          <w:noProof/>
          <w:sz w:val="20"/>
          <w:szCs w:val="20"/>
        </w:rPr>
        <w:t>).</w:t>
      </w:r>
      <w:r>
        <w:rPr>
          <w:noProof/>
        </w:rPr>
        <w:t xml:space="preserve"> </w:t>
      </w:r>
      <w:r>
        <w:rPr>
          <w:noProof/>
          <w:lang w:val="en-US"/>
        </w:rPr>
        <w:drawing>
          <wp:inline distT="0" distB="0" distL="0" distR="0">
            <wp:extent cx="5737860" cy="32156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7860" cy="321564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90" w:name="_Ref508096112"/>
      <w:bookmarkStart w:id="91" w:name="_Toc523835989"/>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33</w:t>
      </w:r>
      <w:r>
        <w:rPr>
          <w:noProof/>
        </w:rPr>
        <w:fldChar w:fldCharType="end"/>
      </w:r>
      <w:bookmarkEnd w:id="90"/>
      <w:r>
        <w:rPr>
          <w:rFonts w:ascii="Verdana" w:hAnsi="Verdana"/>
          <w:b/>
          <w:noProof/>
          <w:sz w:val="18"/>
          <w:szCs w:val="20"/>
        </w:rPr>
        <w:t>.</w:t>
      </w:r>
      <w:r>
        <w:rPr>
          <w:rFonts w:ascii="Verdana" w:hAnsi="Verdana"/>
          <w:noProof/>
          <w:sz w:val="18"/>
          <w:szCs w:val="20"/>
        </w:rPr>
        <w:t xml:space="preserve"> Size of node = Country share of scientific publications in Cybersecurity (size of nodes = number project, edge between nodes = project(s) in common, colours identify communities of countries collaborating more often together).</w:t>
      </w:r>
      <w:bookmarkEnd w:id="91"/>
    </w:p>
    <w:p>
      <w:pPr>
        <w:spacing w:before="120" w:after="120"/>
        <w:jc w:val="both"/>
        <w:rPr>
          <w:rFonts w:ascii="Verdana" w:hAnsi="Verdana"/>
          <w:noProof/>
          <w:sz w:val="20"/>
          <w:szCs w:val="20"/>
        </w:rPr>
      </w:pPr>
      <w:r>
        <w:rPr>
          <w:rFonts w:ascii="Verdana" w:hAnsi="Verdana"/>
          <w:noProof/>
          <w:sz w:val="20"/>
          <w:szCs w:val="20"/>
        </w:rPr>
        <w:t xml:space="preserve">Looking at the distribution of the scientific production among European institutions, emerges (as already anticipated in the previous section) a relevant anomaly with respect to what declared in the surveys. In fact, more than 190 institutions declared to cover at least 10 on the cyber-security research domains. However, the scientific literature analysis per domain, shows that each domain is dominated by a restricted number of institutions in term of number of publications, and that the numerical difference between the top 10 for each domain and the rest of the institutions publishing in that domains is not negligible. In other words, the picture that the analysis of scientific publications combined with the results provided by the survey gives, is that of a Europe where few institutions polarise the scientific production and are able make a difference in the domain. </w:t>
      </w:r>
    </w:p>
    <w:p>
      <w:pPr>
        <w:keepNext/>
        <w:keepLines/>
        <w:numPr>
          <w:ilvl w:val="1"/>
          <w:numId w:val="8"/>
        </w:numPr>
        <w:spacing w:before="240" w:after="120"/>
        <w:jc w:val="both"/>
        <w:outlineLvl w:val="1"/>
        <w:rPr>
          <w:rFonts w:ascii="Verdana" w:eastAsia="Times New Roman" w:hAnsi="Verdana" w:cs="Times New Roman"/>
          <w:b/>
          <w:bCs/>
          <w:iCs/>
          <w:noProof/>
          <w:sz w:val="24"/>
          <w:szCs w:val="26"/>
          <w:lang w:eastAsia="en-GB"/>
        </w:rPr>
      </w:pPr>
      <w:bookmarkStart w:id="92" w:name="_Toc523835952"/>
      <w:r>
        <w:rPr>
          <w:rFonts w:ascii="Verdana" w:hAnsi="Verdana"/>
          <w:b/>
          <w:bCs/>
          <w:iCs/>
          <w:noProof/>
          <w:szCs w:val="26"/>
        </w:rPr>
        <w:t>H2020 projects</w:t>
      </w:r>
      <w:bookmarkEnd w:id="92"/>
    </w:p>
    <w:p>
      <w:pPr>
        <w:spacing w:before="120" w:after="120"/>
        <w:jc w:val="both"/>
        <w:rPr>
          <w:rFonts w:ascii="Verdana" w:hAnsi="Verdana"/>
          <w:noProof/>
          <w:sz w:val="20"/>
          <w:szCs w:val="20"/>
        </w:rPr>
      </w:pPr>
      <w:r>
        <w:rPr>
          <w:rFonts w:ascii="Verdana" w:hAnsi="Verdana"/>
          <w:noProof/>
          <w:sz w:val="20"/>
          <w:szCs w:val="20"/>
        </w:rPr>
        <w:t xml:space="preserve">This picture of a polarised Europe find some confirmation analysing the participation to cybersecurity H2020 projects, where is even more evident this polarisation around a number of restricted academic institutions (see </w:t>
      </w:r>
      <w:r>
        <w:rPr>
          <w:noProof/>
        </w:rPr>
        <w:fldChar w:fldCharType="begin"/>
      </w:r>
      <w:r>
        <w:rPr>
          <w:rFonts w:ascii="Verdana" w:hAnsi="Verdana"/>
          <w:noProof/>
          <w:sz w:val="20"/>
          <w:szCs w:val="20"/>
        </w:rPr>
        <w:instrText xml:space="preserve"> REF _Ref508095785 \h </w:instrText>
      </w:r>
      <w:r>
        <w:rPr>
          <w:noProof/>
        </w:rPr>
        <w:instrText xml:space="preserve"> \* MERGEFORMAT </w:instrText>
      </w:r>
      <w:r>
        <w:rPr>
          <w:noProof/>
        </w:rPr>
      </w:r>
      <w:r>
        <w:rPr>
          <w:noProof/>
        </w:rPr>
        <w:fldChar w:fldCharType="separate"/>
      </w:r>
      <w:r>
        <w:rPr>
          <w:b/>
          <w:noProof/>
        </w:rPr>
        <w:t>Figure 34</w:t>
      </w:r>
      <w:r>
        <w:rPr>
          <w:noProof/>
        </w:rPr>
        <w:fldChar w:fldCharType="end"/>
      </w:r>
      <w:r>
        <w:rPr>
          <w:rFonts w:ascii="Verdana" w:hAnsi="Verdana"/>
          <w:noProof/>
          <w:sz w:val="20"/>
          <w:szCs w:val="20"/>
        </w:rPr>
        <w:t>)</w:t>
      </w:r>
    </w:p>
    <w:p>
      <w:pPr>
        <w:jc w:val="both"/>
        <w:rPr>
          <w:noProof/>
        </w:rPr>
      </w:pPr>
    </w:p>
    <w:p>
      <w:pPr>
        <w:jc w:val="both"/>
        <w:rPr>
          <w:noProof/>
        </w:rPr>
      </w:pPr>
    </w:p>
    <w:p>
      <w:pPr>
        <w:jc w:val="both"/>
        <w:rPr>
          <w:noProof/>
        </w:rPr>
      </w:pPr>
    </w:p>
    <w:p>
      <w:pPr>
        <w:keepNext/>
        <w:spacing w:after="240"/>
        <w:jc w:val="both"/>
        <w:rPr>
          <w:rFonts w:ascii="Verdana" w:eastAsia="Times New Roman" w:hAnsi="Verdana" w:cs="Times New Roman"/>
          <w:noProof/>
          <w:sz w:val="18"/>
          <w:szCs w:val="20"/>
          <w:lang w:eastAsia="en-GB"/>
        </w:rPr>
      </w:pPr>
      <w:bookmarkStart w:id="93" w:name="_Ref507780289"/>
      <w:r>
        <w:rPr>
          <w:rFonts w:ascii="Verdana" w:hAnsi="Verdana"/>
          <w:noProof/>
          <w:sz w:val="18"/>
          <w:szCs w:val="20"/>
          <w:lang w:val="en-US"/>
        </w:rPr>
        <w:drawing>
          <wp:inline distT="0" distB="0" distL="0" distR="0">
            <wp:extent cx="5722620" cy="4876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22620" cy="4876800"/>
                    </a:xfrm>
                    <a:prstGeom prst="rect">
                      <a:avLst/>
                    </a:prstGeom>
                    <a:noFill/>
                    <a:ln>
                      <a:noFill/>
                    </a:ln>
                  </pic:spPr>
                </pic:pic>
              </a:graphicData>
            </a:graphic>
          </wp:inline>
        </w:drawing>
      </w:r>
    </w:p>
    <w:p>
      <w:pPr>
        <w:spacing w:after="240"/>
        <w:jc w:val="both"/>
        <w:rPr>
          <w:rFonts w:ascii="Verdana" w:hAnsi="Verdana"/>
          <w:noProof/>
          <w:sz w:val="18"/>
          <w:szCs w:val="20"/>
        </w:rPr>
      </w:pPr>
      <w:bookmarkStart w:id="94" w:name="_Ref508095785"/>
      <w:bookmarkStart w:id="95" w:name="_Toc523835990"/>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34</w:t>
      </w:r>
      <w:r>
        <w:rPr>
          <w:noProof/>
        </w:rPr>
        <w:fldChar w:fldCharType="end"/>
      </w:r>
      <w:bookmarkEnd w:id="94"/>
      <w:r>
        <w:rPr>
          <w:rFonts w:ascii="Verdana" w:hAnsi="Verdana"/>
          <w:b/>
          <w:noProof/>
          <w:sz w:val="18"/>
          <w:szCs w:val="20"/>
        </w:rPr>
        <w:t>.</w:t>
      </w:r>
      <w:r>
        <w:rPr>
          <w:rFonts w:ascii="Verdana" w:hAnsi="Verdana"/>
          <w:noProof/>
          <w:sz w:val="18"/>
          <w:szCs w:val="20"/>
        </w:rPr>
        <w:t xml:space="preserve"> Participants in H2020 Cyber-Security related projects (academic partners).</w:t>
      </w:r>
      <w:bookmarkEnd w:id="95"/>
    </w:p>
    <w:bookmarkEnd w:id="93"/>
    <w:p>
      <w:pPr>
        <w:spacing w:before="120" w:after="120"/>
        <w:jc w:val="both"/>
        <w:rPr>
          <w:rFonts w:ascii="Verdana" w:hAnsi="Verdana"/>
          <w:noProof/>
          <w:sz w:val="20"/>
          <w:szCs w:val="20"/>
        </w:rPr>
      </w:pPr>
      <w:r>
        <w:rPr>
          <w:rFonts w:ascii="Verdana" w:hAnsi="Verdana"/>
          <w:noProof/>
          <w:sz w:val="20"/>
          <w:szCs w:val="20"/>
        </w:rPr>
        <w:t>It is worth noting that considering the private companies participating to H2020 cybersecurity projects, the weight of the different countries is quite similar.</w:t>
      </w:r>
    </w:p>
    <w:p>
      <w:pPr>
        <w:keepNext/>
        <w:keepLines/>
        <w:numPr>
          <w:ilvl w:val="1"/>
          <w:numId w:val="8"/>
        </w:numPr>
        <w:spacing w:before="240" w:after="120"/>
        <w:jc w:val="both"/>
        <w:outlineLvl w:val="1"/>
        <w:rPr>
          <w:rFonts w:ascii="Verdana" w:eastAsia="Times New Roman" w:hAnsi="Verdana" w:cs="Times New Roman"/>
          <w:b/>
          <w:bCs/>
          <w:iCs/>
          <w:noProof/>
          <w:sz w:val="24"/>
          <w:szCs w:val="26"/>
          <w:lang w:eastAsia="en-GB"/>
        </w:rPr>
      </w:pPr>
      <w:bookmarkStart w:id="96" w:name="_Toc523835953"/>
      <w:r>
        <w:rPr>
          <w:rFonts w:ascii="Verdana" w:hAnsi="Verdana"/>
          <w:b/>
          <w:bCs/>
          <w:iCs/>
          <w:noProof/>
          <w:szCs w:val="26"/>
        </w:rPr>
        <w:t>Patent Analysis</w:t>
      </w:r>
      <w:bookmarkEnd w:id="96"/>
    </w:p>
    <w:p>
      <w:pPr>
        <w:spacing w:before="120" w:after="120"/>
        <w:jc w:val="both"/>
        <w:rPr>
          <w:rFonts w:ascii="Verdana" w:hAnsi="Verdana"/>
          <w:noProof/>
          <w:sz w:val="20"/>
          <w:szCs w:val="20"/>
          <w:lang w:val="en-US"/>
        </w:rPr>
      </w:pPr>
      <w:r>
        <w:rPr>
          <w:noProof/>
        </w:rPr>
        <w:fldChar w:fldCharType="begin"/>
      </w:r>
      <w:r>
        <w:rPr>
          <w:rFonts w:ascii="Verdana" w:hAnsi="Verdana"/>
          <w:noProof/>
          <w:sz w:val="20"/>
          <w:szCs w:val="20"/>
        </w:rPr>
        <w:instrText xml:space="preserve"> REF _Ref507781661 \h  \* MERGEFORMAT </w:instrText>
      </w:r>
      <w:r>
        <w:rPr>
          <w:noProof/>
        </w:rPr>
      </w:r>
      <w:r>
        <w:rPr>
          <w:noProof/>
        </w:rPr>
        <w:fldChar w:fldCharType="separate"/>
      </w:r>
      <w:r>
        <w:rPr>
          <w:rFonts w:ascii="Verdana" w:hAnsi="Verdana"/>
          <w:noProof/>
          <w:sz w:val="20"/>
          <w:szCs w:val="20"/>
        </w:rPr>
        <w:t>Figure 35</w:t>
      </w:r>
      <w:r>
        <w:rPr>
          <w:noProof/>
        </w:rPr>
        <w:fldChar w:fldCharType="end"/>
      </w:r>
      <w:r>
        <w:rPr>
          <w:rFonts w:ascii="Verdana" w:hAnsi="Verdana"/>
          <w:noProof/>
          <w:sz w:val="20"/>
          <w:szCs w:val="20"/>
        </w:rPr>
        <w:t xml:space="preserve"> provides the picture of the patents in the cybersecurity sector. As it possible to see, the patent</w:t>
      </w:r>
      <w:r>
        <w:rPr>
          <w:noProof/>
        </w:rPr>
        <w:t xml:space="preserve"> </w:t>
      </w:r>
      <w:r>
        <w:rPr>
          <w:rFonts w:ascii="Verdana" w:hAnsi="Verdana"/>
          <w:noProof/>
          <w:sz w:val="20"/>
          <w:szCs w:val="20"/>
        </w:rPr>
        <w:t>filling is dominated by China, followed by US, while the EU is not in a prominent position.</w:t>
      </w:r>
    </w:p>
    <w:p>
      <w:pPr>
        <w:spacing w:before="120" w:after="120"/>
        <w:jc w:val="both"/>
        <w:rPr>
          <w:rFonts w:ascii="Verdana" w:hAnsi="Verdana"/>
          <w:noProof/>
          <w:sz w:val="20"/>
          <w:szCs w:val="20"/>
        </w:rPr>
      </w:pPr>
      <w:r>
        <w:rPr>
          <w:rFonts w:ascii="Verdana" w:hAnsi="Verdana"/>
          <w:noProof/>
          <w:sz w:val="20"/>
          <w:szCs w:val="20"/>
          <w:lang w:val="en-US"/>
        </w:rPr>
        <w:drawing>
          <wp:inline distT="0" distB="0" distL="0" distR="0">
            <wp:extent cx="4404360" cy="31546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04360" cy="315468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97" w:name="_Ref507781661"/>
      <w:bookmarkStart w:id="98" w:name="_Toc523835991"/>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35</w:t>
      </w:r>
      <w:r>
        <w:rPr>
          <w:noProof/>
        </w:rPr>
        <w:fldChar w:fldCharType="end"/>
      </w:r>
      <w:bookmarkEnd w:id="97"/>
      <w:r>
        <w:rPr>
          <w:rFonts w:ascii="Verdana" w:hAnsi="Verdana"/>
          <w:b/>
          <w:noProof/>
          <w:sz w:val="18"/>
          <w:szCs w:val="20"/>
        </w:rPr>
        <w:t>.</w:t>
      </w:r>
      <w:r>
        <w:rPr>
          <w:rFonts w:ascii="Verdana" w:hAnsi="Verdana"/>
          <w:noProof/>
          <w:sz w:val="18"/>
          <w:szCs w:val="20"/>
        </w:rPr>
        <w:t xml:space="preserve"> Patents in Cybersecurity per country (Europe = pink)</w:t>
      </w:r>
      <w:bookmarkEnd w:id="98"/>
    </w:p>
    <w:p>
      <w:pPr>
        <w:spacing w:before="120" w:after="120"/>
        <w:jc w:val="both"/>
        <w:rPr>
          <w:rFonts w:ascii="Verdana" w:hAnsi="Verdana"/>
          <w:noProof/>
          <w:sz w:val="20"/>
          <w:szCs w:val="20"/>
        </w:rPr>
      </w:pPr>
      <w:r>
        <w:rPr>
          <w:rFonts w:ascii="Verdana" w:hAnsi="Verdana"/>
          <w:noProof/>
          <w:sz w:val="20"/>
          <w:szCs w:val="20"/>
        </w:rPr>
        <w:t xml:space="preserve">A more detailed analysis (still under validation), shows that the number of patents in average filled by a European entity on cybersecurity is around the 5%, with the exception of cryptology (21%). </w:t>
      </w:r>
    </w:p>
    <w:p>
      <w:pPr>
        <w:jc w:val="both"/>
        <w:rPr>
          <w:noProof/>
        </w:rPr>
      </w:pPr>
      <w:r>
        <w:rPr>
          <w:noProof/>
          <w:lang w:val="en-US"/>
        </w:rPr>
        <w:drawing>
          <wp:inline distT="0" distB="0" distL="0" distR="0">
            <wp:extent cx="5676900" cy="29870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76900" cy="298704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99" w:name="_Toc523835992"/>
      <w:r>
        <w:rPr>
          <w:rFonts w:ascii="Verdana" w:hAnsi="Verdana"/>
          <w:b/>
          <w:noProof/>
          <w:sz w:val="18"/>
          <w:szCs w:val="20"/>
        </w:rPr>
        <w:t xml:space="preserve">Figure </w:t>
      </w:r>
      <w:r>
        <w:rPr>
          <w:noProof/>
        </w:rPr>
        <w:fldChar w:fldCharType="begin"/>
      </w:r>
      <w:r>
        <w:rPr>
          <w:rFonts w:ascii="Verdana" w:hAnsi="Verdana"/>
          <w:b/>
          <w:noProof/>
          <w:sz w:val="18"/>
          <w:szCs w:val="20"/>
        </w:rPr>
        <w:instrText xml:space="preserve"> SEQ Figure \* ARABIC </w:instrText>
      </w:r>
      <w:r>
        <w:rPr>
          <w:noProof/>
        </w:rPr>
        <w:fldChar w:fldCharType="separate"/>
      </w:r>
      <w:r>
        <w:rPr>
          <w:rFonts w:ascii="Verdana" w:hAnsi="Verdana"/>
          <w:b/>
          <w:noProof/>
          <w:sz w:val="18"/>
          <w:szCs w:val="20"/>
        </w:rPr>
        <w:t>36</w:t>
      </w:r>
      <w:r>
        <w:rPr>
          <w:noProof/>
        </w:rPr>
        <w:fldChar w:fldCharType="end"/>
      </w:r>
      <w:r>
        <w:rPr>
          <w:rFonts w:ascii="Verdana" w:hAnsi="Verdana"/>
          <w:b/>
          <w:noProof/>
          <w:sz w:val="18"/>
          <w:szCs w:val="20"/>
        </w:rPr>
        <w:t>.</w:t>
      </w:r>
      <w:r>
        <w:rPr>
          <w:rFonts w:ascii="Verdana" w:hAnsi="Verdana"/>
          <w:noProof/>
          <w:sz w:val="18"/>
          <w:szCs w:val="20"/>
        </w:rPr>
        <w:t xml:space="preserve"> Cybersecurity Publications/Patent ratio per country</w:t>
      </w:r>
      <w:bookmarkEnd w:id="99"/>
    </w:p>
    <w:p>
      <w:pPr>
        <w:spacing w:before="120" w:after="120"/>
        <w:jc w:val="both"/>
        <w:rPr>
          <w:rFonts w:ascii="Verdana" w:hAnsi="Verdana"/>
          <w:noProof/>
          <w:sz w:val="20"/>
          <w:szCs w:val="20"/>
        </w:rPr>
      </w:pPr>
      <w:r>
        <w:rPr>
          <w:rFonts w:ascii="Verdana" w:hAnsi="Verdana"/>
          <w:noProof/>
          <w:sz w:val="20"/>
          <w:szCs w:val="20"/>
        </w:rPr>
        <w:t>Considering the ratio between scientific publications and patents, it seems evident how to the relatively high scientific production does not automatically correspond an equal “innovation” push. There are several reasons that might explain this phenomenon:</w:t>
      </w:r>
    </w:p>
    <w:p>
      <w:pPr>
        <w:numPr>
          <w:ilvl w:val="0"/>
          <w:numId w:val="19"/>
        </w:numPr>
        <w:spacing w:before="120" w:after="120" w:line="256" w:lineRule="auto"/>
        <w:jc w:val="both"/>
        <w:rPr>
          <w:rFonts w:ascii="Verdana" w:eastAsia="Times New Roman" w:hAnsi="Verdana" w:cs="Times New Roman"/>
          <w:noProof/>
          <w:sz w:val="20"/>
          <w:szCs w:val="20"/>
          <w:lang w:eastAsia="en-GB"/>
        </w:rPr>
      </w:pPr>
      <w:r>
        <w:rPr>
          <w:rFonts w:ascii="Verdana" w:hAnsi="Verdana"/>
          <w:noProof/>
          <w:sz w:val="20"/>
          <w:szCs w:val="20"/>
        </w:rPr>
        <w:t>The patent filling is a costly and complex process</w:t>
      </w:r>
    </w:p>
    <w:p>
      <w:pPr>
        <w:numPr>
          <w:ilvl w:val="0"/>
          <w:numId w:val="19"/>
        </w:numPr>
        <w:spacing w:before="120" w:after="120" w:line="256" w:lineRule="auto"/>
        <w:jc w:val="both"/>
        <w:rPr>
          <w:rFonts w:ascii="Verdana" w:hAnsi="Verdana"/>
          <w:noProof/>
          <w:sz w:val="20"/>
          <w:szCs w:val="20"/>
        </w:rPr>
      </w:pPr>
      <w:r>
        <w:rPr>
          <w:rFonts w:ascii="Verdana" w:hAnsi="Verdana"/>
          <w:noProof/>
          <w:sz w:val="20"/>
          <w:szCs w:val="20"/>
        </w:rPr>
        <w:t>The collaboration between industry and academies is little, or “consultancy oriented” (i.e. one-shot collaborations without a multi-annual collaboration and development plan)</w:t>
      </w:r>
    </w:p>
    <w:p>
      <w:pPr>
        <w:numPr>
          <w:ilvl w:val="0"/>
          <w:numId w:val="19"/>
        </w:numPr>
        <w:spacing w:before="120" w:after="120" w:line="256" w:lineRule="auto"/>
        <w:jc w:val="both"/>
        <w:rPr>
          <w:rFonts w:ascii="Verdana" w:hAnsi="Verdana"/>
          <w:noProof/>
          <w:sz w:val="20"/>
          <w:szCs w:val="20"/>
        </w:rPr>
      </w:pPr>
      <w:r>
        <w:rPr>
          <w:rFonts w:ascii="Verdana" w:hAnsi="Verdana"/>
          <w:noProof/>
          <w:sz w:val="20"/>
          <w:szCs w:val="20"/>
        </w:rPr>
        <w:t>The patent analysis is not able to capture completely the innovation chain</w:t>
      </w:r>
    </w:p>
    <w:p>
      <w:pPr>
        <w:spacing w:before="120" w:after="120"/>
        <w:jc w:val="both"/>
        <w:rPr>
          <w:rFonts w:ascii="Verdana" w:hAnsi="Verdana"/>
          <w:noProof/>
          <w:sz w:val="20"/>
          <w:szCs w:val="20"/>
        </w:rPr>
      </w:pPr>
      <w:r>
        <w:rPr>
          <w:rFonts w:ascii="Verdana" w:hAnsi="Verdana"/>
          <w:noProof/>
          <w:sz w:val="20"/>
          <w:szCs w:val="20"/>
        </w:rPr>
        <w:t>The last point is certainly true for what concerns ICT and cybersecurity as patents analysis does not allow to capture for example the phenomenon of software development and licensing, for which unfortunately, is not easy to provide a projection. However, even considering the fact that a relevant element is missing in the picture, still is true that other countries patent much more in cybersecurity than Europe.</w:t>
      </w:r>
    </w:p>
    <w:p>
      <w:pPr>
        <w:jc w:val="both"/>
        <w:rPr>
          <w:rFonts w:ascii="Verdana" w:eastAsia="Times New Roman" w:hAnsi="Verdana" w:cs="Times New Roman"/>
          <w:noProof/>
          <w:sz w:val="20"/>
          <w:szCs w:val="20"/>
          <w:lang w:eastAsia="en-GB"/>
        </w:rPr>
      </w:pPr>
    </w:p>
    <w:p>
      <w:pPr>
        <w:keepNext/>
        <w:pageBreakBefore/>
        <w:numPr>
          <w:ilvl w:val="0"/>
          <w:numId w:val="8"/>
        </w:numPr>
        <w:spacing w:after="120"/>
        <w:jc w:val="both"/>
        <w:outlineLvl w:val="0"/>
        <w:rPr>
          <w:rFonts w:ascii="Verdana" w:eastAsia="Calibri" w:hAnsi="Verdana"/>
          <w:b/>
          <w:noProof/>
          <w:sz w:val="26"/>
          <w:szCs w:val="24"/>
        </w:rPr>
      </w:pPr>
      <w:bookmarkStart w:id="100" w:name="_Toc523835954"/>
      <w:r>
        <w:rPr>
          <w:rFonts w:ascii="Verdana" w:eastAsia="Calibri" w:hAnsi="Verdana"/>
          <w:b/>
          <w:noProof/>
          <w:sz w:val="26"/>
        </w:rPr>
        <w:t>Conclusions</w:t>
      </w:r>
      <w:bookmarkEnd w:id="86"/>
      <w:bookmarkEnd w:id="100"/>
    </w:p>
    <w:p>
      <w:pPr>
        <w:jc w:val="both"/>
        <w:rPr>
          <w:rFonts w:ascii="Verdana" w:hAnsi="Verdana"/>
          <w:noProof/>
          <w:sz w:val="20"/>
          <w:szCs w:val="20"/>
        </w:rPr>
      </w:pPr>
      <w:r>
        <w:rPr>
          <w:rFonts w:ascii="Verdana" w:hAnsi="Verdana"/>
          <w:noProof/>
          <w:sz w:val="20"/>
          <w:szCs w:val="20"/>
        </w:rPr>
        <w:t>Between the end of 2017 and the first months of 2018, the European Commission Joint Research Centre conducted a study taking account of the input of more than 660 cybersecurity centres from across the EU, to map the European cyber-security research competencies, strengthens and weaknesses.</w:t>
      </w:r>
    </w:p>
    <w:p>
      <w:pPr>
        <w:jc w:val="both"/>
        <w:rPr>
          <w:rFonts w:ascii="Verdana" w:hAnsi="Verdana"/>
          <w:noProof/>
          <w:sz w:val="20"/>
          <w:szCs w:val="20"/>
        </w:rPr>
      </w:pPr>
      <w:r>
        <w:rPr>
          <w:rFonts w:ascii="Verdana" w:hAnsi="Verdana"/>
          <w:noProof/>
          <w:sz w:val="20"/>
          <w:szCs w:val="20"/>
        </w:rPr>
        <w:t>The findings emerging from this multi-dimensional analysis are summarised briefly in the following paragraphs.</w:t>
      </w:r>
    </w:p>
    <w:p>
      <w:pPr>
        <w:jc w:val="both"/>
        <w:rPr>
          <w:rFonts w:ascii="Verdana" w:hAnsi="Verdana"/>
          <w:noProof/>
          <w:sz w:val="20"/>
          <w:szCs w:val="20"/>
        </w:rPr>
      </w:pPr>
      <w:r>
        <w:rPr>
          <w:rFonts w:ascii="Verdana" w:hAnsi="Verdana" w:cstheme="minorHAnsi"/>
          <w:noProof/>
          <w:sz w:val="20"/>
          <w:szCs w:val="20"/>
        </w:rPr>
        <w:t xml:space="preserve">The analysis put in evidence that, in term of scientific production, Europe all together is the second most relevant cyber-security actor in the global research arena (after the USA). The same relevance however, is not reflected in the patenting domain. As normally patenting is associated to industrial activities, this evidence </w:t>
      </w:r>
      <w:r>
        <w:rPr>
          <w:rFonts w:ascii="Verdana" w:hAnsi="Verdana"/>
          <w:noProof/>
          <w:sz w:val="20"/>
          <w:szCs w:val="20"/>
        </w:rPr>
        <w:t xml:space="preserve">could be read as a </w:t>
      </w:r>
      <w:r>
        <w:rPr>
          <w:rFonts w:ascii="Verdana" w:hAnsi="Verdana"/>
          <w:b/>
          <w:noProof/>
          <w:sz w:val="20"/>
          <w:szCs w:val="20"/>
        </w:rPr>
        <w:t>weakness</w:t>
      </w:r>
      <w:r>
        <w:rPr>
          <w:rFonts w:ascii="Verdana" w:hAnsi="Verdana"/>
          <w:noProof/>
          <w:sz w:val="20"/>
          <w:szCs w:val="20"/>
        </w:rPr>
        <w:t xml:space="preserve"> in the capacity of </w:t>
      </w:r>
      <w:r>
        <w:rPr>
          <w:rFonts w:ascii="Verdana" w:hAnsi="Verdana"/>
          <w:b/>
          <w:noProof/>
          <w:sz w:val="20"/>
          <w:szCs w:val="20"/>
        </w:rPr>
        <w:t xml:space="preserve">establishing (long-term) collaboration between industry and academy, </w:t>
      </w:r>
      <w:r>
        <w:rPr>
          <w:rFonts w:ascii="Verdana" w:hAnsi="Verdana"/>
          <w:noProof/>
          <w:sz w:val="20"/>
          <w:szCs w:val="20"/>
        </w:rPr>
        <w:t xml:space="preserve">which could be translated in the production of patents. However, it is worth noting that patents cover only one aspect of the cybersecurity value chain with software licensing occupying the other half of the moon. Unfortunately, no data is now available to estimate the size and “value” of licensing or other software business models based on open source software solutions. </w:t>
      </w:r>
    </w:p>
    <w:p>
      <w:pPr>
        <w:jc w:val="both"/>
        <w:rPr>
          <w:rFonts w:ascii="Verdana" w:hAnsi="Verdana"/>
          <w:noProof/>
          <w:sz w:val="20"/>
          <w:szCs w:val="20"/>
        </w:rPr>
      </w:pPr>
      <w:r>
        <w:rPr>
          <w:rFonts w:ascii="Verdana" w:hAnsi="Verdana"/>
          <w:noProof/>
          <w:sz w:val="20"/>
          <w:szCs w:val="20"/>
        </w:rPr>
        <w:t>In this context, the H2020 program has surely contributed to strengthening the relations between industry and academia; however, the analysis of the participants to H2020 calls related to cybersecurity shows that only few institutions proved to be equally capable to successfully and continuously access to the H2020 funds. This phenomenon contributed to create a sort of polarisation of the cybersecurity research around few institutions in a small number of member states, while other member states benefit more from national funding programmes with limited international collaborations. This trend finds confirmation also from data collected through the survey (involving as said before, more than 600 EU cyber-security research institutes).</w:t>
      </w:r>
    </w:p>
    <w:p>
      <w:pPr>
        <w:jc w:val="both"/>
        <w:rPr>
          <w:rFonts w:ascii="Verdana" w:hAnsi="Verdana"/>
          <w:noProof/>
          <w:sz w:val="20"/>
          <w:szCs w:val="20"/>
        </w:rPr>
      </w:pPr>
      <w:r>
        <w:rPr>
          <w:rFonts w:ascii="Verdana" w:hAnsi="Verdana"/>
          <w:noProof/>
          <w:sz w:val="20"/>
          <w:szCs w:val="20"/>
        </w:rPr>
        <w:t xml:space="preserve">Looking at the answers of the mentioned survey related to the domains covered by the research centres in Europe, it emerges that in the Union there are competencies </w:t>
      </w:r>
      <w:r>
        <w:rPr>
          <w:rFonts w:ascii="Verdana" w:hAnsi="Verdana"/>
          <w:b/>
          <w:noProof/>
          <w:sz w:val="20"/>
          <w:szCs w:val="20"/>
        </w:rPr>
        <w:t>in all the domains</w:t>
      </w:r>
      <w:r>
        <w:rPr>
          <w:rFonts w:ascii="Verdana" w:hAnsi="Verdana"/>
          <w:noProof/>
          <w:sz w:val="20"/>
          <w:szCs w:val="20"/>
        </w:rPr>
        <w:t xml:space="preserve"> identified in the EU Cybersecurity Taxonomy, however this consideration needs to be carefully weighted. </w:t>
      </w:r>
    </w:p>
    <w:p>
      <w:pPr>
        <w:jc w:val="both"/>
        <w:rPr>
          <w:rFonts w:ascii="Verdana" w:hAnsi="Verdana"/>
          <w:noProof/>
          <w:sz w:val="20"/>
          <w:szCs w:val="20"/>
        </w:rPr>
      </w:pPr>
      <w:r>
        <w:rPr>
          <w:rFonts w:ascii="Verdana" w:hAnsi="Verdana"/>
          <w:noProof/>
          <w:sz w:val="20"/>
          <w:szCs w:val="20"/>
        </w:rPr>
        <w:t xml:space="preserve">The analysis of the research subdomains in fact shows that even in domains where the majority of the responders declared to have a stake (e.g. cryptography), the </w:t>
      </w:r>
      <w:r>
        <w:rPr>
          <w:rFonts w:ascii="Verdana" w:hAnsi="Verdana"/>
          <w:b/>
          <w:noProof/>
          <w:sz w:val="20"/>
          <w:szCs w:val="20"/>
        </w:rPr>
        <w:t>real coverage of the subdomains is heavily jeopardised</w:t>
      </w:r>
      <w:r>
        <w:rPr>
          <w:rFonts w:ascii="Verdana" w:hAnsi="Verdana"/>
          <w:noProof/>
          <w:sz w:val="20"/>
          <w:szCs w:val="20"/>
        </w:rPr>
        <w:t xml:space="preserve"> with the majority of the centres active in the reality only in a </w:t>
      </w:r>
      <w:r>
        <w:rPr>
          <w:rFonts w:ascii="Verdana" w:hAnsi="Verdana"/>
          <w:b/>
          <w:noProof/>
          <w:sz w:val="20"/>
          <w:szCs w:val="20"/>
        </w:rPr>
        <w:t>minor number of sub-fields</w:t>
      </w:r>
      <w:r>
        <w:rPr>
          <w:rFonts w:ascii="Verdana" w:hAnsi="Verdana"/>
          <w:noProof/>
          <w:sz w:val="20"/>
          <w:szCs w:val="20"/>
        </w:rPr>
        <w:t xml:space="preserve">. This results in having several relevant sub-domains poorly supported by the research community, or supported only by a limited number of centres (post-quantum and quantum cryptography, cybercrime research, trust and cybersecurity in AI etc.) (see </w:t>
      </w:r>
      <w:r>
        <w:rPr>
          <w:noProof/>
        </w:rPr>
        <w:fldChar w:fldCharType="begin"/>
      </w:r>
      <w:r>
        <w:rPr>
          <w:rFonts w:ascii="Verdana" w:hAnsi="Verdana"/>
          <w:noProof/>
          <w:sz w:val="20"/>
          <w:szCs w:val="20"/>
        </w:rPr>
        <w:instrText xml:space="preserve"> REF _Ref515470506 \h  \* MERGEFORMAT </w:instrText>
      </w:r>
      <w:r>
        <w:rPr>
          <w:noProof/>
        </w:rPr>
      </w:r>
      <w:r>
        <w:rPr>
          <w:noProof/>
        </w:rPr>
        <w:fldChar w:fldCharType="separate"/>
      </w:r>
      <w:r>
        <w:rPr>
          <w:rFonts w:ascii="Verdana" w:hAnsi="Verdana"/>
          <w:noProof/>
          <w:sz w:val="20"/>
          <w:szCs w:val="20"/>
        </w:rPr>
        <w:t>Table 1</w:t>
      </w:r>
      <w:r>
        <w:rPr>
          <w:noProof/>
        </w:rPr>
        <w:fldChar w:fldCharType="end"/>
      </w:r>
      <w:r>
        <w:rPr>
          <w:rFonts w:ascii="Verdana" w:hAnsi="Verdana"/>
          <w:noProof/>
          <w:sz w:val="20"/>
          <w:szCs w:val="20"/>
        </w:rPr>
        <w:t>). This confirms a trend emerged in the scientific literature analysis and means that EU full coverage of the cybersecurity domains is far from being complete.</w:t>
      </w:r>
    </w:p>
    <w:p>
      <w:pPr>
        <w:jc w:val="both"/>
        <w:rPr>
          <w:rFonts w:ascii="Verdana" w:hAnsi="Verdana"/>
          <w:noProof/>
          <w:sz w:val="20"/>
          <w:szCs w:val="20"/>
        </w:rPr>
      </w:pPr>
      <w:r>
        <w:rPr>
          <w:rFonts w:ascii="Verdana" w:hAnsi="Verdana"/>
          <w:noProof/>
          <w:sz w:val="20"/>
          <w:szCs w:val="20"/>
          <w:shd w:val="clear" w:color="auto" w:fill="DBE5F1" w:themeFill="accent1" w:themeFillTint="33"/>
          <w:lang w:val="en-US"/>
        </w:rPr>
        <w:drawing>
          <wp:inline distT="0" distB="0" distL="0" distR="0">
            <wp:extent cx="5806440" cy="34442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06440" cy="3444240"/>
                    </a:xfrm>
                    <a:prstGeom prst="rect">
                      <a:avLst/>
                    </a:prstGeom>
                    <a:noFill/>
                    <a:ln>
                      <a:noFill/>
                    </a:ln>
                  </pic:spPr>
                </pic:pic>
              </a:graphicData>
            </a:graphic>
          </wp:inline>
        </w:drawing>
      </w:r>
    </w:p>
    <w:p>
      <w:pPr>
        <w:spacing w:after="240"/>
        <w:jc w:val="both"/>
        <w:rPr>
          <w:rFonts w:ascii="Verdana" w:eastAsia="Times New Roman" w:hAnsi="Verdana" w:cs="Times New Roman"/>
          <w:noProof/>
          <w:sz w:val="18"/>
          <w:szCs w:val="20"/>
          <w:lang w:eastAsia="en-GB"/>
        </w:rPr>
      </w:pPr>
      <w:bookmarkStart w:id="101" w:name="_Ref515470506"/>
      <w:r>
        <w:rPr>
          <w:rFonts w:ascii="Verdana" w:hAnsi="Verdana"/>
          <w:b/>
          <w:noProof/>
          <w:sz w:val="18"/>
          <w:szCs w:val="20"/>
        </w:rPr>
        <w:t xml:space="preserve">Table </w:t>
      </w:r>
      <w:r>
        <w:rPr>
          <w:noProof/>
        </w:rPr>
        <w:fldChar w:fldCharType="begin"/>
      </w:r>
      <w:r>
        <w:rPr>
          <w:rFonts w:ascii="Verdana" w:hAnsi="Verdana"/>
          <w:b/>
          <w:noProof/>
          <w:sz w:val="18"/>
          <w:szCs w:val="20"/>
        </w:rPr>
        <w:instrText xml:space="preserve"> SEQ Table \* ARABIC </w:instrText>
      </w:r>
      <w:r>
        <w:rPr>
          <w:noProof/>
        </w:rPr>
        <w:fldChar w:fldCharType="separate"/>
      </w:r>
      <w:r>
        <w:rPr>
          <w:rFonts w:ascii="Verdana" w:hAnsi="Verdana"/>
          <w:b/>
          <w:noProof/>
          <w:sz w:val="18"/>
          <w:szCs w:val="20"/>
        </w:rPr>
        <w:t>1</w:t>
      </w:r>
      <w:r>
        <w:rPr>
          <w:noProof/>
        </w:rPr>
        <w:fldChar w:fldCharType="end"/>
      </w:r>
      <w:bookmarkEnd w:id="101"/>
      <w:r>
        <w:rPr>
          <w:rFonts w:ascii="Verdana" w:hAnsi="Verdana"/>
          <w:b/>
          <w:noProof/>
          <w:sz w:val="18"/>
          <w:szCs w:val="20"/>
        </w:rPr>
        <w:t>.</w:t>
      </w:r>
      <w:r>
        <w:rPr>
          <w:rFonts w:ascii="Verdana" w:hAnsi="Verdana"/>
          <w:noProof/>
          <w:sz w:val="18"/>
          <w:szCs w:val="20"/>
        </w:rPr>
        <w:t xml:space="preserve"> Most and least explored subdomains.</w:t>
      </w:r>
    </w:p>
    <w:p>
      <w:pPr>
        <w:jc w:val="both"/>
        <w:rPr>
          <w:rFonts w:ascii="Verdana" w:hAnsi="Verdana"/>
          <w:noProof/>
          <w:sz w:val="20"/>
          <w:szCs w:val="20"/>
        </w:rPr>
      </w:pPr>
      <w:r>
        <w:rPr>
          <w:rFonts w:ascii="Verdana" w:hAnsi="Verdana"/>
          <w:noProof/>
          <w:sz w:val="20"/>
          <w:szCs w:val="20"/>
        </w:rPr>
        <w:t xml:space="preserve">At country level, the survey put in evidence that all the MS have cybersecurity capabilities. However their capacity to impact on the scientific and technological production is heterogeneous with the </w:t>
      </w:r>
      <w:r>
        <w:rPr>
          <w:rFonts w:ascii="Verdana" w:hAnsi="Verdana"/>
          <w:b/>
          <w:noProof/>
          <w:sz w:val="20"/>
          <w:szCs w:val="20"/>
        </w:rPr>
        <w:t>most influential institutions concentrated in few MS</w:t>
      </w:r>
      <w:r>
        <w:rPr>
          <w:rFonts w:ascii="Verdana" w:hAnsi="Verdana"/>
          <w:noProof/>
          <w:sz w:val="20"/>
          <w:szCs w:val="20"/>
        </w:rPr>
        <w:t xml:space="preserve"> (trend confirmed by the H2020 analysis). The coverage of subdomains at MS level is as well heterogeneous, probably due to a lack of coordination among national funding schemes and priorities. </w:t>
      </w:r>
    </w:p>
    <w:p>
      <w:pPr>
        <w:jc w:val="both"/>
        <w:rPr>
          <w:rFonts w:ascii="Verdana" w:hAnsi="Verdana"/>
          <w:noProof/>
          <w:sz w:val="20"/>
          <w:szCs w:val="20"/>
        </w:rPr>
      </w:pPr>
      <w:r>
        <w:rPr>
          <w:rFonts w:ascii="Verdana" w:hAnsi="Verdana"/>
          <w:noProof/>
          <w:sz w:val="20"/>
          <w:szCs w:val="20"/>
        </w:rPr>
        <w:t xml:space="preserve">The analysis of the sectors of application of cybersecurity research shows again a heterogeneous landscape at MS level, with some sectors (e.g. Energy, Space, Defense, Transport) </w:t>
      </w:r>
      <w:r>
        <w:rPr>
          <w:rFonts w:ascii="Verdana" w:hAnsi="Verdana"/>
          <w:b/>
          <w:noProof/>
          <w:sz w:val="20"/>
          <w:szCs w:val="20"/>
        </w:rPr>
        <w:t>strongly developed in a few countries, and poorly developed in all the others.</w:t>
      </w:r>
      <w:r>
        <w:rPr>
          <w:rFonts w:ascii="Verdana" w:hAnsi="Verdana"/>
          <w:noProof/>
          <w:sz w:val="20"/>
          <w:szCs w:val="20"/>
        </w:rPr>
        <w:t xml:space="preserve"> </w:t>
      </w:r>
    </w:p>
    <w:p>
      <w:pPr>
        <w:jc w:val="both"/>
        <w:rPr>
          <w:rFonts w:ascii="Verdana" w:hAnsi="Verdana"/>
          <w:noProof/>
          <w:sz w:val="20"/>
          <w:szCs w:val="20"/>
        </w:rPr>
      </w:pPr>
      <w:r>
        <w:rPr>
          <w:rFonts w:ascii="Verdana" w:hAnsi="Verdana"/>
          <w:noProof/>
          <w:sz w:val="20"/>
          <w:szCs w:val="20"/>
        </w:rPr>
        <w:t>A possible interpretation of this trend is related to t</w:t>
      </w:r>
      <w:r>
        <w:rPr>
          <w:rFonts w:ascii="Verdana" w:hAnsi="Verdana"/>
          <w:b/>
          <w:noProof/>
          <w:sz w:val="20"/>
          <w:szCs w:val="20"/>
        </w:rPr>
        <w:t>he cost of the infrastructures needed to conduct “on-field” research in these sectors,</w:t>
      </w:r>
      <w:r>
        <w:rPr>
          <w:rFonts w:ascii="Verdana" w:hAnsi="Verdana"/>
          <w:noProof/>
          <w:sz w:val="20"/>
          <w:szCs w:val="20"/>
        </w:rPr>
        <w:t xml:space="preserve"> which can be sustained only by a few big countries. This finding seems to find confirmation when looking at the technological applications covered by research in cyber-security, with those requiring the availability of costly facilities deeply explored only by a limited number of institutions in few countries. </w:t>
      </w:r>
    </w:p>
    <w:p>
      <w:pPr>
        <w:jc w:val="both"/>
        <w:rPr>
          <w:rFonts w:ascii="Verdana" w:hAnsi="Verdana"/>
          <w:noProof/>
          <w:sz w:val="20"/>
          <w:szCs w:val="20"/>
        </w:rPr>
      </w:pPr>
      <w:r>
        <w:rPr>
          <w:rFonts w:ascii="Verdana" w:hAnsi="Verdana"/>
          <w:noProof/>
          <w:sz w:val="20"/>
          <w:szCs w:val="20"/>
        </w:rPr>
        <w:t>In term of work-force (i.e. number of researchers), the survey does not provide a clear view: only 1/3 of the responders provided information on full time equivalent (FTE) working on cybersecurity research, and in several cases the numbers provided does not seem to be realistic (a probable misinterpretation of the related question). Further investigation will be required on this particular point.</w:t>
      </w:r>
    </w:p>
    <w:p>
      <w:pPr>
        <w:jc w:val="both"/>
        <w:rPr>
          <w:rFonts w:ascii="Verdana" w:hAnsi="Verdana"/>
          <w:noProof/>
          <w:sz w:val="20"/>
          <w:szCs w:val="20"/>
        </w:rPr>
      </w:pPr>
    </w:p>
    <w:p>
      <w:pPr>
        <w:jc w:val="both"/>
        <w:rPr>
          <w:rFonts w:ascii="Verdana" w:hAnsi="Verdana"/>
          <w:noProof/>
          <w:sz w:val="20"/>
          <w:szCs w:val="20"/>
        </w:rPr>
      </w:pPr>
    </w:p>
    <w:p>
      <w:pPr>
        <w:jc w:val="both"/>
        <w:rPr>
          <w:rFonts w:ascii="Verdana" w:hAnsi="Verdana"/>
          <w:b/>
          <w:noProof/>
          <w:sz w:val="20"/>
          <w:szCs w:val="20"/>
        </w:rPr>
      </w:pPr>
      <w:r>
        <w:rPr>
          <w:rFonts w:ascii="Verdana" w:hAnsi="Verdana"/>
          <w:noProof/>
          <w:sz w:val="20"/>
          <w:szCs w:val="20"/>
        </w:rPr>
        <w:t xml:space="preserve">In general, the full picture provided by this analysis shows a European cybersecurity research community vibrant, productive and recognised at global level, which however has often </w:t>
      </w:r>
      <w:r>
        <w:rPr>
          <w:rFonts w:ascii="Verdana" w:hAnsi="Verdana"/>
          <w:b/>
          <w:noProof/>
          <w:sz w:val="20"/>
          <w:szCs w:val="20"/>
        </w:rPr>
        <w:t xml:space="preserve">difficulties in reaching the critical mass to truly make the difference, lacks of coordination in synergic domains and which is not always able to tightly connect with the industry. </w:t>
      </w:r>
    </w:p>
    <w:p>
      <w:pPr>
        <w:jc w:val="both"/>
        <w:rPr>
          <w:rFonts w:ascii="Verdana" w:hAnsi="Verdana"/>
          <w:noProof/>
          <w:sz w:val="20"/>
          <w:szCs w:val="20"/>
        </w:rPr>
      </w:pPr>
      <w:r>
        <w:rPr>
          <w:rFonts w:ascii="Verdana" w:hAnsi="Verdana"/>
          <w:noProof/>
          <w:sz w:val="20"/>
          <w:szCs w:val="20"/>
        </w:rPr>
        <w:t xml:space="preserve">These last considerations call for the definition of new measures to: </w:t>
      </w:r>
    </w:p>
    <w:p>
      <w:pPr>
        <w:numPr>
          <w:ilvl w:val="0"/>
          <w:numId w:val="20"/>
        </w:numPr>
        <w:spacing w:after="160" w:line="256" w:lineRule="auto"/>
        <w:ind w:left="720"/>
        <w:contextualSpacing/>
        <w:jc w:val="both"/>
        <w:rPr>
          <w:rFonts w:ascii="Verdana" w:eastAsia="Times New Roman" w:hAnsi="Verdana" w:cs="Times New Roman"/>
          <w:noProof/>
          <w:sz w:val="20"/>
          <w:szCs w:val="20"/>
          <w:lang w:eastAsia="en-GB"/>
        </w:rPr>
      </w:pPr>
      <w:r>
        <w:rPr>
          <w:rFonts w:ascii="Verdana" w:hAnsi="Verdana"/>
          <w:noProof/>
          <w:sz w:val="20"/>
          <w:szCs w:val="20"/>
        </w:rPr>
        <w:t xml:space="preserve">Strengthening and enlarging the collaboration of cyber-security research organisations across Member States; </w:t>
      </w:r>
    </w:p>
    <w:p>
      <w:pPr>
        <w:numPr>
          <w:ilvl w:val="0"/>
          <w:numId w:val="20"/>
        </w:numPr>
        <w:spacing w:after="160" w:line="256" w:lineRule="auto"/>
        <w:ind w:left="720"/>
        <w:contextualSpacing/>
        <w:jc w:val="both"/>
        <w:rPr>
          <w:rFonts w:ascii="Verdana" w:hAnsi="Verdana"/>
          <w:noProof/>
          <w:sz w:val="20"/>
          <w:szCs w:val="20"/>
        </w:rPr>
      </w:pPr>
      <w:r>
        <w:rPr>
          <w:rFonts w:ascii="Verdana" w:hAnsi="Verdana"/>
          <w:noProof/>
          <w:sz w:val="20"/>
          <w:szCs w:val="20"/>
        </w:rPr>
        <w:t>Streamline and stabilise the R&amp;D cooperation between industry and academy;</w:t>
      </w:r>
    </w:p>
    <w:p>
      <w:pPr>
        <w:numPr>
          <w:ilvl w:val="0"/>
          <w:numId w:val="20"/>
        </w:numPr>
        <w:spacing w:after="160" w:line="256" w:lineRule="auto"/>
        <w:ind w:left="720"/>
        <w:contextualSpacing/>
        <w:jc w:val="both"/>
        <w:rPr>
          <w:rFonts w:ascii="Verdana" w:hAnsi="Verdana"/>
          <w:noProof/>
          <w:sz w:val="20"/>
          <w:szCs w:val="20"/>
        </w:rPr>
      </w:pPr>
      <w:r>
        <w:rPr>
          <w:rFonts w:ascii="Verdana" w:hAnsi="Verdana"/>
          <w:noProof/>
          <w:sz w:val="20"/>
          <w:szCs w:val="20"/>
        </w:rPr>
        <w:t>Better coordinate research funding across the Union;</w:t>
      </w:r>
    </w:p>
    <w:p>
      <w:pPr>
        <w:numPr>
          <w:ilvl w:val="0"/>
          <w:numId w:val="20"/>
        </w:numPr>
        <w:spacing w:after="160" w:line="256" w:lineRule="auto"/>
        <w:ind w:left="720"/>
        <w:contextualSpacing/>
        <w:jc w:val="both"/>
        <w:rPr>
          <w:rFonts w:ascii="Verdana" w:hAnsi="Verdana"/>
          <w:noProof/>
          <w:sz w:val="20"/>
          <w:szCs w:val="20"/>
        </w:rPr>
      </w:pPr>
      <w:r>
        <w:rPr>
          <w:rFonts w:ascii="Verdana" w:hAnsi="Verdana"/>
          <w:noProof/>
          <w:sz w:val="20"/>
          <w:szCs w:val="20"/>
        </w:rPr>
        <w:t>Co-design of research plans between funding bodies and recipients;</w:t>
      </w:r>
    </w:p>
    <w:p>
      <w:pPr>
        <w:numPr>
          <w:ilvl w:val="0"/>
          <w:numId w:val="20"/>
        </w:numPr>
        <w:spacing w:after="160" w:line="256" w:lineRule="auto"/>
        <w:ind w:left="720"/>
        <w:contextualSpacing/>
        <w:jc w:val="both"/>
        <w:rPr>
          <w:rFonts w:ascii="Verdana" w:hAnsi="Verdana"/>
          <w:noProof/>
          <w:sz w:val="20"/>
          <w:szCs w:val="20"/>
        </w:rPr>
      </w:pPr>
      <w:r>
        <w:rPr>
          <w:rFonts w:ascii="Verdana" w:hAnsi="Verdana"/>
          <w:noProof/>
          <w:sz w:val="20"/>
          <w:szCs w:val="20"/>
        </w:rPr>
        <w:t>Support the sharing of highly expensive infrastructures (in an Open Laboratory initiative fashion).</w:t>
      </w:r>
    </w:p>
    <w:p>
      <w:pPr>
        <w:keepNext/>
        <w:pageBreakBefore/>
        <w:spacing w:after="120"/>
        <w:jc w:val="both"/>
        <w:outlineLvl w:val="0"/>
        <w:rPr>
          <w:rFonts w:ascii="Verdana" w:eastAsia="Calibri" w:hAnsi="Verdana"/>
          <w:b/>
          <w:noProof/>
          <w:sz w:val="26"/>
          <w:szCs w:val="24"/>
        </w:rPr>
      </w:pPr>
      <w:bookmarkStart w:id="102" w:name="_Toc523835955"/>
      <w:r>
        <w:rPr>
          <w:rFonts w:ascii="Verdana" w:eastAsia="Calibri" w:hAnsi="Verdana"/>
          <w:b/>
          <w:noProof/>
          <w:sz w:val="26"/>
        </w:rPr>
        <w:t>Annex I – Cybersecurity Survey</w:t>
      </w:r>
      <w:bookmarkEnd w:id="102"/>
    </w:p>
    <w:p>
      <w:pPr>
        <w:jc w:val="both"/>
        <w:rPr>
          <w:rFonts w:ascii="Verdana" w:eastAsia="Times New Roman" w:hAnsi="Verdana"/>
          <w:noProof/>
          <w:sz w:val="20"/>
          <w:szCs w:val="20"/>
        </w:rPr>
      </w:pPr>
      <w:r>
        <w:rPr>
          <w:rFonts w:ascii="Verdana" w:hAnsi="Verdana"/>
          <w:noProof/>
          <w:sz w:val="20"/>
          <w:szCs w:val="20"/>
        </w:rPr>
        <w:t>In order to keep this report self-contained in this annex the complete list of the survey questions is presented as shown to the participants.</w:t>
      </w:r>
    </w:p>
    <w:p>
      <w:pPr>
        <w:jc w:val="both"/>
        <w:rPr>
          <w:rFonts w:ascii="Verdana" w:hAnsi="Verdana"/>
          <w:noProof/>
          <w:sz w:val="20"/>
          <w:szCs w:val="20"/>
        </w:rPr>
      </w:pPr>
    </w:p>
    <w:p>
      <w:pPr>
        <w:jc w:val="both"/>
        <w:rPr>
          <w:rFonts w:ascii="Verdana" w:hAnsi="Verdana"/>
          <w:noProof/>
          <w:sz w:val="20"/>
          <w:szCs w:val="20"/>
        </w:rPr>
      </w:pPr>
      <w:r>
        <w:rPr>
          <w:rFonts w:ascii="Verdana" w:hAnsi="Verdana"/>
          <w:noProof/>
          <w:sz w:val="20"/>
          <w:szCs w:val="20"/>
          <w:lang w:val="en-US"/>
        </w:rPr>
        <w:drawing>
          <wp:inline distT="0" distB="0" distL="0" distR="0">
            <wp:extent cx="5753100" cy="6972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3100" cy="6972300"/>
                    </a:xfrm>
                    <a:prstGeom prst="rect">
                      <a:avLst/>
                    </a:prstGeom>
                    <a:noFill/>
                    <a:ln>
                      <a:noFill/>
                    </a:ln>
                  </pic:spPr>
                </pic:pic>
              </a:graphicData>
            </a:graphic>
          </wp:inline>
        </w:drawing>
      </w:r>
    </w:p>
    <w:p>
      <w:pPr>
        <w:jc w:val="both"/>
        <w:rPr>
          <w:rFonts w:ascii="Verdana" w:hAnsi="Verdana"/>
          <w:noProof/>
          <w:sz w:val="20"/>
          <w:szCs w:val="20"/>
        </w:rPr>
      </w:pPr>
      <w:r>
        <w:rPr>
          <w:rFonts w:ascii="Verdana" w:hAnsi="Verdana"/>
          <w:noProof/>
          <w:sz w:val="20"/>
          <w:szCs w:val="20"/>
          <w:lang w:val="en-US"/>
        </w:rPr>
        <w:drawing>
          <wp:inline distT="0" distB="0" distL="0" distR="0">
            <wp:extent cx="5798820" cy="72542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98820" cy="725424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623560" cy="4922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23560" cy="492252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608320" cy="3665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08320" cy="366522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760720" cy="46405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464058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684520" cy="5684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84520" cy="568452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608320" cy="46710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08320" cy="467106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699760" cy="4777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99760" cy="477774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676900" cy="4396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76900" cy="439674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593080" cy="58216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93080" cy="582168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646420" cy="4709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46420" cy="4709160"/>
                    </a:xfrm>
                    <a:prstGeom prst="rect">
                      <a:avLst/>
                    </a:prstGeom>
                    <a:noFill/>
                    <a:ln>
                      <a:noFill/>
                    </a:ln>
                  </pic:spPr>
                </pic:pic>
              </a:graphicData>
            </a:graphic>
          </wp:inline>
        </w:drawing>
      </w:r>
      <w:r>
        <w:rPr>
          <w:rFonts w:ascii="Verdana" w:hAnsi="Verdana"/>
          <w:noProof/>
          <w:sz w:val="20"/>
          <w:szCs w:val="20"/>
          <w:lang w:val="en-US"/>
        </w:rPr>
        <w:drawing>
          <wp:inline distT="0" distB="0" distL="0" distR="0">
            <wp:extent cx="5699760" cy="55397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99760" cy="553974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745480" cy="53797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45480" cy="537972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730240" cy="59512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0240" cy="595122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631180" cy="42062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31180" cy="420624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623560" cy="464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23560" cy="464820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562600" cy="4328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62600" cy="432816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623560" cy="495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23560" cy="495300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631180" cy="38252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31180" cy="3825240"/>
                    </a:xfrm>
                    <a:prstGeom prst="rect">
                      <a:avLst/>
                    </a:prstGeom>
                    <a:noFill/>
                    <a:ln>
                      <a:noFill/>
                    </a:ln>
                  </pic:spPr>
                </pic:pic>
              </a:graphicData>
            </a:graphic>
          </wp:inline>
        </w:drawing>
      </w:r>
      <w:r>
        <w:rPr>
          <w:rFonts w:ascii="Verdana" w:hAnsi="Verdana"/>
          <w:noProof/>
          <w:sz w:val="20"/>
          <w:szCs w:val="20"/>
          <w:lang w:val="en-US"/>
        </w:rPr>
        <w:t xml:space="preserve"> </w:t>
      </w:r>
      <w:r>
        <w:rPr>
          <w:rFonts w:ascii="Verdana" w:hAnsi="Verdana"/>
          <w:noProof/>
          <w:sz w:val="20"/>
          <w:szCs w:val="20"/>
          <w:lang w:val="en-US"/>
        </w:rPr>
        <w:drawing>
          <wp:inline distT="0" distB="0" distL="0" distR="0">
            <wp:extent cx="5631180" cy="61417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31180" cy="6141720"/>
                    </a:xfrm>
                    <a:prstGeom prst="rect">
                      <a:avLst/>
                    </a:prstGeom>
                    <a:noFill/>
                    <a:ln>
                      <a:noFill/>
                    </a:ln>
                  </pic:spPr>
                </pic:pic>
              </a:graphicData>
            </a:graphic>
          </wp:inline>
        </w:drawing>
      </w:r>
    </w:p>
    <w:p>
      <w:pPr>
        <w:spacing w:after="160"/>
        <w:jc w:val="both"/>
        <w:rPr>
          <w:noProof/>
        </w:rPr>
      </w:pPr>
    </w:p>
    <w:p>
      <w:pPr>
        <w:jc w:val="both"/>
        <w:rPr>
          <w:rFonts w:ascii="Verdana" w:eastAsia="Times New Roman" w:hAnsi="Verdana" w:cs="Times New Roman"/>
          <w:noProof/>
          <w:sz w:val="20"/>
          <w:szCs w:val="20"/>
          <w:lang w:eastAsia="en-GB"/>
        </w:rPr>
      </w:pPr>
    </w:p>
    <w:p>
      <w:pPr>
        <w:jc w:val="both"/>
        <w:rPr>
          <w:rFonts w:ascii="Verdana" w:hAnsi="Verdana"/>
          <w:noProof/>
          <w:sz w:val="20"/>
          <w:szCs w:val="20"/>
        </w:rPr>
      </w:pPr>
    </w:p>
    <w:p>
      <w:pPr>
        <w:jc w:val="both"/>
        <w:rPr>
          <w:rFonts w:ascii="Verdana" w:hAnsi="Verdana"/>
          <w:noProof/>
          <w:sz w:val="20"/>
          <w:szCs w:val="20"/>
        </w:rPr>
      </w:pPr>
    </w:p>
    <w:p>
      <w:pPr>
        <w:jc w:val="both"/>
        <w:rPr>
          <w:rFonts w:ascii="Verdana" w:hAnsi="Verdana"/>
          <w:noProof/>
          <w:sz w:val="20"/>
          <w:szCs w:val="20"/>
        </w:rPr>
      </w:pPr>
    </w:p>
    <w:p>
      <w:pPr>
        <w:keepNext/>
        <w:pageBreakBefore/>
        <w:spacing w:after="120"/>
        <w:jc w:val="both"/>
        <w:outlineLvl w:val="0"/>
        <w:rPr>
          <w:rFonts w:ascii="Verdana" w:hAnsi="Verdana"/>
          <w:b/>
          <w:noProof/>
          <w:sz w:val="24"/>
          <w:szCs w:val="24"/>
        </w:rPr>
      </w:pPr>
      <w:bookmarkStart w:id="103" w:name="_Toc523835956"/>
      <w:r>
        <w:rPr>
          <w:rFonts w:ascii="Verdana" w:hAnsi="Verdana"/>
          <w:b/>
          <w:noProof/>
        </w:rPr>
        <w:t>List of figures</w:t>
      </w:r>
      <w:bookmarkEnd w:id="103"/>
    </w:p>
    <w:p>
      <w:pPr>
        <w:tabs>
          <w:tab w:val="right" w:leader="dot" w:pos="9016"/>
        </w:tabs>
        <w:spacing w:before="120" w:after="120"/>
        <w:jc w:val="both"/>
        <w:rPr>
          <w:rFonts w:eastAsiaTheme="minorEastAsia"/>
          <w:noProof/>
          <w:lang w:val="en-US"/>
        </w:rPr>
      </w:pPr>
      <w:r>
        <w:rPr>
          <w:noProof/>
        </w:rPr>
        <w:fldChar w:fldCharType="begin"/>
      </w:r>
      <w:r>
        <w:rPr>
          <w:rFonts w:ascii="Verdana" w:eastAsia="Calibri" w:hAnsi="Verdana"/>
          <w:noProof/>
          <w:sz w:val="20"/>
        </w:rPr>
        <w:instrText xml:space="preserve"> TOC \f f \h \z \t "JRC_Figure_caption,1" \c "Figure" </w:instrText>
      </w:r>
      <w:r>
        <w:rPr>
          <w:noProof/>
        </w:rPr>
        <w:fldChar w:fldCharType="separate"/>
      </w:r>
      <w:hyperlink r:id="rId118" w:anchor="_Toc523835957" w:history="1">
        <w:r>
          <w:rPr>
            <w:rStyle w:val="Hyperlink"/>
            <w:rFonts w:ascii="Verdana" w:eastAsia="Calibri" w:hAnsi="Verdana"/>
            <w:b/>
            <w:noProof/>
          </w:rPr>
          <w:t>Figure 1.</w:t>
        </w:r>
        <w:r>
          <w:rPr>
            <w:rStyle w:val="Hyperlink"/>
            <w:rFonts w:ascii="Verdana" w:eastAsia="Calibri" w:hAnsi="Verdana"/>
            <w:noProof/>
          </w:rPr>
          <w:t xml:space="preserve"> Entity type, legal status, and funding types.</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_Toc523835957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6</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19" w:anchor="_Toc523835958" w:history="1">
        <w:r>
          <w:rPr>
            <w:rStyle w:val="Hyperlink"/>
            <w:rFonts w:ascii="Verdana" w:eastAsia="Calibri" w:hAnsi="Verdana"/>
            <w:b/>
            <w:noProof/>
          </w:rPr>
          <w:t>Figure 2.</w:t>
        </w:r>
        <w:r>
          <w:rPr>
            <w:rStyle w:val="Hyperlink"/>
            <w:rFonts w:ascii="Verdana" w:eastAsia="Calibri" w:hAnsi="Verdana"/>
            <w:noProof/>
          </w:rPr>
          <w:t xml:space="preserve"> Cybersecurity domains.</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_Toc523835958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7</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20" w:anchor="_Toc523835959" w:history="1">
        <w:r>
          <w:rPr>
            <w:rStyle w:val="Hyperlink"/>
            <w:rFonts w:ascii="Verdana" w:eastAsia="Calibri" w:hAnsi="Verdana"/>
            <w:b/>
            <w:noProof/>
          </w:rPr>
          <w:t>Figure 3.</w:t>
        </w:r>
        <w:r>
          <w:rPr>
            <w:rStyle w:val="Hyperlink"/>
            <w:rFonts w:ascii="Verdana" w:eastAsia="Calibri" w:hAnsi="Verdana"/>
            <w:noProof/>
          </w:rPr>
          <w:t xml:space="preserve"> Cryptology subdomains.</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_Toc523835959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8</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21" w:anchor="_Toc523835960" w:history="1">
        <w:r>
          <w:rPr>
            <w:rStyle w:val="Hyperlink"/>
            <w:rFonts w:ascii="Verdana" w:eastAsia="Calibri" w:hAnsi="Verdana"/>
            <w:b/>
            <w:noProof/>
          </w:rPr>
          <w:t>Figure 4.</w:t>
        </w:r>
        <w:r>
          <w:rPr>
            <w:rStyle w:val="Hyperlink"/>
            <w:rFonts w:ascii="Verdana" w:eastAsia="Calibri" w:hAnsi="Verdana"/>
            <w:noProof/>
          </w:rPr>
          <w:t xml:space="preserve"> Sectors, applications, and technologies.</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_Toc523835960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9</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22" w:anchor="_Toc523835961" w:history="1">
        <w:r>
          <w:rPr>
            <w:rStyle w:val="Hyperlink"/>
            <w:rFonts w:ascii="Verdana" w:eastAsia="Calibri" w:hAnsi="Verdana"/>
            <w:b/>
            <w:noProof/>
          </w:rPr>
          <w:t>Figure 5.</w:t>
        </w:r>
        <w:r>
          <w:rPr>
            <w:rStyle w:val="Hyperlink"/>
            <w:rFonts w:ascii="Verdana" w:eastAsia="Calibri" w:hAnsi="Verdana"/>
            <w:noProof/>
          </w:rPr>
          <w:t xml:space="preserve"> Geographical distribution of number of survey participants per country with a color legend indicating with darker blue color countries with a higher number.</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_Toc523835961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10</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23" w:anchor="_Toc523835962" w:history="1">
        <w:r>
          <w:rPr>
            <w:rStyle w:val="Hyperlink"/>
            <w:rFonts w:ascii="Verdana" w:eastAsia="Calibri" w:hAnsi="Verdana"/>
            <w:b/>
            <w:noProof/>
          </w:rPr>
          <w:t>Figure 6.</w:t>
        </w:r>
        <w:r>
          <w:rPr>
            <w:rStyle w:val="Hyperlink"/>
            <w:rFonts w:ascii="Verdana" w:eastAsia="Calibri" w:hAnsi="Verdana"/>
            <w:noProof/>
          </w:rPr>
          <w:t xml:space="preserve"> Number of survey participants per country. Non-EU participants are highlighted in in grey.</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_Toc523835962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11</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24" w:anchor="_Toc523835963" w:history="1">
        <w:r>
          <w:rPr>
            <w:rStyle w:val="Hyperlink"/>
            <w:rFonts w:ascii="Verdana" w:eastAsia="Calibri" w:hAnsi="Verdana"/>
            <w:b/>
            <w:noProof/>
          </w:rPr>
          <w:t>Figure 7.</w:t>
        </w:r>
        <w:r>
          <w:rPr>
            <w:rStyle w:val="Hyperlink"/>
            <w:rFonts w:ascii="Verdana" w:eastAsia="Calibri" w:hAnsi="Verdana"/>
            <w:noProof/>
          </w:rPr>
          <w:t xml:space="preserve"> Distribution of participants according to their entity type.</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_Toc523835963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12</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25" w:anchor="_Toc523835964" w:history="1">
        <w:r>
          <w:rPr>
            <w:rStyle w:val="Hyperlink"/>
            <w:rFonts w:ascii="Verdana" w:eastAsia="Calibri" w:hAnsi="Verdana"/>
            <w:b/>
            <w:noProof/>
          </w:rPr>
          <w:t>Figure 8.</w:t>
        </w:r>
        <w:r>
          <w:rPr>
            <w:rStyle w:val="Hyperlink"/>
            <w:rFonts w:ascii="Verdana" w:eastAsia="Calibri" w:hAnsi="Verdana"/>
            <w:noProof/>
          </w:rPr>
          <w:t xml:space="preserve"> Distribution of entity types per country.</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_Toc523835964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12</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26" w:anchor="_Toc523835965" w:history="1">
        <w:r>
          <w:rPr>
            <w:rStyle w:val="Hyperlink"/>
            <w:rFonts w:ascii="Verdana" w:eastAsia="Calibri" w:hAnsi="Verdana"/>
            <w:b/>
            <w:noProof/>
          </w:rPr>
          <w:t>Figure 9.</w:t>
        </w:r>
        <w:r>
          <w:rPr>
            <w:rStyle w:val="Hyperlink"/>
            <w:rFonts w:ascii="Verdana" w:eastAsia="Calibri" w:hAnsi="Verdana"/>
            <w:noProof/>
          </w:rPr>
          <w:t xml:space="preserve"> Distribution of participants according to their legal status.</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_Toc523835965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12</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27" w:anchor="_Toc523835966" w:history="1">
        <w:r>
          <w:rPr>
            <w:rStyle w:val="Hyperlink"/>
            <w:rFonts w:ascii="Verdana" w:eastAsia="Calibri" w:hAnsi="Verdana"/>
            <w:b/>
            <w:noProof/>
          </w:rPr>
          <w:t>Figure 10.</w:t>
        </w:r>
        <w:r>
          <w:rPr>
            <w:rStyle w:val="Hyperlink"/>
            <w:rFonts w:ascii="Verdana" w:eastAsia="Calibri" w:hAnsi="Verdana"/>
            <w:noProof/>
          </w:rPr>
          <w:t xml:space="preserve"> Distribution of entities per country according to their legal status.</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_Toc523835966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13</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28" w:anchor="_Toc523835967" w:history="1">
        <w:r>
          <w:rPr>
            <w:rStyle w:val="Hyperlink"/>
            <w:rFonts w:ascii="Verdana" w:eastAsia="Calibri" w:hAnsi="Verdana"/>
            <w:b/>
            <w:noProof/>
          </w:rPr>
          <w:t>Figure 11.</w:t>
        </w:r>
        <w:r>
          <w:rPr>
            <w:rStyle w:val="Hyperlink"/>
            <w:rFonts w:ascii="Verdana" w:eastAsia="Calibri" w:hAnsi="Verdana"/>
            <w:noProof/>
          </w:rPr>
          <w:t xml:space="preserve"> Distribution of participants according to their expertise in the cybersecurity domains.</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_Toc523835967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14</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29" w:anchor="_Toc523835968" w:history="1">
        <w:r>
          <w:rPr>
            <w:rStyle w:val="Hyperlink"/>
            <w:rFonts w:ascii="Verdana" w:eastAsia="Calibri" w:hAnsi="Verdana"/>
            <w:b/>
            <w:noProof/>
          </w:rPr>
          <w:t>Figure 12.</w:t>
        </w:r>
        <w:r>
          <w:rPr>
            <w:rStyle w:val="Hyperlink"/>
            <w:rFonts w:ascii="Verdana" w:eastAsia="Calibri" w:hAnsi="Verdana"/>
            <w:noProof/>
          </w:rPr>
          <w:t xml:space="preserve"> Distribution of domains per country using stacked columns showing total of replies per country and partition per domain.</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_Toc523835968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14</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30" w:anchor="_Toc523835969" w:history="1">
        <w:r>
          <w:rPr>
            <w:rStyle w:val="Hyperlink"/>
            <w:rFonts w:ascii="Verdana" w:eastAsia="Calibri" w:hAnsi="Verdana"/>
            <w:b/>
            <w:noProof/>
          </w:rPr>
          <w:t>Figure 13.</w:t>
        </w:r>
        <w:r>
          <w:rPr>
            <w:rStyle w:val="Hyperlink"/>
            <w:rFonts w:ascii="Verdana" w:eastAsia="Calibri" w:hAnsi="Verdana"/>
            <w:noProof/>
          </w:rPr>
          <w:t xml:space="preserve"> Distribution of participants according to their expertise in the cybersecurity subdomains, first half.</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_Toc523835969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16</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31" w:anchor="_Toc523835970" w:history="1">
        <w:r>
          <w:rPr>
            <w:rStyle w:val="Hyperlink"/>
            <w:rFonts w:ascii="Verdana" w:eastAsia="Calibri" w:hAnsi="Verdana"/>
            <w:b/>
            <w:noProof/>
          </w:rPr>
          <w:t>Figure 14.</w:t>
        </w:r>
        <w:r>
          <w:rPr>
            <w:rStyle w:val="Hyperlink"/>
            <w:rFonts w:ascii="Verdana" w:eastAsia="Calibri" w:hAnsi="Verdana"/>
            <w:noProof/>
          </w:rPr>
          <w:t xml:space="preserve"> Distribution of participants according to their expertise in the cybersecurity subdomains, second half.</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_Toc523835970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17</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32" w:anchor="_Toc523835971" w:history="1">
        <w:r>
          <w:rPr>
            <w:rStyle w:val="Hyperlink"/>
            <w:rFonts w:ascii="Verdana" w:eastAsia="Calibri" w:hAnsi="Verdana"/>
            <w:b/>
            <w:noProof/>
          </w:rPr>
          <w:t>Figure 15.</w:t>
        </w:r>
        <w:r>
          <w:rPr>
            <w:rStyle w:val="Hyperlink"/>
            <w:rFonts w:ascii="Verdana" w:eastAsia="Calibri" w:hAnsi="Verdana"/>
            <w:noProof/>
          </w:rPr>
          <w:t xml:space="preserve"> Distribution of funding sources.</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_Toc523835971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18</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33" w:anchor="_Toc523835972" w:history="1">
        <w:r>
          <w:rPr>
            <w:rStyle w:val="Hyperlink"/>
            <w:rFonts w:ascii="Verdana" w:eastAsia="Calibri" w:hAnsi="Verdana"/>
            <w:b/>
            <w:noProof/>
          </w:rPr>
          <w:t>Figure 16.</w:t>
        </w:r>
        <w:r>
          <w:rPr>
            <w:rStyle w:val="Hyperlink"/>
            <w:rFonts w:ascii="Verdana" w:eastAsia="Calibri" w:hAnsi="Verdana"/>
            <w:noProof/>
          </w:rPr>
          <w:t xml:space="preserve"> Distribution of funding sources per country.</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_Toc523835972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18</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34" w:anchor="_Toc523835973" w:history="1">
        <w:r>
          <w:rPr>
            <w:rStyle w:val="Hyperlink"/>
            <w:rFonts w:ascii="Verdana" w:eastAsia="Calibri" w:hAnsi="Verdana"/>
            <w:b/>
            <w:noProof/>
          </w:rPr>
          <w:t>Figure 17.</w:t>
        </w:r>
        <w:r>
          <w:rPr>
            <w:rStyle w:val="Hyperlink"/>
            <w:rFonts w:ascii="Verdana" w:eastAsia="Calibri" w:hAnsi="Verdana"/>
            <w:noProof/>
          </w:rPr>
          <w:t xml:space="preserve"> Overall distribution of FTE declared to be working on cybersecurity be all survey participants.</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_Toc523835973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19</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35" w:anchor="_Toc523835974" w:history="1">
        <w:r>
          <w:rPr>
            <w:rStyle w:val="Hyperlink"/>
            <w:rFonts w:ascii="Verdana" w:eastAsia="Calibri" w:hAnsi="Verdana"/>
            <w:b/>
            <w:noProof/>
          </w:rPr>
          <w:t>Figure 18.</w:t>
        </w:r>
        <w:r>
          <w:rPr>
            <w:rStyle w:val="Hyperlink"/>
            <w:rFonts w:ascii="Verdana" w:eastAsia="Calibri" w:hAnsi="Verdana"/>
            <w:noProof/>
          </w:rPr>
          <w:t xml:space="preserve"> Distribution of FTE working on cybersecurity per country.</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_Toc523835974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19</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36" w:anchor="_Toc523835975" w:history="1">
        <w:r>
          <w:rPr>
            <w:rStyle w:val="Hyperlink"/>
            <w:rFonts w:ascii="Verdana" w:eastAsia="Calibri" w:hAnsi="Verdana"/>
            <w:b/>
            <w:noProof/>
          </w:rPr>
          <w:t>Figure 19.</w:t>
        </w:r>
        <w:r>
          <w:rPr>
            <w:rStyle w:val="Hyperlink"/>
            <w:rFonts w:ascii="Verdana" w:eastAsia="Calibri" w:hAnsi="Verdana"/>
            <w:noProof/>
          </w:rPr>
          <w:t xml:space="preserve"> Geographical distribution of FTE working per country showing number of thousands (k) FTE with a color legend indicating with darker blue color countries with a higher number.</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_Toc523835975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20</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37" w:anchor="_Toc523835976" w:history="1">
        <w:r>
          <w:rPr>
            <w:rStyle w:val="Hyperlink"/>
            <w:rFonts w:ascii="Verdana" w:eastAsia="Calibri" w:hAnsi="Verdana"/>
            <w:b/>
            <w:noProof/>
          </w:rPr>
          <w:t>Figure 20.</w:t>
        </w:r>
        <w:r>
          <w:rPr>
            <w:rStyle w:val="Hyperlink"/>
            <w:rFonts w:ascii="Verdana" w:eastAsia="Calibri" w:hAnsi="Verdana"/>
            <w:noProof/>
          </w:rPr>
          <w:t xml:space="preserve"> Total number of declared publications.</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_Toc523835976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21</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38" w:anchor="_Toc523835977" w:history="1">
        <w:r>
          <w:rPr>
            <w:rStyle w:val="Hyperlink"/>
            <w:rFonts w:ascii="Verdana" w:eastAsia="Calibri" w:hAnsi="Verdana"/>
            <w:b/>
            <w:noProof/>
          </w:rPr>
          <w:t>Figure 21.</w:t>
        </w:r>
        <w:r>
          <w:rPr>
            <w:rStyle w:val="Hyperlink"/>
            <w:rFonts w:ascii="Verdana" w:eastAsia="Calibri" w:hAnsi="Verdana"/>
            <w:noProof/>
          </w:rPr>
          <w:t xml:space="preserve"> Number of publications reported for each cybersecurity domain.</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_Toc523835977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21</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39" w:anchor="_Toc523835978" w:history="1">
        <w:r>
          <w:rPr>
            <w:rStyle w:val="Hyperlink"/>
            <w:rFonts w:ascii="Verdana" w:eastAsia="Calibri" w:hAnsi="Verdana"/>
            <w:b/>
            <w:noProof/>
          </w:rPr>
          <w:t>Figure 22.</w:t>
        </w:r>
        <w:r>
          <w:rPr>
            <w:rStyle w:val="Hyperlink"/>
            <w:rFonts w:ascii="Verdana" w:eastAsia="Calibri" w:hAnsi="Verdana"/>
            <w:noProof/>
          </w:rPr>
          <w:t xml:space="preserve"> Geographical distribution of total number of publications per country showing number of thousands (k) publications with a color legend indicating with darker blue color countries with a higher number.</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_Toc523835978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22</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40" w:anchor="_Toc523835979" w:history="1">
        <w:r>
          <w:rPr>
            <w:rStyle w:val="Hyperlink"/>
            <w:rFonts w:ascii="Verdana" w:eastAsia="Calibri" w:hAnsi="Verdana"/>
            <w:b/>
            <w:noProof/>
          </w:rPr>
          <w:t>Figure 23.</w:t>
        </w:r>
        <w:r>
          <w:rPr>
            <w:rStyle w:val="Hyperlink"/>
            <w:rFonts w:ascii="Verdana" w:eastAsia="Calibri" w:hAnsi="Verdana"/>
            <w:noProof/>
          </w:rPr>
          <w:t xml:space="preserve"> Number of publications per country.</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_Toc523835979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23</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41" w:anchor="_Toc523835980" w:history="1">
        <w:r>
          <w:rPr>
            <w:rStyle w:val="Hyperlink"/>
            <w:rFonts w:ascii="Verdana" w:eastAsia="Calibri" w:hAnsi="Verdana"/>
            <w:b/>
            <w:noProof/>
          </w:rPr>
          <w:t>Figure 24.</w:t>
        </w:r>
        <w:r>
          <w:rPr>
            <w:rStyle w:val="Hyperlink"/>
            <w:rFonts w:ascii="Verdana" w:eastAsia="Calibri" w:hAnsi="Verdana"/>
            <w:noProof/>
          </w:rPr>
          <w:t xml:space="preserve"> Number of publications for each cybersecurity domain per country.</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_Toc523835980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23</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42" w:anchor="_Toc523835981" w:history="1">
        <w:r>
          <w:rPr>
            <w:rStyle w:val="Hyperlink"/>
            <w:rFonts w:ascii="Verdana" w:eastAsia="Calibri" w:hAnsi="Verdana"/>
            <w:b/>
            <w:noProof/>
          </w:rPr>
          <w:t>Figure 25.</w:t>
        </w:r>
        <w:r>
          <w:rPr>
            <w:rStyle w:val="Hyperlink"/>
            <w:rFonts w:ascii="Verdana" w:eastAsia="Calibri" w:hAnsi="Verdana"/>
            <w:noProof/>
          </w:rPr>
          <w:t xml:space="preserve"> Overall distribution of sectors.</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_Toc523835981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24</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43" w:anchor="_Toc523835982" w:history="1">
        <w:r>
          <w:rPr>
            <w:rStyle w:val="Hyperlink"/>
            <w:rFonts w:ascii="Verdana" w:eastAsia="Calibri" w:hAnsi="Verdana"/>
            <w:b/>
            <w:noProof/>
          </w:rPr>
          <w:t>Figure 26.</w:t>
        </w:r>
        <w:r>
          <w:rPr>
            <w:rStyle w:val="Hyperlink"/>
            <w:rFonts w:ascii="Verdana" w:eastAsia="Calibri" w:hAnsi="Verdana"/>
            <w:noProof/>
          </w:rPr>
          <w:t xml:space="preserve"> Distribution of sectors per country.</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_Toc523835982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24</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44" w:anchor="_Toc523835983" w:history="1">
        <w:r>
          <w:rPr>
            <w:rStyle w:val="Hyperlink"/>
            <w:rFonts w:ascii="Verdana" w:eastAsia="Calibri" w:hAnsi="Verdana"/>
            <w:b/>
            <w:noProof/>
          </w:rPr>
          <w:t>Figure 27.</w:t>
        </w:r>
        <w:r>
          <w:rPr>
            <w:rStyle w:val="Hyperlink"/>
            <w:rFonts w:ascii="Verdana" w:eastAsia="Calibri" w:hAnsi="Verdana"/>
            <w:noProof/>
          </w:rPr>
          <w:t xml:space="preserve"> Overall distribution of applications and technologies.</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_Toc523835983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25</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45" w:anchor="_Toc523835984" w:history="1">
        <w:r>
          <w:rPr>
            <w:rStyle w:val="Hyperlink"/>
            <w:rFonts w:ascii="Verdana" w:eastAsia="Calibri" w:hAnsi="Verdana"/>
            <w:b/>
            <w:noProof/>
          </w:rPr>
          <w:t>Figure 28.</w:t>
        </w:r>
        <w:r>
          <w:rPr>
            <w:rStyle w:val="Hyperlink"/>
            <w:rFonts w:ascii="Verdana" w:eastAsia="Calibri" w:hAnsi="Verdana"/>
            <w:noProof/>
          </w:rPr>
          <w:t xml:space="preserve"> Distribution of applications and technologies per country.</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_Toc523835984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25</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46" w:anchor="_Toc523835985" w:history="1">
        <w:r>
          <w:rPr>
            <w:rStyle w:val="Hyperlink"/>
            <w:rFonts w:ascii="Verdana" w:eastAsia="Calibri" w:hAnsi="Verdana"/>
            <w:b/>
            <w:noProof/>
          </w:rPr>
          <w:t>Figure 29.</w:t>
        </w:r>
        <w:r>
          <w:rPr>
            <w:rStyle w:val="Hyperlink"/>
            <w:rFonts w:ascii="Verdana" w:eastAsia="Calibri" w:hAnsi="Verdana"/>
            <w:noProof/>
          </w:rPr>
          <w:t xml:space="preserve"> Overall distribution of number of international collaborations or joint programs declared by survey participants.</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_Toc523835985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26</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47" w:anchor="_Toc523835986" w:history="1">
        <w:r>
          <w:rPr>
            <w:rStyle w:val="Hyperlink"/>
            <w:rFonts w:ascii="Verdana" w:eastAsia="Calibri" w:hAnsi="Verdana"/>
            <w:b/>
            <w:noProof/>
          </w:rPr>
          <w:t>Figure 30.</w:t>
        </w:r>
        <w:r>
          <w:rPr>
            <w:rStyle w:val="Hyperlink"/>
            <w:rFonts w:ascii="Verdana" w:eastAsia="Calibri" w:hAnsi="Verdana"/>
            <w:noProof/>
          </w:rPr>
          <w:t xml:space="preserve"> Distribution of  number of international collaborations or joint programs declared by survey participants for each country</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_Toc523835986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26</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48" w:anchor="_Toc523835987" w:history="1">
        <w:r>
          <w:rPr>
            <w:rStyle w:val="Hyperlink"/>
            <w:rFonts w:ascii="Verdana" w:eastAsia="Calibri" w:hAnsi="Verdana"/>
            <w:b/>
            <w:noProof/>
          </w:rPr>
          <w:t>Figure 31.</w:t>
        </w:r>
        <w:r>
          <w:rPr>
            <w:rStyle w:val="Hyperlink"/>
            <w:rFonts w:ascii="Verdana" w:eastAsia="Calibri" w:hAnsi="Verdana"/>
            <w:noProof/>
          </w:rPr>
          <w:t xml:space="preserve"> Distribution of participants according to their legal status after manual correction.</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_Toc523835987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27</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49" w:anchor="_Toc523835988" w:history="1">
        <w:r>
          <w:rPr>
            <w:rStyle w:val="Hyperlink"/>
            <w:rFonts w:ascii="Verdana" w:eastAsia="Calibri" w:hAnsi="Verdana"/>
            <w:b/>
            <w:noProof/>
          </w:rPr>
          <w:t>Figure 32.</w:t>
        </w:r>
        <w:r>
          <w:rPr>
            <w:rStyle w:val="Hyperlink"/>
            <w:rFonts w:ascii="Verdana" w:eastAsia="Calibri" w:hAnsi="Verdana"/>
            <w:noProof/>
          </w:rPr>
          <w:t xml:space="preserve"> Scientific publications in Cybersecurity per country (Europe = orange).</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_Toc523835988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28</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50" w:anchor="_Toc523835989" w:history="1">
        <w:r>
          <w:rPr>
            <w:rStyle w:val="Hyperlink"/>
            <w:rFonts w:ascii="Verdana" w:eastAsia="Calibri" w:hAnsi="Verdana"/>
            <w:b/>
            <w:noProof/>
          </w:rPr>
          <w:t>Figure 33.</w:t>
        </w:r>
        <w:r>
          <w:rPr>
            <w:rStyle w:val="Hyperlink"/>
            <w:rFonts w:ascii="Verdana" w:eastAsia="Calibri" w:hAnsi="Verdana"/>
            <w:noProof/>
          </w:rPr>
          <w:t xml:space="preserve"> Size of node = Country share of scientific publications in Cybersecurity (size of nodes = number project, edge between nodes = project(s) in common, colours identify communities of countries collaborating more often together).</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_Toc523835989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29</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51" w:anchor="_Toc523835990" w:history="1">
        <w:r>
          <w:rPr>
            <w:rStyle w:val="Hyperlink"/>
            <w:rFonts w:ascii="Verdana" w:eastAsia="Calibri" w:hAnsi="Verdana"/>
            <w:b/>
            <w:noProof/>
          </w:rPr>
          <w:t>Figure 34.</w:t>
        </w:r>
        <w:r>
          <w:rPr>
            <w:rStyle w:val="Hyperlink"/>
            <w:rFonts w:ascii="Verdana" w:eastAsia="Calibri" w:hAnsi="Verdana"/>
            <w:noProof/>
          </w:rPr>
          <w:t xml:space="preserve"> Participants in H2020 Cyber-Security related projects (academic partners).</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_Toc523835990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30</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52" w:anchor="_Toc523835991" w:history="1">
        <w:r>
          <w:rPr>
            <w:rStyle w:val="Hyperlink"/>
            <w:rFonts w:ascii="Verdana" w:eastAsia="Calibri" w:hAnsi="Verdana"/>
            <w:b/>
            <w:noProof/>
          </w:rPr>
          <w:t>Figure 35.</w:t>
        </w:r>
        <w:r>
          <w:rPr>
            <w:rStyle w:val="Hyperlink"/>
            <w:rFonts w:ascii="Verdana" w:eastAsia="Calibri" w:hAnsi="Verdana"/>
            <w:noProof/>
          </w:rPr>
          <w:t xml:space="preserve"> Patents in Cybersecurity per country (Europe = pink)</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_Toc523835991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31</w:t>
        </w:r>
        <w:r>
          <w:rPr>
            <w:rStyle w:val="Hyperlink"/>
            <w:noProof/>
          </w:rPr>
          <w:fldChar w:fldCharType="end"/>
        </w:r>
      </w:hyperlink>
    </w:p>
    <w:p>
      <w:pPr>
        <w:tabs>
          <w:tab w:val="right" w:leader="dot" w:pos="9016"/>
        </w:tabs>
        <w:spacing w:before="120" w:after="120"/>
        <w:jc w:val="both"/>
        <w:rPr>
          <w:rFonts w:eastAsiaTheme="minorEastAsia"/>
          <w:noProof/>
          <w:lang w:val="en-US"/>
        </w:rPr>
      </w:pPr>
      <w:hyperlink r:id="rId153" w:anchor="_Toc523835992" w:history="1">
        <w:r>
          <w:rPr>
            <w:rStyle w:val="Hyperlink"/>
            <w:rFonts w:ascii="Verdana" w:eastAsia="Calibri" w:hAnsi="Verdana"/>
            <w:b/>
            <w:noProof/>
          </w:rPr>
          <w:t>Figure 36.</w:t>
        </w:r>
        <w:r>
          <w:rPr>
            <w:rStyle w:val="Hyperlink"/>
            <w:rFonts w:ascii="Verdana" w:eastAsia="Calibri" w:hAnsi="Verdana"/>
            <w:noProof/>
          </w:rPr>
          <w:t xml:space="preserve"> Cybersecurity Publications/Patent ratio per country</w:t>
        </w:r>
        <w:r>
          <w:rPr>
            <w:rStyle w:val="Hyperlink"/>
            <w:rFonts w:ascii="Verdana" w:eastAsia="Calibri" w:hAnsi="Verdana"/>
            <w:noProof/>
            <w:webHidden/>
            <w:color w:val="auto"/>
            <w:szCs w:val="24"/>
          </w:rPr>
          <w:tab/>
        </w:r>
        <w:r>
          <w:rPr>
            <w:rStyle w:val="Hyperlink"/>
            <w:noProof/>
          </w:rPr>
          <w:fldChar w:fldCharType="begin"/>
        </w:r>
        <w:r>
          <w:rPr>
            <w:rStyle w:val="Hyperlink"/>
            <w:rFonts w:ascii="Verdana" w:eastAsia="Calibri" w:hAnsi="Verdana"/>
            <w:noProof/>
            <w:webHidden/>
            <w:color w:val="auto"/>
            <w:szCs w:val="24"/>
          </w:rPr>
          <w:instrText xml:space="preserve"> PAGEREF _Toc523835992 \h </w:instrText>
        </w:r>
        <w:r>
          <w:rPr>
            <w:rStyle w:val="Hyperlink"/>
            <w:noProof/>
          </w:rPr>
        </w:r>
        <w:r>
          <w:rPr>
            <w:rStyle w:val="Hyperlink"/>
            <w:noProof/>
          </w:rPr>
          <w:fldChar w:fldCharType="separate"/>
        </w:r>
        <w:r>
          <w:rPr>
            <w:rStyle w:val="Hyperlink"/>
            <w:rFonts w:ascii="Verdana" w:eastAsia="Calibri" w:hAnsi="Verdana"/>
            <w:noProof/>
            <w:webHidden/>
            <w:color w:val="auto"/>
            <w:szCs w:val="24"/>
          </w:rPr>
          <w:t>31</w:t>
        </w:r>
        <w:r>
          <w:rPr>
            <w:rStyle w:val="Hyperlink"/>
            <w:noProof/>
          </w:rPr>
          <w:fldChar w:fldCharType="end"/>
        </w:r>
      </w:hyperlink>
    </w:p>
    <w:p>
      <w:pPr>
        <w:jc w:val="both"/>
        <w:rPr>
          <w:noProof/>
        </w:rPr>
      </w:pPr>
      <w:r>
        <w:rPr>
          <w:noProof/>
        </w:rPr>
        <w:fldChar w:fldCharType="end"/>
      </w:r>
    </w:p>
    <w:p>
      <w:pPr>
        <w:jc w:val="both"/>
        <w:rPr>
          <w:noProof/>
        </w:rPr>
        <w:sectPr>
          <w:headerReference w:type="even" r:id="rId154"/>
          <w:headerReference w:type="default" r:id="rId155"/>
          <w:footerReference w:type="even" r:id="rId156"/>
          <w:footerReference w:type="default" r:id="rId157"/>
          <w:headerReference w:type="first" r:id="rId158"/>
          <w:footerReference w:type="first" r:id="rId159"/>
          <w:pgSz w:w="11906" w:h="16838"/>
          <w:pgMar w:top="1440" w:right="1440" w:bottom="1440" w:left="1440" w:header="720" w:footer="720" w:gutter="0"/>
          <w:cols w:space="720"/>
        </w:sectPr>
      </w:pPr>
    </w:p>
    <w:p>
      <w:pPr>
        <w:jc w:val="both"/>
        <w:rPr>
          <w:rFonts w:ascii="Verdana" w:eastAsia="Times New Roman" w:hAnsi="Verdana" w:cs="Times New Roman"/>
          <w:noProof/>
          <w:sz w:val="20"/>
          <w:szCs w:val="20"/>
          <w:lang w:eastAsia="en-GB"/>
        </w:rPr>
      </w:pPr>
      <w:r>
        <w:rPr>
          <w:rFonts w:ascii="Times New Roman" w:eastAsia="Times New Roman" w:hAnsi="Times New Roman" w:cs="Times New Roman"/>
          <w:noProof/>
          <w:sz w:val="24"/>
          <w:szCs w:val="24"/>
          <w:lang w:val="en-US"/>
        </w:rPr>
        <w:drawing>
          <wp:anchor distT="0" distB="0" distL="114300" distR="114300" simplePos="0" relativeHeight="251659776" behindDoc="1" locked="0" layoutInCell="1" allowOverlap="1">
            <wp:simplePos x="0" y="0"/>
            <wp:positionH relativeFrom="column">
              <wp:posOffset>-899795</wp:posOffset>
            </wp:positionH>
            <wp:positionV relativeFrom="paragraph">
              <wp:posOffset>-1006475</wp:posOffset>
            </wp:positionV>
            <wp:extent cx="7562215" cy="9646920"/>
            <wp:effectExtent l="0" t="0" r="635" b="0"/>
            <wp:wrapNone/>
            <wp:docPr id="61" name="Picture 61" descr="A6_audiovisuals_storage:Work in Progress:Graphics:Laura:• Visual Identity:Templates:JRC-templates-2016:Word-ppt-templates:Reports-templates:Materials:General-elements:Back-cover_verd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A6_audiovisuals_storage:Work in Progress:Graphics:Laura:• Visual Identity:Templates:JRC-templates-2016:Word-ppt-templates:Reports-templates:Materials:General-elements:Back-cover_verdana.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562215" cy="96469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val="en-US"/>
        </w:rPr>
        <w:drawing>
          <wp:anchor distT="0" distB="0" distL="114300" distR="114300" simplePos="0" relativeHeight="251660800" behindDoc="0" locked="1" layoutInCell="1" allowOverlap="1">
            <wp:simplePos x="0" y="0"/>
            <wp:positionH relativeFrom="margin">
              <wp:posOffset>0</wp:posOffset>
            </wp:positionH>
            <wp:positionV relativeFrom="page">
              <wp:posOffset>7724140</wp:posOffset>
            </wp:positionV>
            <wp:extent cx="1303020" cy="615315"/>
            <wp:effectExtent l="0" t="0" r="0" b="0"/>
            <wp:wrapThrough wrapText="bothSides">
              <wp:wrapPolygon edited="0">
                <wp:start x="0" y="0"/>
                <wp:lineTo x="0" y="20731"/>
                <wp:lineTo x="21158" y="20731"/>
                <wp:lineTo x="21158"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03020" cy="615315"/>
                    </a:xfrm>
                    <a:prstGeom prst="rect">
                      <a:avLst/>
                    </a:prstGeom>
                    <a:noFill/>
                  </pic:spPr>
                </pic:pic>
              </a:graphicData>
            </a:graphic>
            <wp14:sizeRelH relativeFrom="page">
              <wp14:pctWidth>0</wp14:pctWidth>
            </wp14:sizeRelH>
            <wp14:sizeRelV relativeFrom="page">
              <wp14:pctHeight>0</wp14:pctHeight>
            </wp14:sizeRelV>
          </wp:anchor>
        </w:drawing>
      </w:r>
    </w:p>
    <w:p>
      <w:pPr>
        <w:jc w:val="both"/>
        <w:rPr>
          <w:noProof/>
        </w:rPr>
      </w:pPr>
    </w:p>
    <w:p>
      <w:pPr>
        <w:spacing w:after="120"/>
        <w:ind w:left="470"/>
        <w:jc w:val="both"/>
        <w:rPr>
          <w:rFonts w:ascii="Times New Roman" w:eastAsia="Times New Roman" w:hAnsi="Times New Roman" w:cs="Times New Roman"/>
          <w:i/>
          <w:noProof/>
          <w:sz w:val="24"/>
          <w:szCs w:val="24"/>
          <w:lang w:eastAsia="en-GB"/>
        </w:rPr>
      </w:pPr>
    </w:p>
    <w:p>
      <w:pPr>
        <w:keepNext/>
        <w:jc w:val="both"/>
        <w:rPr>
          <w:rFonts w:ascii="Arial" w:hAnsi="Arial"/>
          <w:b/>
          <w:noProof/>
          <w:sz w:val="20"/>
          <w:szCs w:val="32"/>
        </w:rPr>
      </w:pPr>
      <w:r>
        <w:rPr>
          <w:noProof/>
          <w:lang w:val="en-US"/>
        </w:rPr>
        <mc:AlternateContent>
          <mc:Choice Requires="wps">
            <w:drawing>
              <wp:anchor distT="0" distB="0" distL="114300" distR="114300" simplePos="0" relativeHeight="251661824" behindDoc="0" locked="1" layoutInCell="1" allowOverlap="1">
                <wp:simplePos x="0" y="0"/>
                <wp:positionH relativeFrom="page">
                  <wp:posOffset>5723890</wp:posOffset>
                </wp:positionH>
                <wp:positionV relativeFrom="page">
                  <wp:posOffset>8103870</wp:posOffset>
                </wp:positionV>
                <wp:extent cx="1272540" cy="395605"/>
                <wp:effectExtent l="0" t="0" r="3810" b="4445"/>
                <wp:wrapThrough wrapText="bothSides">
                  <wp:wrapPolygon edited="0">
                    <wp:start x="0" y="0"/>
                    <wp:lineTo x="0" y="20803"/>
                    <wp:lineTo x="21341" y="20803"/>
                    <wp:lineTo x="21341" y="0"/>
                    <wp:lineTo x="0" y="0"/>
                  </wp:wrapPolygon>
                </wp:wrapThrough>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right"/>
                              <w:rPr>
                                <w:sz w:val="14"/>
                                <w:szCs w:val="14"/>
                              </w:rPr>
                            </w:pPr>
                            <w:r>
                              <w:rPr>
                                <w:sz w:val="14"/>
                                <w:szCs w:val="14"/>
                              </w:rPr>
                              <w:t>doi:</w:t>
                            </w:r>
                            <w:r>
                              <w:t xml:space="preserve"> </w:t>
                            </w:r>
                            <w:r>
                              <w:rPr>
                                <w:sz w:val="14"/>
                                <w:szCs w:val="14"/>
                              </w:rPr>
                              <w:t>10.2760/42369</w:t>
                            </w:r>
                          </w:p>
                          <w:p>
                            <w:pPr>
                              <w:jc w:val="right"/>
                              <w:rPr>
                                <w:color w:val="646567"/>
                                <w:sz w:val="14"/>
                                <w:szCs w:val="14"/>
                              </w:rPr>
                            </w:pPr>
                            <w:r>
                              <w:rPr>
                                <w:sz w:val="14"/>
                                <w:szCs w:val="14"/>
                              </w:rPr>
                              <w:t>ISBN 978-92-79-92954-0</w:t>
                            </w:r>
                          </w:p>
                        </w:txbxContent>
                      </wps:txbx>
                      <wps:bodyPr rot="0" vert="horz" wrap="square" lIns="2"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029" type="#_x0000_t202" style="position:absolute;left:0;text-align:left;margin-left:450.7pt;margin-top:638.1pt;width:100.2pt;height:3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eWswIAALQFAAAOAAAAZHJzL2Uyb0RvYy54bWysVNuOmzAQfa/Uf7D8znIJJAEtWSUhVJW2&#10;F2m3H+CACVbBprYT2Fb9945Nkk12Valqy4M12OMzc2aO5/ZuaBt0oFIxwVPs33gYUV6IkvFdir88&#10;5s4cI6UJL0kjOE3xE1X4bvH2zW3fJTQQtWhKKhGAcJX0XYprrbvEdVVR05aoG9FRDoeVkC3R8Ct3&#10;bilJD+ht4waeN3V7IctOioIqBbvZeIgXFr+qaKE/VZWiGjUphty0XaVdt2Z1F7ck2UnS1aw4pkH+&#10;IouWMA5Bz1AZ0QTtJXsF1bJCCiUqfVOI1hVVxQpqOQAb33vB5qEmHbVcoDiqO5dJ/T/Y4uPhs0Ss&#10;hN5NQow4aaFJj3TQaCUGZPagQn2nEnB86MBVD3AA3pat6u5F8VUhLtY14Tu6lFL0NSUlZOibm+7F&#10;1RFHGZBt/0GUEIjstbBAQyVbUz4oCAJ06NTTuTsmmcKEDGZBFMJRAWeTOJp6kQ1BktPtTir9jooW&#10;GSPFErpv0cnhXmmTDUlOLiYYFzlrGquAhl9tgOO4A7HhqjkzWdiG/oi9eDPfzEMnDKYbJ/SyzFnm&#10;69CZ5v4syibZep35P01cP0xqVpaUmzAncfnhnzXvKPNRFmd5KdGw0sCZlJTcbdeNRAcC4s7tdyzI&#10;hZt7nYYtAnB5QckPQm8VxE4+nc+cMA8jJ555c8fz41U89cI4zPJrSveM03+nhPoUx1EQjWL6LTfP&#10;fq+5kaRlGsZHw9oUz89OJDES3PDStlYT1oz2RSlM+s+lgHafGm0FazQ6qlUP28G+jomJbsS8FeUT&#10;KFgKEBhoEUYfGLWQ3zHqYYykWH3bE0kxat5zeAUBzBxrgK88GduTQXgBV1OsMRrNtR5n076TbFcD&#10;8vjOuFjCS6mYFfFzFsf3BaPBcjmOMTN7Lv+t1/OwXfwCAAD//wMAUEsDBBQABgAIAAAAIQDbGxij&#10;4QAAAA4BAAAPAAAAZHJzL2Rvd25yZXYueG1sTI/NTsMwEITvSLyDtUjcqPMDSRriVBUSB260wKG3&#10;TbwkEbEdYrcNb8/2BLcdzafZmWqzmFGcaPaDswriVQSCbOv0YDsF72/PdwUIH9BqHJ0lBT/kYVNf&#10;X1VYane2OzrtQyc4xPoSFfQhTKWUvu3JoF+5iSx7n242GFjOndQznjncjDKJokwaHCx/6HGip57a&#10;r/3RcMquMY1OXl/yj3SbU9Z/FwdEpW5vlu0jiEBL+IPhUp+rQ82dGne02otRwTqK7xllI8mzBMQF&#10;iaOY5zR8pWnxALKu5P8Z9S8AAAD//wMAUEsBAi0AFAAGAAgAAAAhALaDOJL+AAAA4QEAABMAAAAA&#10;AAAAAAAAAAAAAAAAAFtDb250ZW50X1R5cGVzXS54bWxQSwECLQAUAAYACAAAACEAOP0h/9YAAACU&#10;AQAACwAAAAAAAAAAAAAAAAAvAQAAX3JlbHMvLnJlbHNQSwECLQAUAAYACAAAACEAk11nlrMCAAC0&#10;BQAADgAAAAAAAAAAAAAAAAAuAgAAZHJzL2Uyb0RvYy54bWxQSwECLQAUAAYACAAAACEA2xsYo+EA&#10;AAAOAQAADwAAAAAAAAAAAAAAAAANBQAAZHJzL2Rvd25yZXYueG1sUEsFBgAAAAAEAAQA8wAAABsG&#10;AAAAAA==&#10;" filled="f" stroked="f">
                <v:textbox inset="6e-5mm,0,0,0">
                  <w:txbxContent>
                    <w:p>
                      <w:pPr>
                        <w:jc w:val="right"/>
                        <w:rPr>
                          <w:sz w:val="14"/>
                          <w:szCs w:val="14"/>
                        </w:rPr>
                      </w:pPr>
                      <w:r>
                        <w:rPr>
                          <w:sz w:val="14"/>
                          <w:szCs w:val="14"/>
                        </w:rPr>
                        <w:t>doi:</w:t>
                      </w:r>
                      <w:r>
                        <w:t xml:space="preserve"> </w:t>
                      </w:r>
                      <w:r>
                        <w:rPr>
                          <w:sz w:val="14"/>
                          <w:szCs w:val="14"/>
                        </w:rPr>
                        <w:t>10.2760/42369</w:t>
                      </w:r>
                    </w:p>
                    <w:p>
                      <w:pPr>
                        <w:jc w:val="right"/>
                        <w:rPr>
                          <w:color w:val="646567"/>
                          <w:sz w:val="14"/>
                          <w:szCs w:val="14"/>
                        </w:rPr>
                      </w:pPr>
                      <w:r>
                        <w:rPr>
                          <w:sz w:val="14"/>
                          <w:szCs w:val="14"/>
                        </w:rPr>
                        <w:t>ISBN 978-92-79-92954-0</w:t>
                      </w:r>
                    </w:p>
                  </w:txbxContent>
                </v:textbox>
                <w10:wrap type="through" anchorx="page" anchory="page"/>
                <w10:anchorlock/>
              </v:shape>
            </w:pict>
          </mc:Fallback>
        </mc:AlternateContent>
      </w:r>
    </w:p>
    <w:p>
      <w:pPr>
        <w:jc w:val="both"/>
        <w:rPr>
          <w:rFonts w:ascii="PFSquareSansPro-Regular" w:hAnsi="PFSquareSansPro-Regular"/>
          <w:noProof/>
          <w:sz w:val="16"/>
          <w:szCs w:val="16"/>
        </w:rPr>
      </w:pPr>
    </w:p>
    <w:p>
      <w:pPr>
        <w:jc w:val="both"/>
        <w:rPr>
          <w:rFonts w:ascii="PFSquareSansPro-Regular" w:hAnsi="PFSquareSansPro-Regular"/>
          <w:noProof/>
          <w:sz w:val="16"/>
          <w:szCs w:val="16"/>
        </w:rPr>
      </w:pPr>
    </w:p>
    <w:p>
      <w:pPr>
        <w:jc w:val="both"/>
        <w:rPr>
          <w:rFonts w:ascii="PFSquareSansPro-Regular" w:hAnsi="PFSquareSansPro-Regular"/>
          <w:noProof/>
          <w:sz w:val="16"/>
          <w:szCs w:val="16"/>
        </w:rPr>
      </w:pPr>
    </w:p>
    <w:p>
      <w:pPr>
        <w:pStyle w:val="Pagedecouverture"/>
        <w:rPr>
          <w:rFonts w:ascii="PFSquareSansPro-Regular" w:hAnsi="PFSquareSansPro-Regular"/>
          <w:noProof/>
          <w:sz w:val="16"/>
          <w:szCs w:val="16"/>
        </w:rPr>
      </w:pPr>
      <w:r>
        <w:rPr>
          <w:rFonts w:ascii="Arial" w:hAnsi="Arial"/>
          <w:noProof/>
          <w:sz w:val="20"/>
          <w:szCs w:val="20"/>
          <w:lang w:val="en-US"/>
        </w:rPr>
        <mc:AlternateContent>
          <mc:Choice Requires="wps">
            <w:drawing>
              <wp:anchor distT="0" distB="0" distL="114300" distR="114300" simplePos="0" relativeHeight="251662848" behindDoc="0" locked="0" layoutInCell="1" allowOverlap="1">
                <wp:simplePos x="0" y="0"/>
                <wp:positionH relativeFrom="page">
                  <wp:posOffset>-2157095</wp:posOffset>
                </wp:positionH>
                <wp:positionV relativeFrom="page">
                  <wp:posOffset>3130550</wp:posOffset>
                </wp:positionV>
                <wp:extent cx="302895" cy="302895"/>
                <wp:effectExtent l="43180" t="44450" r="0" b="0"/>
                <wp:wrapNone/>
                <wp:docPr id="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302895"/>
                        </a:xfrm>
                        <a:custGeom>
                          <a:avLst/>
                          <a:gdLst>
                            <a:gd name="T0" fmla="*/ 0 w 1"/>
                            <a:gd name="T1" fmla="*/ 0 h 1"/>
                            <a:gd name="T2" fmla="*/ 0 w 1"/>
                            <a:gd name="T3" fmla="*/ 0 h 1"/>
                          </a:gdLst>
                          <a:ahLst/>
                          <a:cxnLst>
                            <a:cxn ang="0">
                              <a:pos x="T0" y="T1"/>
                            </a:cxn>
                            <a:cxn ang="0">
                              <a:pos x="T2" y="T3"/>
                            </a:cxn>
                          </a:cxnLst>
                          <a:rect l="0" t="0" r="r" b="b"/>
                          <a:pathLst>
                            <a:path w="1" h="1" extrusionOk="0">
                              <a:moveTo>
                                <a:pt x="0" y="0"/>
                              </a:moveTo>
                              <a:lnTo>
                                <a:pt x="0" y="0"/>
                              </a:lnTo>
                            </a:path>
                          </a:pathLst>
                        </a:custGeom>
                        <a:noFill/>
                        <a:ln w="76201" cap="rnd" algn="ctr">
                          <a:solidFill>
                            <a:srgbClr val="00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CE6FCD" id="Freeform 59" o:spid="_x0000_s1026" style="position:absolute;margin-left:-169.85pt;margin-top:246.5pt;width:23.85pt;height:23.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dTBgMAAJAGAAAOAAAAZHJzL2Uyb0RvYy54bWysVdtu2zAMfR+wfxD0OCC1nThpYtQpilyG&#10;Ad1aoNkHKJJ8QWXJk5Q4XbF/HyU7btKuwDCsDyplHpOHPCZzdX2oBNpzbUolUxxdhBhxSRUrZZ7i&#10;75v1YIqRsUQyIpTkKX7iBl/PP364auqED1WhBOMaQRBpkqZOcWFtnQSBoQWviLlQNZfgzJSuiIWr&#10;zgOmSQPRKxEMw3ASNEqzWivKjYGny9aJ5z5+lnFq77LMcItEioGb9af259adwfyKJLkmdVHSjgb5&#10;BxYVKSUk7UMtiSVop8s3oaqSamVUZi+oqgKVZSXlvgaoJgpfVfNQkJr7WqA5pu7bZP5fWPptf69R&#10;yVI8nmEkSQUarTXnruMIHkF/mtokAHuo77Wr0NS3ij4aJNWiIDLnN1qrpuCEAavI4YOzF9zFwKto&#10;23xVDKKTnVW+VYdMVy4gNAEdvCJPvSL8YBGFh6NwOJ2NMaLg6myXgSTHl+nO2M9c+UBkf2tsKygD&#10;y8vBupo2IH5WCdD2U4BC1CBPFfTqAdEZoHgLGJ4B/hBhdAboIgDX/MiGFEeC9CA7hmAhaKOr3BGu&#10;lXHNcHSh5E3bUJIAynnfAQMzBx757ndgyPuSRMMcvJ4AjRFMwLadgJpYx80zABM1TktU+BO00Ds3&#10;33ePR5aV2vON8mj7SjvI++IV8n1U6wO4y+017Uk47ie6SrUuhfDCCumoXU5gWOCjILAwtGQYEZHD&#10;9qFW+x4aJUrmXnEEjc63C6HRnrgN4P+6Np3BtNpJ5lO4T3nV2ZaUorWBkvASQDe6Rrlv1I/48yyc&#10;raaraTyIh5PVIA6Xy8HNehEPJuvocrwcLReLZfTLUYvipCgZ49KxO66bKP67ce4WX7so+oXTNyc4&#10;j+47ChSP/z1pP5puGtup3ir2BJOpVbsWYY2DUSj9E6MGVmKKzY8d0Rwj8UXCdM+iOHY71F/i8eUQ&#10;LvrUsz31EEkhVIotyOPNhW337q7WZV5ApsirJdUNbISsdJPr+bWsugusPV9Bt6LdXj29e9TLD8n8&#10;NwAAAP//AwBQSwMEFAAGAAgAAAAhAFcfo+/iAAAADQEAAA8AAABkcnMvZG93bnJldi54bWxMj8FO&#10;g0AQhu8mvsNmTLzRRahUkKVpNJ5so1Yv3rYwskR2lrDbgj6940lvM5kv/3x/uZ5tL044+s6RgqtF&#10;DAKpdk1HrYK314foBoQPmhrdO0IFX+hhXZ2flbpo3EQveNqHVnAI+UIrMCEMhZS+Nmi1X7gBiW8f&#10;brQ68Dq2shn1xOG2l0kcZ9LqjviD0QPeGaw/90ergMzuPpvjccbnzSTfn763j5ncKnV5MW9uQQSc&#10;wx8Mv/qsDhU7HdyRGi96BVGa5itmFSzzlFsxEiV5wtNBwfUyXoGsSvm/RfUDAAD//wMAUEsBAi0A&#10;FAAGAAgAAAAhALaDOJL+AAAA4QEAABMAAAAAAAAAAAAAAAAAAAAAAFtDb250ZW50X1R5cGVzXS54&#10;bWxQSwECLQAUAAYACAAAACEAOP0h/9YAAACUAQAACwAAAAAAAAAAAAAAAAAvAQAAX3JlbHMvLnJl&#10;bHNQSwECLQAUAAYACAAAACEAFohnUwYDAACQBgAADgAAAAAAAAAAAAAAAAAuAgAAZHJzL2Uyb0Rv&#10;Yy54bWxQSwECLQAUAAYACAAAACEAVx+j7+IAAAANAQAADwAAAAAAAAAAAAAAAABgBQAAZHJzL2Rv&#10;d25yZXYueG1sUEsFBgAAAAAEAAQA8wAAAG8GAAAAAA==&#10;" path="m,l,e" filled="f" strokeweight="2.11669mm">
                <v:stroke endcap="round"/>
                <v:path o:extrusionok="f" o:connecttype="custom" o:connectlocs="0,0;0,0" o:connectangles="0,0"/>
                <w10:wrap anchorx="page" anchory="page"/>
              </v:shape>
            </w:pict>
          </mc:Fallback>
        </mc:AlternateContent>
      </w:r>
      <w:bookmarkStart w:id="104" w:name="_Toc481484493"/>
    </w:p>
    <w:bookmarkEnd w:id="2"/>
    <w:bookmarkEnd w:id="104"/>
    <w:p>
      <w:pPr>
        <w:jc w:val="both"/>
        <w:rPr>
          <w:noProof/>
        </w:rPr>
      </w:pPr>
    </w:p>
    <w:p>
      <w:pPr>
        <w:pStyle w:val="AnnexTitle"/>
        <w:jc w:val="both"/>
        <w:rPr>
          <w:rFonts w:ascii="Times New Roman" w:hAnsi="Times New Roman"/>
          <w:noProof/>
        </w:rPr>
      </w:pPr>
    </w:p>
    <w:sectPr>
      <w:headerReference w:type="even" r:id="rId162"/>
      <w:headerReference w:type="default" r:id="rId163"/>
      <w:footerReference w:type="even" r:id="rId164"/>
      <w:footerReference w:type="default" r:id="rId165"/>
      <w:headerReference w:type="first" r:id="rId166"/>
      <w:footerReference w:type="first" r:id="rId1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FSquareSansPro-Regular">
    <w:altName w:val="Times New Roman"/>
    <w:charset w:val="00"/>
    <w:family w:val="auto"/>
    <w:pitch w:val="variable"/>
    <w:sig w:usb0="00000001"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795050"/>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148682"/>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344884"/>
      <w:docPartObj>
        <w:docPartGallery w:val="Page Numbers (Bottom of Page)"/>
        <w:docPartUnique/>
      </w:docPartObj>
    </w:sdtPr>
    <w:sdtEndPr>
      <w:rPr>
        <w:rFonts w:ascii="Times New Roman" w:hAnsi="Times New Roman"/>
        <w:sz w:val="18"/>
      </w:rPr>
    </w:sdtEndPr>
    <w:sdtContent>
      <w:p>
        <w:pPr>
          <w:pStyle w:val="Footer"/>
          <w:jc w:val="right"/>
          <w:rPr>
            <w:rFonts w:ascii="Times New Roman" w:hAnsi="Times New Roman"/>
            <w:sz w:val="18"/>
          </w:rPr>
        </w:pPr>
        <w:r>
          <w:rPr>
            <w:rFonts w:ascii="Times New Roman" w:hAnsi="Times New Roman"/>
            <w:sz w:val="18"/>
          </w:rPr>
          <w:fldChar w:fldCharType="begin"/>
        </w:r>
        <w:r>
          <w:instrText xml:space="preserve"> PAGE   \* MERGEFORMAT </w:instrText>
        </w:r>
        <w:r>
          <w:rPr>
            <w:rFonts w:ascii="Times New Roman" w:hAnsi="Times New Roman"/>
            <w:sz w:val="18"/>
          </w:rPr>
          <w:fldChar w:fldCharType="separate"/>
        </w:r>
        <w:r>
          <w:rPr>
            <w:noProof/>
          </w:rPr>
          <w:t>56</w:t>
        </w:r>
        <w:r>
          <w:rPr>
            <w:rFonts w:ascii="Times New Roman" w:hAnsi="Times New Roman"/>
            <w:sz w:val="18"/>
          </w:rPr>
          <w:fldChar w:fldCharType="end"/>
        </w:r>
      </w:p>
    </w:sdtContent>
  </w:sdt>
  <w:p>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606332"/>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212409"/>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lang w:val="en-US"/>
        </w:rPr>
      </w:pPr>
      <w:r>
        <w:rPr>
          <w:rStyle w:val="FootnoteReference"/>
        </w:rPr>
        <w:footnoteRef/>
      </w:r>
      <w:r>
        <w:t xml:space="preserve"> http://eur-lex.europa.eu/legal-content/EN/TXT/?uri=CELEX:52017JC0450</w:t>
      </w:r>
    </w:p>
  </w:footnote>
  <w:footnote w:id="2">
    <w:p>
      <w:pPr>
        <w:pStyle w:val="FootnoteText"/>
        <w:ind w:left="357"/>
        <w:rPr>
          <w:lang w:val="en-US"/>
        </w:rPr>
      </w:pPr>
      <w:r>
        <w:rPr>
          <w:rStyle w:val="FootnoteReference"/>
        </w:rPr>
        <w:footnoteRef/>
      </w:r>
      <w:r>
        <w:t xml:space="preserve"> http://eur-lex.europa.eu/legal-content/EN/TXT/?uri=CELEX:52017JC0450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B5366868"/>
    <w:lvl w:ilvl="0">
      <w:start w:val="1"/>
      <w:numFmt w:val="decimal"/>
      <w:pStyle w:val="ListNumber"/>
      <w:lvlText w:val="%1."/>
      <w:lvlJc w:val="left"/>
      <w:pPr>
        <w:tabs>
          <w:tab w:val="left" w:pos="360"/>
        </w:tabs>
        <w:ind w:left="2160" w:hanging="360"/>
      </w:pPr>
    </w:lvl>
    <w:lvl w:ilvl="1">
      <w:start w:val="1"/>
      <w:numFmt w:val="decimal"/>
      <w:lvlText w:val="%1."/>
      <w:lvlJc w:val="left"/>
      <w:pPr>
        <w:tabs>
          <w:tab w:val="left" w:pos="360"/>
        </w:tabs>
        <w:ind w:left="2160" w:hanging="360"/>
      </w:pPr>
    </w:lvl>
    <w:lvl w:ilvl="2">
      <w:start w:val="1"/>
      <w:numFmt w:val="decimal"/>
      <w:lvlText w:val="%1."/>
      <w:lvlJc w:val="left"/>
      <w:pPr>
        <w:tabs>
          <w:tab w:val="left" w:pos="360"/>
        </w:tabs>
        <w:ind w:left="2160" w:hanging="360"/>
      </w:pPr>
    </w:lvl>
    <w:lvl w:ilvl="3">
      <w:start w:val="1"/>
      <w:numFmt w:val="decimal"/>
      <w:lvlText w:val="%1."/>
      <w:lvlJc w:val="left"/>
      <w:pPr>
        <w:tabs>
          <w:tab w:val="left" w:pos="360"/>
        </w:tabs>
        <w:ind w:left="2160" w:hanging="360"/>
      </w:pPr>
    </w:lvl>
    <w:lvl w:ilvl="4">
      <w:start w:val="1"/>
      <w:numFmt w:val="decimal"/>
      <w:lvlText w:val="%1."/>
      <w:lvlJc w:val="left"/>
      <w:pPr>
        <w:tabs>
          <w:tab w:val="left" w:pos="360"/>
        </w:tabs>
        <w:ind w:left="2160" w:hanging="360"/>
      </w:pPr>
    </w:lvl>
    <w:lvl w:ilvl="5">
      <w:start w:val="1"/>
      <w:numFmt w:val="decimal"/>
      <w:lvlText w:val="%1."/>
      <w:lvlJc w:val="left"/>
      <w:pPr>
        <w:tabs>
          <w:tab w:val="left" w:pos="360"/>
        </w:tabs>
        <w:ind w:left="2160" w:hanging="360"/>
      </w:pPr>
    </w:lvl>
    <w:lvl w:ilvl="6">
      <w:start w:val="1"/>
      <w:numFmt w:val="decimal"/>
      <w:lvlText w:val="%1."/>
      <w:lvlJc w:val="left"/>
      <w:pPr>
        <w:tabs>
          <w:tab w:val="left" w:pos="360"/>
        </w:tabs>
        <w:ind w:left="2160" w:hanging="360"/>
      </w:pPr>
    </w:lvl>
    <w:lvl w:ilvl="7">
      <w:start w:val="1"/>
      <w:numFmt w:val="decimal"/>
      <w:lvlText w:val="%1."/>
      <w:lvlJc w:val="left"/>
      <w:pPr>
        <w:tabs>
          <w:tab w:val="left" w:pos="360"/>
        </w:tabs>
        <w:ind w:left="2160" w:hanging="360"/>
      </w:pPr>
    </w:lvl>
    <w:lvl w:ilvl="8">
      <w:start w:val="1"/>
      <w:numFmt w:val="decimal"/>
      <w:lvlText w:val="%1."/>
      <w:lvlJc w:val="left"/>
      <w:pPr>
        <w:tabs>
          <w:tab w:val="left" w:pos="360"/>
        </w:tabs>
        <w:ind w:left="2160" w:hanging="360"/>
      </w:pPr>
    </w:lvl>
  </w:abstractNum>
  <w:abstractNum w:abstractNumId="1">
    <w:nsid w:val="0000000F"/>
    <w:multiLevelType w:val="hybridMultilevel"/>
    <w:tmpl w:val="07397298"/>
    <w:lvl w:ilvl="0" w:tplc="7ED6342C">
      <w:start w:val="1"/>
      <w:numFmt w:val="bullet"/>
      <w:lvlText w:val="—"/>
      <w:lvlJc w:val="left"/>
      <w:pPr>
        <w:ind w:left="2160" w:hanging="360"/>
      </w:pPr>
      <w:rPr>
        <w:rFonts w:ascii="Times New Roman" w:eastAsia="Times New Roman" w:hAnsi="Times New Roman"/>
        <w:w w:val="100"/>
        <w:sz w:val="20"/>
        <w:szCs w:val="20"/>
        <w:shd w:val="clear" w:color="auto" w:fill="auto"/>
      </w:rPr>
    </w:lvl>
    <w:lvl w:ilvl="1" w:tplc="D74C04B4">
      <w:start w:val="1"/>
      <w:numFmt w:val="bullet"/>
      <w:pStyle w:val="JRCTextbulletedlist2"/>
      <w:lvlText w:val="●"/>
      <w:lvlJc w:val="left"/>
      <w:pPr>
        <w:ind w:left="2880" w:hanging="360"/>
      </w:pPr>
      <w:rPr>
        <w:rFonts w:ascii="Verdana" w:eastAsia="Verdana" w:hAnsi="Verdana"/>
        <w:w w:val="100"/>
        <w:sz w:val="20"/>
        <w:szCs w:val="20"/>
        <w:shd w:val="clear" w:color="auto" w:fill="auto"/>
      </w:rPr>
    </w:lvl>
    <w:lvl w:ilvl="2" w:tplc="CB96BBEE">
      <w:start w:val="1"/>
      <w:numFmt w:val="bullet"/>
      <w:lvlText w:val="§"/>
      <w:lvlJc w:val="left"/>
      <w:pPr>
        <w:ind w:left="3600" w:hanging="360"/>
      </w:pPr>
      <w:rPr>
        <w:rFonts w:ascii="Wingdings" w:eastAsia="Wingdings" w:hAnsi="Wingdings"/>
        <w:w w:val="100"/>
        <w:sz w:val="20"/>
        <w:szCs w:val="20"/>
        <w:shd w:val="clear" w:color="auto" w:fill="auto"/>
      </w:rPr>
    </w:lvl>
    <w:lvl w:ilvl="3" w:tplc="362EE476">
      <w:start w:val="1"/>
      <w:numFmt w:val="bullet"/>
      <w:lvlText w:val="·"/>
      <w:lvlJc w:val="left"/>
      <w:pPr>
        <w:ind w:left="4320" w:hanging="360"/>
      </w:pPr>
      <w:rPr>
        <w:rFonts w:ascii="Symbol" w:eastAsia="Symbol" w:hAnsi="Symbol"/>
        <w:w w:val="100"/>
        <w:sz w:val="20"/>
        <w:szCs w:val="20"/>
        <w:shd w:val="clear" w:color="auto" w:fill="auto"/>
      </w:rPr>
    </w:lvl>
    <w:lvl w:ilvl="4" w:tplc="1D443A46">
      <w:start w:val="1"/>
      <w:numFmt w:val="bullet"/>
      <w:lvlText w:val="o"/>
      <w:lvlJc w:val="left"/>
      <w:pPr>
        <w:ind w:left="5040" w:hanging="360"/>
      </w:pPr>
      <w:rPr>
        <w:rFonts w:ascii="Courier New" w:eastAsia="Courier New" w:hAnsi="Courier New"/>
        <w:w w:val="100"/>
        <w:sz w:val="20"/>
        <w:szCs w:val="20"/>
        <w:shd w:val="clear" w:color="auto" w:fill="auto"/>
      </w:rPr>
    </w:lvl>
    <w:lvl w:ilvl="5" w:tplc="111473B4">
      <w:start w:val="1"/>
      <w:numFmt w:val="bullet"/>
      <w:lvlText w:val="§"/>
      <w:lvlJc w:val="left"/>
      <w:pPr>
        <w:ind w:left="5760" w:hanging="360"/>
      </w:pPr>
      <w:rPr>
        <w:rFonts w:ascii="Wingdings" w:eastAsia="Wingdings" w:hAnsi="Wingdings"/>
        <w:w w:val="100"/>
        <w:sz w:val="20"/>
        <w:szCs w:val="20"/>
        <w:shd w:val="clear" w:color="auto" w:fill="auto"/>
      </w:rPr>
    </w:lvl>
    <w:lvl w:ilvl="6" w:tplc="4124943A">
      <w:start w:val="1"/>
      <w:numFmt w:val="bullet"/>
      <w:lvlText w:val="·"/>
      <w:lvlJc w:val="left"/>
      <w:pPr>
        <w:ind w:left="6480" w:hanging="360"/>
      </w:pPr>
      <w:rPr>
        <w:rFonts w:ascii="Symbol" w:eastAsia="Symbol" w:hAnsi="Symbol"/>
        <w:w w:val="100"/>
        <w:sz w:val="20"/>
        <w:szCs w:val="20"/>
        <w:shd w:val="clear" w:color="auto" w:fill="auto"/>
      </w:rPr>
    </w:lvl>
    <w:lvl w:ilvl="7" w:tplc="20B2992E">
      <w:start w:val="1"/>
      <w:numFmt w:val="bullet"/>
      <w:lvlText w:val="o"/>
      <w:lvlJc w:val="left"/>
      <w:pPr>
        <w:ind w:left="7200" w:hanging="360"/>
      </w:pPr>
      <w:rPr>
        <w:rFonts w:ascii="Courier New" w:eastAsia="Courier New" w:hAnsi="Courier New"/>
        <w:w w:val="100"/>
        <w:sz w:val="20"/>
        <w:szCs w:val="20"/>
        <w:shd w:val="clear" w:color="auto" w:fill="auto"/>
      </w:rPr>
    </w:lvl>
    <w:lvl w:ilvl="8" w:tplc="297CE950">
      <w:start w:val="1"/>
      <w:numFmt w:val="bullet"/>
      <w:lvlText w:val="§"/>
      <w:lvlJc w:val="left"/>
      <w:pPr>
        <w:ind w:left="7920" w:hanging="360"/>
      </w:pPr>
      <w:rPr>
        <w:rFonts w:ascii="Wingdings" w:eastAsia="Wingdings" w:hAnsi="Wingdings"/>
        <w:w w:val="100"/>
        <w:sz w:val="20"/>
        <w:szCs w:val="20"/>
        <w:shd w:val="clear" w:color="auto" w:fill="auto"/>
      </w:rPr>
    </w:lvl>
  </w:abstractNum>
  <w:abstractNum w:abstractNumId="2">
    <w:nsid w:val="00000011"/>
    <w:multiLevelType w:val="hybridMultilevel"/>
    <w:tmpl w:val="1D0E96CA"/>
    <w:lvl w:ilvl="0" w:tplc="5F64D404">
      <w:start w:val="1"/>
      <w:numFmt w:val="bullet"/>
      <w:pStyle w:val="Briefinglist1"/>
      <w:lvlText w:val="·"/>
      <w:lvlJc w:val="left"/>
      <w:pPr>
        <w:tabs>
          <w:tab w:val="left" w:pos="284"/>
        </w:tabs>
        <w:ind w:left="1704" w:hanging="284"/>
      </w:pPr>
      <w:rPr>
        <w:rFonts w:ascii="Symbol" w:eastAsia="Symbol" w:hAnsi="Symbol"/>
        <w:w w:val="100"/>
        <w:sz w:val="20"/>
        <w:szCs w:val="20"/>
        <w:shd w:val="clear" w:color="auto" w:fill="auto"/>
      </w:rPr>
    </w:lvl>
    <w:lvl w:ilvl="1" w:tplc="1F041D92">
      <w:start w:val="1"/>
      <w:numFmt w:val="bullet"/>
      <w:lvlText w:val="o"/>
      <w:lvlJc w:val="left"/>
      <w:pPr>
        <w:tabs>
          <w:tab w:val="left" w:pos="1440"/>
        </w:tabs>
        <w:ind w:left="3240" w:hanging="360"/>
      </w:pPr>
      <w:rPr>
        <w:rFonts w:ascii="Courier New" w:eastAsia="Courier New" w:hAnsi="Courier New"/>
        <w:w w:val="100"/>
        <w:sz w:val="20"/>
        <w:szCs w:val="20"/>
        <w:shd w:val="clear" w:color="auto" w:fill="auto"/>
      </w:rPr>
    </w:lvl>
    <w:lvl w:ilvl="2" w:tplc="F49EEBEC">
      <w:start w:val="1"/>
      <w:numFmt w:val="bullet"/>
      <w:lvlText w:val="§"/>
      <w:lvlJc w:val="left"/>
      <w:pPr>
        <w:tabs>
          <w:tab w:val="left" w:pos="2160"/>
        </w:tabs>
        <w:ind w:left="3960" w:hanging="360"/>
      </w:pPr>
      <w:rPr>
        <w:rFonts w:ascii="Wingdings" w:eastAsia="Wingdings" w:hAnsi="Wingdings"/>
        <w:w w:val="100"/>
        <w:sz w:val="20"/>
        <w:szCs w:val="20"/>
        <w:shd w:val="clear" w:color="auto" w:fill="auto"/>
      </w:rPr>
    </w:lvl>
    <w:lvl w:ilvl="3" w:tplc="42BA5294">
      <w:start w:val="1"/>
      <w:numFmt w:val="bullet"/>
      <w:lvlText w:val="·"/>
      <w:lvlJc w:val="left"/>
      <w:pPr>
        <w:tabs>
          <w:tab w:val="left" w:pos="2880"/>
        </w:tabs>
        <w:ind w:left="4680" w:hanging="360"/>
      </w:pPr>
      <w:rPr>
        <w:rFonts w:ascii="Symbol" w:eastAsia="Symbol" w:hAnsi="Symbol"/>
        <w:w w:val="100"/>
        <w:sz w:val="20"/>
        <w:szCs w:val="20"/>
        <w:shd w:val="clear" w:color="auto" w:fill="auto"/>
      </w:rPr>
    </w:lvl>
    <w:lvl w:ilvl="4" w:tplc="5A5ABFF2">
      <w:start w:val="1"/>
      <w:numFmt w:val="bullet"/>
      <w:lvlText w:val="o"/>
      <w:lvlJc w:val="left"/>
      <w:pPr>
        <w:tabs>
          <w:tab w:val="left" w:pos="3600"/>
        </w:tabs>
        <w:ind w:left="5400" w:hanging="360"/>
      </w:pPr>
      <w:rPr>
        <w:rFonts w:ascii="Courier New" w:eastAsia="Courier New" w:hAnsi="Courier New"/>
        <w:w w:val="100"/>
        <w:sz w:val="20"/>
        <w:szCs w:val="20"/>
        <w:shd w:val="clear" w:color="auto" w:fill="auto"/>
      </w:rPr>
    </w:lvl>
    <w:lvl w:ilvl="5" w:tplc="461E613A">
      <w:start w:val="1"/>
      <w:numFmt w:val="bullet"/>
      <w:lvlText w:val="§"/>
      <w:lvlJc w:val="left"/>
      <w:pPr>
        <w:tabs>
          <w:tab w:val="left" w:pos="4320"/>
        </w:tabs>
        <w:ind w:left="6120" w:hanging="360"/>
      </w:pPr>
      <w:rPr>
        <w:rFonts w:ascii="Wingdings" w:eastAsia="Wingdings" w:hAnsi="Wingdings"/>
        <w:w w:val="100"/>
        <w:sz w:val="20"/>
        <w:szCs w:val="20"/>
        <w:shd w:val="clear" w:color="auto" w:fill="auto"/>
      </w:rPr>
    </w:lvl>
    <w:lvl w:ilvl="6" w:tplc="5F7812C4">
      <w:start w:val="1"/>
      <w:numFmt w:val="bullet"/>
      <w:lvlText w:val="·"/>
      <w:lvlJc w:val="left"/>
      <w:pPr>
        <w:tabs>
          <w:tab w:val="left" w:pos="5040"/>
        </w:tabs>
        <w:ind w:left="6840" w:hanging="360"/>
      </w:pPr>
      <w:rPr>
        <w:rFonts w:ascii="Symbol" w:eastAsia="Symbol" w:hAnsi="Symbol"/>
        <w:w w:val="100"/>
        <w:sz w:val="20"/>
        <w:szCs w:val="20"/>
        <w:shd w:val="clear" w:color="auto" w:fill="auto"/>
      </w:rPr>
    </w:lvl>
    <w:lvl w:ilvl="7" w:tplc="37A4F326">
      <w:start w:val="1"/>
      <w:numFmt w:val="bullet"/>
      <w:lvlText w:val="o"/>
      <w:lvlJc w:val="left"/>
      <w:pPr>
        <w:tabs>
          <w:tab w:val="left" w:pos="5760"/>
        </w:tabs>
        <w:ind w:left="7560" w:hanging="360"/>
      </w:pPr>
      <w:rPr>
        <w:rFonts w:ascii="Courier New" w:eastAsia="Courier New" w:hAnsi="Courier New"/>
        <w:w w:val="100"/>
        <w:sz w:val="20"/>
        <w:szCs w:val="20"/>
        <w:shd w:val="clear" w:color="auto" w:fill="auto"/>
      </w:rPr>
    </w:lvl>
    <w:lvl w:ilvl="8" w:tplc="7918FB56">
      <w:start w:val="1"/>
      <w:numFmt w:val="bullet"/>
      <w:lvlText w:val="§"/>
      <w:lvlJc w:val="left"/>
      <w:pPr>
        <w:tabs>
          <w:tab w:val="left" w:pos="6480"/>
        </w:tabs>
        <w:ind w:left="8280" w:hanging="360"/>
      </w:pPr>
      <w:rPr>
        <w:rFonts w:ascii="Wingdings" w:eastAsia="Wingdings" w:hAnsi="Wingdings"/>
        <w:w w:val="100"/>
        <w:sz w:val="20"/>
        <w:szCs w:val="20"/>
        <w:shd w:val="clear" w:color="auto" w:fill="auto"/>
      </w:rPr>
    </w:lvl>
  </w:abstractNum>
  <w:abstractNum w:abstractNumId="3">
    <w:nsid w:val="00000028"/>
    <w:multiLevelType w:val="hybridMultilevel"/>
    <w:tmpl w:val="3726053C"/>
    <w:lvl w:ilvl="0" w:tplc="31E6B762">
      <w:start w:val="1"/>
      <w:numFmt w:val="bullet"/>
      <w:pStyle w:val="ListBullet"/>
      <w:lvlText w:val="·"/>
      <w:lvlJc w:val="left"/>
      <w:pPr>
        <w:tabs>
          <w:tab w:val="left" w:pos="283"/>
        </w:tabs>
        <w:ind w:left="1698" w:hanging="283"/>
      </w:pPr>
      <w:rPr>
        <w:rFonts w:ascii="Symbol" w:eastAsia="Symbol" w:hAnsi="Symbol"/>
        <w:w w:val="100"/>
        <w:sz w:val="20"/>
        <w:szCs w:val="20"/>
        <w:shd w:val="clear" w:color="auto" w:fill="auto"/>
      </w:rPr>
    </w:lvl>
    <w:lvl w:ilvl="1" w:tplc="AAE6ABA8">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2" w:tplc="D752252A">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3" w:tplc="2242A584">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4" w:tplc="5C406DC0">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5" w:tplc="DD8A81C8">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6" w:tplc="35FC8C78">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7" w:tplc="5BC274F2">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8" w:tplc="DBEA626A">
      <w:start w:val="1"/>
      <w:numFmt w:val="bullet"/>
      <w:lvlText w:val="·"/>
      <w:lvlJc w:val="left"/>
      <w:pPr>
        <w:tabs>
          <w:tab w:val="left" w:pos="283"/>
        </w:tabs>
        <w:ind w:left="1698" w:hanging="283"/>
      </w:pPr>
      <w:rPr>
        <w:rFonts w:ascii="Symbol" w:eastAsia="Symbol" w:hAnsi="Symbol"/>
        <w:w w:val="100"/>
        <w:sz w:val="20"/>
        <w:szCs w:val="20"/>
        <w:shd w:val="clear" w:color="auto" w:fill="auto"/>
      </w:rPr>
    </w:lvl>
  </w:abstractNum>
  <w:abstractNum w:abstractNumId="4">
    <w:nsid w:val="00000039"/>
    <w:multiLevelType w:val="hybridMultilevel"/>
    <w:tmpl w:val="3AF82160"/>
    <w:lvl w:ilvl="0" w:tplc="F58C8434">
      <w:start w:val="1"/>
      <w:numFmt w:val="bullet"/>
      <w:pStyle w:val="ListDash1"/>
      <w:lvlText w:val="–"/>
      <w:lvlJc w:val="left"/>
      <w:pPr>
        <w:tabs>
          <w:tab w:val="left" w:pos="765"/>
        </w:tabs>
        <w:ind w:left="2180" w:hanging="283"/>
      </w:pPr>
      <w:rPr>
        <w:rFonts w:ascii="Times New Roman" w:eastAsia="Times New Roman" w:hAnsi="Times New Roman"/>
        <w:w w:val="100"/>
        <w:sz w:val="20"/>
        <w:szCs w:val="20"/>
        <w:shd w:val="clear" w:color="auto" w:fill="auto"/>
      </w:rPr>
    </w:lvl>
    <w:lvl w:ilvl="1" w:tplc="1F8A5584">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2" w:tplc="1C847B4A">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3" w:tplc="52B0B758">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4" w:tplc="31D65BAC">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5" w:tplc="52ECAB48">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6" w:tplc="5D32CE0A">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7" w:tplc="CD501B2C">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8" w:tplc="CBF4D3B0">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abstractNum>
  <w:abstractNum w:abstractNumId="5">
    <w:nsid w:val="00000045"/>
    <w:multiLevelType w:val="multilevel"/>
    <w:tmpl w:val="9516063C"/>
    <w:lvl w:ilvl="0">
      <w:start w:val="1"/>
      <w:numFmt w:val="decimal"/>
      <w:pStyle w:val="Heading1"/>
      <w:lvlText w:val="%1"/>
      <w:lvlJc w:val="left"/>
      <w:pPr>
        <w:ind w:left="2592" w:hanging="432"/>
      </w:pPr>
    </w:lvl>
    <w:lvl w:ilvl="1">
      <w:start w:val="1"/>
      <w:numFmt w:val="decimal"/>
      <w:pStyle w:val="Heading2"/>
      <w:lvlText w:val="%1.%2"/>
      <w:lvlJc w:val="left"/>
      <w:pPr>
        <w:ind w:left="34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5184" w:hanging="864"/>
      </w:pPr>
    </w:lvl>
    <w:lvl w:ilvl="4">
      <w:start w:val="1"/>
      <w:numFmt w:val="decimal"/>
      <w:pStyle w:val="Heading5"/>
      <w:lvlText w:val="%1.%2.%3.%4.%5"/>
      <w:lvlJc w:val="left"/>
      <w:pPr>
        <w:ind w:left="6048" w:hanging="1008"/>
      </w:pPr>
    </w:lvl>
    <w:lvl w:ilvl="5">
      <w:start w:val="1"/>
      <w:numFmt w:val="decimal"/>
      <w:pStyle w:val="Heading6"/>
      <w:lvlText w:val="%1.%2.%3.%4.%5.%6"/>
      <w:lvlJc w:val="left"/>
      <w:pPr>
        <w:ind w:left="6912" w:hanging="1152"/>
      </w:pPr>
    </w:lvl>
    <w:lvl w:ilvl="6">
      <w:start w:val="1"/>
      <w:numFmt w:val="decimal"/>
      <w:pStyle w:val="Heading7"/>
      <w:lvlText w:val="%1.%2.%3.%4.%5.%6.%7"/>
      <w:lvlJc w:val="left"/>
      <w:pPr>
        <w:ind w:left="7776" w:hanging="1296"/>
      </w:pPr>
    </w:lvl>
    <w:lvl w:ilvl="7">
      <w:start w:val="1"/>
      <w:numFmt w:val="decimal"/>
      <w:pStyle w:val="Heading8"/>
      <w:lvlText w:val="%1.%2.%3.%4.%5.%6.%7.%8"/>
      <w:lvlJc w:val="left"/>
      <w:pPr>
        <w:ind w:left="8640" w:hanging="1440"/>
      </w:pPr>
    </w:lvl>
    <w:lvl w:ilvl="8">
      <w:start w:val="1"/>
      <w:numFmt w:val="decimal"/>
      <w:pStyle w:val="Heading9"/>
      <w:lvlText w:val="%1.%2.%3.%4.%5.%6.%7.%8.%9"/>
      <w:lvlJc w:val="left"/>
      <w:pPr>
        <w:ind w:left="9504" w:hanging="1584"/>
      </w:pPr>
    </w:lvl>
  </w:abstractNum>
  <w:abstractNum w:abstractNumId="6">
    <w:nsid w:val="023D1BED"/>
    <w:multiLevelType w:val="hybridMultilevel"/>
    <w:tmpl w:val="9D2C07D0"/>
    <w:lvl w:ilvl="0" w:tplc="098A428E">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9AF3A4D"/>
    <w:multiLevelType w:val="hybridMultilevel"/>
    <w:tmpl w:val="FF54D748"/>
    <w:lvl w:ilvl="0" w:tplc="A0EE43A2">
      <w:start w:val="1"/>
      <w:numFmt w:val="bullet"/>
      <w:pStyle w:val="JRCTextbulletedlist1"/>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03383C"/>
    <w:multiLevelType w:val="hybridMultilevel"/>
    <w:tmpl w:val="0F625E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1CD25BC7"/>
    <w:multiLevelType w:val="hybridMultilevel"/>
    <w:tmpl w:val="623CF3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F734306"/>
    <w:multiLevelType w:val="multilevel"/>
    <w:tmpl w:val="6994E1D6"/>
    <w:lvl w:ilvl="0">
      <w:start w:val="1"/>
      <w:numFmt w:val="decimal"/>
      <w:lvlText w:val="%1."/>
      <w:lvlJc w:val="left"/>
      <w:pPr>
        <w:tabs>
          <w:tab w:val="num" w:pos="480"/>
        </w:tabs>
        <w:ind w:left="480" w:hanging="480"/>
      </w:pPr>
    </w:lvl>
    <w:lvl w:ilvl="1">
      <w:start w:val="1"/>
      <w:numFmt w:val="decimal"/>
      <w:lvlText w:val="%1.%2."/>
      <w:lvlJc w:val="left"/>
      <w:pPr>
        <w:tabs>
          <w:tab w:val="num" w:pos="1004"/>
        </w:tabs>
        <w:ind w:left="1004"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4255227"/>
    <w:multiLevelType w:val="hybridMultilevel"/>
    <w:tmpl w:val="AF2A7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ACF124E"/>
    <w:multiLevelType w:val="hybridMultilevel"/>
    <w:tmpl w:val="58A8BFDE"/>
    <w:lvl w:ilvl="0" w:tplc="44B8DD18">
      <w:start w:val="1"/>
      <w:numFmt w:val="decimal"/>
      <w:pStyle w:val="JRCTextnumberedlist1"/>
      <w:lvlText w:val="%1."/>
      <w:lvlJc w:val="left"/>
      <w:pPr>
        <w:ind w:left="720" w:hanging="360"/>
      </w:pPr>
    </w:lvl>
    <w:lvl w:ilvl="1" w:tplc="4F049BF6">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ACF7DB0"/>
    <w:multiLevelType w:val="multilevel"/>
    <w:tmpl w:val="203887C4"/>
    <w:lvl w:ilvl="0">
      <w:start w:val="1"/>
      <w:numFmt w:val="decimal"/>
      <w:pStyle w:val="JRCLevel-1title"/>
      <w:lvlText w:val="%1"/>
      <w:lvlJc w:val="left"/>
      <w:pPr>
        <w:ind w:left="432" w:hanging="432"/>
      </w:pPr>
      <w:rPr>
        <w:rFonts w:hint="default"/>
      </w:rPr>
    </w:lvl>
    <w:lvl w:ilvl="1">
      <w:start w:val="1"/>
      <w:numFmt w:val="decimal"/>
      <w:pStyle w:val="JRCLevel-2title"/>
      <w:lvlText w:val="%1.%2"/>
      <w:lvlJc w:val="left"/>
      <w:pPr>
        <w:ind w:left="576" w:hanging="576"/>
      </w:pPr>
      <w:rPr>
        <w:rFonts w:hint="default"/>
      </w:rPr>
    </w:lvl>
    <w:lvl w:ilvl="2">
      <w:start w:val="1"/>
      <w:numFmt w:val="decimal"/>
      <w:pStyle w:val="JRCLevel-3title"/>
      <w:lvlText w:val="%1.%2.%3"/>
      <w:lvlJc w:val="left"/>
      <w:pPr>
        <w:ind w:left="720" w:hanging="720"/>
      </w:pPr>
      <w:rPr>
        <w:rFonts w:hint="default"/>
      </w:rPr>
    </w:lvl>
    <w:lvl w:ilvl="3">
      <w:start w:val="1"/>
      <w:numFmt w:val="decimal"/>
      <w:pStyle w:val="JRCLevel-4title"/>
      <w:lvlText w:val="%1.%2.%3.%4"/>
      <w:lvlJc w:val="left"/>
      <w:pPr>
        <w:ind w:left="864" w:hanging="864"/>
      </w:pPr>
      <w:rPr>
        <w:rFonts w:hint="default"/>
      </w:rPr>
    </w:lvl>
    <w:lvl w:ilvl="4">
      <w:start w:val="1"/>
      <w:numFmt w:val="decimal"/>
      <w:pStyle w:val="JRCLevel-5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4606826"/>
    <w:multiLevelType w:val="hybridMultilevel"/>
    <w:tmpl w:val="7D22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06D2FE4"/>
    <w:multiLevelType w:val="hybridMultilevel"/>
    <w:tmpl w:val="0302A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7812FE4"/>
    <w:multiLevelType w:val="hybridMultilevel"/>
    <w:tmpl w:val="D7E61DAC"/>
    <w:lvl w:ilvl="0" w:tplc="098A428E">
      <w:numFmt w:val="bullet"/>
      <w:lvlText w:val="-"/>
      <w:lvlJc w:val="left"/>
      <w:pPr>
        <w:ind w:left="765" w:hanging="360"/>
      </w:pPr>
      <w:rPr>
        <w:rFonts w:ascii="Arial" w:eastAsiaTheme="minorHAnsi" w:hAnsi="Arial" w:cs="Aria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8">
    <w:nsid w:val="703F60C6"/>
    <w:multiLevelType w:val="hybridMultilevel"/>
    <w:tmpl w:val="C36E02A4"/>
    <w:lvl w:ilvl="0" w:tplc="098A428E">
      <w:numFmt w:val="bullet"/>
      <w:lvlText w:val="-"/>
      <w:lvlJc w:val="left"/>
      <w:pPr>
        <w:ind w:left="363" w:hanging="360"/>
      </w:pPr>
      <w:rPr>
        <w:rFonts w:ascii="Arial" w:eastAsiaTheme="minorHAnsi" w:hAnsi="Arial" w:cs="Aria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9">
    <w:nsid w:val="78510206"/>
    <w:multiLevelType w:val="hybridMultilevel"/>
    <w:tmpl w:val="16A40413"/>
    <w:lvl w:ilvl="0" w:tplc="104EC438">
      <w:start w:val="1"/>
      <w:numFmt w:val="bullet"/>
      <w:pStyle w:val="ListBullet5"/>
      <w:lvlText w:val="·"/>
      <w:lvlJc w:val="left"/>
      <w:pPr>
        <w:tabs>
          <w:tab w:val="left" w:pos="1492"/>
        </w:tabs>
        <w:ind w:left="3292" w:hanging="360"/>
      </w:pPr>
      <w:rPr>
        <w:rFonts w:ascii="Symbol" w:eastAsia="Symbol" w:hAnsi="Symbol"/>
        <w:w w:val="100"/>
        <w:sz w:val="20"/>
        <w:szCs w:val="20"/>
        <w:shd w:val="clear" w:color="auto" w:fill="auto"/>
      </w:rPr>
    </w:lvl>
    <w:lvl w:ilvl="1" w:tplc="25F809D4">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2" w:tplc="5DE8F948">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3" w:tplc="D9620506">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4" w:tplc="109207D0">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5" w:tplc="F108720E">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6" w:tplc="E00CAC58">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7" w:tplc="5CD23FE4">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8" w:tplc="64FA5E46">
      <w:start w:val="1"/>
      <w:numFmt w:val="bullet"/>
      <w:lvlText w:val="·"/>
      <w:lvlJc w:val="left"/>
      <w:pPr>
        <w:tabs>
          <w:tab w:val="left" w:pos="1492"/>
        </w:tabs>
        <w:ind w:left="3292" w:hanging="360"/>
      </w:pPr>
      <w:rPr>
        <w:rFonts w:ascii="Symbol" w:eastAsia="Symbol" w:hAnsi="Symbol"/>
        <w:w w:val="100"/>
        <w:sz w:val="20"/>
        <w:szCs w:val="20"/>
        <w:shd w:val="clear" w:color="auto" w:fill="auto"/>
      </w:rPr>
    </w:lvl>
  </w:abstractNum>
  <w:num w:numId="1">
    <w:abstractNumId w:val="3"/>
  </w:num>
  <w:num w:numId="2">
    <w:abstractNumId w:val="4"/>
  </w:num>
  <w:num w:numId="3">
    <w:abstractNumId w:val="19"/>
  </w:num>
  <w:num w:numId="4">
    <w:abstractNumId w:val="5"/>
  </w:num>
  <w:num w:numId="5">
    <w:abstractNumId w:val="1"/>
  </w:num>
  <w:num w:numId="6">
    <w:abstractNumId w:val="2"/>
  </w:num>
  <w:num w:numId="7">
    <w:abstractNumId w:val="0"/>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4"/>
  </w:num>
  <w:num w:numId="11">
    <w:abstractNumId w:val="8"/>
  </w:num>
  <w:num w:numId="12">
    <w:abstractNumId w:val="13"/>
  </w:num>
  <w:num w:numId="13">
    <w:abstractNumId w:val="12"/>
  </w:num>
  <w:num w:numId="14">
    <w:abstractNumId w:val="16"/>
  </w:num>
  <w:num w:numId="15">
    <w:abstractNumId w:val="10"/>
    <w:lvlOverride w:ilvl="0">
      <w:startOverride w:val="1"/>
    </w:lvlOverride>
    <w:lvlOverride w:ilvl="1"/>
    <w:lvlOverride w:ilvl="2"/>
    <w:lvlOverride w:ilvl="3"/>
    <w:lvlOverride w:ilvl="4"/>
    <w:lvlOverride w:ilvl="5"/>
    <w:lvlOverride w:ilvl="6"/>
    <w:lvlOverride w:ilvl="7"/>
    <w:lvlOverride w:ilvl="8"/>
  </w:num>
  <w:num w:numId="16">
    <w:abstractNumId w:val="6"/>
  </w:num>
  <w:num w:numId="17">
    <w:abstractNumId w:val="15"/>
  </w:num>
  <w:num w:numId="18">
    <w:abstractNumId w:val="17"/>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revisionView w:markup="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A2880F8-B73A-4B92-A974-29C01CE0F48E}"/>
    <w:docVar w:name="dgnword-eventsink" w:val="238077840"/>
    <w:docVar w:name="DocStatus" w:val="Green"/>
    <w:docVar w:name="LW_ACCOMPAGNANT.CP" w:val="Accompanying the document"/>
    <w:docVar w:name="LW_CORRIGENDUM" w:val="&lt;UNUSED&gt;"/>
    <w:docVar w:name="LW_COVERPAGE_EXISTS" w:val="True"/>
    <w:docVar w:name="LW_COVERPAGE_GUID" w:val="C46760A0-60C3-4523-9F32-93B9F991DF0E"/>
    <w:docVar w:name="LW_COVERPAGE_TYPE" w:val="1"/>
    <w:docVar w:name="LW_CROSSREFERENCE" w:val="{COM(2018) 630 final}_x000b_{SEC(2018) 396 final}_x000b_{SWD(2018) 404 final}"/>
    <w:docVar w:name="LW_DocType" w:val="NORMAL"/>
    <w:docVar w:name="LW_EMISSION" w:val="12.9.2018"/>
    <w:docVar w:name="LW_EMISSION_ISODATE" w:val="2018-09-12"/>
    <w:docVar w:name="LW_EMISSION_LOCATION" w:val="BRX"/>
    <w:docVar w:name="LW_EMISSION_PREFIX" w:val="Brussels, "/>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establishing the European Cybersecurity Industrial, Technology and Research Competence Centre and the Network of National Coordination Centres"/>
    <w:docVar w:name="LW_PART_NBR" w:val="3"/>
    <w:docVar w:name="LW_PART_NBR_TOTAL" w:val="4"/>
    <w:docVar w:name="LW_REF.INST.NEW" w:val="SWD"/>
    <w:docVar w:name="LW_REF.INST.NEW_ADOPTED" w:val="final"/>
    <w:docVar w:name="LW_REF.INST.NEW_TEXT" w:val="(2018) 40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0"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numPr>
        <w:numId w:val="4"/>
      </w:numPr>
      <w:spacing w:after="0" w:line="240" w:lineRule="auto"/>
      <w:ind w:left="431" w:hanging="431"/>
      <w:outlineLvl w:val="0"/>
    </w:pPr>
    <w:rPr>
      <w:rFonts w:ascii="Times New Roman" w:eastAsia="Times New Roman" w:hAnsi="Times New Roman" w:cs="Times New Roman"/>
      <w:b/>
      <w:smallCaps/>
      <w:sz w:val="24"/>
      <w:szCs w:val="20"/>
      <w:u w:val="single"/>
      <w:lang w:eastAsia="en-GB"/>
    </w:rPr>
  </w:style>
  <w:style w:type="paragraph" w:styleId="Heading2">
    <w:name w:val="heading 2"/>
    <w:basedOn w:val="Normal"/>
    <w:link w:val="Heading2Char"/>
    <w:uiPriority w:val="9"/>
    <w:qFormat/>
    <w:pPr>
      <w:keepNext/>
      <w:numPr>
        <w:ilvl w:val="1"/>
        <w:numId w:val="4"/>
      </w:numPr>
      <w:spacing w:before="120" w:after="240" w:line="240" w:lineRule="auto"/>
      <w:jc w:val="both"/>
      <w:outlineLvl w:val="1"/>
    </w:pPr>
    <w:rPr>
      <w:rFonts w:ascii="Times New Roman" w:eastAsia="Times New Roman" w:hAnsi="Times New Roman" w:cs="Times New Roman"/>
      <w:b/>
      <w:sz w:val="24"/>
      <w:szCs w:val="24"/>
      <w:lang w:eastAsia="en-GB"/>
    </w:rPr>
  </w:style>
  <w:style w:type="paragraph" w:styleId="Heading3">
    <w:name w:val="heading 3"/>
    <w:basedOn w:val="Normal"/>
    <w:next w:val="Normal"/>
    <w:link w:val="Heading3Char"/>
    <w:uiPriority w:val="9"/>
    <w:qFormat/>
    <w:pPr>
      <w:keepNext/>
      <w:numPr>
        <w:ilvl w:val="2"/>
        <w:numId w:val="4"/>
      </w:numPr>
      <w:spacing w:after="0" w:line="240" w:lineRule="auto"/>
      <w:jc w:val="both"/>
      <w:outlineLvl w:val="2"/>
    </w:pPr>
    <w:rPr>
      <w:rFonts w:ascii="Arial" w:eastAsia="Times New Roman" w:hAnsi="Arial" w:cs="Times New Roman"/>
      <w:b/>
      <w:color w:val="000000" w:themeColor="text1"/>
      <w:sz w:val="20"/>
      <w:szCs w:val="20"/>
      <w:lang w:eastAsia="en-GB"/>
    </w:rPr>
  </w:style>
  <w:style w:type="paragraph" w:styleId="Heading4">
    <w:name w:val="heading 4"/>
    <w:basedOn w:val="Normal"/>
    <w:next w:val="Normal"/>
    <w:link w:val="Heading4Char"/>
    <w:uiPriority w:val="9"/>
    <w:qFormat/>
    <w:pPr>
      <w:keepNext/>
      <w:numPr>
        <w:ilvl w:val="3"/>
        <w:numId w:val="4"/>
      </w:numPr>
      <w:spacing w:after="0" w:line="240" w:lineRule="auto"/>
      <w:jc w:val="both"/>
      <w:outlineLvl w:val="3"/>
    </w:pPr>
    <w:rPr>
      <w:rFonts w:ascii="Arial" w:eastAsia="Times New Roman" w:hAnsi="Arial" w:cs="Times New Roman"/>
      <w:sz w:val="20"/>
      <w:szCs w:val="20"/>
      <w:lang w:eastAsia="en-GB"/>
    </w:rPr>
  </w:style>
  <w:style w:type="paragraph" w:styleId="Heading5">
    <w:name w:val="heading 5"/>
    <w:basedOn w:val="Normal"/>
    <w:next w:val="Normal"/>
    <w:link w:val="Heading5Char"/>
    <w:uiPriority w:val="9"/>
    <w:semiHidden/>
    <w:unhideWhenUsed/>
    <w:qFormat/>
    <w:pPr>
      <w:keepNext/>
      <w:keepLines/>
      <w:numPr>
        <w:ilvl w:val="4"/>
        <w:numId w:val="4"/>
      </w:numPr>
      <w:spacing w:after="0" w:line="240" w:lineRule="auto"/>
      <w:jc w:val="both"/>
      <w:outlineLvl w:val="4"/>
    </w:pPr>
    <w:rPr>
      <w:rFonts w:ascii="Cambria" w:eastAsia="Cambria" w:hAnsi="Cambria" w:cs="Times New Roman"/>
      <w:color w:val="243F60" w:themeColor="accent1" w:themeShade="7F"/>
      <w:sz w:val="20"/>
      <w:szCs w:val="20"/>
      <w:lang w:eastAsia="en-GB"/>
    </w:rPr>
  </w:style>
  <w:style w:type="paragraph" w:styleId="Heading6">
    <w:name w:val="heading 6"/>
    <w:basedOn w:val="Normal"/>
    <w:next w:val="Normal"/>
    <w:link w:val="Heading6Char"/>
    <w:uiPriority w:val="9"/>
    <w:semiHidden/>
    <w:unhideWhenUsed/>
    <w:qFormat/>
    <w:pPr>
      <w:keepNext/>
      <w:keepLines/>
      <w:numPr>
        <w:ilvl w:val="5"/>
        <w:numId w:val="4"/>
      </w:numPr>
      <w:spacing w:after="0" w:line="240" w:lineRule="auto"/>
      <w:jc w:val="both"/>
      <w:outlineLvl w:val="5"/>
    </w:pPr>
    <w:rPr>
      <w:rFonts w:ascii="Cambria" w:eastAsia="Cambria" w:hAnsi="Cambria" w:cs="Times New Roman"/>
      <w:i/>
      <w:color w:val="243F60" w:themeColor="accent1" w:themeShade="7F"/>
      <w:sz w:val="20"/>
      <w:szCs w:val="20"/>
      <w:lang w:eastAsia="en-GB"/>
    </w:rPr>
  </w:style>
  <w:style w:type="paragraph" w:styleId="Heading7">
    <w:name w:val="heading 7"/>
    <w:basedOn w:val="Normal"/>
    <w:next w:val="Normal"/>
    <w:link w:val="Heading7Char"/>
    <w:uiPriority w:val="9"/>
    <w:semiHidden/>
    <w:unhideWhenUsed/>
    <w:qFormat/>
    <w:pPr>
      <w:keepNext/>
      <w:keepLines/>
      <w:numPr>
        <w:ilvl w:val="6"/>
        <w:numId w:val="4"/>
      </w:numPr>
      <w:spacing w:after="0" w:line="240" w:lineRule="auto"/>
      <w:jc w:val="both"/>
      <w:outlineLvl w:val="6"/>
    </w:pPr>
    <w:rPr>
      <w:rFonts w:ascii="Cambria" w:eastAsia="Cambria" w:hAnsi="Cambria" w:cs="Times New Roman"/>
      <w:i/>
      <w:color w:val="404040" w:themeColor="text1" w:themeTint="BF"/>
      <w:sz w:val="20"/>
      <w:szCs w:val="20"/>
      <w:lang w:eastAsia="en-GB"/>
    </w:rPr>
  </w:style>
  <w:style w:type="paragraph" w:styleId="Heading8">
    <w:name w:val="heading 8"/>
    <w:basedOn w:val="Normal"/>
    <w:next w:val="Normal"/>
    <w:link w:val="Heading8Char"/>
    <w:uiPriority w:val="9"/>
    <w:semiHidden/>
    <w:unhideWhenUsed/>
    <w:qFormat/>
    <w:pPr>
      <w:keepNext/>
      <w:keepLines/>
      <w:numPr>
        <w:ilvl w:val="7"/>
        <w:numId w:val="4"/>
      </w:numPr>
      <w:spacing w:after="0" w:line="240" w:lineRule="auto"/>
      <w:jc w:val="both"/>
      <w:outlineLvl w:val="7"/>
    </w:pPr>
    <w:rPr>
      <w:rFonts w:ascii="Cambria" w:eastAsia="Cambria" w:hAnsi="Cambria" w:cs="Times New Roman"/>
      <w:color w:val="404040" w:themeColor="text1" w:themeTint="BF"/>
      <w:sz w:val="20"/>
      <w:szCs w:val="20"/>
      <w:lang w:eastAsia="en-GB"/>
    </w:rPr>
  </w:style>
  <w:style w:type="paragraph" w:styleId="Heading9">
    <w:name w:val="heading 9"/>
    <w:basedOn w:val="Normal"/>
    <w:next w:val="Normal"/>
    <w:link w:val="Heading9Char"/>
    <w:uiPriority w:val="9"/>
    <w:semiHidden/>
    <w:unhideWhenUsed/>
    <w:qFormat/>
    <w:pPr>
      <w:keepNext/>
      <w:keepLines/>
      <w:numPr>
        <w:ilvl w:val="8"/>
        <w:numId w:val="4"/>
      </w:numPr>
      <w:spacing w:after="0" w:line="240" w:lineRule="auto"/>
      <w:jc w:val="both"/>
      <w:outlineLvl w:val="8"/>
    </w:pPr>
    <w:rPr>
      <w:rFonts w:ascii="Cambria" w:eastAsia="Cambria" w:hAnsi="Cambria" w:cs="Times New Roman"/>
      <w:i/>
      <w:color w:val="404040" w:themeColor="text1" w:themeTint="BF"/>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u w:val="single"/>
      <w:lang w:eastAsia="en-GB"/>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4"/>
      <w:lang w:eastAsia="en-GB"/>
    </w:rPr>
  </w:style>
  <w:style w:type="character" w:customStyle="1" w:styleId="Heading3Char">
    <w:name w:val="Heading 3 Char"/>
    <w:basedOn w:val="DefaultParagraphFont"/>
    <w:link w:val="Heading3"/>
    <w:uiPriority w:val="9"/>
    <w:rPr>
      <w:rFonts w:ascii="Arial" w:eastAsia="Times New Roman" w:hAnsi="Arial" w:cs="Times New Roman"/>
      <w:b/>
      <w:color w:val="000000" w:themeColor="text1"/>
      <w:sz w:val="20"/>
      <w:szCs w:val="20"/>
      <w:lang w:eastAsia="en-GB"/>
    </w:rPr>
  </w:style>
  <w:style w:type="character" w:customStyle="1" w:styleId="Heading4Char">
    <w:name w:val="Heading 4 Char"/>
    <w:basedOn w:val="DefaultParagraphFont"/>
    <w:link w:val="Heading4"/>
    <w:uiPriority w:val="9"/>
    <w:rPr>
      <w:rFonts w:ascii="Arial" w:eastAsia="Times New Roman" w:hAnsi="Arial" w:cs="Times New Roman"/>
      <w:sz w:val="20"/>
      <w:szCs w:val="20"/>
      <w:lang w:eastAsia="en-GB"/>
    </w:rPr>
  </w:style>
  <w:style w:type="character" w:customStyle="1" w:styleId="Heading5Char">
    <w:name w:val="Heading 5 Char"/>
    <w:basedOn w:val="DefaultParagraphFont"/>
    <w:link w:val="Heading5"/>
    <w:uiPriority w:val="9"/>
    <w:semiHidden/>
    <w:rPr>
      <w:rFonts w:ascii="Cambria" w:eastAsia="Cambria" w:hAnsi="Cambria" w:cs="Times New Roman"/>
      <w:color w:val="243F60" w:themeColor="accent1" w:themeShade="7F"/>
      <w:sz w:val="20"/>
      <w:szCs w:val="20"/>
      <w:lang w:eastAsia="en-GB"/>
    </w:rPr>
  </w:style>
  <w:style w:type="character" w:customStyle="1" w:styleId="Heading6Char">
    <w:name w:val="Heading 6 Char"/>
    <w:basedOn w:val="DefaultParagraphFont"/>
    <w:link w:val="Heading6"/>
    <w:uiPriority w:val="9"/>
    <w:semiHidden/>
    <w:rPr>
      <w:rFonts w:ascii="Cambria" w:eastAsia="Cambria" w:hAnsi="Cambria" w:cs="Times New Roman"/>
      <w:i/>
      <w:color w:val="243F60" w:themeColor="accent1" w:themeShade="7F"/>
      <w:sz w:val="20"/>
      <w:szCs w:val="20"/>
      <w:lang w:eastAsia="en-GB"/>
    </w:rPr>
  </w:style>
  <w:style w:type="character" w:customStyle="1" w:styleId="Heading7Char">
    <w:name w:val="Heading 7 Char"/>
    <w:basedOn w:val="DefaultParagraphFont"/>
    <w:link w:val="Heading7"/>
    <w:uiPriority w:val="9"/>
    <w:semiHidden/>
    <w:rPr>
      <w:rFonts w:ascii="Cambria" w:eastAsia="Cambria" w:hAnsi="Cambria" w:cs="Times New Roman"/>
      <w:i/>
      <w:color w:val="404040" w:themeColor="text1" w:themeTint="BF"/>
      <w:sz w:val="20"/>
      <w:szCs w:val="20"/>
      <w:lang w:eastAsia="en-GB"/>
    </w:rPr>
  </w:style>
  <w:style w:type="character" w:customStyle="1" w:styleId="Heading8Char">
    <w:name w:val="Heading 8 Char"/>
    <w:basedOn w:val="DefaultParagraphFont"/>
    <w:link w:val="Heading8"/>
    <w:uiPriority w:val="9"/>
    <w:semiHidden/>
    <w:rPr>
      <w:rFonts w:ascii="Cambria" w:eastAsia="Cambria" w:hAnsi="Cambria" w:cs="Times New Roman"/>
      <w:color w:val="404040" w:themeColor="text1" w:themeTint="BF"/>
      <w:sz w:val="20"/>
      <w:szCs w:val="20"/>
      <w:lang w:eastAsia="en-GB"/>
    </w:rPr>
  </w:style>
  <w:style w:type="character" w:customStyle="1" w:styleId="Heading9Char">
    <w:name w:val="Heading 9 Char"/>
    <w:basedOn w:val="DefaultParagraphFont"/>
    <w:link w:val="Heading9"/>
    <w:uiPriority w:val="9"/>
    <w:semiHidden/>
    <w:rPr>
      <w:rFonts w:ascii="Cambria" w:eastAsia="Cambria" w:hAnsi="Cambria" w:cs="Times New Roman"/>
      <w:i/>
      <w:color w:val="404040" w:themeColor="text1" w:themeTint="BF"/>
      <w:sz w:val="20"/>
      <w:szCs w:val="20"/>
      <w:lang w:eastAsia="en-GB"/>
    </w:rPr>
  </w:style>
  <w:style w:type="paragraph" w:styleId="Subtitle">
    <w:name w:val="Subtitle"/>
    <w:basedOn w:val="Normal"/>
    <w:next w:val="Normal"/>
    <w:link w:val="SubtitleChar"/>
    <w:uiPriority w:val="11"/>
    <w:qFormat/>
    <w:pPr>
      <w:spacing w:after="0" w:line="240" w:lineRule="auto"/>
      <w:jc w:val="both"/>
    </w:pPr>
    <w:rPr>
      <w:rFonts w:ascii="Cambria" w:eastAsia="Cambria" w:hAnsi="Cambria" w:cs="Times New Roman"/>
      <w:i/>
      <w:color w:val="4F81BD" w:themeColor="accent1"/>
      <w:spacing w:val="15"/>
      <w:sz w:val="20"/>
      <w:szCs w:val="20"/>
      <w:lang w:eastAsia="en-GB"/>
    </w:rPr>
  </w:style>
  <w:style w:type="character" w:customStyle="1" w:styleId="SubtitleChar">
    <w:name w:val="Subtitle Char"/>
    <w:basedOn w:val="DefaultParagraphFont"/>
    <w:link w:val="Subtitle"/>
    <w:uiPriority w:val="11"/>
    <w:rPr>
      <w:rFonts w:ascii="Cambria" w:eastAsia="Cambria" w:hAnsi="Cambria" w:cs="Times New Roman"/>
      <w:i/>
      <w:color w:val="4F81BD" w:themeColor="accent1"/>
      <w:spacing w:val="15"/>
      <w:sz w:val="20"/>
      <w:szCs w:val="20"/>
      <w:lang w:eastAsia="en-GB"/>
    </w:rPr>
  </w:style>
  <w:style w:type="character" w:styleId="SubtleEmphasis">
    <w:name w:val="Subtle Emphasis"/>
    <w:basedOn w:val="DefaultParagraphFont"/>
    <w:uiPriority w:val="19"/>
    <w:qFormat/>
    <w:rPr>
      <w:i/>
      <w:color w:val="808080" w:themeColor="text1" w:themeTint="7F"/>
      <w:w w:val="100"/>
      <w:sz w:val="20"/>
      <w:szCs w:val="20"/>
      <w:shd w:val="clear" w:color="auto" w:fill="auto"/>
    </w:rPr>
  </w:style>
  <w:style w:type="character" w:styleId="Strong">
    <w:name w:val="Strong"/>
    <w:basedOn w:val="DefaultParagraphFont"/>
    <w:uiPriority w:val="22"/>
    <w:qFormat/>
    <w:rPr>
      <w:b/>
      <w:w w:val="100"/>
      <w:sz w:val="20"/>
      <w:szCs w:val="20"/>
      <w:shd w:val="clear" w:color="auto" w:fill="auto"/>
    </w:rPr>
  </w:style>
  <w:style w:type="paragraph" w:styleId="ListParagraph">
    <w:name w:val="List Paragraph"/>
    <w:aliases w:val="Fiche List Paragraph,Task Body,Viñetas (Inicio Parrafo),3 Txt tabla,Zerrenda-paragrafoa,Lista multicolor - Énfasis 11,List Paragraph compact,Dot pt,F5 List Paragraph,List Paragraph1,No Spacing1,List Paragraph Char Char Char,Indicator Text"/>
    <w:basedOn w:val="Normal"/>
    <w:link w:val="ListParagraphChar"/>
    <w:uiPriority w:val="34"/>
    <w:qFormat/>
    <w:pPr>
      <w:spacing w:after="0" w:line="240" w:lineRule="auto"/>
      <w:ind w:left="720"/>
      <w:jc w:val="both"/>
    </w:pPr>
    <w:rPr>
      <w:rFonts w:ascii="Times New Roman" w:eastAsia="Times New Roman" w:hAnsi="Times New Roman" w:cs="Times New Roman"/>
      <w:sz w:val="24"/>
      <w:szCs w:val="24"/>
      <w:lang w:eastAsia="en-GB"/>
    </w:rPr>
  </w:style>
  <w:style w:type="paragraph" w:styleId="TOCHeading">
    <w:name w:val="TOC Heading"/>
    <w:basedOn w:val="Normal"/>
    <w:next w:val="Normal"/>
    <w:uiPriority w:val="39"/>
    <w:qFormat/>
    <w:pPr>
      <w:keepNext/>
      <w:spacing w:after="0" w:line="240" w:lineRule="auto"/>
      <w:jc w:val="center"/>
    </w:pPr>
    <w:rPr>
      <w:rFonts w:ascii="Arial" w:eastAsia="Times New Roman" w:hAnsi="Arial" w:cs="Times New Roman"/>
      <w:b/>
      <w:sz w:val="20"/>
      <w:szCs w:val="20"/>
      <w:lang w:eastAsia="en-GB"/>
    </w:rPr>
  </w:style>
  <w:style w:type="paragraph" w:styleId="TOC1">
    <w:name w:val="toc 1"/>
    <w:basedOn w:val="Normal"/>
    <w:next w:val="Normal"/>
    <w:uiPriority w:val="39"/>
    <w:qFormat/>
    <w:pPr>
      <w:tabs>
        <w:tab w:val="right" w:leader="dot" w:pos="8640"/>
      </w:tabs>
      <w:spacing w:after="0" w:line="240" w:lineRule="auto"/>
      <w:ind w:left="2892" w:right="720" w:hanging="482"/>
      <w:jc w:val="both"/>
    </w:pPr>
    <w:rPr>
      <w:rFonts w:ascii="Arial" w:eastAsia="Times New Roman" w:hAnsi="Arial" w:cs="Times New Roman"/>
      <w:caps/>
      <w:sz w:val="20"/>
      <w:szCs w:val="20"/>
      <w:lang w:eastAsia="en-GB"/>
    </w:rPr>
  </w:style>
  <w:style w:type="paragraph" w:styleId="TOC2">
    <w:name w:val="toc 2"/>
    <w:basedOn w:val="Normal"/>
    <w:next w:val="Normal"/>
    <w:uiPriority w:val="39"/>
    <w:qFormat/>
    <w:pPr>
      <w:tabs>
        <w:tab w:val="right" w:leader="dot" w:pos="8640"/>
      </w:tabs>
      <w:spacing w:after="0" w:line="240" w:lineRule="auto"/>
      <w:ind w:left="4052" w:right="720" w:hanging="595"/>
      <w:jc w:val="both"/>
    </w:pPr>
    <w:rPr>
      <w:rFonts w:ascii="Arial" w:eastAsia="Times New Roman" w:hAnsi="Arial" w:cs="Times New Roman"/>
      <w:sz w:val="20"/>
      <w:szCs w:val="20"/>
      <w:lang w:eastAsia="en-GB"/>
    </w:rPr>
  </w:style>
  <w:style w:type="table" w:styleId="TableGrid">
    <w:name w:val="Table Grid"/>
    <w:basedOn w:val="TableNormal"/>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
    <w:name w:val="Text 1"/>
    <w:basedOn w:val="Normal"/>
    <w:pPr>
      <w:spacing w:after="0" w:line="240" w:lineRule="auto"/>
      <w:ind w:left="482"/>
      <w:jc w:val="both"/>
    </w:pPr>
    <w:rPr>
      <w:rFonts w:ascii="Arial" w:eastAsia="Times New Roman" w:hAnsi="Arial" w:cs="Times New Roman"/>
      <w:sz w:val="20"/>
      <w:szCs w:val="20"/>
      <w:lang w:eastAsia="en-GB"/>
    </w:rPr>
  </w:style>
  <w:style w:type="paragraph" w:customStyle="1" w:styleId="Text2">
    <w:name w:val="Text 2"/>
    <w:basedOn w:val="Normal"/>
    <w:link w:val="Text2Char"/>
    <w:pPr>
      <w:tabs>
        <w:tab w:val="left" w:pos="2302"/>
      </w:tabs>
      <w:spacing w:after="0" w:line="240" w:lineRule="auto"/>
      <w:ind w:left="1202"/>
      <w:jc w:val="both"/>
    </w:pPr>
    <w:rPr>
      <w:rFonts w:ascii="Arial" w:eastAsia="Times New Roman" w:hAnsi="Arial" w:cs="Times New Roman"/>
      <w:sz w:val="20"/>
      <w:szCs w:val="20"/>
      <w:lang w:eastAsia="en-GB"/>
    </w:rPr>
  </w:style>
  <w:style w:type="paragraph" w:styleId="ListBullet">
    <w:name w:val="List Bullet"/>
    <w:basedOn w:val="Normal"/>
    <w:pPr>
      <w:numPr>
        <w:numId w:val="1"/>
      </w:numPr>
      <w:spacing w:after="0" w:line="240" w:lineRule="auto"/>
      <w:ind w:left="0" w:firstLine="0"/>
      <w:jc w:val="both"/>
    </w:pPr>
    <w:rPr>
      <w:rFonts w:ascii="Arial" w:eastAsia="Times New Roman" w:hAnsi="Arial" w:cs="Times New Roman"/>
      <w:sz w:val="20"/>
      <w:szCs w:val="20"/>
      <w:lang w:eastAsia="en-GB"/>
    </w:rPr>
  </w:style>
  <w:style w:type="paragraph" w:customStyle="1" w:styleId="ListDash1">
    <w:name w:val="List Dash 1"/>
    <w:basedOn w:val="Text1"/>
    <w:pPr>
      <w:numPr>
        <w:numId w:val="2"/>
      </w:numPr>
      <w:ind w:left="0" w:firstLine="0"/>
    </w:pPr>
  </w:style>
  <w:style w:type="paragraph" w:customStyle="1" w:styleId="AnnexTitle">
    <w:name w:val="Annex Title"/>
    <w:basedOn w:val="Normal"/>
    <w:next w:val="Normal"/>
    <w:link w:val="AnnexTitleChar"/>
    <w:qFormat/>
    <w:pPr>
      <w:keepNext/>
      <w:spacing w:after="0" w:line="240" w:lineRule="auto"/>
      <w:jc w:val="center"/>
    </w:pPr>
    <w:rPr>
      <w:rFonts w:ascii="Arial" w:eastAsia="Times New Roman" w:hAnsi="Arial" w:cs="Times New Roman"/>
      <w:b/>
      <w:sz w:val="32"/>
      <w:szCs w:val="32"/>
      <w:lang w:eastAsia="en-GB"/>
    </w:rPr>
  </w:style>
  <w:style w:type="character" w:customStyle="1" w:styleId="AnnexTitleChar">
    <w:name w:val="Annex Title Char"/>
    <w:basedOn w:val="DefaultParagraphFont"/>
    <w:link w:val="AnnexTitle"/>
    <w:rPr>
      <w:rFonts w:ascii="Arial" w:eastAsia="Times New Roman" w:hAnsi="Arial" w:cs="Times New Roman"/>
      <w:b/>
      <w:sz w:val="32"/>
      <w:szCs w:val="32"/>
      <w:lang w:eastAsia="en-GB"/>
    </w:rPr>
  </w:style>
  <w:style w:type="table" w:customStyle="1" w:styleId="CV11">
    <w:name w:val="CV11"/>
    <w:basedOn w:val="TableNormal"/>
    <w:next w:val="TableGrid"/>
    <w:uiPriority w:val="39"/>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000FF" w:themeColor="hyperlink"/>
      <w:w w:val="100"/>
      <w:sz w:val="20"/>
      <w:szCs w:val="20"/>
      <w:u w:val="single"/>
      <w:shd w:val="clear" w:color="auto" w:fill="auto"/>
    </w:rPr>
  </w:style>
  <w:style w:type="paragraph" w:styleId="BalloonText">
    <w:name w:val="Balloon Text"/>
    <w:basedOn w:val="Normal"/>
    <w:link w:val="BalloonTextChar"/>
    <w:uiPriority w:val="99"/>
    <w:semiHidden/>
    <w:unhideWhenUsed/>
    <w:pPr>
      <w:spacing w:after="0" w:line="240" w:lineRule="auto"/>
      <w:jc w:val="both"/>
    </w:pPr>
    <w:rPr>
      <w:rFonts w:ascii="Tahoma" w:eastAsia="Tahoma" w:hAnsi="Tahoma" w:cs="Times New Roman"/>
      <w:sz w:val="16"/>
      <w:szCs w:val="16"/>
      <w:lang w:eastAsia="en-GB"/>
    </w:rPr>
  </w:style>
  <w:style w:type="character" w:customStyle="1" w:styleId="BalloonTextChar">
    <w:name w:val="Balloon Text Char"/>
    <w:basedOn w:val="DefaultParagraphFont"/>
    <w:link w:val="BalloonText"/>
    <w:uiPriority w:val="99"/>
    <w:semiHidden/>
    <w:rPr>
      <w:rFonts w:ascii="Tahoma" w:eastAsia="Tahoma" w:hAnsi="Tahoma" w:cs="Times New Roman"/>
      <w:sz w:val="16"/>
      <w:szCs w:val="16"/>
      <w:lang w:eastAsia="en-GB"/>
    </w:rPr>
  </w:style>
  <w:style w:type="paragraph" w:customStyle="1" w:styleId="Declassification">
    <w:name w:val="Declassification"/>
    <w:basedOn w:val="Normal"/>
    <w:next w:val="Normal"/>
    <w:pPr>
      <w:spacing w:after="0" w:line="240" w:lineRule="auto"/>
      <w:jc w:val="both"/>
    </w:pPr>
    <w:rPr>
      <w:rFonts w:ascii="Arial" w:eastAsia="Times New Roman" w:hAnsi="Arial" w:cs="Times New Roman"/>
      <w:sz w:val="20"/>
      <w:szCs w:val="20"/>
      <w:lang w:eastAsia="en-GB"/>
    </w:rPr>
  </w:style>
  <w:style w:type="paragraph" w:customStyle="1" w:styleId="HeaderLandscape">
    <w:name w:val="HeaderLandscape"/>
    <w:basedOn w:val="Normal"/>
    <w:pPr>
      <w:tabs>
        <w:tab w:val="center" w:pos="7285"/>
        <w:tab w:val="right" w:pos="14003"/>
      </w:tabs>
      <w:spacing w:after="0" w:line="240" w:lineRule="auto"/>
      <w:jc w:val="both"/>
    </w:pPr>
    <w:rPr>
      <w:rFonts w:ascii="Arial" w:eastAsia="Times New Roman" w:hAnsi="Arial" w:cs="Times New Roman"/>
      <w:sz w:val="20"/>
      <w:szCs w:val="20"/>
      <w:lang w:eastAsia="en-GB"/>
    </w:rPr>
  </w:style>
  <w:style w:type="paragraph" w:customStyle="1" w:styleId="FooterLandscape">
    <w:name w:val="FooterLandscape"/>
    <w:basedOn w:val="Normal"/>
    <w:pPr>
      <w:tabs>
        <w:tab w:val="center" w:pos="7285"/>
        <w:tab w:val="center" w:pos="10913"/>
        <w:tab w:val="right" w:pos="15137"/>
      </w:tabs>
      <w:spacing w:after="0" w:line="240" w:lineRule="auto"/>
      <w:ind w:left="-567" w:right="-567"/>
      <w:jc w:val="both"/>
    </w:pPr>
    <w:rPr>
      <w:rFonts w:ascii="Arial" w:eastAsia="Times New Roman" w:hAnsi="Arial" w:cs="Times New Roman"/>
      <w:sz w:val="20"/>
      <w:szCs w:val="20"/>
      <w:lang w:eastAsia="en-GB"/>
    </w:rPr>
  </w:style>
  <w:style w:type="paragraph" w:customStyle="1" w:styleId="Default">
    <w:name w:val="Default"/>
    <w:pPr>
      <w:autoSpaceDE w:val="0"/>
      <w:autoSpaceDN w:val="0"/>
      <w:spacing w:after="0" w:line="240" w:lineRule="auto"/>
      <w:jc w:val="both"/>
    </w:pPr>
    <w:rPr>
      <w:rFonts w:ascii="Times New Roman" w:eastAsia="Times New Roman" w:hAnsi="Times New Roman" w:cs="Times New Roman"/>
      <w:color w:val="000000"/>
      <w:sz w:val="24"/>
      <w:szCs w:val="24"/>
      <w:lang w:eastAsia="en-GB"/>
    </w:rPr>
  </w:style>
  <w:style w:type="character" w:customStyle="1" w:styleId="ListParagraphChar">
    <w:name w:val="List Paragraph Char"/>
    <w:aliases w:val="Fiche List Paragraph Char,Task Body Char,Viñetas (Inicio Parrafo) Char,3 Txt tabla Char,Zerrenda-paragrafoa Char,Lista multicolor - Énfasis 11 Char,List Paragraph compact Char,Dot pt Char,F5 List Paragraph Char,List Paragraph1 Char"/>
    <w:basedOn w:val="DefaultParagraphFont"/>
    <w:link w:val="ListParagraph"/>
    <w:uiPriority w:val="34"/>
    <w:qFormat/>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unhideWhenUsed/>
    <w:rPr>
      <w:w w:val="100"/>
      <w:sz w:val="16"/>
      <w:szCs w:val="16"/>
      <w:shd w:val="clear" w:color="auto" w:fill="auto"/>
    </w:rPr>
  </w:style>
  <w:style w:type="paragraph" w:styleId="CommentText">
    <w:name w:val="annotation text"/>
    <w:basedOn w:val="Normal"/>
    <w:link w:val="CommentTextChar"/>
    <w:uiPriority w:val="99"/>
    <w:unhideWhenUsed/>
    <w:pPr>
      <w:spacing w:after="0" w:line="240" w:lineRule="auto"/>
      <w:jc w:val="both"/>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sz w:val="20"/>
      <w:szCs w:val="20"/>
      <w:lang w:eastAsia="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0" w:line="240" w:lineRule="auto"/>
      <w:ind w:left="2142" w:hanging="357"/>
      <w:jc w:val="both"/>
    </w:pPr>
    <w:rPr>
      <w:rFonts w:ascii="Arial" w:eastAsia="Times New Roman" w:hAnsi="Arial" w:cs="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Arial" w:eastAsia="Times New Roman" w:hAnsi="Arial" w:cs="Times New Roman"/>
      <w:sz w:val="20"/>
      <w:szCs w:val="20"/>
      <w:lang w:eastAsia="en-GB"/>
    </w:rPr>
  </w:style>
  <w:style w:type="character" w:styleId="FootnoteReference">
    <w:name w:val="footnote reference"/>
    <w:uiPriority w:val="99"/>
    <w:qFormat/>
    <w:rPr>
      <w:sz w:val="20"/>
      <w:szCs w:val="20"/>
      <w:vertAlign w:val="superscript"/>
    </w:rPr>
  </w:style>
  <w:style w:type="paragraph" w:customStyle="1" w:styleId="FootnotesymbolCarZchn">
    <w:name w:val="Footnote symbol Car Zchn"/>
    <w:basedOn w:val="Normal"/>
    <w:qFormat/>
    <w:pPr>
      <w:spacing w:after="0" w:line="240" w:lineRule="auto"/>
      <w:ind w:left="1704" w:hanging="284"/>
      <w:jc w:val="both"/>
    </w:pPr>
    <w:rPr>
      <w:sz w:val="20"/>
      <w:szCs w:val="20"/>
      <w:vertAlign w:val="superscript"/>
    </w:rPr>
  </w:style>
  <w:style w:type="character" w:styleId="FollowedHyperlink">
    <w:name w:val="FollowedHyperlink"/>
    <w:basedOn w:val="DefaultParagraphFont"/>
    <w:uiPriority w:val="99"/>
    <w:semiHidden/>
    <w:unhideWhenUsed/>
    <w:rPr>
      <w:color w:val="800080"/>
      <w:w w:val="100"/>
      <w:sz w:val="20"/>
      <w:szCs w:val="20"/>
      <w:u w:val="single"/>
      <w:shd w:val="clear" w:color="auto" w:fill="auto"/>
    </w:rPr>
  </w:style>
  <w:style w:type="character" w:customStyle="1" w:styleId="s16">
    <w:name w:val="s16"/>
    <w:basedOn w:val="DefaultParagraphFont"/>
  </w:style>
  <w:style w:type="paragraph" w:customStyle="1" w:styleId="Normal1">
    <w:name w:val="Normal1"/>
    <w:basedOn w:val="Normal"/>
    <w:pPr>
      <w:spacing w:after="0" w:line="240" w:lineRule="auto"/>
      <w:jc w:val="both"/>
    </w:pPr>
    <w:rPr>
      <w:rFonts w:ascii="Arial" w:eastAsia="Times New Roman" w:hAnsi="Arial" w:cs="Times New Roman"/>
      <w:sz w:val="20"/>
      <w:szCs w:val="20"/>
      <w:lang w:eastAsia="en-GB"/>
    </w:rPr>
  </w:style>
  <w:style w:type="character" w:customStyle="1" w:styleId="footnotereference0">
    <w:name w:val="footnotereference"/>
    <w:basedOn w:val="DefaultParagraphFont"/>
  </w:style>
  <w:style w:type="character" w:customStyle="1" w:styleId="TestonotaapidipaginaRientroChar1">
    <w:name w:val="Testo nota a piè di pagina_Rientro Char1"/>
    <w:rPr>
      <w:w w:val="100"/>
      <w:sz w:val="20"/>
      <w:szCs w:val="20"/>
      <w:shd w:val="clear" w:color="auto" w:fill="auto"/>
    </w:rPr>
  </w:style>
  <w:style w:type="paragraph" w:styleId="Caption">
    <w:name w:val="caption"/>
    <w:basedOn w:val="Normal"/>
    <w:next w:val="Normal"/>
    <w:uiPriority w:val="35"/>
    <w:qFormat/>
    <w:pPr>
      <w:spacing w:after="0" w:line="240" w:lineRule="auto"/>
      <w:jc w:val="both"/>
    </w:pPr>
    <w:rPr>
      <w:rFonts w:ascii="Arial" w:eastAsia="Times New Roman" w:hAnsi="Arial" w:cs="Times New Roman"/>
      <w:b/>
      <w:sz w:val="20"/>
      <w:szCs w:val="20"/>
      <w:lang w:eastAsia="en-GB"/>
    </w:rPr>
  </w:style>
  <w:style w:type="paragraph" w:styleId="ListBullet5">
    <w:name w:val="List Bullet 5"/>
    <w:basedOn w:val="Normal"/>
    <w:pPr>
      <w:numPr>
        <w:numId w:val="3"/>
      </w:numPr>
      <w:spacing w:after="0" w:line="240" w:lineRule="auto"/>
      <w:ind w:left="0" w:firstLine="0"/>
      <w:jc w:val="both"/>
    </w:pPr>
    <w:rPr>
      <w:rFonts w:ascii="Arial" w:eastAsia="Times New Roman" w:hAnsi="Arial" w:cs="Times New Roman"/>
      <w:sz w:val="20"/>
      <w:szCs w:val="20"/>
      <w:lang w:eastAsia="en-GB"/>
    </w:rPr>
  </w:style>
  <w:style w:type="paragraph" w:styleId="NormalWeb">
    <w:name w:val="Normal (Web)"/>
    <w:basedOn w:val="Normal"/>
    <w:unhideWhenUsed/>
    <w:pPr>
      <w:spacing w:after="0" w:line="240" w:lineRule="auto"/>
      <w:jc w:val="both"/>
    </w:pPr>
    <w:rPr>
      <w:rFonts w:ascii="Arial" w:eastAsia="Times New Roman" w:hAnsi="Arial" w:cs="Times New Roman"/>
      <w:sz w:val="20"/>
      <w:szCs w:val="20"/>
      <w:lang w:eastAsia="en-GB"/>
    </w:rPr>
  </w:style>
  <w:style w:type="table" w:styleId="LightShading-Accent1">
    <w:name w:val="Light Shading Accent 1"/>
    <w:basedOn w:val="TableNormal"/>
    <w:pPr>
      <w:spacing w:after="0" w:line="240" w:lineRule="auto"/>
      <w:jc w:val="both"/>
    </w:pPr>
    <w:rPr>
      <w:rFonts w:ascii="Calibri" w:eastAsia="Calibri" w:hAnsi="Calibri" w:cs="Times New Roman"/>
      <w:color w:val="365F91" w:themeColor="accent1" w:themeShade="BF"/>
      <w:sz w:val="20"/>
      <w:szCs w:val="20"/>
      <w:lang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ind w:left="0" w:firstLine="0"/>
      </w:pPr>
      <w:rPr>
        <w:b/>
        <w:w w:val="100"/>
        <w:sz w:val="20"/>
        <w:szCs w:val="20"/>
        <w:shd w:val="clear" w:color="auto" w:fill="auto"/>
      </w:rPr>
      <w:tblPr/>
      <w:tcPr>
        <w:tcBorders>
          <w:top w:val="single" w:sz="8" w:space="0" w:color="4F81BD" w:themeColor="accent1"/>
          <w:bottom w:val="single" w:sz="8" w:space="0" w:color="4F81BD" w:themeColor="accent1"/>
        </w:tcBorders>
      </w:tcPr>
    </w:tblStylePr>
    <w:tblStylePr w:type="lastRow">
      <w:pPr>
        <w:ind w:left="0" w:firstLine="0"/>
      </w:pPr>
      <w:rPr>
        <w:b/>
        <w:w w:val="100"/>
        <w:sz w:val="20"/>
        <w:szCs w:val="20"/>
        <w:shd w:val="clear" w:color="auto" w:fill="auto"/>
      </w:rPr>
      <w:tblPr/>
      <w:tcPr>
        <w:tcBorders>
          <w:top w:val="single" w:sz="8" w:space="0" w:color="4F81BD" w:themeColor="accent1"/>
          <w:bottom w:val="single" w:sz="8"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3DFEE" w:themeFill="accent1" w:themeFillTint="3F"/>
      </w:tcPr>
    </w:tblStylePr>
    <w:tblStylePr w:type="band1Horz">
      <w:tblPr/>
      <w:tcPr>
        <w:shd w:val="clear" w:color="000000" w:fill="D3DFEE" w:themeFill="accent1" w:themeFillTint="3F"/>
      </w:tcPr>
    </w:tblStylePr>
  </w:style>
  <w:style w:type="table" w:styleId="LightList-Accent1">
    <w:name w:val="Light List Accent 1"/>
    <w:basedOn w:val="TableNormal"/>
    <w:pPr>
      <w:spacing w:after="0" w:line="240" w:lineRule="auto"/>
      <w:jc w:val="both"/>
    </w:pPr>
    <w:rPr>
      <w:rFonts w:ascii="Calibri" w:eastAsia="Calibri" w:hAnsi="Calibri" w:cs="Times New Roman"/>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ind w:left="0" w:firstLine="0"/>
      </w:pPr>
      <w:rPr>
        <w:b/>
        <w:color w:val="FFFFFF" w:themeColor="background1"/>
        <w:w w:val="100"/>
        <w:sz w:val="20"/>
        <w:szCs w:val="20"/>
        <w:shd w:val="clear" w:color="auto" w:fill="auto"/>
      </w:rPr>
      <w:tblPr/>
      <w:tcPr>
        <w:shd w:val="clear" w:color="000000" w:fill="4F81BD" w:themeFill="accent1"/>
      </w:tcPr>
    </w:tblStylePr>
    <w:tblStylePr w:type="lastRow">
      <w:pPr>
        <w:ind w:left="0" w:firstLine="0"/>
      </w:pPr>
      <w:rPr>
        <w:b/>
        <w:w w:val="100"/>
        <w:sz w:val="20"/>
        <w:szCs w:val="20"/>
        <w:shd w:val="clear" w:color="auto" w:fill="auto"/>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uiPriority w:val="99"/>
    <w:semiHidden/>
    <w:pPr>
      <w:spacing w:after="0" w:line="240" w:lineRule="auto"/>
      <w:jc w:val="both"/>
    </w:pPr>
    <w:rPr>
      <w:rFonts w:ascii="Calibri" w:eastAsia="Calibri" w:hAnsi="Calibri" w:cs="Times New Roman"/>
      <w:lang w:eastAsia="en-GB"/>
    </w:rPr>
  </w:style>
  <w:style w:type="paragraph" w:customStyle="1" w:styleId="ManualHeading3">
    <w:name w:val="Manual Heading 3"/>
    <w:basedOn w:val="Normal"/>
    <w:next w:val="Normal"/>
    <w:pPr>
      <w:keepNext/>
      <w:tabs>
        <w:tab w:val="left" w:pos="850"/>
      </w:tabs>
      <w:spacing w:after="0" w:line="240" w:lineRule="auto"/>
      <w:ind w:left="5100" w:hanging="850"/>
      <w:jc w:val="both"/>
    </w:pPr>
    <w:rPr>
      <w:rFonts w:ascii="Arial" w:eastAsia="Times New Roman" w:hAnsi="Arial" w:cs="Times New Roman"/>
      <w:i/>
      <w:sz w:val="20"/>
      <w:szCs w:val="20"/>
      <w:lang w:eastAsia="en-GB"/>
    </w:rPr>
  </w:style>
  <w:style w:type="character" w:customStyle="1" w:styleId="tab">
    <w:name w:val="tab"/>
    <w:basedOn w:val="DefaultParagraphFont"/>
  </w:style>
  <w:style w:type="paragraph" w:customStyle="1" w:styleId="JRCText">
    <w:name w:val="JRC_Text"/>
    <w:basedOn w:val="Normal"/>
    <w:qFormat/>
    <w:pPr>
      <w:spacing w:after="0" w:line="240" w:lineRule="auto"/>
      <w:jc w:val="both"/>
    </w:pPr>
    <w:rPr>
      <w:rFonts w:ascii="Verdana" w:eastAsia="Times New Roman" w:hAnsi="Verdana" w:cs="Times New Roman"/>
      <w:sz w:val="20"/>
      <w:szCs w:val="20"/>
      <w:lang w:eastAsia="en-GB"/>
    </w:rPr>
  </w:style>
  <w:style w:type="paragraph" w:customStyle="1" w:styleId="JRCTextbulletedlist2">
    <w:name w:val="JRC_Text_bulleted_list2"/>
    <w:basedOn w:val="Normal"/>
    <w:qFormat/>
    <w:pPr>
      <w:numPr>
        <w:ilvl w:val="1"/>
        <w:numId w:val="5"/>
      </w:numPr>
      <w:spacing w:after="0" w:line="240" w:lineRule="auto"/>
      <w:ind w:left="2499" w:hanging="357"/>
      <w:jc w:val="both"/>
    </w:pPr>
    <w:rPr>
      <w:rFonts w:ascii="Verdana" w:eastAsia="Times New Roman" w:hAnsi="Verdana" w:cs="Times New Roman"/>
      <w:sz w:val="20"/>
      <w:szCs w:val="20"/>
      <w:lang w:eastAsia="en-GB"/>
    </w:rPr>
  </w:style>
  <w:style w:type="paragraph" w:styleId="EndnoteText">
    <w:name w:val="endnote text"/>
    <w:basedOn w:val="Normal"/>
    <w:link w:val="EndnoteTextChar"/>
    <w:uiPriority w:val="99"/>
    <w:unhideWhenUsed/>
    <w:pPr>
      <w:spacing w:after="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Pr>
      <w:w w:val="100"/>
      <w:sz w:val="20"/>
      <w:szCs w:val="20"/>
      <w:shd w:val="clear" w:color="auto" w:fill="auto"/>
      <w:vertAlign w:val="superscript"/>
    </w:rPr>
  </w:style>
  <w:style w:type="paragraph" w:customStyle="1" w:styleId="Briefinglist1">
    <w:name w:val="Briefing list 1"/>
    <w:basedOn w:val="Normal"/>
    <w:pPr>
      <w:keepLines/>
      <w:numPr>
        <w:numId w:val="6"/>
      </w:numPr>
      <w:spacing w:after="0" w:line="240" w:lineRule="auto"/>
      <w:ind w:left="0" w:firstLine="0"/>
      <w:jc w:val="both"/>
    </w:pPr>
    <w:rPr>
      <w:rFonts w:ascii="Arial" w:eastAsia="Arial" w:hAnsi="Arial" w:cs="Times New Roman"/>
      <w:sz w:val="20"/>
      <w:szCs w:val="20"/>
      <w:lang w:eastAsia="en-GB"/>
    </w:rPr>
  </w:style>
  <w:style w:type="paragraph" w:customStyle="1" w:styleId="p1">
    <w:name w:val="p1"/>
    <w:basedOn w:val="Normal"/>
    <w:pPr>
      <w:spacing w:after="0" w:line="240" w:lineRule="auto"/>
      <w:jc w:val="both"/>
    </w:pPr>
    <w:rPr>
      <w:rFonts w:ascii="Arial" w:eastAsia="Times New Roman" w:hAnsi="Arial" w:cs="Times New Roman"/>
      <w:sz w:val="20"/>
      <w:szCs w:val="20"/>
      <w:lang w:eastAsia="en-GB"/>
    </w:rPr>
  </w:style>
  <w:style w:type="table" w:styleId="MediumList2-Accent1">
    <w:name w:val="Medium List 2 Accent 1"/>
    <w:basedOn w:val="TableNormal"/>
    <w:pPr>
      <w:spacing w:after="0" w:line="240" w:lineRule="auto"/>
      <w:jc w:val="both"/>
    </w:pPr>
    <w:rPr>
      <w:rFonts w:ascii="Cambria" w:eastAsia="Cambria" w:hAnsi="Cambria" w:cs="Times New Roman"/>
      <w:color w:val="000000" w:themeColor="text1"/>
      <w:sz w:val="20"/>
      <w:szCs w:val="20"/>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w w:val="100"/>
        <w:sz w:val="24"/>
        <w:szCs w:val="24"/>
        <w:shd w:val="clear" w:color="auto" w:fill="auto"/>
      </w:rPr>
      <w:tblPr/>
      <w:tcPr>
        <w:tcBorders>
          <w:bottom w:val="single" w:sz="24" w:space="0" w:color="4F81BD" w:themeColor="accent1"/>
        </w:tcBorders>
        <w:shd w:val="clear" w:color="000000" w:fill="FFFFFF" w:themeFill="background1"/>
      </w:tcPr>
    </w:tblStylePr>
    <w:tblStylePr w:type="lastRow">
      <w:tblPr/>
      <w:tcPr>
        <w:tcBorders>
          <w:top w:val="single" w:sz="8" w:space="0" w:color="4F81BD" w:themeColor="accent1"/>
        </w:tcBorders>
        <w:shd w:val="clear" w:color="000000" w:fill="FFFFFF" w:themeFill="background1"/>
      </w:tcPr>
    </w:tblStylePr>
    <w:tblStylePr w:type="firstCol">
      <w:tblPr/>
      <w:tcPr>
        <w:tcBorders>
          <w:right w:val="single" w:sz="8" w:space="0" w:color="4F81BD" w:themeColor="accent1"/>
        </w:tcBorders>
        <w:shd w:val="clear" w:color="000000" w:fill="FFFFFF" w:themeFill="background1"/>
      </w:tcPr>
    </w:tblStylePr>
    <w:tblStylePr w:type="lastCol">
      <w:tblPr/>
      <w:tcPr>
        <w:tcBorders>
          <w:left w:val="single" w:sz="8" w:space="0" w:color="4F81BD" w:themeColor="accent1"/>
        </w:tcBorders>
        <w:shd w:val="clear" w:color="000000" w:fill="FFFFFF" w:themeFill="background1"/>
      </w:tcPr>
    </w:tblStylePr>
    <w:tblStylePr w:type="band1Vert">
      <w:tblPr/>
      <w:tcPr>
        <w:shd w:val="clear" w:color="000000" w:fill="D3DFEE" w:themeFill="accent1" w:themeFillTint="3F"/>
      </w:tcPr>
    </w:tblStylePr>
    <w:tblStylePr w:type="band1Horz">
      <w:tblPr/>
      <w:tcPr>
        <w:shd w:val="clear" w:color="000000" w:fill="D3DFEE" w:themeFill="accent1" w:themeFillTint="3F"/>
      </w:tcPr>
    </w:tblStylePr>
    <w:tblStylePr w:type="nwCell">
      <w:tblPr/>
      <w:tcPr>
        <w:shd w:val="clear" w:color="000000" w:fill="FFFFFF" w:themeFill="background1"/>
      </w:tcPr>
    </w:tblStylePr>
    <w:tblStylePr w:type="swCell">
      <w:rPr>
        <w:w w:val="100"/>
        <w:sz w:val="24"/>
        <w:szCs w:val="24"/>
        <w:shd w:val="clear" w:color="auto" w:fill="auto"/>
      </w:rPr>
      <w:tblPr/>
      <w:tcPr>
        <w:tcBorders>
          <w:bottom w:val="single" w:sz="24" w:space="0" w:color="4F81BD" w:themeColor="accent1"/>
        </w:tcBorders>
        <w:shd w:val="clear" w:color="000000" w:fill="FFFFFF" w:themeFill="background1"/>
      </w:tcPr>
    </w:tblStylePr>
  </w:style>
  <w:style w:type="table" w:styleId="LightShading-Accent5">
    <w:name w:val="Light Shading Accent 5"/>
    <w:basedOn w:val="TableNormal"/>
    <w:pPr>
      <w:spacing w:after="0" w:line="240" w:lineRule="auto"/>
      <w:jc w:val="both"/>
    </w:pPr>
    <w:rPr>
      <w:rFonts w:ascii="Calibri" w:eastAsia="Calibri" w:hAnsi="Calibri" w:cs="Times New Roman"/>
      <w:color w:val="31849B" w:themeColor="accent5" w:themeShade="BF"/>
      <w:sz w:val="20"/>
      <w:szCs w:val="20"/>
      <w:lang w:eastAsia="en-GB"/>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ind w:left="0" w:firstLine="0"/>
      </w:pPr>
      <w:rPr>
        <w:b/>
        <w:w w:val="100"/>
        <w:sz w:val="20"/>
        <w:szCs w:val="20"/>
        <w:shd w:val="clear" w:color="auto" w:fill="auto"/>
      </w:rPr>
      <w:tblPr/>
      <w:tcPr>
        <w:tcBorders>
          <w:top w:val="single" w:sz="8" w:space="0" w:color="4BACC6" w:themeColor="accent5"/>
          <w:bottom w:val="single" w:sz="8" w:space="0" w:color="4BACC6" w:themeColor="accent5"/>
        </w:tcBorders>
      </w:tcPr>
    </w:tblStylePr>
    <w:tblStylePr w:type="lastRow">
      <w:pPr>
        <w:ind w:left="0" w:firstLine="0"/>
      </w:pPr>
      <w:rPr>
        <w:b/>
        <w:w w:val="100"/>
        <w:sz w:val="20"/>
        <w:szCs w:val="20"/>
        <w:shd w:val="clear" w:color="auto" w:fill="auto"/>
      </w:rPr>
      <w:tblPr/>
      <w:tcPr>
        <w:tcBorders>
          <w:top w:val="single" w:sz="8" w:space="0" w:color="4BACC6" w:themeColor="accent5"/>
          <w:bottom w:val="single" w:sz="8" w:space="0" w:color="4BACC6"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2EAF1" w:themeFill="accent5" w:themeFillTint="3F"/>
      </w:tcPr>
    </w:tblStylePr>
    <w:tblStylePr w:type="band1Horz">
      <w:tblPr/>
      <w:tcPr>
        <w:shd w:val="clear" w:color="000000" w:fill="D2EAF1" w:themeFill="accent5" w:themeFillTint="3F"/>
      </w:tcPr>
    </w:tblStylePr>
  </w:style>
  <w:style w:type="table" w:styleId="ColorfulShading-Accent5">
    <w:name w:val="Colorful Shading Accent 5"/>
    <w:basedOn w:val="TableNormal"/>
    <w:pPr>
      <w:spacing w:after="0" w:line="240" w:lineRule="auto"/>
      <w:jc w:val="both"/>
    </w:pPr>
    <w:rPr>
      <w:rFonts w:ascii="Calibri" w:eastAsia="Calibri" w:hAnsi="Calibri" w:cs="Times New Roman"/>
      <w:color w:val="000000" w:themeColor="text1"/>
      <w:sz w:val="20"/>
      <w:szCs w:val="20"/>
      <w:lang w:eastAsia="en-GB"/>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DF6F9" w:themeFill="accent5" w:themeFillTint="19"/>
    </w:tcPr>
    <w:tblStylePr w:type="firstRow">
      <w:rPr>
        <w:b/>
        <w:w w:val="100"/>
        <w:sz w:val="20"/>
        <w:szCs w:val="20"/>
        <w:shd w:val="clear" w:color="auto" w:fill="auto"/>
      </w:rPr>
      <w:tblPr/>
      <w:tcPr>
        <w:tcBorders>
          <w:bottom w:val="single" w:sz="24" w:space="0" w:color="F79646" w:themeColor="accent6"/>
        </w:tcBorders>
        <w:shd w:val="clear" w:color="000000" w:fill="FFFFFF" w:themeFill="background1"/>
      </w:tcPr>
    </w:tblStylePr>
    <w:tblStylePr w:type="lastRow">
      <w:rPr>
        <w:b/>
        <w:color w:val="FFFFFF" w:themeColor="background1"/>
        <w:w w:val="100"/>
        <w:sz w:val="20"/>
        <w:szCs w:val="20"/>
        <w:shd w:val="clear" w:color="auto" w:fill="auto"/>
      </w:rPr>
      <w:tblPr/>
      <w:tcPr>
        <w:tcBorders>
          <w:top w:val="single" w:sz="6" w:space="0" w:color="FFFFFF" w:themeColor="background1"/>
        </w:tcBorders>
        <w:shd w:val="clear" w:color="000000" w:fill="276A7C" w:themeFill="accent5" w:themeFillShade="99"/>
      </w:tcPr>
    </w:tblStylePr>
    <w:tblStylePr w:type="firstCol">
      <w:rPr>
        <w:color w:val="FFFFFF" w:themeColor="background1"/>
        <w:w w:val="100"/>
        <w:sz w:val="20"/>
        <w:szCs w:val="20"/>
        <w:shd w:val="clear" w:color="auto" w:fill="auto"/>
      </w:rPr>
      <w:tblPr/>
      <w:tcPr>
        <w:tcBorders>
          <w:insideH w:val="single" w:sz="4" w:space="0" w:color="276A7C" w:themeColor="accent5" w:themeShade="99"/>
        </w:tcBorders>
        <w:shd w:val="clear" w:color="000000" w:fill="276A7C" w:themeFill="accent5" w:themeFillShade="99"/>
      </w:tcPr>
    </w:tblStylePr>
    <w:tblStylePr w:type="lastCol">
      <w:rPr>
        <w:color w:val="FFFFFF" w:themeColor="background1"/>
        <w:w w:val="100"/>
        <w:sz w:val="20"/>
        <w:szCs w:val="20"/>
        <w:shd w:val="clear" w:color="auto" w:fill="auto"/>
      </w:rPr>
      <w:tblPr/>
      <w:tcPr>
        <w:shd w:val="clear" w:color="000000" w:fill="276A7C" w:themeFill="accent5" w:themeFillShade="99"/>
      </w:tcPr>
    </w:tblStylePr>
    <w:tblStylePr w:type="band1Vert">
      <w:tblPr/>
      <w:tcPr>
        <w:shd w:val="clear" w:color="000000" w:fill="B6DDE8" w:themeFill="accent5" w:themeFillTint="66"/>
      </w:tcPr>
    </w:tblStylePr>
    <w:tblStylePr w:type="band1Horz">
      <w:tblPr/>
      <w:tcPr>
        <w:shd w:val="clear" w:color="000000" w:fill="A5D5E2" w:themeFill="accent5" w:themeFillTint="7F"/>
      </w:tcPr>
    </w:tblStylePr>
    <w:tblStylePr w:type="neCell">
      <w:rPr>
        <w:color w:val="000000" w:themeColor="text1"/>
        <w:w w:val="100"/>
        <w:sz w:val="20"/>
        <w:szCs w:val="20"/>
        <w:shd w:val="clear" w:color="auto" w:fill="auto"/>
      </w:rPr>
    </w:tblStylePr>
    <w:tblStylePr w:type="nwCell">
      <w:rPr>
        <w:color w:val="000000" w:themeColor="text1"/>
        <w:w w:val="100"/>
        <w:sz w:val="20"/>
        <w:szCs w:val="20"/>
        <w:shd w:val="clear" w:color="auto" w:fill="auto"/>
      </w:rPr>
    </w:tblStylePr>
  </w:style>
  <w:style w:type="character" w:customStyle="1" w:styleId="tlid-translation">
    <w:name w:val="tlid-translation"/>
    <w:basedOn w:val="DefaultParagraphFont"/>
  </w:style>
  <w:style w:type="paragraph" w:styleId="ListNumber">
    <w:name w:val="List Number"/>
    <w:basedOn w:val="Normal"/>
    <w:unhideWhenUsed/>
    <w:pPr>
      <w:numPr>
        <w:numId w:val="7"/>
      </w:numPr>
      <w:spacing w:after="0" w:line="240" w:lineRule="auto"/>
      <w:ind w:left="0" w:firstLine="0"/>
      <w:jc w:val="both"/>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qFormat/>
    <w:pPr>
      <w:spacing w:after="100" w:line="240" w:lineRule="auto"/>
      <w:ind w:left="480"/>
      <w:jc w:val="both"/>
    </w:pPr>
    <w:rPr>
      <w:rFonts w:ascii="Times New Roman" w:eastAsia="Times New Roman" w:hAnsi="Times New Roman" w:cs="Times New Roman"/>
      <w:sz w:val="24"/>
      <w:szCs w:val="24"/>
      <w:lang w:eastAsia="en-GB"/>
    </w:rPr>
  </w:style>
  <w:style w:type="character" w:customStyle="1" w:styleId="Nessuno">
    <w:name w:val="Nessuno"/>
    <w:basedOn w:val="DefaultParagraphFont"/>
  </w:style>
  <w:style w:type="paragraph" w:customStyle="1" w:styleId="JRCAbbreviations">
    <w:name w:val="JRC_Abbreviations"/>
    <w:basedOn w:val="Normal"/>
    <w:qFormat/>
    <w:pPr>
      <w:tabs>
        <w:tab w:val="left" w:pos="851"/>
      </w:tabs>
      <w:spacing w:before="120" w:after="120" w:line="240" w:lineRule="auto"/>
      <w:ind w:left="851" w:hanging="851"/>
      <w:jc w:val="both"/>
    </w:pPr>
    <w:rPr>
      <w:rFonts w:ascii="Verdana" w:eastAsia="Calibri" w:hAnsi="Verdana" w:cs="Times New Roman"/>
      <w:sz w:val="20"/>
      <w:szCs w:val="24"/>
      <w:lang w:eastAsia="en-GB"/>
    </w:rPr>
  </w:style>
  <w:style w:type="paragraph" w:customStyle="1" w:styleId="JRCCoversubtitle">
    <w:name w:val="JRC_Cover_subtitle"/>
    <w:basedOn w:val="Normal"/>
    <w:qFormat/>
    <w:pPr>
      <w:spacing w:before="120" w:after="120" w:line="400" w:lineRule="exact"/>
      <w:ind w:left="5103"/>
    </w:pPr>
    <w:rPr>
      <w:rFonts w:ascii="Verdana" w:eastAsia="Calibri" w:hAnsi="Verdana" w:cs="Times New Roman"/>
      <w:i/>
      <w:color w:val="646464"/>
      <w:sz w:val="32"/>
      <w:szCs w:val="32"/>
      <w:lang w:eastAsia="en-GB"/>
    </w:rPr>
  </w:style>
  <w:style w:type="paragraph" w:customStyle="1" w:styleId="JRCCovertitle">
    <w:name w:val="JRC_Cover_title"/>
    <w:basedOn w:val="Normal"/>
    <w:qFormat/>
    <w:pPr>
      <w:spacing w:before="600" w:after="600" w:line="640" w:lineRule="exact"/>
      <w:ind w:left="-567"/>
    </w:pPr>
    <w:rPr>
      <w:rFonts w:ascii="Verdana" w:eastAsia="Calibri" w:hAnsi="Verdana" w:cs="Times New Roman"/>
      <w:noProof/>
      <w:sz w:val="56"/>
      <w:szCs w:val="56"/>
      <w:lang w:eastAsia="en-GB"/>
    </w:rPr>
  </w:style>
  <w:style w:type="paragraph" w:customStyle="1" w:styleId="JRCEquation">
    <w:name w:val="JRC_Equation"/>
    <w:basedOn w:val="Normal"/>
    <w:next w:val="Normal"/>
    <w:qFormat/>
    <w:pPr>
      <w:spacing w:before="360" w:after="360" w:line="240" w:lineRule="auto"/>
      <w:jc w:val="center"/>
    </w:pPr>
    <w:rPr>
      <w:rFonts w:ascii="Verdana" w:eastAsia="Calibri" w:hAnsi="Verdana" w:cs="Times New Roman"/>
      <w:sz w:val="20"/>
      <w:szCs w:val="24"/>
      <w:lang w:eastAsia="en-GB"/>
    </w:rPr>
  </w:style>
  <w:style w:type="paragraph" w:customStyle="1" w:styleId="JRCFigurecaption">
    <w:name w:val="JRC_Figure_caption"/>
    <w:basedOn w:val="Normal"/>
    <w:next w:val="JRCText"/>
    <w:qFormat/>
    <w:pPr>
      <w:spacing w:before="360" w:after="120" w:line="240" w:lineRule="auto"/>
      <w:jc w:val="center"/>
    </w:pPr>
    <w:rPr>
      <w:rFonts w:ascii="Verdana" w:eastAsia="Calibri" w:hAnsi="Verdana" w:cs="Times New Roman"/>
      <w:sz w:val="18"/>
      <w:szCs w:val="24"/>
      <w:lang w:eastAsia="en-GB"/>
    </w:rPr>
  </w:style>
  <w:style w:type="paragraph" w:customStyle="1" w:styleId="JRCLevel-1Fronttitle">
    <w:name w:val="JRC_Level-1_Front_title"/>
    <w:basedOn w:val="Normal"/>
    <w:next w:val="Normal"/>
    <w:link w:val="JRCLevel-1FronttitleChar"/>
    <w:autoRedefine/>
    <w:qFormat/>
    <w:pPr>
      <w:keepNext/>
      <w:pageBreakBefore/>
      <w:spacing w:after="120" w:line="240" w:lineRule="auto"/>
    </w:pPr>
    <w:rPr>
      <w:rFonts w:ascii="Verdana" w:eastAsia="Times New Roman" w:hAnsi="Verdana" w:cs="Times New Roman"/>
      <w:b/>
      <w:sz w:val="24"/>
      <w:szCs w:val="24"/>
      <w:lang w:eastAsia="en-GB"/>
    </w:rPr>
  </w:style>
  <w:style w:type="character" w:customStyle="1" w:styleId="JRCLevel-1FronttitleChar">
    <w:name w:val="JRC_Level-1_Front_title Char"/>
    <w:link w:val="JRCLevel-1Fronttitle"/>
    <w:rPr>
      <w:rFonts w:ascii="Verdana" w:eastAsia="Times New Roman" w:hAnsi="Verdana" w:cs="Times New Roman"/>
      <w:b/>
      <w:sz w:val="24"/>
      <w:szCs w:val="24"/>
      <w:lang w:eastAsia="en-GB"/>
    </w:rPr>
  </w:style>
  <w:style w:type="paragraph" w:customStyle="1" w:styleId="JRCLevel-2Backtitle">
    <w:name w:val="JRC_Level-2_Back_title"/>
    <w:basedOn w:val="Normal"/>
    <w:next w:val="JRCText"/>
    <w:link w:val="JRCLevel-2BacktitleChar"/>
    <w:qFormat/>
    <w:pPr>
      <w:keepNext/>
      <w:spacing w:before="120" w:after="120" w:line="240" w:lineRule="auto"/>
      <w:outlineLvl w:val="1"/>
    </w:pPr>
    <w:rPr>
      <w:rFonts w:ascii="Verdana" w:eastAsia="Calibri" w:hAnsi="Verdana" w:cs="Times New Roman"/>
      <w:b/>
      <w:sz w:val="20"/>
      <w:szCs w:val="24"/>
      <w:lang w:eastAsia="en-GB"/>
    </w:rPr>
  </w:style>
  <w:style w:type="character" w:customStyle="1" w:styleId="JRCLevel-2BacktitleChar">
    <w:name w:val="JRC_Level-2_Back_title Char"/>
    <w:link w:val="JRCLevel-2Backtitle"/>
    <w:rPr>
      <w:rFonts w:ascii="Verdana" w:eastAsia="Calibri" w:hAnsi="Verdana" w:cs="Times New Roman"/>
      <w:b/>
      <w:sz w:val="20"/>
      <w:szCs w:val="24"/>
      <w:lang w:eastAsia="en-GB"/>
    </w:rPr>
  </w:style>
  <w:style w:type="paragraph" w:customStyle="1" w:styleId="JRCLevel-2Frontsmalltitle">
    <w:name w:val="JRC_Level-2_Front_small_title"/>
    <w:basedOn w:val="Normal"/>
    <w:next w:val="JRCText"/>
    <w:autoRedefine/>
    <w:qFormat/>
    <w:pPr>
      <w:keepNext/>
      <w:spacing w:before="240" w:after="120" w:line="240" w:lineRule="auto"/>
    </w:pPr>
    <w:rPr>
      <w:rFonts w:ascii="Verdana" w:eastAsia="Calibri" w:hAnsi="Verdana" w:cs="Times New Roman"/>
      <w:b/>
      <w:i/>
      <w:sz w:val="20"/>
      <w:szCs w:val="24"/>
      <w:lang w:eastAsia="en-GB"/>
    </w:rPr>
  </w:style>
  <w:style w:type="paragraph" w:customStyle="1" w:styleId="JRCTabletitle">
    <w:name w:val="JRC_Table_title"/>
    <w:basedOn w:val="Normal"/>
    <w:autoRedefine/>
    <w:qFormat/>
    <w:pPr>
      <w:keepNext/>
      <w:spacing w:before="240" w:after="120" w:line="240" w:lineRule="auto"/>
    </w:pPr>
    <w:rPr>
      <w:rFonts w:ascii="Verdana" w:eastAsia="Calibri" w:hAnsi="Verdana" w:cs="Times New Roman"/>
      <w:color w:val="000000"/>
      <w:sz w:val="18"/>
      <w:szCs w:val="24"/>
      <w:lang w:eastAsia="en-GB"/>
    </w:rPr>
  </w:style>
  <w:style w:type="paragraph" w:styleId="TableofFigures">
    <w:name w:val="table of figures"/>
    <w:basedOn w:val="Normal"/>
    <w:next w:val="Normal"/>
    <w:uiPriority w:val="99"/>
    <w:unhideWhenUsed/>
    <w:pPr>
      <w:spacing w:before="120" w:after="120" w:line="240" w:lineRule="auto"/>
    </w:pPr>
    <w:rPr>
      <w:rFonts w:ascii="Verdana" w:eastAsia="Calibri" w:hAnsi="Verdana" w:cs="Times New Roman"/>
      <w:sz w:val="20"/>
      <w:szCs w:val="24"/>
      <w:lang w:eastAsia="en-GB"/>
    </w:rPr>
  </w:style>
  <w:style w:type="paragraph" w:customStyle="1" w:styleId="JRCTextbulletedlist1">
    <w:name w:val="JRC_Text_bulleted_list1"/>
    <w:basedOn w:val="Normal"/>
    <w:qFormat/>
    <w:pPr>
      <w:numPr>
        <w:numId w:val="9"/>
      </w:numPr>
      <w:spacing w:before="120" w:after="120" w:line="240" w:lineRule="auto"/>
      <w:ind w:left="357" w:hanging="357"/>
      <w:jc w:val="both"/>
    </w:pPr>
    <w:rPr>
      <w:rFonts w:ascii="Verdana" w:eastAsia="Times New Roman" w:hAnsi="Verdana" w:cs="Times New Roman"/>
      <w:sz w:val="20"/>
      <w:szCs w:val="24"/>
      <w:lang w:eastAsia="en-GB"/>
    </w:rPr>
  </w:style>
  <w:style w:type="paragraph" w:styleId="TOC4">
    <w:name w:val="toc 4"/>
    <w:basedOn w:val="Normal"/>
    <w:next w:val="Normal"/>
    <w:autoRedefine/>
    <w:uiPriority w:val="39"/>
    <w:unhideWhenUsed/>
    <w:pPr>
      <w:tabs>
        <w:tab w:val="left" w:pos="1701"/>
        <w:tab w:val="right" w:leader="dot" w:pos="9016"/>
      </w:tabs>
      <w:spacing w:before="120" w:after="100" w:line="240" w:lineRule="auto"/>
      <w:ind w:left="851"/>
    </w:pPr>
    <w:rPr>
      <w:rFonts w:ascii="Verdana" w:eastAsia="Calibri" w:hAnsi="Verdana" w:cs="Times New Roman"/>
      <w:noProof/>
      <w:sz w:val="20"/>
      <w:szCs w:val="24"/>
      <w:lang w:eastAsia="en-GB"/>
    </w:rPr>
  </w:style>
  <w:style w:type="paragraph" w:styleId="TOC5">
    <w:name w:val="toc 5"/>
    <w:basedOn w:val="Normal"/>
    <w:next w:val="Normal"/>
    <w:autoRedefine/>
    <w:uiPriority w:val="39"/>
    <w:unhideWhenUsed/>
    <w:pPr>
      <w:tabs>
        <w:tab w:val="left" w:pos="2268"/>
        <w:tab w:val="right" w:leader="dot" w:pos="9016"/>
      </w:tabs>
      <w:spacing w:before="120" w:after="100" w:line="240" w:lineRule="auto"/>
      <w:ind w:left="1134"/>
    </w:pPr>
    <w:rPr>
      <w:rFonts w:ascii="Verdana" w:eastAsia="Calibri" w:hAnsi="Verdana" w:cs="Times New Roman"/>
      <w:noProof/>
      <w:sz w:val="20"/>
      <w:szCs w:val="24"/>
      <w:lang w:eastAsia="en-GB"/>
    </w:rPr>
  </w:style>
  <w:style w:type="paragraph" w:customStyle="1" w:styleId="JRCLevel-2title">
    <w:name w:val="JRC_Level-2_title"/>
    <w:basedOn w:val="Heading2"/>
    <w:next w:val="JRCText"/>
    <w:qFormat/>
    <w:pPr>
      <w:keepLines/>
      <w:numPr>
        <w:numId w:val="10"/>
      </w:numPr>
      <w:spacing w:before="240" w:after="120"/>
    </w:pPr>
    <w:rPr>
      <w:rFonts w:ascii="Verdana" w:hAnsi="Verdana"/>
      <w:bCs/>
      <w:iCs/>
      <w:szCs w:val="26"/>
    </w:rPr>
  </w:style>
  <w:style w:type="paragraph" w:customStyle="1" w:styleId="JRCLevel-1title">
    <w:name w:val="JRC_Level-1_title"/>
    <w:basedOn w:val="Heading1"/>
    <w:next w:val="JRCText"/>
    <w:qFormat/>
    <w:pPr>
      <w:keepNext/>
      <w:pageBreakBefore/>
      <w:numPr>
        <w:numId w:val="10"/>
      </w:numPr>
      <w:spacing w:after="120"/>
    </w:pPr>
    <w:rPr>
      <w:rFonts w:ascii="Verdana" w:eastAsia="Calibri" w:hAnsi="Verdana"/>
      <w:smallCaps w:val="0"/>
      <w:sz w:val="26"/>
      <w:szCs w:val="24"/>
      <w:u w:val="none"/>
    </w:rPr>
  </w:style>
  <w:style w:type="paragraph" w:customStyle="1" w:styleId="JRCLevel-4title">
    <w:name w:val="JRC_Level-4_title"/>
    <w:basedOn w:val="Normal"/>
    <w:next w:val="JRCText"/>
    <w:qFormat/>
    <w:pPr>
      <w:keepNext/>
      <w:numPr>
        <w:ilvl w:val="3"/>
        <w:numId w:val="10"/>
      </w:numPr>
      <w:spacing w:before="240" w:after="120" w:line="240" w:lineRule="auto"/>
    </w:pPr>
    <w:rPr>
      <w:rFonts w:ascii="Verdana" w:eastAsia="Times New Roman" w:hAnsi="Verdana" w:cs="Times New Roman"/>
      <w:b/>
      <w:i/>
      <w:sz w:val="20"/>
      <w:szCs w:val="24"/>
      <w:lang w:eastAsia="en-GB"/>
    </w:rPr>
  </w:style>
  <w:style w:type="paragraph" w:customStyle="1" w:styleId="JRCLevel-3title">
    <w:name w:val="JRC_Level-3_title"/>
    <w:basedOn w:val="Heading3"/>
    <w:next w:val="JRCText"/>
    <w:qFormat/>
    <w:pPr>
      <w:keepLines/>
      <w:numPr>
        <w:numId w:val="10"/>
      </w:numPr>
      <w:spacing w:before="240" w:after="120"/>
    </w:pPr>
    <w:rPr>
      <w:rFonts w:ascii="Verdana" w:hAnsi="Verdana"/>
      <w:bCs/>
      <w:color w:val="auto"/>
      <w:sz w:val="22"/>
      <w:szCs w:val="24"/>
    </w:rPr>
  </w:style>
  <w:style w:type="paragraph" w:customStyle="1" w:styleId="JRCLevel-5title">
    <w:name w:val="JRC_Level-5_title"/>
    <w:basedOn w:val="Normal"/>
    <w:next w:val="JRCText"/>
    <w:qFormat/>
    <w:pPr>
      <w:keepNext/>
      <w:numPr>
        <w:ilvl w:val="4"/>
        <w:numId w:val="10"/>
      </w:numPr>
      <w:spacing w:before="200" w:after="0" w:line="240" w:lineRule="auto"/>
      <w:ind w:left="1134" w:hanging="1134"/>
      <w:outlineLvl w:val="4"/>
    </w:pPr>
    <w:rPr>
      <w:rFonts w:ascii="Verdana" w:eastAsia="Times New Roman" w:hAnsi="Verdana" w:cs="Times New Roman"/>
      <w:sz w:val="20"/>
      <w:szCs w:val="24"/>
      <w:lang w:eastAsia="en-GB"/>
    </w:rPr>
  </w:style>
  <w:style w:type="paragraph" w:customStyle="1" w:styleId="JRCLevel-1Backtitle">
    <w:name w:val="JRC_Level-1_Back_title"/>
    <w:basedOn w:val="Normal"/>
    <w:next w:val="JRCText"/>
    <w:qFormat/>
    <w:pPr>
      <w:keepNext/>
      <w:pageBreakBefore/>
      <w:spacing w:after="120" w:line="240" w:lineRule="auto"/>
      <w:outlineLvl w:val="0"/>
    </w:pPr>
    <w:rPr>
      <w:rFonts w:ascii="Verdana" w:eastAsia="Times New Roman" w:hAnsi="Verdana" w:cs="Times New Roman"/>
      <w:b/>
      <w:sz w:val="24"/>
      <w:szCs w:val="24"/>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line="240" w:lineRule="auto"/>
      <w:jc w:val="both"/>
    </w:pPr>
    <w:rPr>
      <w:rFonts w:ascii="Verdana" w:eastAsia="Times New Roman" w:hAnsi="Verdana" w:cs="Times New Roman"/>
      <w:sz w:val="18"/>
      <w:szCs w:val="24"/>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Pr>
      <w:rFonts w:ascii="Verdana" w:eastAsia="Times New Roman" w:hAnsi="Verdana" w:cs="Times New Roman"/>
      <w:sz w:val="20"/>
      <w:szCs w:val="24"/>
      <w:lang w:eastAsia="en-GB"/>
    </w:rPr>
  </w:style>
  <w:style w:type="paragraph" w:customStyle="1" w:styleId="JRCBoxbulletlist">
    <w:name w:val="JRC_Box_bullet_list"/>
    <w:basedOn w:val="Normal"/>
    <w:qFormat/>
    <w:pPr>
      <w:numPr>
        <w:numId w:val="11"/>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357" w:hanging="357"/>
      <w:jc w:val="both"/>
    </w:pPr>
    <w:rPr>
      <w:rFonts w:ascii="Verdana" w:eastAsia="Times New Roman" w:hAnsi="Verdana" w:cs="Times New Roman"/>
      <w:sz w:val="20"/>
      <w:szCs w:val="24"/>
      <w:lang w:eastAsia="en-GB"/>
    </w:rPr>
  </w:style>
  <w:style w:type="paragraph" w:customStyle="1" w:styleId="JRCTextnumberedlist1">
    <w:name w:val="JRC_Text_numbered_list1"/>
    <w:basedOn w:val="Normal"/>
    <w:autoRedefine/>
    <w:qFormat/>
    <w:pPr>
      <w:numPr>
        <w:numId w:val="12"/>
      </w:numPr>
      <w:spacing w:before="120" w:after="120" w:line="240" w:lineRule="auto"/>
      <w:ind w:left="357" w:hanging="357"/>
      <w:jc w:val="both"/>
    </w:pPr>
    <w:rPr>
      <w:rFonts w:ascii="Verdana" w:eastAsia="Times New Roman" w:hAnsi="Verdana" w:cs="Times New Roman"/>
      <w:sz w:val="20"/>
      <w:szCs w:val="24"/>
      <w:lang w:eastAsia="en-GB"/>
    </w:rPr>
  </w:style>
  <w:style w:type="paragraph" w:customStyle="1" w:styleId="JRCCoverauthor">
    <w:name w:val="JRC_Cover_author"/>
    <w:basedOn w:val="Normal"/>
    <w:qFormat/>
    <w:pPr>
      <w:spacing w:before="120" w:after="120" w:line="240" w:lineRule="auto"/>
    </w:pPr>
    <w:rPr>
      <w:rFonts w:ascii="Verdana" w:eastAsia="Times New Roman" w:hAnsi="Verdana" w:cs="Times New Roman"/>
      <w:sz w:val="20"/>
      <w:szCs w:val="24"/>
      <w:lang w:eastAsia="en-GB"/>
    </w:rPr>
  </w:style>
  <w:style w:type="paragraph" w:customStyle="1" w:styleId="JRCCoveryear">
    <w:name w:val="JRC_Cover_year"/>
    <w:basedOn w:val="Normal"/>
    <w:pPr>
      <w:spacing w:after="0" w:line="240" w:lineRule="auto"/>
    </w:pPr>
    <w:rPr>
      <w:rFonts w:ascii="Verdana" w:eastAsia="Times New Roman" w:hAnsi="Verdana" w:cs="Times New Roman"/>
      <w:sz w:val="20"/>
      <w:szCs w:val="24"/>
      <w:lang w:eastAsia="en-GB"/>
    </w:rPr>
  </w:style>
  <w:style w:type="paragraph" w:customStyle="1" w:styleId="JRCCoverclass">
    <w:name w:val="JRC_Cover_class"/>
    <w:basedOn w:val="Normal"/>
    <w:next w:val="JRCCoveryear"/>
    <w:pPr>
      <w:spacing w:before="120" w:after="120" w:line="240" w:lineRule="auto"/>
      <w:jc w:val="both"/>
    </w:pPr>
    <w:rPr>
      <w:rFonts w:ascii="Verdana" w:eastAsia="Times New Roman" w:hAnsi="Verdana" w:cs="Times New Roman"/>
      <w:color w:val="FF0000"/>
      <w:sz w:val="20"/>
      <w:szCs w:val="24"/>
      <w:lang w:eastAsia="en-GB"/>
    </w:rPr>
  </w:style>
  <w:style w:type="paragraph" w:customStyle="1" w:styleId="JRCCoverEUR">
    <w:name w:val="JRC_Cover_EUR"/>
    <w:basedOn w:val="Normal"/>
    <w:pPr>
      <w:spacing w:after="0" w:line="240" w:lineRule="auto"/>
      <w:jc w:val="right"/>
    </w:pPr>
    <w:rPr>
      <w:rFonts w:ascii="Verdana" w:eastAsia="Times New Roman" w:hAnsi="Verdana" w:cs="Times New Roman"/>
      <w:sz w:val="18"/>
      <w:szCs w:val="24"/>
      <w:lang w:eastAsia="en-GB"/>
    </w:rPr>
  </w:style>
  <w:style w:type="paragraph" w:customStyle="1" w:styleId="JRCCovertext">
    <w:name w:val="JRC_Cover_text"/>
    <w:basedOn w:val="Normal"/>
    <w:qFormat/>
    <w:pPr>
      <w:widowControl w:val="0"/>
      <w:spacing w:after="0" w:line="200" w:lineRule="exact"/>
    </w:pPr>
    <w:rPr>
      <w:rFonts w:ascii="Verdana" w:eastAsia="Times New Roman" w:hAnsi="Verdana" w:cs="Times New Roman"/>
      <w:sz w:val="16"/>
      <w:szCs w:val="14"/>
      <w:lang w:eastAsia="en-GB"/>
    </w:rPr>
  </w:style>
  <w:style w:type="paragraph" w:customStyle="1" w:styleId="JRCTablesource">
    <w:name w:val="JRC_Table_source"/>
    <w:basedOn w:val="Normal"/>
    <w:next w:val="JRCText"/>
    <w:qFormat/>
    <w:pPr>
      <w:spacing w:after="120" w:line="240" w:lineRule="auto"/>
      <w:jc w:val="both"/>
    </w:pPr>
    <w:rPr>
      <w:rFonts w:ascii="Verdana" w:eastAsia="Times New Roman" w:hAnsi="Verdana" w:cs="Times New Roman"/>
      <w:sz w:val="16"/>
      <w:szCs w:val="24"/>
      <w:lang w:eastAsia="en-GB"/>
    </w:rPr>
  </w:style>
  <w:style w:type="paragraph" w:customStyle="1" w:styleId="JRCFiguresource">
    <w:name w:val="JRC_Figure_source"/>
    <w:basedOn w:val="Normal"/>
    <w:next w:val="JRCText"/>
    <w:qFormat/>
    <w:pPr>
      <w:spacing w:after="360" w:line="240" w:lineRule="auto"/>
      <w:jc w:val="center"/>
    </w:pPr>
    <w:rPr>
      <w:rFonts w:ascii="Verdana" w:eastAsia="Times New Roman" w:hAnsi="Verdana" w:cs="Times New Roman"/>
      <w:sz w:val="16"/>
      <w:szCs w:val="24"/>
      <w:lang w:eastAsia="en-GB"/>
    </w:rPr>
  </w:style>
  <w:style w:type="paragraph" w:customStyle="1" w:styleId="JRCTablenote">
    <w:name w:val="JRC_Table_note"/>
    <w:basedOn w:val="Normal"/>
    <w:qFormat/>
    <w:pPr>
      <w:spacing w:after="120" w:line="240" w:lineRule="auto"/>
      <w:ind w:left="357" w:hanging="357"/>
      <w:contextualSpacing/>
      <w:jc w:val="both"/>
    </w:pPr>
    <w:rPr>
      <w:rFonts w:ascii="Verdana" w:eastAsia="Times New Roman" w:hAnsi="Verdana" w:cs="Times New Roman"/>
      <w:sz w:val="16"/>
      <w:szCs w:val="24"/>
      <w:lang w:eastAsia="en-GB"/>
    </w:rPr>
  </w:style>
  <w:style w:type="paragraph" w:customStyle="1" w:styleId="JRCTextnumberedlist2">
    <w:name w:val="JRC_Text_numbered_list2"/>
    <w:basedOn w:val="Normal"/>
    <w:qFormat/>
    <w:pPr>
      <w:numPr>
        <w:ilvl w:val="1"/>
        <w:numId w:val="12"/>
      </w:numPr>
      <w:spacing w:before="120" w:after="120" w:line="240" w:lineRule="auto"/>
      <w:ind w:left="714" w:hanging="357"/>
      <w:jc w:val="both"/>
    </w:pPr>
    <w:rPr>
      <w:rFonts w:ascii="Verdana" w:eastAsia="Times New Roman" w:hAnsi="Verdana" w:cs="Times New Roman"/>
      <w:sz w:val="20"/>
      <w:szCs w:val="24"/>
      <w:lang w:eastAsia="en-GB"/>
    </w:rPr>
  </w:style>
  <w:style w:type="character" w:styleId="PlaceholderText">
    <w:name w:val="Placeholder Text"/>
    <w:basedOn w:val="DefaultParagraphFont"/>
    <w:uiPriority w:val="99"/>
    <w:semiHidden/>
    <w:rPr>
      <w:color w:val="808080"/>
    </w:rPr>
  </w:style>
  <w:style w:type="character" w:customStyle="1" w:styleId="apple-converted-space">
    <w:name w:val="apple-converted-space"/>
    <w:basedOn w:val="DefaultParagraphFont"/>
  </w:style>
  <w:style w:type="table" w:customStyle="1" w:styleId="ListTable2-Accent11">
    <w:name w:val="List Table 2 - Accent 11"/>
    <w:basedOn w:val="TableNormal"/>
    <w:uiPriority w:val="47"/>
    <w:pPr>
      <w:spacing w:after="0" w:line="240" w:lineRule="auto"/>
    </w:pPr>
    <w:rPr>
      <w:rFonts w:ascii="Calibri" w:eastAsia="Times New Roman" w:hAnsi="Calibri" w:cs="Times New Roman"/>
      <w:sz w:val="20"/>
      <w:szCs w:val="20"/>
      <w:lang w:eastAsia="en-GB"/>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t">
    <w:name w:val="st"/>
    <w:basedOn w:val="DefaultParagraphFont"/>
  </w:style>
  <w:style w:type="character" w:customStyle="1" w:styleId="Text2Char">
    <w:name w:val="Text 2 Char"/>
    <w:basedOn w:val="DefaultParagraphFont"/>
    <w:link w:val="Text2"/>
    <w:locked/>
    <w:rPr>
      <w:rFonts w:ascii="Arial" w:eastAsia="Times New Roman" w:hAnsi="Arial" w:cs="Times New Roman"/>
      <w:sz w:val="20"/>
      <w:szCs w:val="20"/>
      <w:lang w:eastAsia="en-GB"/>
    </w:rPr>
  </w:style>
  <w:style w:type="numbering" w:customStyle="1" w:styleId="NoList1">
    <w:name w:val="No List1"/>
    <w:next w:val="NoList"/>
    <w:uiPriority w:val="99"/>
    <w:semiHidden/>
    <w:unhideWhenUsed/>
  </w:style>
  <w:style w:type="character" w:customStyle="1" w:styleId="s1">
    <w:name w:val="s1"/>
    <w:basedOn w:val="DefaultParagraphFont"/>
  </w:style>
  <w:style w:type="paragraph" w:customStyle="1" w:styleId="CoverWP">
    <w:name w:val="CoverWP"/>
    <w:basedOn w:val="Normal"/>
    <w:link w:val="CoverWPChar"/>
    <w:qFormat/>
    <w:pPr>
      <w:spacing w:before="360" w:after="360"/>
      <w:jc w:val="center"/>
    </w:pPr>
    <w:rPr>
      <w:rFonts w:ascii="Times New Roman" w:eastAsiaTheme="minorEastAsia" w:hAnsi="Times New Roman" w:cs="Times New Roman"/>
      <w:b/>
      <w:sz w:val="32"/>
      <w:szCs w:val="36"/>
      <w:lang w:eastAsia="en-GB"/>
    </w:rPr>
  </w:style>
  <w:style w:type="paragraph" w:customStyle="1" w:styleId="CoverTitle">
    <w:name w:val="CoverTitle"/>
    <w:basedOn w:val="Normal"/>
    <w:link w:val="CoverTitleChar"/>
    <w:qFormat/>
    <w:pPr>
      <w:spacing w:before="840" w:after="840"/>
      <w:jc w:val="center"/>
    </w:pPr>
    <w:rPr>
      <w:rFonts w:ascii="Times New Roman" w:eastAsiaTheme="minorEastAsia" w:hAnsi="Times New Roman" w:cs="Times New Roman"/>
      <w:i/>
      <w:sz w:val="32"/>
      <w:szCs w:val="32"/>
      <w:lang w:eastAsia="en-GB"/>
    </w:rPr>
  </w:style>
  <w:style w:type="character" w:customStyle="1" w:styleId="CoverWPChar">
    <w:name w:val="CoverWP Char"/>
    <w:basedOn w:val="DefaultParagraphFont"/>
    <w:link w:val="CoverWP"/>
    <w:rPr>
      <w:rFonts w:ascii="Times New Roman" w:eastAsiaTheme="minorEastAsia" w:hAnsi="Times New Roman" w:cs="Times New Roman"/>
      <w:b/>
      <w:sz w:val="32"/>
      <w:szCs w:val="36"/>
      <w:lang w:eastAsia="en-GB"/>
    </w:rPr>
  </w:style>
  <w:style w:type="character" w:customStyle="1" w:styleId="CoverTitleChar">
    <w:name w:val="CoverTitle Char"/>
    <w:basedOn w:val="CoverWPChar"/>
    <w:link w:val="CoverTitle"/>
    <w:rPr>
      <w:rFonts w:ascii="Times New Roman" w:eastAsiaTheme="minorEastAsia" w:hAnsi="Times New Roman" w:cs="Times New Roman"/>
      <w:b w:val="0"/>
      <w:i/>
      <w:sz w:val="32"/>
      <w:szCs w:val="32"/>
      <w:lang w:eastAsia="en-GB"/>
    </w:rPr>
  </w:style>
  <w:style w:type="paragraph" w:customStyle="1" w:styleId="Notice">
    <w:name w:val="Notice"/>
    <w:basedOn w:val="Normal"/>
    <w:qFormat/>
    <w:pPr>
      <w:spacing w:after="120"/>
      <w:jc w:val="both"/>
    </w:pPr>
    <w:rPr>
      <w:rFonts w:ascii="Times New Roman" w:eastAsiaTheme="minorEastAsia" w:hAnsi="Times New Roman"/>
      <w:b/>
      <w:lang w:eastAsia="en-GB"/>
    </w:rPr>
  </w:style>
  <w:style w:type="paragraph" w:customStyle="1" w:styleId="NoticeTitle">
    <w:name w:val="NoticeTitle"/>
    <w:basedOn w:val="Notice"/>
    <w:qFormat/>
    <w:pPr>
      <w:jc w:val="center"/>
    </w:pPr>
  </w:style>
  <w:style w:type="paragraph" w:customStyle="1" w:styleId="CoverDecision">
    <w:name w:val="CoverDecision"/>
    <w:basedOn w:val="CoverTitle"/>
    <w:qFormat/>
    <w:rPr>
      <w:sz w:val="28"/>
    </w:rPr>
  </w:style>
  <w:style w:type="paragraph" w:customStyle="1" w:styleId="HeadingThree">
    <w:name w:val="HeadingThree"/>
    <w:basedOn w:val="Heading3"/>
    <w:next w:val="Normal"/>
    <w:link w:val="HeadingThreeChar"/>
    <w:qFormat/>
    <w:pPr>
      <w:keepLines/>
      <w:numPr>
        <w:ilvl w:val="0"/>
        <w:numId w:val="0"/>
      </w:numPr>
      <w:spacing w:before="240" w:after="240" w:line="276" w:lineRule="auto"/>
    </w:pPr>
    <w:rPr>
      <w:rFonts w:asciiTheme="majorHAnsi" w:eastAsiaTheme="majorEastAsia" w:hAnsiTheme="majorHAnsi" w:cstheme="majorBidi"/>
      <w:bCs/>
      <w:color w:val="4F81BD" w:themeColor="accent1"/>
      <w:sz w:val="24"/>
      <w:szCs w:val="28"/>
    </w:rPr>
  </w:style>
  <w:style w:type="character" w:customStyle="1" w:styleId="HeadingThreeChar">
    <w:name w:val="HeadingThree Char"/>
    <w:basedOn w:val="Heading3Char"/>
    <w:link w:val="HeadingThree"/>
    <w:rPr>
      <w:rFonts w:asciiTheme="majorHAnsi" w:eastAsiaTheme="majorEastAsia" w:hAnsiTheme="majorHAnsi" w:cstheme="majorBidi"/>
      <w:b/>
      <w:bCs/>
      <w:color w:val="4F81BD" w:themeColor="accent1"/>
      <w:sz w:val="24"/>
      <w:szCs w:val="28"/>
      <w:lang w:eastAsia="en-GB"/>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rPr>
      <w:rFonts w:ascii="Calibri" w:eastAsia="Times New Roman" w:hAnsi="Calibri" w:cs="Arial"/>
      <w:lang w:val="en-US"/>
    </w:rPr>
  </w:style>
  <w:style w:type="character" w:customStyle="1" w:styleId="NoSpacingChar">
    <w:name w:val="No Spacing Char"/>
    <w:basedOn w:val="DefaultParagraphFont"/>
    <w:link w:val="NoSpacing"/>
    <w:uiPriority w:val="1"/>
    <w:rPr>
      <w:rFonts w:ascii="Calibri" w:eastAsia="Times New Roman" w:hAnsi="Calibri" w:cs="Arial"/>
      <w:lang w:val="en-US"/>
    </w:rPr>
  </w:style>
  <w:style w:type="paragraph" w:customStyle="1" w:styleId="site-name">
    <w:name w:val="site-name"/>
    <w:basedOn w:val="Normal"/>
    <w:pPr>
      <w:spacing w:after="0" w:line="240" w:lineRule="auto"/>
    </w:pPr>
    <w:rPr>
      <w:rFonts w:ascii="Times New Roman" w:eastAsia="Times New Roman" w:hAnsi="Times New Roman" w:cs="Times New Roman"/>
      <w:sz w:val="24"/>
      <w:szCs w:val="24"/>
      <w:lang w:eastAsia="en-GB"/>
    </w:rPr>
  </w:style>
  <w:style w:type="paragraph" w:customStyle="1" w:styleId="site-slogan">
    <w:name w:val="site-slogan"/>
    <w:basedOn w:val="Normal"/>
    <w:pPr>
      <w:spacing w:after="0" w:line="240" w:lineRule="auto"/>
    </w:pPr>
    <w:rPr>
      <w:rFonts w:ascii="Times New Roman" w:eastAsia="Times New Roman" w:hAnsi="Times New Roman" w:cs="Times New Roman"/>
      <w:sz w:val="24"/>
      <w:szCs w:val="24"/>
      <w:lang w:eastAsia="en-GB"/>
    </w:rPr>
  </w:style>
  <w:style w:type="paragraph" w:customStyle="1" w:styleId="msonormal0">
    <w:name w:val="msonormal"/>
    <w:basedOn w:val="Normal"/>
    <w:pPr>
      <w:spacing w:after="0" w:line="240" w:lineRule="auto"/>
      <w:jc w:val="both"/>
    </w:pPr>
    <w:rPr>
      <w:rFonts w:ascii="Arial" w:eastAsia="Times New Roman" w:hAnsi="Arial" w:cs="Times New Roman"/>
      <w:sz w:val="20"/>
      <w:szCs w:val="20"/>
      <w:lang w:eastAsia="en-GB"/>
    </w:rPr>
  </w:style>
  <w:style w:type="table" w:customStyle="1" w:styleId="TableGrid1">
    <w:name w:val="Table Grid1"/>
    <w:basedOn w:val="TableNormal"/>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1">
    <w:name w:val="CV111"/>
    <w:basedOn w:val="TableNormal"/>
    <w:uiPriority w:val="39"/>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1">
    <w:name w:val="CV121"/>
    <w:basedOn w:val="TableNormal"/>
    <w:uiPriority w:val="39"/>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1">
    <w:name w:val="CV131"/>
    <w:basedOn w:val="TableNormal"/>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pPr>
      <w:spacing w:after="0" w:line="240" w:lineRule="auto"/>
      <w:jc w:val="both"/>
    </w:pPr>
    <w:rPr>
      <w:rFonts w:ascii="Calibri" w:eastAsia="Calibri" w:hAnsi="Calibri" w:cs="Times New Roman"/>
      <w:color w:val="365F91" w:themeColor="accent1" w:themeShade="BF"/>
      <w:sz w:val="20"/>
      <w:szCs w:val="20"/>
      <w:lang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ind w:left="0" w:firstLine="0"/>
      </w:pPr>
      <w:rPr>
        <w:b/>
        <w:w w:val="100"/>
        <w:sz w:val="20"/>
        <w:szCs w:val="20"/>
      </w:rPr>
      <w:tblPr/>
      <w:tcPr>
        <w:tcBorders>
          <w:top w:val="single" w:sz="8" w:space="0" w:color="4F81BD" w:themeColor="accent1"/>
          <w:bottom w:val="single" w:sz="8" w:space="0" w:color="4F81BD" w:themeColor="accent1"/>
        </w:tcBorders>
      </w:tcPr>
    </w:tblStylePr>
    <w:tblStylePr w:type="lastRow">
      <w:pPr>
        <w:ind w:left="0" w:firstLine="0"/>
      </w:pPr>
      <w:rPr>
        <w:b/>
        <w:w w:val="100"/>
        <w:sz w:val="20"/>
        <w:szCs w:val="20"/>
      </w:rPr>
      <w:tblPr/>
      <w:tcPr>
        <w:tcBorders>
          <w:top w:val="single" w:sz="8" w:space="0" w:color="4F81BD" w:themeColor="accent1"/>
          <w:bottom w:val="single" w:sz="8" w:space="0" w:color="4F81BD" w:themeColor="accent1"/>
        </w:tcBorders>
      </w:tcPr>
    </w:tblStylePr>
    <w:tblStylePr w:type="firstCol">
      <w:rPr>
        <w:b/>
        <w:w w:val="100"/>
        <w:sz w:val="20"/>
        <w:szCs w:val="20"/>
      </w:rPr>
    </w:tblStylePr>
    <w:tblStylePr w:type="lastCol">
      <w:rPr>
        <w:b/>
        <w:w w:val="100"/>
        <w:sz w:val="20"/>
        <w:szCs w:val="20"/>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List-Accent11">
    <w:name w:val="Light List - Accent 11"/>
    <w:basedOn w:val="TableNormal"/>
    <w:pPr>
      <w:spacing w:after="0" w:line="240" w:lineRule="auto"/>
      <w:jc w:val="both"/>
    </w:pPr>
    <w:rPr>
      <w:rFonts w:ascii="Calibri" w:eastAsia="Calibri" w:hAnsi="Calibri" w:cs="Times New Roman"/>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ind w:left="0" w:firstLine="0"/>
      </w:pPr>
      <w:rPr>
        <w:b/>
        <w:color w:val="FFFFFF" w:themeColor="background1"/>
        <w:w w:val="100"/>
        <w:sz w:val="20"/>
        <w:szCs w:val="20"/>
      </w:rPr>
      <w:tblPr/>
      <w:tcPr>
        <w:shd w:val="clear" w:color="auto" w:fill="4F81BD" w:themeFill="accent1"/>
      </w:tcPr>
    </w:tblStylePr>
    <w:tblStylePr w:type="lastRow">
      <w:pPr>
        <w:ind w:left="0" w:firstLine="0"/>
      </w:pPr>
      <w:rPr>
        <w:b/>
        <w:w w:val="100"/>
        <w:sz w:val="20"/>
        <w:szCs w:val="20"/>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w w:val="100"/>
        <w:sz w:val="20"/>
        <w:szCs w:val="20"/>
      </w:rPr>
    </w:tblStylePr>
    <w:tblStylePr w:type="lastCol">
      <w:rPr>
        <w:b/>
        <w:w w:val="100"/>
        <w:sz w:val="20"/>
        <w:szCs w:val="20"/>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2-Accent11">
    <w:name w:val="Medium List 2 - Accent 11"/>
    <w:basedOn w:val="TableNormal"/>
    <w:pPr>
      <w:spacing w:after="0" w:line="240" w:lineRule="auto"/>
      <w:jc w:val="both"/>
    </w:pPr>
    <w:rPr>
      <w:rFonts w:ascii="Cambria" w:eastAsia="Cambria" w:hAnsi="Cambria" w:cs="Calibri"/>
      <w:color w:val="000000" w:themeColor="text1"/>
      <w:sz w:val="20"/>
      <w:szCs w:val="20"/>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w w:val="100"/>
        <w:sz w:val="24"/>
        <w:szCs w:val="24"/>
      </w:rPr>
      <w:tblPr/>
      <w:tcPr>
        <w:tcBorders>
          <w:bottom w:val="single" w:sz="24" w:space="0" w:color="4F81BD" w:themeColor="accent1"/>
        </w:tcBorders>
        <w:shd w:val="clear" w:color="auto" w:fill="FFFFFF" w:themeFill="background1"/>
      </w:tcPr>
    </w:tblStylePr>
    <w:tblStylePr w:type="lastRow">
      <w:tblPr/>
      <w:tcPr>
        <w:tcBorders>
          <w:top w:val="single" w:sz="8" w:space="0" w:color="4F81BD" w:themeColor="accent1"/>
        </w:tcBorders>
        <w:shd w:val="clear" w:color="auto" w:fill="FFFFFF" w:themeFill="background1"/>
      </w:tcPr>
    </w:tblStylePr>
    <w:tblStylePr w:type="firstCol">
      <w:tblPr/>
      <w:tcPr>
        <w:tcBorders>
          <w:right w:val="single" w:sz="8" w:space="0" w:color="4F81BD" w:themeColor="accent1"/>
        </w:tcBorders>
        <w:shd w:val="clear" w:color="auto" w:fill="FFFFFF" w:themeFill="background1"/>
      </w:tcPr>
    </w:tblStylePr>
    <w:tblStylePr w:type="lastCol">
      <w:tblPr/>
      <w:tcPr>
        <w:tcBorders>
          <w:left w:val="single" w:sz="8" w:space="0" w:color="4F81BD" w:themeColor="accent1"/>
        </w:tcBorders>
        <w:shd w:val="clear" w:color="auto" w:fill="FFFFFF" w:themeFill="background1"/>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tblStylePr w:type="nwCell">
      <w:tblPr/>
      <w:tcPr>
        <w:shd w:val="clear" w:color="auto" w:fill="FFFFFF" w:themeFill="background1"/>
      </w:tcPr>
    </w:tblStylePr>
    <w:tblStylePr w:type="swCell">
      <w:rPr>
        <w:w w:val="100"/>
        <w:sz w:val="24"/>
        <w:szCs w:val="24"/>
      </w:rPr>
      <w:tblPr/>
      <w:tcPr>
        <w:tcBorders>
          <w:bottom w:val="single" w:sz="24" w:space="0" w:color="4F81BD" w:themeColor="accent1"/>
        </w:tcBorders>
        <w:shd w:val="clear" w:color="auto" w:fill="FFFFFF" w:themeFill="background1"/>
      </w:tcPr>
    </w:tblStylePr>
  </w:style>
  <w:style w:type="table" w:customStyle="1" w:styleId="LightShading-Accent51">
    <w:name w:val="Light Shading - Accent 51"/>
    <w:basedOn w:val="TableNormal"/>
    <w:pPr>
      <w:spacing w:after="0" w:line="240" w:lineRule="auto"/>
      <w:jc w:val="both"/>
    </w:pPr>
    <w:rPr>
      <w:rFonts w:ascii="Calibri" w:eastAsia="Calibri" w:hAnsi="Calibri" w:cs="Times New Roman"/>
      <w:color w:val="31849B" w:themeColor="accent5" w:themeShade="BF"/>
      <w:sz w:val="20"/>
      <w:szCs w:val="20"/>
      <w:lang w:eastAsia="en-GB"/>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ind w:left="0" w:firstLine="0"/>
      </w:pPr>
      <w:rPr>
        <w:b/>
        <w:w w:val="100"/>
        <w:sz w:val="20"/>
        <w:szCs w:val="20"/>
      </w:rPr>
      <w:tblPr/>
      <w:tcPr>
        <w:tcBorders>
          <w:top w:val="single" w:sz="8" w:space="0" w:color="4BACC6" w:themeColor="accent5"/>
          <w:bottom w:val="single" w:sz="8" w:space="0" w:color="4BACC6" w:themeColor="accent5"/>
        </w:tcBorders>
      </w:tcPr>
    </w:tblStylePr>
    <w:tblStylePr w:type="lastRow">
      <w:pPr>
        <w:ind w:left="0" w:firstLine="0"/>
      </w:pPr>
      <w:rPr>
        <w:b/>
        <w:w w:val="100"/>
        <w:sz w:val="20"/>
        <w:szCs w:val="20"/>
      </w:rPr>
      <w:tblPr/>
      <w:tcPr>
        <w:tcBorders>
          <w:top w:val="single" w:sz="8" w:space="0" w:color="4BACC6" w:themeColor="accent5"/>
          <w:bottom w:val="single" w:sz="8" w:space="0" w:color="4BACC6" w:themeColor="accent5"/>
        </w:tcBorders>
      </w:tcPr>
    </w:tblStylePr>
    <w:tblStylePr w:type="firstCol">
      <w:rPr>
        <w:b/>
        <w:w w:val="100"/>
        <w:sz w:val="20"/>
        <w:szCs w:val="20"/>
      </w:rPr>
    </w:tblStylePr>
    <w:tblStylePr w:type="lastCol">
      <w:rPr>
        <w:b/>
        <w:w w:val="100"/>
        <w:sz w:val="20"/>
        <w:szCs w:val="20"/>
      </w:r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ColorfulShading-Accent51">
    <w:name w:val="Colorful Shading - Accent 51"/>
    <w:basedOn w:val="TableNormal"/>
    <w:pPr>
      <w:spacing w:after="0" w:line="240" w:lineRule="auto"/>
      <w:jc w:val="both"/>
    </w:pPr>
    <w:rPr>
      <w:rFonts w:ascii="Calibri" w:eastAsia="Calibri" w:hAnsi="Calibri" w:cs="Times New Roman"/>
      <w:color w:val="000000" w:themeColor="text1"/>
      <w:sz w:val="20"/>
      <w:szCs w:val="20"/>
      <w:lang w:eastAsia="en-GB"/>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w w:val="100"/>
        <w:sz w:val="20"/>
        <w:szCs w:val="20"/>
      </w:rPr>
      <w:tblPr/>
      <w:tcPr>
        <w:tcBorders>
          <w:bottom w:val="single" w:sz="24" w:space="0" w:color="F79646" w:themeColor="accent6"/>
        </w:tcBorders>
        <w:shd w:val="clear" w:color="auto" w:fill="FFFFFF" w:themeFill="background1"/>
      </w:tcPr>
    </w:tblStylePr>
    <w:tblStylePr w:type="lastRow">
      <w:rPr>
        <w:b/>
        <w:color w:val="FFFFFF" w:themeColor="background1"/>
        <w:w w:val="100"/>
        <w:sz w:val="20"/>
        <w:szCs w:val="20"/>
      </w:rPr>
      <w:tblPr/>
      <w:tcPr>
        <w:tcBorders>
          <w:top w:val="single" w:sz="6" w:space="0" w:color="FFFFFF" w:themeColor="background1"/>
        </w:tcBorders>
        <w:shd w:val="clear" w:color="auto" w:fill="276A7C" w:themeFill="accent5" w:themeFillShade="99"/>
      </w:tcPr>
    </w:tblStylePr>
    <w:tblStylePr w:type="firstCol">
      <w:rPr>
        <w:color w:val="FFFFFF" w:themeColor="background1"/>
        <w:w w:val="100"/>
        <w:sz w:val="20"/>
        <w:szCs w:val="20"/>
      </w:rPr>
      <w:tblPr/>
      <w:tcPr>
        <w:tcBorders>
          <w:insideH w:val="single" w:sz="4" w:space="0" w:color="276A7C" w:themeColor="accent5" w:themeShade="99"/>
        </w:tcBorders>
        <w:shd w:val="clear" w:color="auto" w:fill="276A7C" w:themeFill="accent5" w:themeFillShade="99"/>
      </w:tcPr>
    </w:tblStylePr>
    <w:tblStylePr w:type="lastCol">
      <w:rPr>
        <w:color w:val="FFFFFF" w:themeColor="background1"/>
        <w:w w:val="100"/>
        <w:sz w:val="20"/>
        <w:szCs w:val="20"/>
      </w:rPr>
      <w:tblPr/>
      <w:tcPr>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w w:val="100"/>
        <w:sz w:val="20"/>
        <w:szCs w:val="20"/>
      </w:rPr>
    </w:tblStylePr>
    <w:tblStylePr w:type="nwCell">
      <w:rPr>
        <w:color w:val="000000" w:themeColor="text1"/>
        <w:w w:val="100"/>
        <w:sz w:val="20"/>
        <w:szCs w:val="20"/>
      </w:rPr>
    </w:tblStylePr>
  </w:style>
  <w:style w:type="table" w:customStyle="1" w:styleId="ListTable2-Accent111">
    <w:name w:val="List Table 2 - Accent 111"/>
    <w:basedOn w:val="TableNormal"/>
    <w:uiPriority w:val="47"/>
    <w:pPr>
      <w:spacing w:after="0" w:line="240" w:lineRule="auto"/>
    </w:pPr>
    <w:rPr>
      <w:rFonts w:ascii="Calibri" w:eastAsia="Times New Roman" w:hAnsi="Calibri" w:cs="Times New Roman"/>
      <w:sz w:val="20"/>
      <w:szCs w:val="20"/>
      <w:lang w:eastAsia="en-GB"/>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2">
    <w:name w:val="Table Grid2"/>
    <w:basedOn w:val="TableNormal"/>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2">
    <w:name w:val="CV112"/>
    <w:basedOn w:val="TableNormal"/>
    <w:uiPriority w:val="39"/>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2">
    <w:name w:val="CV122"/>
    <w:basedOn w:val="TableNormal"/>
    <w:uiPriority w:val="39"/>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2">
    <w:name w:val="CV132"/>
    <w:basedOn w:val="TableNormal"/>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
    <w:name w:val="Light Shading - Accent 12"/>
    <w:basedOn w:val="TableNormal"/>
    <w:pPr>
      <w:spacing w:after="0" w:line="240" w:lineRule="auto"/>
      <w:jc w:val="both"/>
    </w:pPr>
    <w:rPr>
      <w:rFonts w:ascii="Calibri" w:eastAsia="Calibri" w:hAnsi="Calibri" w:cs="Times New Roman"/>
      <w:color w:val="365F91" w:themeColor="accent1" w:themeShade="BF"/>
      <w:sz w:val="20"/>
      <w:szCs w:val="20"/>
      <w:lang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ind w:left="0" w:firstLine="0"/>
      </w:pPr>
      <w:rPr>
        <w:b/>
        <w:w w:val="100"/>
        <w:sz w:val="20"/>
        <w:szCs w:val="20"/>
      </w:rPr>
      <w:tblPr/>
      <w:tcPr>
        <w:tcBorders>
          <w:top w:val="single" w:sz="8" w:space="0" w:color="4F81BD" w:themeColor="accent1"/>
          <w:bottom w:val="single" w:sz="8" w:space="0" w:color="4F81BD" w:themeColor="accent1"/>
        </w:tcBorders>
      </w:tcPr>
    </w:tblStylePr>
    <w:tblStylePr w:type="lastRow">
      <w:pPr>
        <w:ind w:left="0" w:firstLine="0"/>
      </w:pPr>
      <w:rPr>
        <w:b/>
        <w:w w:val="100"/>
        <w:sz w:val="20"/>
        <w:szCs w:val="20"/>
      </w:rPr>
      <w:tblPr/>
      <w:tcPr>
        <w:tcBorders>
          <w:top w:val="single" w:sz="8" w:space="0" w:color="4F81BD" w:themeColor="accent1"/>
          <w:bottom w:val="single" w:sz="8" w:space="0" w:color="4F81BD" w:themeColor="accent1"/>
        </w:tcBorders>
      </w:tcPr>
    </w:tblStylePr>
    <w:tblStylePr w:type="firstCol">
      <w:rPr>
        <w:b/>
        <w:w w:val="100"/>
        <w:sz w:val="20"/>
        <w:szCs w:val="20"/>
      </w:rPr>
    </w:tblStylePr>
    <w:tblStylePr w:type="lastCol">
      <w:rPr>
        <w:b/>
        <w:w w:val="100"/>
        <w:sz w:val="20"/>
        <w:szCs w:val="20"/>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List-Accent12">
    <w:name w:val="Light List - Accent 12"/>
    <w:basedOn w:val="TableNormal"/>
    <w:pPr>
      <w:spacing w:after="0" w:line="240" w:lineRule="auto"/>
      <w:jc w:val="both"/>
    </w:pPr>
    <w:rPr>
      <w:rFonts w:ascii="Calibri" w:eastAsia="Calibri" w:hAnsi="Calibri" w:cs="Times New Roman"/>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ind w:left="0" w:firstLine="0"/>
      </w:pPr>
      <w:rPr>
        <w:b/>
        <w:color w:val="FFFFFF" w:themeColor="background1"/>
        <w:w w:val="100"/>
        <w:sz w:val="20"/>
        <w:szCs w:val="20"/>
      </w:rPr>
      <w:tblPr/>
      <w:tcPr>
        <w:shd w:val="clear" w:color="auto" w:fill="4F81BD" w:themeFill="accent1"/>
      </w:tcPr>
    </w:tblStylePr>
    <w:tblStylePr w:type="lastRow">
      <w:pPr>
        <w:ind w:left="0" w:firstLine="0"/>
      </w:pPr>
      <w:rPr>
        <w:b/>
        <w:w w:val="100"/>
        <w:sz w:val="20"/>
        <w:szCs w:val="20"/>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w w:val="100"/>
        <w:sz w:val="20"/>
        <w:szCs w:val="20"/>
      </w:rPr>
    </w:tblStylePr>
    <w:tblStylePr w:type="lastCol">
      <w:rPr>
        <w:b/>
        <w:w w:val="100"/>
        <w:sz w:val="20"/>
        <w:szCs w:val="20"/>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2-Accent12">
    <w:name w:val="Medium List 2 - Accent 12"/>
    <w:basedOn w:val="TableNormal"/>
    <w:pPr>
      <w:spacing w:after="0" w:line="240" w:lineRule="auto"/>
      <w:jc w:val="both"/>
    </w:pPr>
    <w:rPr>
      <w:rFonts w:ascii="Cambria" w:eastAsia="Cambria" w:hAnsi="Cambria" w:cs="Calibri"/>
      <w:color w:val="000000" w:themeColor="text1"/>
      <w:sz w:val="20"/>
      <w:szCs w:val="20"/>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w w:val="100"/>
        <w:sz w:val="24"/>
        <w:szCs w:val="24"/>
      </w:rPr>
      <w:tblPr/>
      <w:tcPr>
        <w:tcBorders>
          <w:bottom w:val="single" w:sz="24" w:space="0" w:color="4F81BD" w:themeColor="accent1"/>
        </w:tcBorders>
        <w:shd w:val="clear" w:color="auto" w:fill="FFFFFF" w:themeFill="background1"/>
      </w:tcPr>
    </w:tblStylePr>
    <w:tblStylePr w:type="lastRow">
      <w:tblPr/>
      <w:tcPr>
        <w:tcBorders>
          <w:top w:val="single" w:sz="8" w:space="0" w:color="4F81BD" w:themeColor="accent1"/>
        </w:tcBorders>
        <w:shd w:val="clear" w:color="auto" w:fill="FFFFFF" w:themeFill="background1"/>
      </w:tcPr>
    </w:tblStylePr>
    <w:tblStylePr w:type="firstCol">
      <w:tblPr/>
      <w:tcPr>
        <w:tcBorders>
          <w:right w:val="single" w:sz="8" w:space="0" w:color="4F81BD" w:themeColor="accent1"/>
        </w:tcBorders>
        <w:shd w:val="clear" w:color="auto" w:fill="FFFFFF" w:themeFill="background1"/>
      </w:tcPr>
    </w:tblStylePr>
    <w:tblStylePr w:type="lastCol">
      <w:tblPr/>
      <w:tcPr>
        <w:tcBorders>
          <w:left w:val="single" w:sz="8" w:space="0" w:color="4F81BD" w:themeColor="accent1"/>
        </w:tcBorders>
        <w:shd w:val="clear" w:color="auto" w:fill="FFFFFF" w:themeFill="background1"/>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tblStylePr w:type="nwCell">
      <w:tblPr/>
      <w:tcPr>
        <w:shd w:val="clear" w:color="auto" w:fill="FFFFFF" w:themeFill="background1"/>
      </w:tcPr>
    </w:tblStylePr>
    <w:tblStylePr w:type="swCell">
      <w:rPr>
        <w:w w:val="100"/>
        <w:sz w:val="24"/>
        <w:szCs w:val="24"/>
      </w:rPr>
      <w:tblPr/>
      <w:tcPr>
        <w:tcBorders>
          <w:bottom w:val="single" w:sz="24" w:space="0" w:color="4F81BD" w:themeColor="accent1"/>
        </w:tcBorders>
        <w:shd w:val="clear" w:color="auto" w:fill="FFFFFF" w:themeFill="background1"/>
      </w:tcPr>
    </w:tblStylePr>
  </w:style>
  <w:style w:type="table" w:customStyle="1" w:styleId="LightShading-Accent52">
    <w:name w:val="Light Shading - Accent 52"/>
    <w:basedOn w:val="TableNormal"/>
    <w:pPr>
      <w:spacing w:after="0" w:line="240" w:lineRule="auto"/>
      <w:jc w:val="both"/>
    </w:pPr>
    <w:rPr>
      <w:rFonts w:ascii="Calibri" w:eastAsia="Calibri" w:hAnsi="Calibri" w:cs="Times New Roman"/>
      <w:color w:val="31849B" w:themeColor="accent5" w:themeShade="BF"/>
      <w:sz w:val="20"/>
      <w:szCs w:val="20"/>
      <w:lang w:eastAsia="en-GB"/>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ind w:left="0" w:firstLine="0"/>
      </w:pPr>
      <w:rPr>
        <w:b/>
        <w:w w:val="100"/>
        <w:sz w:val="20"/>
        <w:szCs w:val="20"/>
      </w:rPr>
      <w:tblPr/>
      <w:tcPr>
        <w:tcBorders>
          <w:top w:val="single" w:sz="8" w:space="0" w:color="4BACC6" w:themeColor="accent5"/>
          <w:bottom w:val="single" w:sz="8" w:space="0" w:color="4BACC6" w:themeColor="accent5"/>
        </w:tcBorders>
      </w:tcPr>
    </w:tblStylePr>
    <w:tblStylePr w:type="lastRow">
      <w:pPr>
        <w:ind w:left="0" w:firstLine="0"/>
      </w:pPr>
      <w:rPr>
        <w:b/>
        <w:w w:val="100"/>
        <w:sz w:val="20"/>
        <w:szCs w:val="20"/>
      </w:rPr>
      <w:tblPr/>
      <w:tcPr>
        <w:tcBorders>
          <w:top w:val="single" w:sz="8" w:space="0" w:color="4BACC6" w:themeColor="accent5"/>
          <w:bottom w:val="single" w:sz="8" w:space="0" w:color="4BACC6" w:themeColor="accent5"/>
        </w:tcBorders>
      </w:tcPr>
    </w:tblStylePr>
    <w:tblStylePr w:type="firstCol">
      <w:rPr>
        <w:b/>
        <w:w w:val="100"/>
        <w:sz w:val="20"/>
        <w:szCs w:val="20"/>
      </w:rPr>
    </w:tblStylePr>
    <w:tblStylePr w:type="lastCol">
      <w:rPr>
        <w:b/>
        <w:w w:val="100"/>
        <w:sz w:val="20"/>
        <w:szCs w:val="20"/>
      </w:r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ColorfulShading-Accent52">
    <w:name w:val="Colorful Shading - Accent 52"/>
    <w:basedOn w:val="TableNormal"/>
    <w:pPr>
      <w:spacing w:after="0" w:line="240" w:lineRule="auto"/>
      <w:jc w:val="both"/>
    </w:pPr>
    <w:rPr>
      <w:rFonts w:ascii="Calibri" w:eastAsia="Calibri" w:hAnsi="Calibri" w:cs="Times New Roman"/>
      <w:color w:val="000000" w:themeColor="text1"/>
      <w:sz w:val="20"/>
      <w:szCs w:val="20"/>
      <w:lang w:eastAsia="en-GB"/>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w w:val="100"/>
        <w:sz w:val="20"/>
        <w:szCs w:val="20"/>
      </w:rPr>
      <w:tblPr/>
      <w:tcPr>
        <w:tcBorders>
          <w:bottom w:val="single" w:sz="24" w:space="0" w:color="F79646" w:themeColor="accent6"/>
        </w:tcBorders>
        <w:shd w:val="clear" w:color="auto" w:fill="FFFFFF" w:themeFill="background1"/>
      </w:tcPr>
    </w:tblStylePr>
    <w:tblStylePr w:type="lastRow">
      <w:rPr>
        <w:b/>
        <w:color w:val="FFFFFF" w:themeColor="background1"/>
        <w:w w:val="100"/>
        <w:sz w:val="20"/>
        <w:szCs w:val="20"/>
      </w:rPr>
      <w:tblPr/>
      <w:tcPr>
        <w:tcBorders>
          <w:top w:val="single" w:sz="6" w:space="0" w:color="FFFFFF" w:themeColor="background1"/>
        </w:tcBorders>
        <w:shd w:val="clear" w:color="auto" w:fill="276A7C" w:themeFill="accent5" w:themeFillShade="99"/>
      </w:tcPr>
    </w:tblStylePr>
    <w:tblStylePr w:type="firstCol">
      <w:rPr>
        <w:color w:val="FFFFFF" w:themeColor="background1"/>
        <w:w w:val="100"/>
        <w:sz w:val="20"/>
        <w:szCs w:val="20"/>
      </w:rPr>
      <w:tblPr/>
      <w:tcPr>
        <w:tcBorders>
          <w:insideH w:val="single" w:sz="4" w:space="0" w:color="276A7C" w:themeColor="accent5" w:themeShade="99"/>
        </w:tcBorders>
        <w:shd w:val="clear" w:color="auto" w:fill="276A7C" w:themeFill="accent5" w:themeFillShade="99"/>
      </w:tcPr>
    </w:tblStylePr>
    <w:tblStylePr w:type="lastCol">
      <w:rPr>
        <w:color w:val="FFFFFF" w:themeColor="background1"/>
        <w:w w:val="100"/>
        <w:sz w:val="20"/>
        <w:szCs w:val="20"/>
      </w:rPr>
      <w:tblPr/>
      <w:tcPr>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w w:val="100"/>
        <w:sz w:val="20"/>
        <w:szCs w:val="20"/>
      </w:rPr>
    </w:tblStylePr>
    <w:tblStylePr w:type="nwCell">
      <w:rPr>
        <w:color w:val="000000" w:themeColor="text1"/>
        <w:w w:val="100"/>
        <w:sz w:val="20"/>
        <w:szCs w:val="20"/>
      </w:rPr>
    </w:tblStylePr>
  </w:style>
  <w:style w:type="table" w:customStyle="1" w:styleId="ListTable2-Accent112">
    <w:name w:val="List Table 2 - Accent 112"/>
    <w:basedOn w:val="TableNormal"/>
    <w:uiPriority w:val="47"/>
    <w:pPr>
      <w:spacing w:after="0" w:line="240" w:lineRule="auto"/>
    </w:pPr>
    <w:rPr>
      <w:rFonts w:ascii="Calibri" w:eastAsia="Times New Roman" w:hAnsi="Calibri" w:cs="Times New Roman"/>
      <w:sz w:val="20"/>
      <w:szCs w:val="20"/>
      <w:lang w:eastAsia="en-GB"/>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0"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numPr>
        <w:numId w:val="4"/>
      </w:numPr>
      <w:spacing w:after="0" w:line="240" w:lineRule="auto"/>
      <w:ind w:left="431" w:hanging="431"/>
      <w:outlineLvl w:val="0"/>
    </w:pPr>
    <w:rPr>
      <w:rFonts w:ascii="Times New Roman" w:eastAsia="Times New Roman" w:hAnsi="Times New Roman" w:cs="Times New Roman"/>
      <w:b/>
      <w:smallCaps/>
      <w:sz w:val="24"/>
      <w:szCs w:val="20"/>
      <w:u w:val="single"/>
      <w:lang w:eastAsia="en-GB"/>
    </w:rPr>
  </w:style>
  <w:style w:type="paragraph" w:styleId="Heading2">
    <w:name w:val="heading 2"/>
    <w:basedOn w:val="Normal"/>
    <w:link w:val="Heading2Char"/>
    <w:uiPriority w:val="9"/>
    <w:qFormat/>
    <w:pPr>
      <w:keepNext/>
      <w:numPr>
        <w:ilvl w:val="1"/>
        <w:numId w:val="4"/>
      </w:numPr>
      <w:spacing w:before="120" w:after="240" w:line="240" w:lineRule="auto"/>
      <w:jc w:val="both"/>
      <w:outlineLvl w:val="1"/>
    </w:pPr>
    <w:rPr>
      <w:rFonts w:ascii="Times New Roman" w:eastAsia="Times New Roman" w:hAnsi="Times New Roman" w:cs="Times New Roman"/>
      <w:b/>
      <w:sz w:val="24"/>
      <w:szCs w:val="24"/>
      <w:lang w:eastAsia="en-GB"/>
    </w:rPr>
  </w:style>
  <w:style w:type="paragraph" w:styleId="Heading3">
    <w:name w:val="heading 3"/>
    <w:basedOn w:val="Normal"/>
    <w:next w:val="Normal"/>
    <w:link w:val="Heading3Char"/>
    <w:uiPriority w:val="9"/>
    <w:qFormat/>
    <w:pPr>
      <w:keepNext/>
      <w:numPr>
        <w:ilvl w:val="2"/>
        <w:numId w:val="4"/>
      </w:numPr>
      <w:spacing w:after="0" w:line="240" w:lineRule="auto"/>
      <w:jc w:val="both"/>
      <w:outlineLvl w:val="2"/>
    </w:pPr>
    <w:rPr>
      <w:rFonts w:ascii="Arial" w:eastAsia="Times New Roman" w:hAnsi="Arial" w:cs="Times New Roman"/>
      <w:b/>
      <w:color w:val="000000" w:themeColor="text1"/>
      <w:sz w:val="20"/>
      <w:szCs w:val="20"/>
      <w:lang w:eastAsia="en-GB"/>
    </w:rPr>
  </w:style>
  <w:style w:type="paragraph" w:styleId="Heading4">
    <w:name w:val="heading 4"/>
    <w:basedOn w:val="Normal"/>
    <w:next w:val="Normal"/>
    <w:link w:val="Heading4Char"/>
    <w:uiPriority w:val="9"/>
    <w:qFormat/>
    <w:pPr>
      <w:keepNext/>
      <w:numPr>
        <w:ilvl w:val="3"/>
        <w:numId w:val="4"/>
      </w:numPr>
      <w:spacing w:after="0" w:line="240" w:lineRule="auto"/>
      <w:jc w:val="both"/>
      <w:outlineLvl w:val="3"/>
    </w:pPr>
    <w:rPr>
      <w:rFonts w:ascii="Arial" w:eastAsia="Times New Roman" w:hAnsi="Arial" w:cs="Times New Roman"/>
      <w:sz w:val="20"/>
      <w:szCs w:val="20"/>
      <w:lang w:eastAsia="en-GB"/>
    </w:rPr>
  </w:style>
  <w:style w:type="paragraph" w:styleId="Heading5">
    <w:name w:val="heading 5"/>
    <w:basedOn w:val="Normal"/>
    <w:next w:val="Normal"/>
    <w:link w:val="Heading5Char"/>
    <w:uiPriority w:val="9"/>
    <w:semiHidden/>
    <w:unhideWhenUsed/>
    <w:qFormat/>
    <w:pPr>
      <w:keepNext/>
      <w:keepLines/>
      <w:numPr>
        <w:ilvl w:val="4"/>
        <w:numId w:val="4"/>
      </w:numPr>
      <w:spacing w:after="0" w:line="240" w:lineRule="auto"/>
      <w:jc w:val="both"/>
      <w:outlineLvl w:val="4"/>
    </w:pPr>
    <w:rPr>
      <w:rFonts w:ascii="Cambria" w:eastAsia="Cambria" w:hAnsi="Cambria" w:cs="Times New Roman"/>
      <w:color w:val="243F60" w:themeColor="accent1" w:themeShade="7F"/>
      <w:sz w:val="20"/>
      <w:szCs w:val="20"/>
      <w:lang w:eastAsia="en-GB"/>
    </w:rPr>
  </w:style>
  <w:style w:type="paragraph" w:styleId="Heading6">
    <w:name w:val="heading 6"/>
    <w:basedOn w:val="Normal"/>
    <w:next w:val="Normal"/>
    <w:link w:val="Heading6Char"/>
    <w:uiPriority w:val="9"/>
    <w:semiHidden/>
    <w:unhideWhenUsed/>
    <w:qFormat/>
    <w:pPr>
      <w:keepNext/>
      <w:keepLines/>
      <w:numPr>
        <w:ilvl w:val="5"/>
        <w:numId w:val="4"/>
      </w:numPr>
      <w:spacing w:after="0" w:line="240" w:lineRule="auto"/>
      <w:jc w:val="both"/>
      <w:outlineLvl w:val="5"/>
    </w:pPr>
    <w:rPr>
      <w:rFonts w:ascii="Cambria" w:eastAsia="Cambria" w:hAnsi="Cambria" w:cs="Times New Roman"/>
      <w:i/>
      <w:color w:val="243F60" w:themeColor="accent1" w:themeShade="7F"/>
      <w:sz w:val="20"/>
      <w:szCs w:val="20"/>
      <w:lang w:eastAsia="en-GB"/>
    </w:rPr>
  </w:style>
  <w:style w:type="paragraph" w:styleId="Heading7">
    <w:name w:val="heading 7"/>
    <w:basedOn w:val="Normal"/>
    <w:next w:val="Normal"/>
    <w:link w:val="Heading7Char"/>
    <w:uiPriority w:val="9"/>
    <w:semiHidden/>
    <w:unhideWhenUsed/>
    <w:qFormat/>
    <w:pPr>
      <w:keepNext/>
      <w:keepLines/>
      <w:numPr>
        <w:ilvl w:val="6"/>
        <w:numId w:val="4"/>
      </w:numPr>
      <w:spacing w:after="0" w:line="240" w:lineRule="auto"/>
      <w:jc w:val="both"/>
      <w:outlineLvl w:val="6"/>
    </w:pPr>
    <w:rPr>
      <w:rFonts w:ascii="Cambria" w:eastAsia="Cambria" w:hAnsi="Cambria" w:cs="Times New Roman"/>
      <w:i/>
      <w:color w:val="404040" w:themeColor="text1" w:themeTint="BF"/>
      <w:sz w:val="20"/>
      <w:szCs w:val="20"/>
      <w:lang w:eastAsia="en-GB"/>
    </w:rPr>
  </w:style>
  <w:style w:type="paragraph" w:styleId="Heading8">
    <w:name w:val="heading 8"/>
    <w:basedOn w:val="Normal"/>
    <w:next w:val="Normal"/>
    <w:link w:val="Heading8Char"/>
    <w:uiPriority w:val="9"/>
    <w:semiHidden/>
    <w:unhideWhenUsed/>
    <w:qFormat/>
    <w:pPr>
      <w:keepNext/>
      <w:keepLines/>
      <w:numPr>
        <w:ilvl w:val="7"/>
        <w:numId w:val="4"/>
      </w:numPr>
      <w:spacing w:after="0" w:line="240" w:lineRule="auto"/>
      <w:jc w:val="both"/>
      <w:outlineLvl w:val="7"/>
    </w:pPr>
    <w:rPr>
      <w:rFonts w:ascii="Cambria" w:eastAsia="Cambria" w:hAnsi="Cambria" w:cs="Times New Roman"/>
      <w:color w:val="404040" w:themeColor="text1" w:themeTint="BF"/>
      <w:sz w:val="20"/>
      <w:szCs w:val="20"/>
      <w:lang w:eastAsia="en-GB"/>
    </w:rPr>
  </w:style>
  <w:style w:type="paragraph" w:styleId="Heading9">
    <w:name w:val="heading 9"/>
    <w:basedOn w:val="Normal"/>
    <w:next w:val="Normal"/>
    <w:link w:val="Heading9Char"/>
    <w:uiPriority w:val="9"/>
    <w:semiHidden/>
    <w:unhideWhenUsed/>
    <w:qFormat/>
    <w:pPr>
      <w:keepNext/>
      <w:keepLines/>
      <w:numPr>
        <w:ilvl w:val="8"/>
        <w:numId w:val="4"/>
      </w:numPr>
      <w:spacing w:after="0" w:line="240" w:lineRule="auto"/>
      <w:jc w:val="both"/>
      <w:outlineLvl w:val="8"/>
    </w:pPr>
    <w:rPr>
      <w:rFonts w:ascii="Cambria" w:eastAsia="Cambria" w:hAnsi="Cambria" w:cs="Times New Roman"/>
      <w:i/>
      <w:color w:val="404040" w:themeColor="text1" w:themeTint="BF"/>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u w:val="single"/>
      <w:lang w:eastAsia="en-GB"/>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4"/>
      <w:lang w:eastAsia="en-GB"/>
    </w:rPr>
  </w:style>
  <w:style w:type="character" w:customStyle="1" w:styleId="Heading3Char">
    <w:name w:val="Heading 3 Char"/>
    <w:basedOn w:val="DefaultParagraphFont"/>
    <w:link w:val="Heading3"/>
    <w:uiPriority w:val="9"/>
    <w:rPr>
      <w:rFonts w:ascii="Arial" w:eastAsia="Times New Roman" w:hAnsi="Arial" w:cs="Times New Roman"/>
      <w:b/>
      <w:color w:val="000000" w:themeColor="text1"/>
      <w:sz w:val="20"/>
      <w:szCs w:val="20"/>
      <w:lang w:eastAsia="en-GB"/>
    </w:rPr>
  </w:style>
  <w:style w:type="character" w:customStyle="1" w:styleId="Heading4Char">
    <w:name w:val="Heading 4 Char"/>
    <w:basedOn w:val="DefaultParagraphFont"/>
    <w:link w:val="Heading4"/>
    <w:uiPriority w:val="9"/>
    <w:rPr>
      <w:rFonts w:ascii="Arial" w:eastAsia="Times New Roman" w:hAnsi="Arial" w:cs="Times New Roman"/>
      <w:sz w:val="20"/>
      <w:szCs w:val="20"/>
      <w:lang w:eastAsia="en-GB"/>
    </w:rPr>
  </w:style>
  <w:style w:type="character" w:customStyle="1" w:styleId="Heading5Char">
    <w:name w:val="Heading 5 Char"/>
    <w:basedOn w:val="DefaultParagraphFont"/>
    <w:link w:val="Heading5"/>
    <w:uiPriority w:val="9"/>
    <w:semiHidden/>
    <w:rPr>
      <w:rFonts w:ascii="Cambria" w:eastAsia="Cambria" w:hAnsi="Cambria" w:cs="Times New Roman"/>
      <w:color w:val="243F60" w:themeColor="accent1" w:themeShade="7F"/>
      <w:sz w:val="20"/>
      <w:szCs w:val="20"/>
      <w:lang w:eastAsia="en-GB"/>
    </w:rPr>
  </w:style>
  <w:style w:type="character" w:customStyle="1" w:styleId="Heading6Char">
    <w:name w:val="Heading 6 Char"/>
    <w:basedOn w:val="DefaultParagraphFont"/>
    <w:link w:val="Heading6"/>
    <w:uiPriority w:val="9"/>
    <w:semiHidden/>
    <w:rPr>
      <w:rFonts w:ascii="Cambria" w:eastAsia="Cambria" w:hAnsi="Cambria" w:cs="Times New Roman"/>
      <w:i/>
      <w:color w:val="243F60" w:themeColor="accent1" w:themeShade="7F"/>
      <w:sz w:val="20"/>
      <w:szCs w:val="20"/>
      <w:lang w:eastAsia="en-GB"/>
    </w:rPr>
  </w:style>
  <w:style w:type="character" w:customStyle="1" w:styleId="Heading7Char">
    <w:name w:val="Heading 7 Char"/>
    <w:basedOn w:val="DefaultParagraphFont"/>
    <w:link w:val="Heading7"/>
    <w:uiPriority w:val="9"/>
    <w:semiHidden/>
    <w:rPr>
      <w:rFonts w:ascii="Cambria" w:eastAsia="Cambria" w:hAnsi="Cambria" w:cs="Times New Roman"/>
      <w:i/>
      <w:color w:val="404040" w:themeColor="text1" w:themeTint="BF"/>
      <w:sz w:val="20"/>
      <w:szCs w:val="20"/>
      <w:lang w:eastAsia="en-GB"/>
    </w:rPr>
  </w:style>
  <w:style w:type="character" w:customStyle="1" w:styleId="Heading8Char">
    <w:name w:val="Heading 8 Char"/>
    <w:basedOn w:val="DefaultParagraphFont"/>
    <w:link w:val="Heading8"/>
    <w:uiPriority w:val="9"/>
    <w:semiHidden/>
    <w:rPr>
      <w:rFonts w:ascii="Cambria" w:eastAsia="Cambria" w:hAnsi="Cambria" w:cs="Times New Roman"/>
      <w:color w:val="404040" w:themeColor="text1" w:themeTint="BF"/>
      <w:sz w:val="20"/>
      <w:szCs w:val="20"/>
      <w:lang w:eastAsia="en-GB"/>
    </w:rPr>
  </w:style>
  <w:style w:type="character" w:customStyle="1" w:styleId="Heading9Char">
    <w:name w:val="Heading 9 Char"/>
    <w:basedOn w:val="DefaultParagraphFont"/>
    <w:link w:val="Heading9"/>
    <w:uiPriority w:val="9"/>
    <w:semiHidden/>
    <w:rPr>
      <w:rFonts w:ascii="Cambria" w:eastAsia="Cambria" w:hAnsi="Cambria" w:cs="Times New Roman"/>
      <w:i/>
      <w:color w:val="404040" w:themeColor="text1" w:themeTint="BF"/>
      <w:sz w:val="20"/>
      <w:szCs w:val="20"/>
      <w:lang w:eastAsia="en-GB"/>
    </w:rPr>
  </w:style>
  <w:style w:type="paragraph" w:styleId="Subtitle">
    <w:name w:val="Subtitle"/>
    <w:basedOn w:val="Normal"/>
    <w:next w:val="Normal"/>
    <w:link w:val="SubtitleChar"/>
    <w:uiPriority w:val="11"/>
    <w:qFormat/>
    <w:pPr>
      <w:spacing w:after="0" w:line="240" w:lineRule="auto"/>
      <w:jc w:val="both"/>
    </w:pPr>
    <w:rPr>
      <w:rFonts w:ascii="Cambria" w:eastAsia="Cambria" w:hAnsi="Cambria" w:cs="Times New Roman"/>
      <w:i/>
      <w:color w:val="4F81BD" w:themeColor="accent1"/>
      <w:spacing w:val="15"/>
      <w:sz w:val="20"/>
      <w:szCs w:val="20"/>
      <w:lang w:eastAsia="en-GB"/>
    </w:rPr>
  </w:style>
  <w:style w:type="character" w:customStyle="1" w:styleId="SubtitleChar">
    <w:name w:val="Subtitle Char"/>
    <w:basedOn w:val="DefaultParagraphFont"/>
    <w:link w:val="Subtitle"/>
    <w:uiPriority w:val="11"/>
    <w:rPr>
      <w:rFonts w:ascii="Cambria" w:eastAsia="Cambria" w:hAnsi="Cambria" w:cs="Times New Roman"/>
      <w:i/>
      <w:color w:val="4F81BD" w:themeColor="accent1"/>
      <w:spacing w:val="15"/>
      <w:sz w:val="20"/>
      <w:szCs w:val="20"/>
      <w:lang w:eastAsia="en-GB"/>
    </w:rPr>
  </w:style>
  <w:style w:type="character" w:styleId="SubtleEmphasis">
    <w:name w:val="Subtle Emphasis"/>
    <w:basedOn w:val="DefaultParagraphFont"/>
    <w:uiPriority w:val="19"/>
    <w:qFormat/>
    <w:rPr>
      <w:i/>
      <w:color w:val="808080" w:themeColor="text1" w:themeTint="7F"/>
      <w:w w:val="100"/>
      <w:sz w:val="20"/>
      <w:szCs w:val="20"/>
      <w:shd w:val="clear" w:color="auto" w:fill="auto"/>
    </w:rPr>
  </w:style>
  <w:style w:type="character" w:styleId="Strong">
    <w:name w:val="Strong"/>
    <w:basedOn w:val="DefaultParagraphFont"/>
    <w:uiPriority w:val="22"/>
    <w:qFormat/>
    <w:rPr>
      <w:b/>
      <w:w w:val="100"/>
      <w:sz w:val="20"/>
      <w:szCs w:val="20"/>
      <w:shd w:val="clear" w:color="auto" w:fill="auto"/>
    </w:rPr>
  </w:style>
  <w:style w:type="paragraph" w:styleId="ListParagraph">
    <w:name w:val="List Paragraph"/>
    <w:aliases w:val="Fiche List Paragraph,Task Body,Viñetas (Inicio Parrafo),3 Txt tabla,Zerrenda-paragrafoa,Lista multicolor - Énfasis 11,List Paragraph compact,Dot pt,F5 List Paragraph,List Paragraph1,No Spacing1,List Paragraph Char Char Char,Indicator Text"/>
    <w:basedOn w:val="Normal"/>
    <w:link w:val="ListParagraphChar"/>
    <w:uiPriority w:val="34"/>
    <w:qFormat/>
    <w:pPr>
      <w:spacing w:after="0" w:line="240" w:lineRule="auto"/>
      <w:ind w:left="720"/>
      <w:jc w:val="both"/>
    </w:pPr>
    <w:rPr>
      <w:rFonts w:ascii="Times New Roman" w:eastAsia="Times New Roman" w:hAnsi="Times New Roman" w:cs="Times New Roman"/>
      <w:sz w:val="24"/>
      <w:szCs w:val="24"/>
      <w:lang w:eastAsia="en-GB"/>
    </w:rPr>
  </w:style>
  <w:style w:type="paragraph" w:styleId="TOCHeading">
    <w:name w:val="TOC Heading"/>
    <w:basedOn w:val="Normal"/>
    <w:next w:val="Normal"/>
    <w:uiPriority w:val="39"/>
    <w:qFormat/>
    <w:pPr>
      <w:keepNext/>
      <w:spacing w:after="0" w:line="240" w:lineRule="auto"/>
      <w:jc w:val="center"/>
    </w:pPr>
    <w:rPr>
      <w:rFonts w:ascii="Arial" w:eastAsia="Times New Roman" w:hAnsi="Arial" w:cs="Times New Roman"/>
      <w:b/>
      <w:sz w:val="20"/>
      <w:szCs w:val="20"/>
      <w:lang w:eastAsia="en-GB"/>
    </w:rPr>
  </w:style>
  <w:style w:type="paragraph" w:styleId="TOC1">
    <w:name w:val="toc 1"/>
    <w:basedOn w:val="Normal"/>
    <w:next w:val="Normal"/>
    <w:uiPriority w:val="39"/>
    <w:qFormat/>
    <w:pPr>
      <w:tabs>
        <w:tab w:val="right" w:leader="dot" w:pos="8640"/>
      </w:tabs>
      <w:spacing w:after="0" w:line="240" w:lineRule="auto"/>
      <w:ind w:left="2892" w:right="720" w:hanging="482"/>
      <w:jc w:val="both"/>
    </w:pPr>
    <w:rPr>
      <w:rFonts w:ascii="Arial" w:eastAsia="Times New Roman" w:hAnsi="Arial" w:cs="Times New Roman"/>
      <w:caps/>
      <w:sz w:val="20"/>
      <w:szCs w:val="20"/>
      <w:lang w:eastAsia="en-GB"/>
    </w:rPr>
  </w:style>
  <w:style w:type="paragraph" w:styleId="TOC2">
    <w:name w:val="toc 2"/>
    <w:basedOn w:val="Normal"/>
    <w:next w:val="Normal"/>
    <w:uiPriority w:val="39"/>
    <w:qFormat/>
    <w:pPr>
      <w:tabs>
        <w:tab w:val="right" w:leader="dot" w:pos="8640"/>
      </w:tabs>
      <w:spacing w:after="0" w:line="240" w:lineRule="auto"/>
      <w:ind w:left="4052" w:right="720" w:hanging="595"/>
      <w:jc w:val="both"/>
    </w:pPr>
    <w:rPr>
      <w:rFonts w:ascii="Arial" w:eastAsia="Times New Roman" w:hAnsi="Arial" w:cs="Times New Roman"/>
      <w:sz w:val="20"/>
      <w:szCs w:val="20"/>
      <w:lang w:eastAsia="en-GB"/>
    </w:rPr>
  </w:style>
  <w:style w:type="table" w:styleId="TableGrid">
    <w:name w:val="Table Grid"/>
    <w:basedOn w:val="TableNormal"/>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
    <w:name w:val="Text 1"/>
    <w:basedOn w:val="Normal"/>
    <w:pPr>
      <w:spacing w:after="0" w:line="240" w:lineRule="auto"/>
      <w:ind w:left="482"/>
      <w:jc w:val="both"/>
    </w:pPr>
    <w:rPr>
      <w:rFonts w:ascii="Arial" w:eastAsia="Times New Roman" w:hAnsi="Arial" w:cs="Times New Roman"/>
      <w:sz w:val="20"/>
      <w:szCs w:val="20"/>
      <w:lang w:eastAsia="en-GB"/>
    </w:rPr>
  </w:style>
  <w:style w:type="paragraph" w:customStyle="1" w:styleId="Text2">
    <w:name w:val="Text 2"/>
    <w:basedOn w:val="Normal"/>
    <w:link w:val="Text2Char"/>
    <w:pPr>
      <w:tabs>
        <w:tab w:val="left" w:pos="2302"/>
      </w:tabs>
      <w:spacing w:after="0" w:line="240" w:lineRule="auto"/>
      <w:ind w:left="1202"/>
      <w:jc w:val="both"/>
    </w:pPr>
    <w:rPr>
      <w:rFonts w:ascii="Arial" w:eastAsia="Times New Roman" w:hAnsi="Arial" w:cs="Times New Roman"/>
      <w:sz w:val="20"/>
      <w:szCs w:val="20"/>
      <w:lang w:eastAsia="en-GB"/>
    </w:rPr>
  </w:style>
  <w:style w:type="paragraph" w:styleId="ListBullet">
    <w:name w:val="List Bullet"/>
    <w:basedOn w:val="Normal"/>
    <w:pPr>
      <w:numPr>
        <w:numId w:val="1"/>
      </w:numPr>
      <w:spacing w:after="0" w:line="240" w:lineRule="auto"/>
      <w:ind w:left="0" w:firstLine="0"/>
      <w:jc w:val="both"/>
    </w:pPr>
    <w:rPr>
      <w:rFonts w:ascii="Arial" w:eastAsia="Times New Roman" w:hAnsi="Arial" w:cs="Times New Roman"/>
      <w:sz w:val="20"/>
      <w:szCs w:val="20"/>
      <w:lang w:eastAsia="en-GB"/>
    </w:rPr>
  </w:style>
  <w:style w:type="paragraph" w:customStyle="1" w:styleId="ListDash1">
    <w:name w:val="List Dash 1"/>
    <w:basedOn w:val="Text1"/>
    <w:pPr>
      <w:numPr>
        <w:numId w:val="2"/>
      </w:numPr>
      <w:ind w:left="0" w:firstLine="0"/>
    </w:pPr>
  </w:style>
  <w:style w:type="paragraph" w:customStyle="1" w:styleId="AnnexTitle">
    <w:name w:val="Annex Title"/>
    <w:basedOn w:val="Normal"/>
    <w:next w:val="Normal"/>
    <w:link w:val="AnnexTitleChar"/>
    <w:qFormat/>
    <w:pPr>
      <w:keepNext/>
      <w:spacing w:after="0" w:line="240" w:lineRule="auto"/>
      <w:jc w:val="center"/>
    </w:pPr>
    <w:rPr>
      <w:rFonts w:ascii="Arial" w:eastAsia="Times New Roman" w:hAnsi="Arial" w:cs="Times New Roman"/>
      <w:b/>
      <w:sz w:val="32"/>
      <w:szCs w:val="32"/>
      <w:lang w:eastAsia="en-GB"/>
    </w:rPr>
  </w:style>
  <w:style w:type="character" w:customStyle="1" w:styleId="AnnexTitleChar">
    <w:name w:val="Annex Title Char"/>
    <w:basedOn w:val="DefaultParagraphFont"/>
    <w:link w:val="AnnexTitle"/>
    <w:rPr>
      <w:rFonts w:ascii="Arial" w:eastAsia="Times New Roman" w:hAnsi="Arial" w:cs="Times New Roman"/>
      <w:b/>
      <w:sz w:val="32"/>
      <w:szCs w:val="32"/>
      <w:lang w:eastAsia="en-GB"/>
    </w:rPr>
  </w:style>
  <w:style w:type="table" w:customStyle="1" w:styleId="CV11">
    <w:name w:val="CV11"/>
    <w:basedOn w:val="TableNormal"/>
    <w:next w:val="TableGrid"/>
    <w:uiPriority w:val="39"/>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000FF" w:themeColor="hyperlink"/>
      <w:w w:val="100"/>
      <w:sz w:val="20"/>
      <w:szCs w:val="20"/>
      <w:u w:val="single"/>
      <w:shd w:val="clear" w:color="auto" w:fill="auto"/>
    </w:rPr>
  </w:style>
  <w:style w:type="paragraph" w:styleId="BalloonText">
    <w:name w:val="Balloon Text"/>
    <w:basedOn w:val="Normal"/>
    <w:link w:val="BalloonTextChar"/>
    <w:uiPriority w:val="99"/>
    <w:semiHidden/>
    <w:unhideWhenUsed/>
    <w:pPr>
      <w:spacing w:after="0" w:line="240" w:lineRule="auto"/>
      <w:jc w:val="both"/>
    </w:pPr>
    <w:rPr>
      <w:rFonts w:ascii="Tahoma" w:eastAsia="Tahoma" w:hAnsi="Tahoma" w:cs="Times New Roman"/>
      <w:sz w:val="16"/>
      <w:szCs w:val="16"/>
      <w:lang w:eastAsia="en-GB"/>
    </w:rPr>
  </w:style>
  <w:style w:type="character" w:customStyle="1" w:styleId="BalloonTextChar">
    <w:name w:val="Balloon Text Char"/>
    <w:basedOn w:val="DefaultParagraphFont"/>
    <w:link w:val="BalloonText"/>
    <w:uiPriority w:val="99"/>
    <w:semiHidden/>
    <w:rPr>
      <w:rFonts w:ascii="Tahoma" w:eastAsia="Tahoma" w:hAnsi="Tahoma" w:cs="Times New Roman"/>
      <w:sz w:val="16"/>
      <w:szCs w:val="16"/>
      <w:lang w:eastAsia="en-GB"/>
    </w:rPr>
  </w:style>
  <w:style w:type="paragraph" w:customStyle="1" w:styleId="Declassification">
    <w:name w:val="Declassification"/>
    <w:basedOn w:val="Normal"/>
    <w:next w:val="Normal"/>
    <w:pPr>
      <w:spacing w:after="0" w:line="240" w:lineRule="auto"/>
      <w:jc w:val="both"/>
    </w:pPr>
    <w:rPr>
      <w:rFonts w:ascii="Arial" w:eastAsia="Times New Roman" w:hAnsi="Arial" w:cs="Times New Roman"/>
      <w:sz w:val="20"/>
      <w:szCs w:val="20"/>
      <w:lang w:eastAsia="en-GB"/>
    </w:rPr>
  </w:style>
  <w:style w:type="paragraph" w:customStyle="1" w:styleId="HeaderLandscape">
    <w:name w:val="HeaderLandscape"/>
    <w:basedOn w:val="Normal"/>
    <w:pPr>
      <w:tabs>
        <w:tab w:val="center" w:pos="7285"/>
        <w:tab w:val="right" w:pos="14003"/>
      </w:tabs>
      <w:spacing w:after="0" w:line="240" w:lineRule="auto"/>
      <w:jc w:val="both"/>
    </w:pPr>
    <w:rPr>
      <w:rFonts w:ascii="Arial" w:eastAsia="Times New Roman" w:hAnsi="Arial" w:cs="Times New Roman"/>
      <w:sz w:val="20"/>
      <w:szCs w:val="20"/>
      <w:lang w:eastAsia="en-GB"/>
    </w:rPr>
  </w:style>
  <w:style w:type="paragraph" w:customStyle="1" w:styleId="FooterLandscape">
    <w:name w:val="FooterLandscape"/>
    <w:basedOn w:val="Normal"/>
    <w:pPr>
      <w:tabs>
        <w:tab w:val="center" w:pos="7285"/>
        <w:tab w:val="center" w:pos="10913"/>
        <w:tab w:val="right" w:pos="15137"/>
      </w:tabs>
      <w:spacing w:after="0" w:line="240" w:lineRule="auto"/>
      <w:ind w:left="-567" w:right="-567"/>
      <w:jc w:val="both"/>
    </w:pPr>
    <w:rPr>
      <w:rFonts w:ascii="Arial" w:eastAsia="Times New Roman" w:hAnsi="Arial" w:cs="Times New Roman"/>
      <w:sz w:val="20"/>
      <w:szCs w:val="20"/>
      <w:lang w:eastAsia="en-GB"/>
    </w:rPr>
  </w:style>
  <w:style w:type="paragraph" w:customStyle="1" w:styleId="Default">
    <w:name w:val="Default"/>
    <w:pPr>
      <w:autoSpaceDE w:val="0"/>
      <w:autoSpaceDN w:val="0"/>
      <w:spacing w:after="0" w:line="240" w:lineRule="auto"/>
      <w:jc w:val="both"/>
    </w:pPr>
    <w:rPr>
      <w:rFonts w:ascii="Times New Roman" w:eastAsia="Times New Roman" w:hAnsi="Times New Roman" w:cs="Times New Roman"/>
      <w:color w:val="000000"/>
      <w:sz w:val="24"/>
      <w:szCs w:val="24"/>
      <w:lang w:eastAsia="en-GB"/>
    </w:rPr>
  </w:style>
  <w:style w:type="character" w:customStyle="1" w:styleId="ListParagraphChar">
    <w:name w:val="List Paragraph Char"/>
    <w:aliases w:val="Fiche List Paragraph Char,Task Body Char,Viñetas (Inicio Parrafo) Char,3 Txt tabla Char,Zerrenda-paragrafoa Char,Lista multicolor - Énfasis 11 Char,List Paragraph compact Char,Dot pt Char,F5 List Paragraph Char,List Paragraph1 Char"/>
    <w:basedOn w:val="DefaultParagraphFont"/>
    <w:link w:val="ListParagraph"/>
    <w:uiPriority w:val="34"/>
    <w:qFormat/>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unhideWhenUsed/>
    <w:rPr>
      <w:w w:val="100"/>
      <w:sz w:val="16"/>
      <w:szCs w:val="16"/>
      <w:shd w:val="clear" w:color="auto" w:fill="auto"/>
    </w:rPr>
  </w:style>
  <w:style w:type="paragraph" w:styleId="CommentText">
    <w:name w:val="annotation text"/>
    <w:basedOn w:val="Normal"/>
    <w:link w:val="CommentTextChar"/>
    <w:uiPriority w:val="99"/>
    <w:unhideWhenUsed/>
    <w:pPr>
      <w:spacing w:after="0" w:line="240" w:lineRule="auto"/>
      <w:jc w:val="both"/>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sz w:val="20"/>
      <w:szCs w:val="20"/>
      <w:lang w:eastAsia="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0" w:line="240" w:lineRule="auto"/>
      <w:ind w:left="2142" w:hanging="357"/>
      <w:jc w:val="both"/>
    </w:pPr>
    <w:rPr>
      <w:rFonts w:ascii="Arial" w:eastAsia="Times New Roman" w:hAnsi="Arial" w:cs="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Arial" w:eastAsia="Times New Roman" w:hAnsi="Arial" w:cs="Times New Roman"/>
      <w:sz w:val="20"/>
      <w:szCs w:val="20"/>
      <w:lang w:eastAsia="en-GB"/>
    </w:rPr>
  </w:style>
  <w:style w:type="character" w:styleId="FootnoteReference">
    <w:name w:val="footnote reference"/>
    <w:uiPriority w:val="99"/>
    <w:qFormat/>
    <w:rPr>
      <w:sz w:val="20"/>
      <w:szCs w:val="20"/>
      <w:vertAlign w:val="superscript"/>
    </w:rPr>
  </w:style>
  <w:style w:type="paragraph" w:customStyle="1" w:styleId="FootnotesymbolCarZchn">
    <w:name w:val="Footnote symbol Car Zchn"/>
    <w:basedOn w:val="Normal"/>
    <w:qFormat/>
    <w:pPr>
      <w:spacing w:after="0" w:line="240" w:lineRule="auto"/>
      <w:ind w:left="1704" w:hanging="284"/>
      <w:jc w:val="both"/>
    </w:pPr>
    <w:rPr>
      <w:sz w:val="20"/>
      <w:szCs w:val="20"/>
      <w:vertAlign w:val="superscript"/>
    </w:rPr>
  </w:style>
  <w:style w:type="character" w:styleId="FollowedHyperlink">
    <w:name w:val="FollowedHyperlink"/>
    <w:basedOn w:val="DefaultParagraphFont"/>
    <w:uiPriority w:val="99"/>
    <w:semiHidden/>
    <w:unhideWhenUsed/>
    <w:rPr>
      <w:color w:val="800080"/>
      <w:w w:val="100"/>
      <w:sz w:val="20"/>
      <w:szCs w:val="20"/>
      <w:u w:val="single"/>
      <w:shd w:val="clear" w:color="auto" w:fill="auto"/>
    </w:rPr>
  </w:style>
  <w:style w:type="character" w:customStyle="1" w:styleId="s16">
    <w:name w:val="s16"/>
    <w:basedOn w:val="DefaultParagraphFont"/>
  </w:style>
  <w:style w:type="paragraph" w:customStyle="1" w:styleId="Normal1">
    <w:name w:val="Normal1"/>
    <w:basedOn w:val="Normal"/>
    <w:pPr>
      <w:spacing w:after="0" w:line="240" w:lineRule="auto"/>
      <w:jc w:val="both"/>
    </w:pPr>
    <w:rPr>
      <w:rFonts w:ascii="Arial" w:eastAsia="Times New Roman" w:hAnsi="Arial" w:cs="Times New Roman"/>
      <w:sz w:val="20"/>
      <w:szCs w:val="20"/>
      <w:lang w:eastAsia="en-GB"/>
    </w:rPr>
  </w:style>
  <w:style w:type="character" w:customStyle="1" w:styleId="footnotereference0">
    <w:name w:val="footnotereference"/>
    <w:basedOn w:val="DefaultParagraphFont"/>
  </w:style>
  <w:style w:type="character" w:customStyle="1" w:styleId="TestonotaapidipaginaRientroChar1">
    <w:name w:val="Testo nota a piè di pagina_Rientro Char1"/>
    <w:rPr>
      <w:w w:val="100"/>
      <w:sz w:val="20"/>
      <w:szCs w:val="20"/>
      <w:shd w:val="clear" w:color="auto" w:fill="auto"/>
    </w:rPr>
  </w:style>
  <w:style w:type="paragraph" w:styleId="Caption">
    <w:name w:val="caption"/>
    <w:basedOn w:val="Normal"/>
    <w:next w:val="Normal"/>
    <w:uiPriority w:val="35"/>
    <w:qFormat/>
    <w:pPr>
      <w:spacing w:after="0" w:line="240" w:lineRule="auto"/>
      <w:jc w:val="both"/>
    </w:pPr>
    <w:rPr>
      <w:rFonts w:ascii="Arial" w:eastAsia="Times New Roman" w:hAnsi="Arial" w:cs="Times New Roman"/>
      <w:b/>
      <w:sz w:val="20"/>
      <w:szCs w:val="20"/>
      <w:lang w:eastAsia="en-GB"/>
    </w:rPr>
  </w:style>
  <w:style w:type="paragraph" w:styleId="ListBullet5">
    <w:name w:val="List Bullet 5"/>
    <w:basedOn w:val="Normal"/>
    <w:pPr>
      <w:numPr>
        <w:numId w:val="3"/>
      </w:numPr>
      <w:spacing w:after="0" w:line="240" w:lineRule="auto"/>
      <w:ind w:left="0" w:firstLine="0"/>
      <w:jc w:val="both"/>
    </w:pPr>
    <w:rPr>
      <w:rFonts w:ascii="Arial" w:eastAsia="Times New Roman" w:hAnsi="Arial" w:cs="Times New Roman"/>
      <w:sz w:val="20"/>
      <w:szCs w:val="20"/>
      <w:lang w:eastAsia="en-GB"/>
    </w:rPr>
  </w:style>
  <w:style w:type="paragraph" w:styleId="NormalWeb">
    <w:name w:val="Normal (Web)"/>
    <w:basedOn w:val="Normal"/>
    <w:unhideWhenUsed/>
    <w:pPr>
      <w:spacing w:after="0" w:line="240" w:lineRule="auto"/>
      <w:jc w:val="both"/>
    </w:pPr>
    <w:rPr>
      <w:rFonts w:ascii="Arial" w:eastAsia="Times New Roman" w:hAnsi="Arial" w:cs="Times New Roman"/>
      <w:sz w:val="20"/>
      <w:szCs w:val="20"/>
      <w:lang w:eastAsia="en-GB"/>
    </w:rPr>
  </w:style>
  <w:style w:type="table" w:styleId="LightShading-Accent1">
    <w:name w:val="Light Shading Accent 1"/>
    <w:basedOn w:val="TableNormal"/>
    <w:pPr>
      <w:spacing w:after="0" w:line="240" w:lineRule="auto"/>
      <w:jc w:val="both"/>
    </w:pPr>
    <w:rPr>
      <w:rFonts w:ascii="Calibri" w:eastAsia="Calibri" w:hAnsi="Calibri" w:cs="Times New Roman"/>
      <w:color w:val="365F91" w:themeColor="accent1" w:themeShade="BF"/>
      <w:sz w:val="20"/>
      <w:szCs w:val="20"/>
      <w:lang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ind w:left="0" w:firstLine="0"/>
      </w:pPr>
      <w:rPr>
        <w:b/>
        <w:w w:val="100"/>
        <w:sz w:val="20"/>
        <w:szCs w:val="20"/>
        <w:shd w:val="clear" w:color="auto" w:fill="auto"/>
      </w:rPr>
      <w:tblPr/>
      <w:tcPr>
        <w:tcBorders>
          <w:top w:val="single" w:sz="8" w:space="0" w:color="4F81BD" w:themeColor="accent1"/>
          <w:bottom w:val="single" w:sz="8" w:space="0" w:color="4F81BD" w:themeColor="accent1"/>
        </w:tcBorders>
      </w:tcPr>
    </w:tblStylePr>
    <w:tblStylePr w:type="lastRow">
      <w:pPr>
        <w:ind w:left="0" w:firstLine="0"/>
      </w:pPr>
      <w:rPr>
        <w:b/>
        <w:w w:val="100"/>
        <w:sz w:val="20"/>
        <w:szCs w:val="20"/>
        <w:shd w:val="clear" w:color="auto" w:fill="auto"/>
      </w:rPr>
      <w:tblPr/>
      <w:tcPr>
        <w:tcBorders>
          <w:top w:val="single" w:sz="8" w:space="0" w:color="4F81BD" w:themeColor="accent1"/>
          <w:bottom w:val="single" w:sz="8"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3DFEE" w:themeFill="accent1" w:themeFillTint="3F"/>
      </w:tcPr>
    </w:tblStylePr>
    <w:tblStylePr w:type="band1Horz">
      <w:tblPr/>
      <w:tcPr>
        <w:shd w:val="clear" w:color="000000" w:fill="D3DFEE" w:themeFill="accent1" w:themeFillTint="3F"/>
      </w:tcPr>
    </w:tblStylePr>
  </w:style>
  <w:style w:type="table" w:styleId="LightList-Accent1">
    <w:name w:val="Light List Accent 1"/>
    <w:basedOn w:val="TableNormal"/>
    <w:pPr>
      <w:spacing w:after="0" w:line="240" w:lineRule="auto"/>
      <w:jc w:val="both"/>
    </w:pPr>
    <w:rPr>
      <w:rFonts w:ascii="Calibri" w:eastAsia="Calibri" w:hAnsi="Calibri" w:cs="Times New Roman"/>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ind w:left="0" w:firstLine="0"/>
      </w:pPr>
      <w:rPr>
        <w:b/>
        <w:color w:val="FFFFFF" w:themeColor="background1"/>
        <w:w w:val="100"/>
        <w:sz w:val="20"/>
        <w:szCs w:val="20"/>
        <w:shd w:val="clear" w:color="auto" w:fill="auto"/>
      </w:rPr>
      <w:tblPr/>
      <w:tcPr>
        <w:shd w:val="clear" w:color="000000" w:fill="4F81BD" w:themeFill="accent1"/>
      </w:tcPr>
    </w:tblStylePr>
    <w:tblStylePr w:type="lastRow">
      <w:pPr>
        <w:ind w:left="0" w:firstLine="0"/>
      </w:pPr>
      <w:rPr>
        <w:b/>
        <w:w w:val="100"/>
        <w:sz w:val="20"/>
        <w:szCs w:val="20"/>
        <w:shd w:val="clear" w:color="auto" w:fill="auto"/>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uiPriority w:val="99"/>
    <w:semiHidden/>
    <w:pPr>
      <w:spacing w:after="0" w:line="240" w:lineRule="auto"/>
      <w:jc w:val="both"/>
    </w:pPr>
    <w:rPr>
      <w:rFonts w:ascii="Calibri" w:eastAsia="Calibri" w:hAnsi="Calibri" w:cs="Times New Roman"/>
      <w:lang w:eastAsia="en-GB"/>
    </w:rPr>
  </w:style>
  <w:style w:type="paragraph" w:customStyle="1" w:styleId="ManualHeading3">
    <w:name w:val="Manual Heading 3"/>
    <w:basedOn w:val="Normal"/>
    <w:next w:val="Normal"/>
    <w:pPr>
      <w:keepNext/>
      <w:tabs>
        <w:tab w:val="left" w:pos="850"/>
      </w:tabs>
      <w:spacing w:after="0" w:line="240" w:lineRule="auto"/>
      <w:ind w:left="5100" w:hanging="850"/>
      <w:jc w:val="both"/>
    </w:pPr>
    <w:rPr>
      <w:rFonts w:ascii="Arial" w:eastAsia="Times New Roman" w:hAnsi="Arial" w:cs="Times New Roman"/>
      <w:i/>
      <w:sz w:val="20"/>
      <w:szCs w:val="20"/>
      <w:lang w:eastAsia="en-GB"/>
    </w:rPr>
  </w:style>
  <w:style w:type="character" w:customStyle="1" w:styleId="tab">
    <w:name w:val="tab"/>
    <w:basedOn w:val="DefaultParagraphFont"/>
  </w:style>
  <w:style w:type="paragraph" w:customStyle="1" w:styleId="JRCText">
    <w:name w:val="JRC_Text"/>
    <w:basedOn w:val="Normal"/>
    <w:qFormat/>
    <w:pPr>
      <w:spacing w:after="0" w:line="240" w:lineRule="auto"/>
      <w:jc w:val="both"/>
    </w:pPr>
    <w:rPr>
      <w:rFonts w:ascii="Verdana" w:eastAsia="Times New Roman" w:hAnsi="Verdana" w:cs="Times New Roman"/>
      <w:sz w:val="20"/>
      <w:szCs w:val="20"/>
      <w:lang w:eastAsia="en-GB"/>
    </w:rPr>
  </w:style>
  <w:style w:type="paragraph" w:customStyle="1" w:styleId="JRCTextbulletedlist2">
    <w:name w:val="JRC_Text_bulleted_list2"/>
    <w:basedOn w:val="Normal"/>
    <w:qFormat/>
    <w:pPr>
      <w:numPr>
        <w:ilvl w:val="1"/>
        <w:numId w:val="5"/>
      </w:numPr>
      <w:spacing w:after="0" w:line="240" w:lineRule="auto"/>
      <w:ind w:left="2499" w:hanging="357"/>
      <w:jc w:val="both"/>
    </w:pPr>
    <w:rPr>
      <w:rFonts w:ascii="Verdana" w:eastAsia="Times New Roman" w:hAnsi="Verdana" w:cs="Times New Roman"/>
      <w:sz w:val="20"/>
      <w:szCs w:val="20"/>
      <w:lang w:eastAsia="en-GB"/>
    </w:rPr>
  </w:style>
  <w:style w:type="paragraph" w:styleId="EndnoteText">
    <w:name w:val="endnote text"/>
    <w:basedOn w:val="Normal"/>
    <w:link w:val="EndnoteTextChar"/>
    <w:uiPriority w:val="99"/>
    <w:unhideWhenUsed/>
    <w:pPr>
      <w:spacing w:after="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Pr>
      <w:w w:val="100"/>
      <w:sz w:val="20"/>
      <w:szCs w:val="20"/>
      <w:shd w:val="clear" w:color="auto" w:fill="auto"/>
      <w:vertAlign w:val="superscript"/>
    </w:rPr>
  </w:style>
  <w:style w:type="paragraph" w:customStyle="1" w:styleId="Briefinglist1">
    <w:name w:val="Briefing list 1"/>
    <w:basedOn w:val="Normal"/>
    <w:pPr>
      <w:keepLines/>
      <w:numPr>
        <w:numId w:val="6"/>
      </w:numPr>
      <w:spacing w:after="0" w:line="240" w:lineRule="auto"/>
      <w:ind w:left="0" w:firstLine="0"/>
      <w:jc w:val="both"/>
    </w:pPr>
    <w:rPr>
      <w:rFonts w:ascii="Arial" w:eastAsia="Arial" w:hAnsi="Arial" w:cs="Times New Roman"/>
      <w:sz w:val="20"/>
      <w:szCs w:val="20"/>
      <w:lang w:eastAsia="en-GB"/>
    </w:rPr>
  </w:style>
  <w:style w:type="paragraph" w:customStyle="1" w:styleId="p1">
    <w:name w:val="p1"/>
    <w:basedOn w:val="Normal"/>
    <w:pPr>
      <w:spacing w:after="0" w:line="240" w:lineRule="auto"/>
      <w:jc w:val="both"/>
    </w:pPr>
    <w:rPr>
      <w:rFonts w:ascii="Arial" w:eastAsia="Times New Roman" w:hAnsi="Arial" w:cs="Times New Roman"/>
      <w:sz w:val="20"/>
      <w:szCs w:val="20"/>
      <w:lang w:eastAsia="en-GB"/>
    </w:rPr>
  </w:style>
  <w:style w:type="table" w:styleId="MediumList2-Accent1">
    <w:name w:val="Medium List 2 Accent 1"/>
    <w:basedOn w:val="TableNormal"/>
    <w:pPr>
      <w:spacing w:after="0" w:line="240" w:lineRule="auto"/>
      <w:jc w:val="both"/>
    </w:pPr>
    <w:rPr>
      <w:rFonts w:ascii="Cambria" w:eastAsia="Cambria" w:hAnsi="Cambria" w:cs="Times New Roman"/>
      <w:color w:val="000000" w:themeColor="text1"/>
      <w:sz w:val="20"/>
      <w:szCs w:val="20"/>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w w:val="100"/>
        <w:sz w:val="24"/>
        <w:szCs w:val="24"/>
        <w:shd w:val="clear" w:color="auto" w:fill="auto"/>
      </w:rPr>
      <w:tblPr/>
      <w:tcPr>
        <w:tcBorders>
          <w:bottom w:val="single" w:sz="24" w:space="0" w:color="4F81BD" w:themeColor="accent1"/>
        </w:tcBorders>
        <w:shd w:val="clear" w:color="000000" w:fill="FFFFFF" w:themeFill="background1"/>
      </w:tcPr>
    </w:tblStylePr>
    <w:tblStylePr w:type="lastRow">
      <w:tblPr/>
      <w:tcPr>
        <w:tcBorders>
          <w:top w:val="single" w:sz="8" w:space="0" w:color="4F81BD" w:themeColor="accent1"/>
        </w:tcBorders>
        <w:shd w:val="clear" w:color="000000" w:fill="FFFFFF" w:themeFill="background1"/>
      </w:tcPr>
    </w:tblStylePr>
    <w:tblStylePr w:type="firstCol">
      <w:tblPr/>
      <w:tcPr>
        <w:tcBorders>
          <w:right w:val="single" w:sz="8" w:space="0" w:color="4F81BD" w:themeColor="accent1"/>
        </w:tcBorders>
        <w:shd w:val="clear" w:color="000000" w:fill="FFFFFF" w:themeFill="background1"/>
      </w:tcPr>
    </w:tblStylePr>
    <w:tblStylePr w:type="lastCol">
      <w:tblPr/>
      <w:tcPr>
        <w:tcBorders>
          <w:left w:val="single" w:sz="8" w:space="0" w:color="4F81BD" w:themeColor="accent1"/>
        </w:tcBorders>
        <w:shd w:val="clear" w:color="000000" w:fill="FFFFFF" w:themeFill="background1"/>
      </w:tcPr>
    </w:tblStylePr>
    <w:tblStylePr w:type="band1Vert">
      <w:tblPr/>
      <w:tcPr>
        <w:shd w:val="clear" w:color="000000" w:fill="D3DFEE" w:themeFill="accent1" w:themeFillTint="3F"/>
      </w:tcPr>
    </w:tblStylePr>
    <w:tblStylePr w:type="band1Horz">
      <w:tblPr/>
      <w:tcPr>
        <w:shd w:val="clear" w:color="000000" w:fill="D3DFEE" w:themeFill="accent1" w:themeFillTint="3F"/>
      </w:tcPr>
    </w:tblStylePr>
    <w:tblStylePr w:type="nwCell">
      <w:tblPr/>
      <w:tcPr>
        <w:shd w:val="clear" w:color="000000" w:fill="FFFFFF" w:themeFill="background1"/>
      </w:tcPr>
    </w:tblStylePr>
    <w:tblStylePr w:type="swCell">
      <w:rPr>
        <w:w w:val="100"/>
        <w:sz w:val="24"/>
        <w:szCs w:val="24"/>
        <w:shd w:val="clear" w:color="auto" w:fill="auto"/>
      </w:rPr>
      <w:tblPr/>
      <w:tcPr>
        <w:tcBorders>
          <w:bottom w:val="single" w:sz="24" w:space="0" w:color="4F81BD" w:themeColor="accent1"/>
        </w:tcBorders>
        <w:shd w:val="clear" w:color="000000" w:fill="FFFFFF" w:themeFill="background1"/>
      </w:tcPr>
    </w:tblStylePr>
  </w:style>
  <w:style w:type="table" w:styleId="LightShading-Accent5">
    <w:name w:val="Light Shading Accent 5"/>
    <w:basedOn w:val="TableNormal"/>
    <w:pPr>
      <w:spacing w:after="0" w:line="240" w:lineRule="auto"/>
      <w:jc w:val="both"/>
    </w:pPr>
    <w:rPr>
      <w:rFonts w:ascii="Calibri" w:eastAsia="Calibri" w:hAnsi="Calibri" w:cs="Times New Roman"/>
      <w:color w:val="31849B" w:themeColor="accent5" w:themeShade="BF"/>
      <w:sz w:val="20"/>
      <w:szCs w:val="20"/>
      <w:lang w:eastAsia="en-GB"/>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ind w:left="0" w:firstLine="0"/>
      </w:pPr>
      <w:rPr>
        <w:b/>
        <w:w w:val="100"/>
        <w:sz w:val="20"/>
        <w:szCs w:val="20"/>
        <w:shd w:val="clear" w:color="auto" w:fill="auto"/>
      </w:rPr>
      <w:tblPr/>
      <w:tcPr>
        <w:tcBorders>
          <w:top w:val="single" w:sz="8" w:space="0" w:color="4BACC6" w:themeColor="accent5"/>
          <w:bottom w:val="single" w:sz="8" w:space="0" w:color="4BACC6" w:themeColor="accent5"/>
        </w:tcBorders>
      </w:tcPr>
    </w:tblStylePr>
    <w:tblStylePr w:type="lastRow">
      <w:pPr>
        <w:ind w:left="0" w:firstLine="0"/>
      </w:pPr>
      <w:rPr>
        <w:b/>
        <w:w w:val="100"/>
        <w:sz w:val="20"/>
        <w:szCs w:val="20"/>
        <w:shd w:val="clear" w:color="auto" w:fill="auto"/>
      </w:rPr>
      <w:tblPr/>
      <w:tcPr>
        <w:tcBorders>
          <w:top w:val="single" w:sz="8" w:space="0" w:color="4BACC6" w:themeColor="accent5"/>
          <w:bottom w:val="single" w:sz="8" w:space="0" w:color="4BACC6"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2EAF1" w:themeFill="accent5" w:themeFillTint="3F"/>
      </w:tcPr>
    </w:tblStylePr>
    <w:tblStylePr w:type="band1Horz">
      <w:tblPr/>
      <w:tcPr>
        <w:shd w:val="clear" w:color="000000" w:fill="D2EAF1" w:themeFill="accent5" w:themeFillTint="3F"/>
      </w:tcPr>
    </w:tblStylePr>
  </w:style>
  <w:style w:type="table" w:styleId="ColorfulShading-Accent5">
    <w:name w:val="Colorful Shading Accent 5"/>
    <w:basedOn w:val="TableNormal"/>
    <w:pPr>
      <w:spacing w:after="0" w:line="240" w:lineRule="auto"/>
      <w:jc w:val="both"/>
    </w:pPr>
    <w:rPr>
      <w:rFonts w:ascii="Calibri" w:eastAsia="Calibri" w:hAnsi="Calibri" w:cs="Times New Roman"/>
      <w:color w:val="000000" w:themeColor="text1"/>
      <w:sz w:val="20"/>
      <w:szCs w:val="20"/>
      <w:lang w:eastAsia="en-GB"/>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DF6F9" w:themeFill="accent5" w:themeFillTint="19"/>
    </w:tcPr>
    <w:tblStylePr w:type="firstRow">
      <w:rPr>
        <w:b/>
        <w:w w:val="100"/>
        <w:sz w:val="20"/>
        <w:szCs w:val="20"/>
        <w:shd w:val="clear" w:color="auto" w:fill="auto"/>
      </w:rPr>
      <w:tblPr/>
      <w:tcPr>
        <w:tcBorders>
          <w:bottom w:val="single" w:sz="24" w:space="0" w:color="F79646" w:themeColor="accent6"/>
        </w:tcBorders>
        <w:shd w:val="clear" w:color="000000" w:fill="FFFFFF" w:themeFill="background1"/>
      </w:tcPr>
    </w:tblStylePr>
    <w:tblStylePr w:type="lastRow">
      <w:rPr>
        <w:b/>
        <w:color w:val="FFFFFF" w:themeColor="background1"/>
        <w:w w:val="100"/>
        <w:sz w:val="20"/>
        <w:szCs w:val="20"/>
        <w:shd w:val="clear" w:color="auto" w:fill="auto"/>
      </w:rPr>
      <w:tblPr/>
      <w:tcPr>
        <w:tcBorders>
          <w:top w:val="single" w:sz="6" w:space="0" w:color="FFFFFF" w:themeColor="background1"/>
        </w:tcBorders>
        <w:shd w:val="clear" w:color="000000" w:fill="276A7C" w:themeFill="accent5" w:themeFillShade="99"/>
      </w:tcPr>
    </w:tblStylePr>
    <w:tblStylePr w:type="firstCol">
      <w:rPr>
        <w:color w:val="FFFFFF" w:themeColor="background1"/>
        <w:w w:val="100"/>
        <w:sz w:val="20"/>
        <w:szCs w:val="20"/>
        <w:shd w:val="clear" w:color="auto" w:fill="auto"/>
      </w:rPr>
      <w:tblPr/>
      <w:tcPr>
        <w:tcBorders>
          <w:insideH w:val="single" w:sz="4" w:space="0" w:color="276A7C" w:themeColor="accent5" w:themeShade="99"/>
        </w:tcBorders>
        <w:shd w:val="clear" w:color="000000" w:fill="276A7C" w:themeFill="accent5" w:themeFillShade="99"/>
      </w:tcPr>
    </w:tblStylePr>
    <w:tblStylePr w:type="lastCol">
      <w:rPr>
        <w:color w:val="FFFFFF" w:themeColor="background1"/>
        <w:w w:val="100"/>
        <w:sz w:val="20"/>
        <w:szCs w:val="20"/>
        <w:shd w:val="clear" w:color="auto" w:fill="auto"/>
      </w:rPr>
      <w:tblPr/>
      <w:tcPr>
        <w:shd w:val="clear" w:color="000000" w:fill="276A7C" w:themeFill="accent5" w:themeFillShade="99"/>
      </w:tcPr>
    </w:tblStylePr>
    <w:tblStylePr w:type="band1Vert">
      <w:tblPr/>
      <w:tcPr>
        <w:shd w:val="clear" w:color="000000" w:fill="B6DDE8" w:themeFill="accent5" w:themeFillTint="66"/>
      </w:tcPr>
    </w:tblStylePr>
    <w:tblStylePr w:type="band1Horz">
      <w:tblPr/>
      <w:tcPr>
        <w:shd w:val="clear" w:color="000000" w:fill="A5D5E2" w:themeFill="accent5" w:themeFillTint="7F"/>
      </w:tcPr>
    </w:tblStylePr>
    <w:tblStylePr w:type="neCell">
      <w:rPr>
        <w:color w:val="000000" w:themeColor="text1"/>
        <w:w w:val="100"/>
        <w:sz w:val="20"/>
        <w:szCs w:val="20"/>
        <w:shd w:val="clear" w:color="auto" w:fill="auto"/>
      </w:rPr>
    </w:tblStylePr>
    <w:tblStylePr w:type="nwCell">
      <w:rPr>
        <w:color w:val="000000" w:themeColor="text1"/>
        <w:w w:val="100"/>
        <w:sz w:val="20"/>
        <w:szCs w:val="20"/>
        <w:shd w:val="clear" w:color="auto" w:fill="auto"/>
      </w:rPr>
    </w:tblStylePr>
  </w:style>
  <w:style w:type="character" w:customStyle="1" w:styleId="tlid-translation">
    <w:name w:val="tlid-translation"/>
    <w:basedOn w:val="DefaultParagraphFont"/>
  </w:style>
  <w:style w:type="paragraph" w:styleId="ListNumber">
    <w:name w:val="List Number"/>
    <w:basedOn w:val="Normal"/>
    <w:unhideWhenUsed/>
    <w:pPr>
      <w:numPr>
        <w:numId w:val="7"/>
      </w:numPr>
      <w:spacing w:after="0" w:line="240" w:lineRule="auto"/>
      <w:ind w:left="0" w:firstLine="0"/>
      <w:jc w:val="both"/>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qFormat/>
    <w:pPr>
      <w:spacing w:after="100" w:line="240" w:lineRule="auto"/>
      <w:ind w:left="480"/>
      <w:jc w:val="both"/>
    </w:pPr>
    <w:rPr>
      <w:rFonts w:ascii="Times New Roman" w:eastAsia="Times New Roman" w:hAnsi="Times New Roman" w:cs="Times New Roman"/>
      <w:sz w:val="24"/>
      <w:szCs w:val="24"/>
      <w:lang w:eastAsia="en-GB"/>
    </w:rPr>
  </w:style>
  <w:style w:type="character" w:customStyle="1" w:styleId="Nessuno">
    <w:name w:val="Nessuno"/>
    <w:basedOn w:val="DefaultParagraphFont"/>
  </w:style>
  <w:style w:type="paragraph" w:customStyle="1" w:styleId="JRCAbbreviations">
    <w:name w:val="JRC_Abbreviations"/>
    <w:basedOn w:val="Normal"/>
    <w:qFormat/>
    <w:pPr>
      <w:tabs>
        <w:tab w:val="left" w:pos="851"/>
      </w:tabs>
      <w:spacing w:before="120" w:after="120" w:line="240" w:lineRule="auto"/>
      <w:ind w:left="851" w:hanging="851"/>
      <w:jc w:val="both"/>
    </w:pPr>
    <w:rPr>
      <w:rFonts w:ascii="Verdana" w:eastAsia="Calibri" w:hAnsi="Verdana" w:cs="Times New Roman"/>
      <w:sz w:val="20"/>
      <w:szCs w:val="24"/>
      <w:lang w:eastAsia="en-GB"/>
    </w:rPr>
  </w:style>
  <w:style w:type="paragraph" w:customStyle="1" w:styleId="JRCCoversubtitle">
    <w:name w:val="JRC_Cover_subtitle"/>
    <w:basedOn w:val="Normal"/>
    <w:qFormat/>
    <w:pPr>
      <w:spacing w:before="120" w:after="120" w:line="400" w:lineRule="exact"/>
      <w:ind w:left="5103"/>
    </w:pPr>
    <w:rPr>
      <w:rFonts w:ascii="Verdana" w:eastAsia="Calibri" w:hAnsi="Verdana" w:cs="Times New Roman"/>
      <w:i/>
      <w:color w:val="646464"/>
      <w:sz w:val="32"/>
      <w:szCs w:val="32"/>
      <w:lang w:eastAsia="en-GB"/>
    </w:rPr>
  </w:style>
  <w:style w:type="paragraph" w:customStyle="1" w:styleId="JRCCovertitle">
    <w:name w:val="JRC_Cover_title"/>
    <w:basedOn w:val="Normal"/>
    <w:qFormat/>
    <w:pPr>
      <w:spacing w:before="600" w:after="600" w:line="640" w:lineRule="exact"/>
      <w:ind w:left="-567"/>
    </w:pPr>
    <w:rPr>
      <w:rFonts w:ascii="Verdana" w:eastAsia="Calibri" w:hAnsi="Verdana" w:cs="Times New Roman"/>
      <w:noProof/>
      <w:sz w:val="56"/>
      <w:szCs w:val="56"/>
      <w:lang w:eastAsia="en-GB"/>
    </w:rPr>
  </w:style>
  <w:style w:type="paragraph" w:customStyle="1" w:styleId="JRCEquation">
    <w:name w:val="JRC_Equation"/>
    <w:basedOn w:val="Normal"/>
    <w:next w:val="Normal"/>
    <w:qFormat/>
    <w:pPr>
      <w:spacing w:before="360" w:after="360" w:line="240" w:lineRule="auto"/>
      <w:jc w:val="center"/>
    </w:pPr>
    <w:rPr>
      <w:rFonts w:ascii="Verdana" w:eastAsia="Calibri" w:hAnsi="Verdana" w:cs="Times New Roman"/>
      <w:sz w:val="20"/>
      <w:szCs w:val="24"/>
      <w:lang w:eastAsia="en-GB"/>
    </w:rPr>
  </w:style>
  <w:style w:type="paragraph" w:customStyle="1" w:styleId="JRCFigurecaption">
    <w:name w:val="JRC_Figure_caption"/>
    <w:basedOn w:val="Normal"/>
    <w:next w:val="JRCText"/>
    <w:qFormat/>
    <w:pPr>
      <w:spacing w:before="360" w:after="120" w:line="240" w:lineRule="auto"/>
      <w:jc w:val="center"/>
    </w:pPr>
    <w:rPr>
      <w:rFonts w:ascii="Verdana" w:eastAsia="Calibri" w:hAnsi="Verdana" w:cs="Times New Roman"/>
      <w:sz w:val="18"/>
      <w:szCs w:val="24"/>
      <w:lang w:eastAsia="en-GB"/>
    </w:rPr>
  </w:style>
  <w:style w:type="paragraph" w:customStyle="1" w:styleId="JRCLevel-1Fronttitle">
    <w:name w:val="JRC_Level-1_Front_title"/>
    <w:basedOn w:val="Normal"/>
    <w:next w:val="Normal"/>
    <w:link w:val="JRCLevel-1FronttitleChar"/>
    <w:autoRedefine/>
    <w:qFormat/>
    <w:pPr>
      <w:keepNext/>
      <w:pageBreakBefore/>
      <w:spacing w:after="120" w:line="240" w:lineRule="auto"/>
    </w:pPr>
    <w:rPr>
      <w:rFonts w:ascii="Verdana" w:eastAsia="Times New Roman" w:hAnsi="Verdana" w:cs="Times New Roman"/>
      <w:b/>
      <w:sz w:val="24"/>
      <w:szCs w:val="24"/>
      <w:lang w:eastAsia="en-GB"/>
    </w:rPr>
  </w:style>
  <w:style w:type="character" w:customStyle="1" w:styleId="JRCLevel-1FronttitleChar">
    <w:name w:val="JRC_Level-1_Front_title Char"/>
    <w:link w:val="JRCLevel-1Fronttitle"/>
    <w:rPr>
      <w:rFonts w:ascii="Verdana" w:eastAsia="Times New Roman" w:hAnsi="Verdana" w:cs="Times New Roman"/>
      <w:b/>
      <w:sz w:val="24"/>
      <w:szCs w:val="24"/>
      <w:lang w:eastAsia="en-GB"/>
    </w:rPr>
  </w:style>
  <w:style w:type="paragraph" w:customStyle="1" w:styleId="JRCLevel-2Backtitle">
    <w:name w:val="JRC_Level-2_Back_title"/>
    <w:basedOn w:val="Normal"/>
    <w:next w:val="JRCText"/>
    <w:link w:val="JRCLevel-2BacktitleChar"/>
    <w:qFormat/>
    <w:pPr>
      <w:keepNext/>
      <w:spacing w:before="120" w:after="120" w:line="240" w:lineRule="auto"/>
      <w:outlineLvl w:val="1"/>
    </w:pPr>
    <w:rPr>
      <w:rFonts w:ascii="Verdana" w:eastAsia="Calibri" w:hAnsi="Verdana" w:cs="Times New Roman"/>
      <w:b/>
      <w:sz w:val="20"/>
      <w:szCs w:val="24"/>
      <w:lang w:eastAsia="en-GB"/>
    </w:rPr>
  </w:style>
  <w:style w:type="character" w:customStyle="1" w:styleId="JRCLevel-2BacktitleChar">
    <w:name w:val="JRC_Level-2_Back_title Char"/>
    <w:link w:val="JRCLevel-2Backtitle"/>
    <w:rPr>
      <w:rFonts w:ascii="Verdana" w:eastAsia="Calibri" w:hAnsi="Verdana" w:cs="Times New Roman"/>
      <w:b/>
      <w:sz w:val="20"/>
      <w:szCs w:val="24"/>
      <w:lang w:eastAsia="en-GB"/>
    </w:rPr>
  </w:style>
  <w:style w:type="paragraph" w:customStyle="1" w:styleId="JRCLevel-2Frontsmalltitle">
    <w:name w:val="JRC_Level-2_Front_small_title"/>
    <w:basedOn w:val="Normal"/>
    <w:next w:val="JRCText"/>
    <w:autoRedefine/>
    <w:qFormat/>
    <w:pPr>
      <w:keepNext/>
      <w:spacing w:before="240" w:after="120" w:line="240" w:lineRule="auto"/>
    </w:pPr>
    <w:rPr>
      <w:rFonts w:ascii="Verdana" w:eastAsia="Calibri" w:hAnsi="Verdana" w:cs="Times New Roman"/>
      <w:b/>
      <w:i/>
      <w:sz w:val="20"/>
      <w:szCs w:val="24"/>
      <w:lang w:eastAsia="en-GB"/>
    </w:rPr>
  </w:style>
  <w:style w:type="paragraph" w:customStyle="1" w:styleId="JRCTabletitle">
    <w:name w:val="JRC_Table_title"/>
    <w:basedOn w:val="Normal"/>
    <w:autoRedefine/>
    <w:qFormat/>
    <w:pPr>
      <w:keepNext/>
      <w:spacing w:before="240" w:after="120" w:line="240" w:lineRule="auto"/>
    </w:pPr>
    <w:rPr>
      <w:rFonts w:ascii="Verdana" w:eastAsia="Calibri" w:hAnsi="Verdana" w:cs="Times New Roman"/>
      <w:color w:val="000000"/>
      <w:sz w:val="18"/>
      <w:szCs w:val="24"/>
      <w:lang w:eastAsia="en-GB"/>
    </w:rPr>
  </w:style>
  <w:style w:type="paragraph" w:styleId="TableofFigures">
    <w:name w:val="table of figures"/>
    <w:basedOn w:val="Normal"/>
    <w:next w:val="Normal"/>
    <w:uiPriority w:val="99"/>
    <w:unhideWhenUsed/>
    <w:pPr>
      <w:spacing w:before="120" w:after="120" w:line="240" w:lineRule="auto"/>
    </w:pPr>
    <w:rPr>
      <w:rFonts w:ascii="Verdana" w:eastAsia="Calibri" w:hAnsi="Verdana" w:cs="Times New Roman"/>
      <w:sz w:val="20"/>
      <w:szCs w:val="24"/>
      <w:lang w:eastAsia="en-GB"/>
    </w:rPr>
  </w:style>
  <w:style w:type="paragraph" w:customStyle="1" w:styleId="JRCTextbulletedlist1">
    <w:name w:val="JRC_Text_bulleted_list1"/>
    <w:basedOn w:val="Normal"/>
    <w:qFormat/>
    <w:pPr>
      <w:numPr>
        <w:numId w:val="9"/>
      </w:numPr>
      <w:spacing w:before="120" w:after="120" w:line="240" w:lineRule="auto"/>
      <w:ind w:left="357" w:hanging="357"/>
      <w:jc w:val="both"/>
    </w:pPr>
    <w:rPr>
      <w:rFonts w:ascii="Verdana" w:eastAsia="Times New Roman" w:hAnsi="Verdana" w:cs="Times New Roman"/>
      <w:sz w:val="20"/>
      <w:szCs w:val="24"/>
      <w:lang w:eastAsia="en-GB"/>
    </w:rPr>
  </w:style>
  <w:style w:type="paragraph" w:styleId="TOC4">
    <w:name w:val="toc 4"/>
    <w:basedOn w:val="Normal"/>
    <w:next w:val="Normal"/>
    <w:autoRedefine/>
    <w:uiPriority w:val="39"/>
    <w:unhideWhenUsed/>
    <w:pPr>
      <w:tabs>
        <w:tab w:val="left" w:pos="1701"/>
        <w:tab w:val="right" w:leader="dot" w:pos="9016"/>
      </w:tabs>
      <w:spacing w:before="120" w:after="100" w:line="240" w:lineRule="auto"/>
      <w:ind w:left="851"/>
    </w:pPr>
    <w:rPr>
      <w:rFonts w:ascii="Verdana" w:eastAsia="Calibri" w:hAnsi="Verdana" w:cs="Times New Roman"/>
      <w:noProof/>
      <w:sz w:val="20"/>
      <w:szCs w:val="24"/>
      <w:lang w:eastAsia="en-GB"/>
    </w:rPr>
  </w:style>
  <w:style w:type="paragraph" w:styleId="TOC5">
    <w:name w:val="toc 5"/>
    <w:basedOn w:val="Normal"/>
    <w:next w:val="Normal"/>
    <w:autoRedefine/>
    <w:uiPriority w:val="39"/>
    <w:unhideWhenUsed/>
    <w:pPr>
      <w:tabs>
        <w:tab w:val="left" w:pos="2268"/>
        <w:tab w:val="right" w:leader="dot" w:pos="9016"/>
      </w:tabs>
      <w:spacing w:before="120" w:after="100" w:line="240" w:lineRule="auto"/>
      <w:ind w:left="1134"/>
    </w:pPr>
    <w:rPr>
      <w:rFonts w:ascii="Verdana" w:eastAsia="Calibri" w:hAnsi="Verdana" w:cs="Times New Roman"/>
      <w:noProof/>
      <w:sz w:val="20"/>
      <w:szCs w:val="24"/>
      <w:lang w:eastAsia="en-GB"/>
    </w:rPr>
  </w:style>
  <w:style w:type="paragraph" w:customStyle="1" w:styleId="JRCLevel-2title">
    <w:name w:val="JRC_Level-2_title"/>
    <w:basedOn w:val="Heading2"/>
    <w:next w:val="JRCText"/>
    <w:qFormat/>
    <w:pPr>
      <w:keepLines/>
      <w:numPr>
        <w:numId w:val="10"/>
      </w:numPr>
      <w:spacing w:before="240" w:after="120"/>
    </w:pPr>
    <w:rPr>
      <w:rFonts w:ascii="Verdana" w:hAnsi="Verdana"/>
      <w:bCs/>
      <w:iCs/>
      <w:szCs w:val="26"/>
    </w:rPr>
  </w:style>
  <w:style w:type="paragraph" w:customStyle="1" w:styleId="JRCLevel-1title">
    <w:name w:val="JRC_Level-1_title"/>
    <w:basedOn w:val="Heading1"/>
    <w:next w:val="JRCText"/>
    <w:qFormat/>
    <w:pPr>
      <w:keepNext/>
      <w:pageBreakBefore/>
      <w:numPr>
        <w:numId w:val="10"/>
      </w:numPr>
      <w:spacing w:after="120"/>
    </w:pPr>
    <w:rPr>
      <w:rFonts w:ascii="Verdana" w:eastAsia="Calibri" w:hAnsi="Verdana"/>
      <w:smallCaps w:val="0"/>
      <w:sz w:val="26"/>
      <w:szCs w:val="24"/>
      <w:u w:val="none"/>
    </w:rPr>
  </w:style>
  <w:style w:type="paragraph" w:customStyle="1" w:styleId="JRCLevel-4title">
    <w:name w:val="JRC_Level-4_title"/>
    <w:basedOn w:val="Normal"/>
    <w:next w:val="JRCText"/>
    <w:qFormat/>
    <w:pPr>
      <w:keepNext/>
      <w:numPr>
        <w:ilvl w:val="3"/>
        <w:numId w:val="10"/>
      </w:numPr>
      <w:spacing w:before="240" w:after="120" w:line="240" w:lineRule="auto"/>
    </w:pPr>
    <w:rPr>
      <w:rFonts w:ascii="Verdana" w:eastAsia="Times New Roman" w:hAnsi="Verdana" w:cs="Times New Roman"/>
      <w:b/>
      <w:i/>
      <w:sz w:val="20"/>
      <w:szCs w:val="24"/>
      <w:lang w:eastAsia="en-GB"/>
    </w:rPr>
  </w:style>
  <w:style w:type="paragraph" w:customStyle="1" w:styleId="JRCLevel-3title">
    <w:name w:val="JRC_Level-3_title"/>
    <w:basedOn w:val="Heading3"/>
    <w:next w:val="JRCText"/>
    <w:qFormat/>
    <w:pPr>
      <w:keepLines/>
      <w:numPr>
        <w:numId w:val="10"/>
      </w:numPr>
      <w:spacing w:before="240" w:after="120"/>
    </w:pPr>
    <w:rPr>
      <w:rFonts w:ascii="Verdana" w:hAnsi="Verdana"/>
      <w:bCs/>
      <w:color w:val="auto"/>
      <w:sz w:val="22"/>
      <w:szCs w:val="24"/>
    </w:rPr>
  </w:style>
  <w:style w:type="paragraph" w:customStyle="1" w:styleId="JRCLevel-5title">
    <w:name w:val="JRC_Level-5_title"/>
    <w:basedOn w:val="Normal"/>
    <w:next w:val="JRCText"/>
    <w:qFormat/>
    <w:pPr>
      <w:keepNext/>
      <w:numPr>
        <w:ilvl w:val="4"/>
        <w:numId w:val="10"/>
      </w:numPr>
      <w:spacing w:before="200" w:after="0" w:line="240" w:lineRule="auto"/>
      <w:ind w:left="1134" w:hanging="1134"/>
      <w:outlineLvl w:val="4"/>
    </w:pPr>
    <w:rPr>
      <w:rFonts w:ascii="Verdana" w:eastAsia="Times New Roman" w:hAnsi="Verdana" w:cs="Times New Roman"/>
      <w:sz w:val="20"/>
      <w:szCs w:val="24"/>
      <w:lang w:eastAsia="en-GB"/>
    </w:rPr>
  </w:style>
  <w:style w:type="paragraph" w:customStyle="1" w:styleId="JRCLevel-1Backtitle">
    <w:name w:val="JRC_Level-1_Back_title"/>
    <w:basedOn w:val="Normal"/>
    <w:next w:val="JRCText"/>
    <w:qFormat/>
    <w:pPr>
      <w:keepNext/>
      <w:pageBreakBefore/>
      <w:spacing w:after="120" w:line="240" w:lineRule="auto"/>
      <w:outlineLvl w:val="0"/>
    </w:pPr>
    <w:rPr>
      <w:rFonts w:ascii="Verdana" w:eastAsia="Times New Roman" w:hAnsi="Verdana" w:cs="Times New Roman"/>
      <w:b/>
      <w:sz w:val="24"/>
      <w:szCs w:val="24"/>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line="240" w:lineRule="auto"/>
      <w:jc w:val="both"/>
    </w:pPr>
    <w:rPr>
      <w:rFonts w:ascii="Verdana" w:eastAsia="Times New Roman" w:hAnsi="Verdana" w:cs="Times New Roman"/>
      <w:sz w:val="18"/>
      <w:szCs w:val="24"/>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Pr>
      <w:rFonts w:ascii="Verdana" w:eastAsia="Times New Roman" w:hAnsi="Verdana" w:cs="Times New Roman"/>
      <w:sz w:val="20"/>
      <w:szCs w:val="24"/>
      <w:lang w:eastAsia="en-GB"/>
    </w:rPr>
  </w:style>
  <w:style w:type="paragraph" w:customStyle="1" w:styleId="JRCBoxbulletlist">
    <w:name w:val="JRC_Box_bullet_list"/>
    <w:basedOn w:val="Normal"/>
    <w:qFormat/>
    <w:pPr>
      <w:numPr>
        <w:numId w:val="11"/>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357" w:hanging="357"/>
      <w:jc w:val="both"/>
    </w:pPr>
    <w:rPr>
      <w:rFonts w:ascii="Verdana" w:eastAsia="Times New Roman" w:hAnsi="Verdana" w:cs="Times New Roman"/>
      <w:sz w:val="20"/>
      <w:szCs w:val="24"/>
      <w:lang w:eastAsia="en-GB"/>
    </w:rPr>
  </w:style>
  <w:style w:type="paragraph" w:customStyle="1" w:styleId="JRCTextnumberedlist1">
    <w:name w:val="JRC_Text_numbered_list1"/>
    <w:basedOn w:val="Normal"/>
    <w:autoRedefine/>
    <w:qFormat/>
    <w:pPr>
      <w:numPr>
        <w:numId w:val="12"/>
      </w:numPr>
      <w:spacing w:before="120" w:after="120" w:line="240" w:lineRule="auto"/>
      <w:ind w:left="357" w:hanging="357"/>
      <w:jc w:val="both"/>
    </w:pPr>
    <w:rPr>
      <w:rFonts w:ascii="Verdana" w:eastAsia="Times New Roman" w:hAnsi="Verdana" w:cs="Times New Roman"/>
      <w:sz w:val="20"/>
      <w:szCs w:val="24"/>
      <w:lang w:eastAsia="en-GB"/>
    </w:rPr>
  </w:style>
  <w:style w:type="paragraph" w:customStyle="1" w:styleId="JRCCoverauthor">
    <w:name w:val="JRC_Cover_author"/>
    <w:basedOn w:val="Normal"/>
    <w:qFormat/>
    <w:pPr>
      <w:spacing w:before="120" w:after="120" w:line="240" w:lineRule="auto"/>
    </w:pPr>
    <w:rPr>
      <w:rFonts w:ascii="Verdana" w:eastAsia="Times New Roman" w:hAnsi="Verdana" w:cs="Times New Roman"/>
      <w:sz w:val="20"/>
      <w:szCs w:val="24"/>
      <w:lang w:eastAsia="en-GB"/>
    </w:rPr>
  </w:style>
  <w:style w:type="paragraph" w:customStyle="1" w:styleId="JRCCoveryear">
    <w:name w:val="JRC_Cover_year"/>
    <w:basedOn w:val="Normal"/>
    <w:pPr>
      <w:spacing w:after="0" w:line="240" w:lineRule="auto"/>
    </w:pPr>
    <w:rPr>
      <w:rFonts w:ascii="Verdana" w:eastAsia="Times New Roman" w:hAnsi="Verdana" w:cs="Times New Roman"/>
      <w:sz w:val="20"/>
      <w:szCs w:val="24"/>
      <w:lang w:eastAsia="en-GB"/>
    </w:rPr>
  </w:style>
  <w:style w:type="paragraph" w:customStyle="1" w:styleId="JRCCoverclass">
    <w:name w:val="JRC_Cover_class"/>
    <w:basedOn w:val="Normal"/>
    <w:next w:val="JRCCoveryear"/>
    <w:pPr>
      <w:spacing w:before="120" w:after="120" w:line="240" w:lineRule="auto"/>
      <w:jc w:val="both"/>
    </w:pPr>
    <w:rPr>
      <w:rFonts w:ascii="Verdana" w:eastAsia="Times New Roman" w:hAnsi="Verdana" w:cs="Times New Roman"/>
      <w:color w:val="FF0000"/>
      <w:sz w:val="20"/>
      <w:szCs w:val="24"/>
      <w:lang w:eastAsia="en-GB"/>
    </w:rPr>
  </w:style>
  <w:style w:type="paragraph" w:customStyle="1" w:styleId="JRCCoverEUR">
    <w:name w:val="JRC_Cover_EUR"/>
    <w:basedOn w:val="Normal"/>
    <w:pPr>
      <w:spacing w:after="0" w:line="240" w:lineRule="auto"/>
      <w:jc w:val="right"/>
    </w:pPr>
    <w:rPr>
      <w:rFonts w:ascii="Verdana" w:eastAsia="Times New Roman" w:hAnsi="Verdana" w:cs="Times New Roman"/>
      <w:sz w:val="18"/>
      <w:szCs w:val="24"/>
      <w:lang w:eastAsia="en-GB"/>
    </w:rPr>
  </w:style>
  <w:style w:type="paragraph" w:customStyle="1" w:styleId="JRCCovertext">
    <w:name w:val="JRC_Cover_text"/>
    <w:basedOn w:val="Normal"/>
    <w:qFormat/>
    <w:pPr>
      <w:widowControl w:val="0"/>
      <w:spacing w:after="0" w:line="200" w:lineRule="exact"/>
    </w:pPr>
    <w:rPr>
      <w:rFonts w:ascii="Verdana" w:eastAsia="Times New Roman" w:hAnsi="Verdana" w:cs="Times New Roman"/>
      <w:sz w:val="16"/>
      <w:szCs w:val="14"/>
      <w:lang w:eastAsia="en-GB"/>
    </w:rPr>
  </w:style>
  <w:style w:type="paragraph" w:customStyle="1" w:styleId="JRCTablesource">
    <w:name w:val="JRC_Table_source"/>
    <w:basedOn w:val="Normal"/>
    <w:next w:val="JRCText"/>
    <w:qFormat/>
    <w:pPr>
      <w:spacing w:after="120" w:line="240" w:lineRule="auto"/>
      <w:jc w:val="both"/>
    </w:pPr>
    <w:rPr>
      <w:rFonts w:ascii="Verdana" w:eastAsia="Times New Roman" w:hAnsi="Verdana" w:cs="Times New Roman"/>
      <w:sz w:val="16"/>
      <w:szCs w:val="24"/>
      <w:lang w:eastAsia="en-GB"/>
    </w:rPr>
  </w:style>
  <w:style w:type="paragraph" w:customStyle="1" w:styleId="JRCFiguresource">
    <w:name w:val="JRC_Figure_source"/>
    <w:basedOn w:val="Normal"/>
    <w:next w:val="JRCText"/>
    <w:qFormat/>
    <w:pPr>
      <w:spacing w:after="360" w:line="240" w:lineRule="auto"/>
      <w:jc w:val="center"/>
    </w:pPr>
    <w:rPr>
      <w:rFonts w:ascii="Verdana" w:eastAsia="Times New Roman" w:hAnsi="Verdana" w:cs="Times New Roman"/>
      <w:sz w:val="16"/>
      <w:szCs w:val="24"/>
      <w:lang w:eastAsia="en-GB"/>
    </w:rPr>
  </w:style>
  <w:style w:type="paragraph" w:customStyle="1" w:styleId="JRCTablenote">
    <w:name w:val="JRC_Table_note"/>
    <w:basedOn w:val="Normal"/>
    <w:qFormat/>
    <w:pPr>
      <w:spacing w:after="120" w:line="240" w:lineRule="auto"/>
      <w:ind w:left="357" w:hanging="357"/>
      <w:contextualSpacing/>
      <w:jc w:val="both"/>
    </w:pPr>
    <w:rPr>
      <w:rFonts w:ascii="Verdana" w:eastAsia="Times New Roman" w:hAnsi="Verdana" w:cs="Times New Roman"/>
      <w:sz w:val="16"/>
      <w:szCs w:val="24"/>
      <w:lang w:eastAsia="en-GB"/>
    </w:rPr>
  </w:style>
  <w:style w:type="paragraph" w:customStyle="1" w:styleId="JRCTextnumberedlist2">
    <w:name w:val="JRC_Text_numbered_list2"/>
    <w:basedOn w:val="Normal"/>
    <w:qFormat/>
    <w:pPr>
      <w:numPr>
        <w:ilvl w:val="1"/>
        <w:numId w:val="12"/>
      </w:numPr>
      <w:spacing w:before="120" w:after="120" w:line="240" w:lineRule="auto"/>
      <w:ind w:left="714" w:hanging="357"/>
      <w:jc w:val="both"/>
    </w:pPr>
    <w:rPr>
      <w:rFonts w:ascii="Verdana" w:eastAsia="Times New Roman" w:hAnsi="Verdana" w:cs="Times New Roman"/>
      <w:sz w:val="20"/>
      <w:szCs w:val="24"/>
      <w:lang w:eastAsia="en-GB"/>
    </w:rPr>
  </w:style>
  <w:style w:type="character" w:styleId="PlaceholderText">
    <w:name w:val="Placeholder Text"/>
    <w:basedOn w:val="DefaultParagraphFont"/>
    <w:uiPriority w:val="99"/>
    <w:semiHidden/>
    <w:rPr>
      <w:color w:val="808080"/>
    </w:rPr>
  </w:style>
  <w:style w:type="character" w:customStyle="1" w:styleId="apple-converted-space">
    <w:name w:val="apple-converted-space"/>
    <w:basedOn w:val="DefaultParagraphFont"/>
  </w:style>
  <w:style w:type="table" w:customStyle="1" w:styleId="ListTable2-Accent11">
    <w:name w:val="List Table 2 - Accent 11"/>
    <w:basedOn w:val="TableNormal"/>
    <w:uiPriority w:val="47"/>
    <w:pPr>
      <w:spacing w:after="0" w:line="240" w:lineRule="auto"/>
    </w:pPr>
    <w:rPr>
      <w:rFonts w:ascii="Calibri" w:eastAsia="Times New Roman" w:hAnsi="Calibri" w:cs="Times New Roman"/>
      <w:sz w:val="20"/>
      <w:szCs w:val="20"/>
      <w:lang w:eastAsia="en-GB"/>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t">
    <w:name w:val="st"/>
    <w:basedOn w:val="DefaultParagraphFont"/>
  </w:style>
  <w:style w:type="character" w:customStyle="1" w:styleId="Text2Char">
    <w:name w:val="Text 2 Char"/>
    <w:basedOn w:val="DefaultParagraphFont"/>
    <w:link w:val="Text2"/>
    <w:locked/>
    <w:rPr>
      <w:rFonts w:ascii="Arial" w:eastAsia="Times New Roman" w:hAnsi="Arial" w:cs="Times New Roman"/>
      <w:sz w:val="20"/>
      <w:szCs w:val="20"/>
      <w:lang w:eastAsia="en-GB"/>
    </w:rPr>
  </w:style>
  <w:style w:type="numbering" w:customStyle="1" w:styleId="NoList1">
    <w:name w:val="No List1"/>
    <w:next w:val="NoList"/>
    <w:uiPriority w:val="99"/>
    <w:semiHidden/>
    <w:unhideWhenUsed/>
  </w:style>
  <w:style w:type="character" w:customStyle="1" w:styleId="s1">
    <w:name w:val="s1"/>
    <w:basedOn w:val="DefaultParagraphFont"/>
  </w:style>
  <w:style w:type="paragraph" w:customStyle="1" w:styleId="CoverWP">
    <w:name w:val="CoverWP"/>
    <w:basedOn w:val="Normal"/>
    <w:link w:val="CoverWPChar"/>
    <w:qFormat/>
    <w:pPr>
      <w:spacing w:before="360" w:after="360"/>
      <w:jc w:val="center"/>
    </w:pPr>
    <w:rPr>
      <w:rFonts w:ascii="Times New Roman" w:eastAsiaTheme="minorEastAsia" w:hAnsi="Times New Roman" w:cs="Times New Roman"/>
      <w:b/>
      <w:sz w:val="32"/>
      <w:szCs w:val="36"/>
      <w:lang w:eastAsia="en-GB"/>
    </w:rPr>
  </w:style>
  <w:style w:type="paragraph" w:customStyle="1" w:styleId="CoverTitle">
    <w:name w:val="CoverTitle"/>
    <w:basedOn w:val="Normal"/>
    <w:link w:val="CoverTitleChar"/>
    <w:qFormat/>
    <w:pPr>
      <w:spacing w:before="840" w:after="840"/>
      <w:jc w:val="center"/>
    </w:pPr>
    <w:rPr>
      <w:rFonts w:ascii="Times New Roman" w:eastAsiaTheme="minorEastAsia" w:hAnsi="Times New Roman" w:cs="Times New Roman"/>
      <w:i/>
      <w:sz w:val="32"/>
      <w:szCs w:val="32"/>
      <w:lang w:eastAsia="en-GB"/>
    </w:rPr>
  </w:style>
  <w:style w:type="character" w:customStyle="1" w:styleId="CoverWPChar">
    <w:name w:val="CoverWP Char"/>
    <w:basedOn w:val="DefaultParagraphFont"/>
    <w:link w:val="CoverWP"/>
    <w:rPr>
      <w:rFonts w:ascii="Times New Roman" w:eastAsiaTheme="minorEastAsia" w:hAnsi="Times New Roman" w:cs="Times New Roman"/>
      <w:b/>
      <w:sz w:val="32"/>
      <w:szCs w:val="36"/>
      <w:lang w:eastAsia="en-GB"/>
    </w:rPr>
  </w:style>
  <w:style w:type="character" w:customStyle="1" w:styleId="CoverTitleChar">
    <w:name w:val="CoverTitle Char"/>
    <w:basedOn w:val="CoverWPChar"/>
    <w:link w:val="CoverTitle"/>
    <w:rPr>
      <w:rFonts w:ascii="Times New Roman" w:eastAsiaTheme="minorEastAsia" w:hAnsi="Times New Roman" w:cs="Times New Roman"/>
      <w:b w:val="0"/>
      <w:i/>
      <w:sz w:val="32"/>
      <w:szCs w:val="32"/>
      <w:lang w:eastAsia="en-GB"/>
    </w:rPr>
  </w:style>
  <w:style w:type="paragraph" w:customStyle="1" w:styleId="Notice">
    <w:name w:val="Notice"/>
    <w:basedOn w:val="Normal"/>
    <w:qFormat/>
    <w:pPr>
      <w:spacing w:after="120"/>
      <w:jc w:val="both"/>
    </w:pPr>
    <w:rPr>
      <w:rFonts w:ascii="Times New Roman" w:eastAsiaTheme="minorEastAsia" w:hAnsi="Times New Roman"/>
      <w:b/>
      <w:lang w:eastAsia="en-GB"/>
    </w:rPr>
  </w:style>
  <w:style w:type="paragraph" w:customStyle="1" w:styleId="NoticeTitle">
    <w:name w:val="NoticeTitle"/>
    <w:basedOn w:val="Notice"/>
    <w:qFormat/>
    <w:pPr>
      <w:jc w:val="center"/>
    </w:pPr>
  </w:style>
  <w:style w:type="paragraph" w:customStyle="1" w:styleId="CoverDecision">
    <w:name w:val="CoverDecision"/>
    <w:basedOn w:val="CoverTitle"/>
    <w:qFormat/>
    <w:rPr>
      <w:sz w:val="28"/>
    </w:rPr>
  </w:style>
  <w:style w:type="paragraph" w:customStyle="1" w:styleId="HeadingThree">
    <w:name w:val="HeadingThree"/>
    <w:basedOn w:val="Heading3"/>
    <w:next w:val="Normal"/>
    <w:link w:val="HeadingThreeChar"/>
    <w:qFormat/>
    <w:pPr>
      <w:keepLines/>
      <w:numPr>
        <w:ilvl w:val="0"/>
        <w:numId w:val="0"/>
      </w:numPr>
      <w:spacing w:before="240" w:after="240" w:line="276" w:lineRule="auto"/>
    </w:pPr>
    <w:rPr>
      <w:rFonts w:asciiTheme="majorHAnsi" w:eastAsiaTheme="majorEastAsia" w:hAnsiTheme="majorHAnsi" w:cstheme="majorBidi"/>
      <w:bCs/>
      <w:color w:val="4F81BD" w:themeColor="accent1"/>
      <w:sz w:val="24"/>
      <w:szCs w:val="28"/>
    </w:rPr>
  </w:style>
  <w:style w:type="character" w:customStyle="1" w:styleId="HeadingThreeChar">
    <w:name w:val="HeadingThree Char"/>
    <w:basedOn w:val="Heading3Char"/>
    <w:link w:val="HeadingThree"/>
    <w:rPr>
      <w:rFonts w:asciiTheme="majorHAnsi" w:eastAsiaTheme="majorEastAsia" w:hAnsiTheme="majorHAnsi" w:cstheme="majorBidi"/>
      <w:b/>
      <w:bCs/>
      <w:color w:val="4F81BD" w:themeColor="accent1"/>
      <w:sz w:val="24"/>
      <w:szCs w:val="28"/>
      <w:lang w:eastAsia="en-GB"/>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rPr>
      <w:rFonts w:ascii="Calibri" w:eastAsia="Times New Roman" w:hAnsi="Calibri" w:cs="Arial"/>
      <w:lang w:val="en-US"/>
    </w:rPr>
  </w:style>
  <w:style w:type="character" w:customStyle="1" w:styleId="NoSpacingChar">
    <w:name w:val="No Spacing Char"/>
    <w:basedOn w:val="DefaultParagraphFont"/>
    <w:link w:val="NoSpacing"/>
    <w:uiPriority w:val="1"/>
    <w:rPr>
      <w:rFonts w:ascii="Calibri" w:eastAsia="Times New Roman" w:hAnsi="Calibri" w:cs="Arial"/>
      <w:lang w:val="en-US"/>
    </w:rPr>
  </w:style>
  <w:style w:type="paragraph" w:customStyle="1" w:styleId="site-name">
    <w:name w:val="site-name"/>
    <w:basedOn w:val="Normal"/>
    <w:pPr>
      <w:spacing w:after="0" w:line="240" w:lineRule="auto"/>
    </w:pPr>
    <w:rPr>
      <w:rFonts w:ascii="Times New Roman" w:eastAsia="Times New Roman" w:hAnsi="Times New Roman" w:cs="Times New Roman"/>
      <w:sz w:val="24"/>
      <w:szCs w:val="24"/>
      <w:lang w:eastAsia="en-GB"/>
    </w:rPr>
  </w:style>
  <w:style w:type="paragraph" w:customStyle="1" w:styleId="site-slogan">
    <w:name w:val="site-slogan"/>
    <w:basedOn w:val="Normal"/>
    <w:pPr>
      <w:spacing w:after="0" w:line="240" w:lineRule="auto"/>
    </w:pPr>
    <w:rPr>
      <w:rFonts w:ascii="Times New Roman" w:eastAsia="Times New Roman" w:hAnsi="Times New Roman" w:cs="Times New Roman"/>
      <w:sz w:val="24"/>
      <w:szCs w:val="24"/>
      <w:lang w:eastAsia="en-GB"/>
    </w:rPr>
  </w:style>
  <w:style w:type="paragraph" w:customStyle="1" w:styleId="msonormal0">
    <w:name w:val="msonormal"/>
    <w:basedOn w:val="Normal"/>
    <w:pPr>
      <w:spacing w:after="0" w:line="240" w:lineRule="auto"/>
      <w:jc w:val="both"/>
    </w:pPr>
    <w:rPr>
      <w:rFonts w:ascii="Arial" w:eastAsia="Times New Roman" w:hAnsi="Arial" w:cs="Times New Roman"/>
      <w:sz w:val="20"/>
      <w:szCs w:val="20"/>
      <w:lang w:eastAsia="en-GB"/>
    </w:rPr>
  </w:style>
  <w:style w:type="table" w:customStyle="1" w:styleId="TableGrid1">
    <w:name w:val="Table Grid1"/>
    <w:basedOn w:val="TableNormal"/>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1">
    <w:name w:val="CV111"/>
    <w:basedOn w:val="TableNormal"/>
    <w:uiPriority w:val="39"/>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1">
    <w:name w:val="CV121"/>
    <w:basedOn w:val="TableNormal"/>
    <w:uiPriority w:val="39"/>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1">
    <w:name w:val="CV131"/>
    <w:basedOn w:val="TableNormal"/>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pPr>
      <w:spacing w:after="0" w:line="240" w:lineRule="auto"/>
      <w:jc w:val="both"/>
    </w:pPr>
    <w:rPr>
      <w:rFonts w:ascii="Calibri" w:eastAsia="Calibri" w:hAnsi="Calibri" w:cs="Times New Roman"/>
      <w:color w:val="365F91" w:themeColor="accent1" w:themeShade="BF"/>
      <w:sz w:val="20"/>
      <w:szCs w:val="20"/>
      <w:lang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ind w:left="0" w:firstLine="0"/>
      </w:pPr>
      <w:rPr>
        <w:b/>
        <w:w w:val="100"/>
        <w:sz w:val="20"/>
        <w:szCs w:val="20"/>
      </w:rPr>
      <w:tblPr/>
      <w:tcPr>
        <w:tcBorders>
          <w:top w:val="single" w:sz="8" w:space="0" w:color="4F81BD" w:themeColor="accent1"/>
          <w:bottom w:val="single" w:sz="8" w:space="0" w:color="4F81BD" w:themeColor="accent1"/>
        </w:tcBorders>
      </w:tcPr>
    </w:tblStylePr>
    <w:tblStylePr w:type="lastRow">
      <w:pPr>
        <w:ind w:left="0" w:firstLine="0"/>
      </w:pPr>
      <w:rPr>
        <w:b/>
        <w:w w:val="100"/>
        <w:sz w:val="20"/>
        <w:szCs w:val="20"/>
      </w:rPr>
      <w:tblPr/>
      <w:tcPr>
        <w:tcBorders>
          <w:top w:val="single" w:sz="8" w:space="0" w:color="4F81BD" w:themeColor="accent1"/>
          <w:bottom w:val="single" w:sz="8" w:space="0" w:color="4F81BD" w:themeColor="accent1"/>
        </w:tcBorders>
      </w:tcPr>
    </w:tblStylePr>
    <w:tblStylePr w:type="firstCol">
      <w:rPr>
        <w:b/>
        <w:w w:val="100"/>
        <w:sz w:val="20"/>
        <w:szCs w:val="20"/>
      </w:rPr>
    </w:tblStylePr>
    <w:tblStylePr w:type="lastCol">
      <w:rPr>
        <w:b/>
        <w:w w:val="100"/>
        <w:sz w:val="20"/>
        <w:szCs w:val="20"/>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List-Accent11">
    <w:name w:val="Light List - Accent 11"/>
    <w:basedOn w:val="TableNormal"/>
    <w:pPr>
      <w:spacing w:after="0" w:line="240" w:lineRule="auto"/>
      <w:jc w:val="both"/>
    </w:pPr>
    <w:rPr>
      <w:rFonts w:ascii="Calibri" w:eastAsia="Calibri" w:hAnsi="Calibri" w:cs="Times New Roman"/>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ind w:left="0" w:firstLine="0"/>
      </w:pPr>
      <w:rPr>
        <w:b/>
        <w:color w:val="FFFFFF" w:themeColor="background1"/>
        <w:w w:val="100"/>
        <w:sz w:val="20"/>
        <w:szCs w:val="20"/>
      </w:rPr>
      <w:tblPr/>
      <w:tcPr>
        <w:shd w:val="clear" w:color="auto" w:fill="4F81BD" w:themeFill="accent1"/>
      </w:tcPr>
    </w:tblStylePr>
    <w:tblStylePr w:type="lastRow">
      <w:pPr>
        <w:ind w:left="0" w:firstLine="0"/>
      </w:pPr>
      <w:rPr>
        <w:b/>
        <w:w w:val="100"/>
        <w:sz w:val="20"/>
        <w:szCs w:val="20"/>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w w:val="100"/>
        <w:sz w:val="20"/>
        <w:szCs w:val="20"/>
      </w:rPr>
    </w:tblStylePr>
    <w:tblStylePr w:type="lastCol">
      <w:rPr>
        <w:b/>
        <w:w w:val="100"/>
        <w:sz w:val="20"/>
        <w:szCs w:val="20"/>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2-Accent11">
    <w:name w:val="Medium List 2 - Accent 11"/>
    <w:basedOn w:val="TableNormal"/>
    <w:pPr>
      <w:spacing w:after="0" w:line="240" w:lineRule="auto"/>
      <w:jc w:val="both"/>
    </w:pPr>
    <w:rPr>
      <w:rFonts w:ascii="Cambria" w:eastAsia="Cambria" w:hAnsi="Cambria" w:cs="Calibri"/>
      <w:color w:val="000000" w:themeColor="text1"/>
      <w:sz w:val="20"/>
      <w:szCs w:val="20"/>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w w:val="100"/>
        <w:sz w:val="24"/>
        <w:szCs w:val="24"/>
      </w:rPr>
      <w:tblPr/>
      <w:tcPr>
        <w:tcBorders>
          <w:bottom w:val="single" w:sz="24" w:space="0" w:color="4F81BD" w:themeColor="accent1"/>
        </w:tcBorders>
        <w:shd w:val="clear" w:color="auto" w:fill="FFFFFF" w:themeFill="background1"/>
      </w:tcPr>
    </w:tblStylePr>
    <w:tblStylePr w:type="lastRow">
      <w:tblPr/>
      <w:tcPr>
        <w:tcBorders>
          <w:top w:val="single" w:sz="8" w:space="0" w:color="4F81BD" w:themeColor="accent1"/>
        </w:tcBorders>
        <w:shd w:val="clear" w:color="auto" w:fill="FFFFFF" w:themeFill="background1"/>
      </w:tcPr>
    </w:tblStylePr>
    <w:tblStylePr w:type="firstCol">
      <w:tblPr/>
      <w:tcPr>
        <w:tcBorders>
          <w:right w:val="single" w:sz="8" w:space="0" w:color="4F81BD" w:themeColor="accent1"/>
        </w:tcBorders>
        <w:shd w:val="clear" w:color="auto" w:fill="FFFFFF" w:themeFill="background1"/>
      </w:tcPr>
    </w:tblStylePr>
    <w:tblStylePr w:type="lastCol">
      <w:tblPr/>
      <w:tcPr>
        <w:tcBorders>
          <w:left w:val="single" w:sz="8" w:space="0" w:color="4F81BD" w:themeColor="accent1"/>
        </w:tcBorders>
        <w:shd w:val="clear" w:color="auto" w:fill="FFFFFF" w:themeFill="background1"/>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tblStylePr w:type="nwCell">
      <w:tblPr/>
      <w:tcPr>
        <w:shd w:val="clear" w:color="auto" w:fill="FFFFFF" w:themeFill="background1"/>
      </w:tcPr>
    </w:tblStylePr>
    <w:tblStylePr w:type="swCell">
      <w:rPr>
        <w:w w:val="100"/>
        <w:sz w:val="24"/>
        <w:szCs w:val="24"/>
      </w:rPr>
      <w:tblPr/>
      <w:tcPr>
        <w:tcBorders>
          <w:bottom w:val="single" w:sz="24" w:space="0" w:color="4F81BD" w:themeColor="accent1"/>
        </w:tcBorders>
        <w:shd w:val="clear" w:color="auto" w:fill="FFFFFF" w:themeFill="background1"/>
      </w:tcPr>
    </w:tblStylePr>
  </w:style>
  <w:style w:type="table" w:customStyle="1" w:styleId="LightShading-Accent51">
    <w:name w:val="Light Shading - Accent 51"/>
    <w:basedOn w:val="TableNormal"/>
    <w:pPr>
      <w:spacing w:after="0" w:line="240" w:lineRule="auto"/>
      <w:jc w:val="both"/>
    </w:pPr>
    <w:rPr>
      <w:rFonts w:ascii="Calibri" w:eastAsia="Calibri" w:hAnsi="Calibri" w:cs="Times New Roman"/>
      <w:color w:val="31849B" w:themeColor="accent5" w:themeShade="BF"/>
      <w:sz w:val="20"/>
      <w:szCs w:val="20"/>
      <w:lang w:eastAsia="en-GB"/>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ind w:left="0" w:firstLine="0"/>
      </w:pPr>
      <w:rPr>
        <w:b/>
        <w:w w:val="100"/>
        <w:sz w:val="20"/>
        <w:szCs w:val="20"/>
      </w:rPr>
      <w:tblPr/>
      <w:tcPr>
        <w:tcBorders>
          <w:top w:val="single" w:sz="8" w:space="0" w:color="4BACC6" w:themeColor="accent5"/>
          <w:bottom w:val="single" w:sz="8" w:space="0" w:color="4BACC6" w:themeColor="accent5"/>
        </w:tcBorders>
      </w:tcPr>
    </w:tblStylePr>
    <w:tblStylePr w:type="lastRow">
      <w:pPr>
        <w:ind w:left="0" w:firstLine="0"/>
      </w:pPr>
      <w:rPr>
        <w:b/>
        <w:w w:val="100"/>
        <w:sz w:val="20"/>
        <w:szCs w:val="20"/>
      </w:rPr>
      <w:tblPr/>
      <w:tcPr>
        <w:tcBorders>
          <w:top w:val="single" w:sz="8" w:space="0" w:color="4BACC6" w:themeColor="accent5"/>
          <w:bottom w:val="single" w:sz="8" w:space="0" w:color="4BACC6" w:themeColor="accent5"/>
        </w:tcBorders>
      </w:tcPr>
    </w:tblStylePr>
    <w:tblStylePr w:type="firstCol">
      <w:rPr>
        <w:b/>
        <w:w w:val="100"/>
        <w:sz w:val="20"/>
        <w:szCs w:val="20"/>
      </w:rPr>
    </w:tblStylePr>
    <w:tblStylePr w:type="lastCol">
      <w:rPr>
        <w:b/>
        <w:w w:val="100"/>
        <w:sz w:val="20"/>
        <w:szCs w:val="20"/>
      </w:r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ColorfulShading-Accent51">
    <w:name w:val="Colorful Shading - Accent 51"/>
    <w:basedOn w:val="TableNormal"/>
    <w:pPr>
      <w:spacing w:after="0" w:line="240" w:lineRule="auto"/>
      <w:jc w:val="both"/>
    </w:pPr>
    <w:rPr>
      <w:rFonts w:ascii="Calibri" w:eastAsia="Calibri" w:hAnsi="Calibri" w:cs="Times New Roman"/>
      <w:color w:val="000000" w:themeColor="text1"/>
      <w:sz w:val="20"/>
      <w:szCs w:val="20"/>
      <w:lang w:eastAsia="en-GB"/>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w w:val="100"/>
        <w:sz w:val="20"/>
        <w:szCs w:val="20"/>
      </w:rPr>
      <w:tblPr/>
      <w:tcPr>
        <w:tcBorders>
          <w:bottom w:val="single" w:sz="24" w:space="0" w:color="F79646" w:themeColor="accent6"/>
        </w:tcBorders>
        <w:shd w:val="clear" w:color="auto" w:fill="FFFFFF" w:themeFill="background1"/>
      </w:tcPr>
    </w:tblStylePr>
    <w:tblStylePr w:type="lastRow">
      <w:rPr>
        <w:b/>
        <w:color w:val="FFFFFF" w:themeColor="background1"/>
        <w:w w:val="100"/>
        <w:sz w:val="20"/>
        <w:szCs w:val="20"/>
      </w:rPr>
      <w:tblPr/>
      <w:tcPr>
        <w:tcBorders>
          <w:top w:val="single" w:sz="6" w:space="0" w:color="FFFFFF" w:themeColor="background1"/>
        </w:tcBorders>
        <w:shd w:val="clear" w:color="auto" w:fill="276A7C" w:themeFill="accent5" w:themeFillShade="99"/>
      </w:tcPr>
    </w:tblStylePr>
    <w:tblStylePr w:type="firstCol">
      <w:rPr>
        <w:color w:val="FFFFFF" w:themeColor="background1"/>
        <w:w w:val="100"/>
        <w:sz w:val="20"/>
        <w:szCs w:val="20"/>
      </w:rPr>
      <w:tblPr/>
      <w:tcPr>
        <w:tcBorders>
          <w:insideH w:val="single" w:sz="4" w:space="0" w:color="276A7C" w:themeColor="accent5" w:themeShade="99"/>
        </w:tcBorders>
        <w:shd w:val="clear" w:color="auto" w:fill="276A7C" w:themeFill="accent5" w:themeFillShade="99"/>
      </w:tcPr>
    </w:tblStylePr>
    <w:tblStylePr w:type="lastCol">
      <w:rPr>
        <w:color w:val="FFFFFF" w:themeColor="background1"/>
        <w:w w:val="100"/>
        <w:sz w:val="20"/>
        <w:szCs w:val="20"/>
      </w:rPr>
      <w:tblPr/>
      <w:tcPr>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w w:val="100"/>
        <w:sz w:val="20"/>
        <w:szCs w:val="20"/>
      </w:rPr>
    </w:tblStylePr>
    <w:tblStylePr w:type="nwCell">
      <w:rPr>
        <w:color w:val="000000" w:themeColor="text1"/>
        <w:w w:val="100"/>
        <w:sz w:val="20"/>
        <w:szCs w:val="20"/>
      </w:rPr>
    </w:tblStylePr>
  </w:style>
  <w:style w:type="table" w:customStyle="1" w:styleId="ListTable2-Accent111">
    <w:name w:val="List Table 2 - Accent 111"/>
    <w:basedOn w:val="TableNormal"/>
    <w:uiPriority w:val="47"/>
    <w:pPr>
      <w:spacing w:after="0" w:line="240" w:lineRule="auto"/>
    </w:pPr>
    <w:rPr>
      <w:rFonts w:ascii="Calibri" w:eastAsia="Times New Roman" w:hAnsi="Calibri" w:cs="Times New Roman"/>
      <w:sz w:val="20"/>
      <w:szCs w:val="20"/>
      <w:lang w:eastAsia="en-GB"/>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2">
    <w:name w:val="Table Grid2"/>
    <w:basedOn w:val="TableNormal"/>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2">
    <w:name w:val="CV112"/>
    <w:basedOn w:val="TableNormal"/>
    <w:uiPriority w:val="39"/>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2">
    <w:name w:val="CV122"/>
    <w:basedOn w:val="TableNormal"/>
    <w:uiPriority w:val="39"/>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2">
    <w:name w:val="CV132"/>
    <w:basedOn w:val="TableNormal"/>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
    <w:name w:val="Light Shading - Accent 12"/>
    <w:basedOn w:val="TableNormal"/>
    <w:pPr>
      <w:spacing w:after="0" w:line="240" w:lineRule="auto"/>
      <w:jc w:val="both"/>
    </w:pPr>
    <w:rPr>
      <w:rFonts w:ascii="Calibri" w:eastAsia="Calibri" w:hAnsi="Calibri" w:cs="Times New Roman"/>
      <w:color w:val="365F91" w:themeColor="accent1" w:themeShade="BF"/>
      <w:sz w:val="20"/>
      <w:szCs w:val="20"/>
      <w:lang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ind w:left="0" w:firstLine="0"/>
      </w:pPr>
      <w:rPr>
        <w:b/>
        <w:w w:val="100"/>
        <w:sz w:val="20"/>
        <w:szCs w:val="20"/>
      </w:rPr>
      <w:tblPr/>
      <w:tcPr>
        <w:tcBorders>
          <w:top w:val="single" w:sz="8" w:space="0" w:color="4F81BD" w:themeColor="accent1"/>
          <w:bottom w:val="single" w:sz="8" w:space="0" w:color="4F81BD" w:themeColor="accent1"/>
        </w:tcBorders>
      </w:tcPr>
    </w:tblStylePr>
    <w:tblStylePr w:type="lastRow">
      <w:pPr>
        <w:ind w:left="0" w:firstLine="0"/>
      </w:pPr>
      <w:rPr>
        <w:b/>
        <w:w w:val="100"/>
        <w:sz w:val="20"/>
        <w:szCs w:val="20"/>
      </w:rPr>
      <w:tblPr/>
      <w:tcPr>
        <w:tcBorders>
          <w:top w:val="single" w:sz="8" w:space="0" w:color="4F81BD" w:themeColor="accent1"/>
          <w:bottom w:val="single" w:sz="8" w:space="0" w:color="4F81BD" w:themeColor="accent1"/>
        </w:tcBorders>
      </w:tcPr>
    </w:tblStylePr>
    <w:tblStylePr w:type="firstCol">
      <w:rPr>
        <w:b/>
        <w:w w:val="100"/>
        <w:sz w:val="20"/>
        <w:szCs w:val="20"/>
      </w:rPr>
    </w:tblStylePr>
    <w:tblStylePr w:type="lastCol">
      <w:rPr>
        <w:b/>
        <w:w w:val="100"/>
        <w:sz w:val="20"/>
        <w:szCs w:val="20"/>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List-Accent12">
    <w:name w:val="Light List - Accent 12"/>
    <w:basedOn w:val="TableNormal"/>
    <w:pPr>
      <w:spacing w:after="0" w:line="240" w:lineRule="auto"/>
      <w:jc w:val="both"/>
    </w:pPr>
    <w:rPr>
      <w:rFonts w:ascii="Calibri" w:eastAsia="Calibri" w:hAnsi="Calibri" w:cs="Times New Roman"/>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ind w:left="0" w:firstLine="0"/>
      </w:pPr>
      <w:rPr>
        <w:b/>
        <w:color w:val="FFFFFF" w:themeColor="background1"/>
        <w:w w:val="100"/>
        <w:sz w:val="20"/>
        <w:szCs w:val="20"/>
      </w:rPr>
      <w:tblPr/>
      <w:tcPr>
        <w:shd w:val="clear" w:color="auto" w:fill="4F81BD" w:themeFill="accent1"/>
      </w:tcPr>
    </w:tblStylePr>
    <w:tblStylePr w:type="lastRow">
      <w:pPr>
        <w:ind w:left="0" w:firstLine="0"/>
      </w:pPr>
      <w:rPr>
        <w:b/>
        <w:w w:val="100"/>
        <w:sz w:val="20"/>
        <w:szCs w:val="20"/>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w w:val="100"/>
        <w:sz w:val="20"/>
        <w:szCs w:val="20"/>
      </w:rPr>
    </w:tblStylePr>
    <w:tblStylePr w:type="lastCol">
      <w:rPr>
        <w:b/>
        <w:w w:val="100"/>
        <w:sz w:val="20"/>
        <w:szCs w:val="20"/>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2-Accent12">
    <w:name w:val="Medium List 2 - Accent 12"/>
    <w:basedOn w:val="TableNormal"/>
    <w:pPr>
      <w:spacing w:after="0" w:line="240" w:lineRule="auto"/>
      <w:jc w:val="both"/>
    </w:pPr>
    <w:rPr>
      <w:rFonts w:ascii="Cambria" w:eastAsia="Cambria" w:hAnsi="Cambria" w:cs="Calibri"/>
      <w:color w:val="000000" w:themeColor="text1"/>
      <w:sz w:val="20"/>
      <w:szCs w:val="20"/>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w w:val="100"/>
        <w:sz w:val="24"/>
        <w:szCs w:val="24"/>
      </w:rPr>
      <w:tblPr/>
      <w:tcPr>
        <w:tcBorders>
          <w:bottom w:val="single" w:sz="24" w:space="0" w:color="4F81BD" w:themeColor="accent1"/>
        </w:tcBorders>
        <w:shd w:val="clear" w:color="auto" w:fill="FFFFFF" w:themeFill="background1"/>
      </w:tcPr>
    </w:tblStylePr>
    <w:tblStylePr w:type="lastRow">
      <w:tblPr/>
      <w:tcPr>
        <w:tcBorders>
          <w:top w:val="single" w:sz="8" w:space="0" w:color="4F81BD" w:themeColor="accent1"/>
        </w:tcBorders>
        <w:shd w:val="clear" w:color="auto" w:fill="FFFFFF" w:themeFill="background1"/>
      </w:tcPr>
    </w:tblStylePr>
    <w:tblStylePr w:type="firstCol">
      <w:tblPr/>
      <w:tcPr>
        <w:tcBorders>
          <w:right w:val="single" w:sz="8" w:space="0" w:color="4F81BD" w:themeColor="accent1"/>
        </w:tcBorders>
        <w:shd w:val="clear" w:color="auto" w:fill="FFFFFF" w:themeFill="background1"/>
      </w:tcPr>
    </w:tblStylePr>
    <w:tblStylePr w:type="lastCol">
      <w:tblPr/>
      <w:tcPr>
        <w:tcBorders>
          <w:left w:val="single" w:sz="8" w:space="0" w:color="4F81BD" w:themeColor="accent1"/>
        </w:tcBorders>
        <w:shd w:val="clear" w:color="auto" w:fill="FFFFFF" w:themeFill="background1"/>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tblStylePr w:type="nwCell">
      <w:tblPr/>
      <w:tcPr>
        <w:shd w:val="clear" w:color="auto" w:fill="FFFFFF" w:themeFill="background1"/>
      </w:tcPr>
    </w:tblStylePr>
    <w:tblStylePr w:type="swCell">
      <w:rPr>
        <w:w w:val="100"/>
        <w:sz w:val="24"/>
        <w:szCs w:val="24"/>
      </w:rPr>
      <w:tblPr/>
      <w:tcPr>
        <w:tcBorders>
          <w:bottom w:val="single" w:sz="24" w:space="0" w:color="4F81BD" w:themeColor="accent1"/>
        </w:tcBorders>
        <w:shd w:val="clear" w:color="auto" w:fill="FFFFFF" w:themeFill="background1"/>
      </w:tcPr>
    </w:tblStylePr>
  </w:style>
  <w:style w:type="table" w:customStyle="1" w:styleId="LightShading-Accent52">
    <w:name w:val="Light Shading - Accent 52"/>
    <w:basedOn w:val="TableNormal"/>
    <w:pPr>
      <w:spacing w:after="0" w:line="240" w:lineRule="auto"/>
      <w:jc w:val="both"/>
    </w:pPr>
    <w:rPr>
      <w:rFonts w:ascii="Calibri" w:eastAsia="Calibri" w:hAnsi="Calibri" w:cs="Times New Roman"/>
      <w:color w:val="31849B" w:themeColor="accent5" w:themeShade="BF"/>
      <w:sz w:val="20"/>
      <w:szCs w:val="20"/>
      <w:lang w:eastAsia="en-GB"/>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ind w:left="0" w:firstLine="0"/>
      </w:pPr>
      <w:rPr>
        <w:b/>
        <w:w w:val="100"/>
        <w:sz w:val="20"/>
        <w:szCs w:val="20"/>
      </w:rPr>
      <w:tblPr/>
      <w:tcPr>
        <w:tcBorders>
          <w:top w:val="single" w:sz="8" w:space="0" w:color="4BACC6" w:themeColor="accent5"/>
          <w:bottom w:val="single" w:sz="8" w:space="0" w:color="4BACC6" w:themeColor="accent5"/>
        </w:tcBorders>
      </w:tcPr>
    </w:tblStylePr>
    <w:tblStylePr w:type="lastRow">
      <w:pPr>
        <w:ind w:left="0" w:firstLine="0"/>
      </w:pPr>
      <w:rPr>
        <w:b/>
        <w:w w:val="100"/>
        <w:sz w:val="20"/>
        <w:szCs w:val="20"/>
      </w:rPr>
      <w:tblPr/>
      <w:tcPr>
        <w:tcBorders>
          <w:top w:val="single" w:sz="8" w:space="0" w:color="4BACC6" w:themeColor="accent5"/>
          <w:bottom w:val="single" w:sz="8" w:space="0" w:color="4BACC6" w:themeColor="accent5"/>
        </w:tcBorders>
      </w:tcPr>
    </w:tblStylePr>
    <w:tblStylePr w:type="firstCol">
      <w:rPr>
        <w:b/>
        <w:w w:val="100"/>
        <w:sz w:val="20"/>
        <w:szCs w:val="20"/>
      </w:rPr>
    </w:tblStylePr>
    <w:tblStylePr w:type="lastCol">
      <w:rPr>
        <w:b/>
        <w:w w:val="100"/>
        <w:sz w:val="20"/>
        <w:szCs w:val="20"/>
      </w:r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ColorfulShading-Accent52">
    <w:name w:val="Colorful Shading - Accent 52"/>
    <w:basedOn w:val="TableNormal"/>
    <w:pPr>
      <w:spacing w:after="0" w:line="240" w:lineRule="auto"/>
      <w:jc w:val="both"/>
    </w:pPr>
    <w:rPr>
      <w:rFonts w:ascii="Calibri" w:eastAsia="Calibri" w:hAnsi="Calibri" w:cs="Times New Roman"/>
      <w:color w:val="000000" w:themeColor="text1"/>
      <w:sz w:val="20"/>
      <w:szCs w:val="20"/>
      <w:lang w:eastAsia="en-GB"/>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w w:val="100"/>
        <w:sz w:val="20"/>
        <w:szCs w:val="20"/>
      </w:rPr>
      <w:tblPr/>
      <w:tcPr>
        <w:tcBorders>
          <w:bottom w:val="single" w:sz="24" w:space="0" w:color="F79646" w:themeColor="accent6"/>
        </w:tcBorders>
        <w:shd w:val="clear" w:color="auto" w:fill="FFFFFF" w:themeFill="background1"/>
      </w:tcPr>
    </w:tblStylePr>
    <w:tblStylePr w:type="lastRow">
      <w:rPr>
        <w:b/>
        <w:color w:val="FFFFFF" w:themeColor="background1"/>
        <w:w w:val="100"/>
        <w:sz w:val="20"/>
        <w:szCs w:val="20"/>
      </w:rPr>
      <w:tblPr/>
      <w:tcPr>
        <w:tcBorders>
          <w:top w:val="single" w:sz="6" w:space="0" w:color="FFFFFF" w:themeColor="background1"/>
        </w:tcBorders>
        <w:shd w:val="clear" w:color="auto" w:fill="276A7C" w:themeFill="accent5" w:themeFillShade="99"/>
      </w:tcPr>
    </w:tblStylePr>
    <w:tblStylePr w:type="firstCol">
      <w:rPr>
        <w:color w:val="FFFFFF" w:themeColor="background1"/>
        <w:w w:val="100"/>
        <w:sz w:val="20"/>
        <w:szCs w:val="20"/>
      </w:rPr>
      <w:tblPr/>
      <w:tcPr>
        <w:tcBorders>
          <w:insideH w:val="single" w:sz="4" w:space="0" w:color="276A7C" w:themeColor="accent5" w:themeShade="99"/>
        </w:tcBorders>
        <w:shd w:val="clear" w:color="auto" w:fill="276A7C" w:themeFill="accent5" w:themeFillShade="99"/>
      </w:tcPr>
    </w:tblStylePr>
    <w:tblStylePr w:type="lastCol">
      <w:rPr>
        <w:color w:val="FFFFFF" w:themeColor="background1"/>
        <w:w w:val="100"/>
        <w:sz w:val="20"/>
        <w:szCs w:val="20"/>
      </w:rPr>
      <w:tblPr/>
      <w:tcPr>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w w:val="100"/>
        <w:sz w:val="20"/>
        <w:szCs w:val="20"/>
      </w:rPr>
    </w:tblStylePr>
    <w:tblStylePr w:type="nwCell">
      <w:rPr>
        <w:color w:val="000000" w:themeColor="text1"/>
        <w:w w:val="100"/>
        <w:sz w:val="20"/>
        <w:szCs w:val="20"/>
      </w:rPr>
    </w:tblStylePr>
  </w:style>
  <w:style w:type="table" w:customStyle="1" w:styleId="ListTable2-Accent112">
    <w:name w:val="List Table 2 - Accent 112"/>
    <w:basedOn w:val="TableNormal"/>
    <w:uiPriority w:val="47"/>
    <w:pPr>
      <w:spacing w:after="0" w:line="240" w:lineRule="auto"/>
    </w:pPr>
    <w:rPr>
      <w:rFonts w:ascii="Calibri" w:eastAsia="Times New Roman" w:hAnsi="Calibri" w:cs="Times New Roman"/>
      <w:sz w:val="20"/>
      <w:szCs w:val="20"/>
      <w:lang w:eastAsia="en-GB"/>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75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image" Target="media/image60.png"/><Relationship Id="rId21" Type="http://schemas.openxmlformats.org/officeDocument/2006/relationships/image" Target="media/image3.png"/><Relationship Id="rId42" Type="http://schemas.openxmlformats.org/officeDocument/2006/relationships/hyperlink" Target="file:///U:\PRODEC\Dossiers\2018\Dir%20H\H1\Comptence%20Center\revised%20comp%20centre\SWD_IA_part%203_mapping%20study.docx" TargetMode="External"/><Relationship Id="rId47" Type="http://schemas.openxmlformats.org/officeDocument/2006/relationships/hyperlink" Target="file:///U:\PRODEC\Dossiers\2018\Dir%20H\H1\Comptence%20Center\revised%20comp%20centre\SWD_IA_part%203_mapping%20study.docx" TargetMode="External"/><Relationship Id="rId63" Type="http://schemas.openxmlformats.org/officeDocument/2006/relationships/image" Target="media/image6.png"/><Relationship Id="rId68" Type="http://schemas.openxmlformats.org/officeDocument/2006/relationships/image" Target="media/image11.png"/><Relationship Id="rId84" Type="http://schemas.openxmlformats.org/officeDocument/2006/relationships/image" Target="media/image27.png"/><Relationship Id="rId89" Type="http://schemas.openxmlformats.org/officeDocument/2006/relationships/image" Target="media/image32.png"/><Relationship Id="rId112" Type="http://schemas.openxmlformats.org/officeDocument/2006/relationships/image" Target="media/image55.png"/><Relationship Id="rId133" Type="http://schemas.openxmlformats.org/officeDocument/2006/relationships/hyperlink" Target="file:///U:\PRODEC\Dossiers\2018\Dir%20H\H1\Comptence%20Center\revised%20comp%20centre\SWD_IA_part%203_mapping%20study.docx" TargetMode="External"/><Relationship Id="rId138" Type="http://schemas.openxmlformats.org/officeDocument/2006/relationships/hyperlink" Target="file:///U:\PRODEC\Dossiers\2018\Dir%20H\H1\Comptence%20Center\revised%20comp%20centre\SWD_IA_part%203_mapping%20study.docx" TargetMode="External"/><Relationship Id="rId154" Type="http://schemas.openxmlformats.org/officeDocument/2006/relationships/header" Target="header13.xml"/><Relationship Id="rId159" Type="http://schemas.openxmlformats.org/officeDocument/2006/relationships/footer" Target="footer15.xml"/><Relationship Id="rId16" Type="http://schemas.openxmlformats.org/officeDocument/2006/relationships/footer" Target="footer1.xml"/><Relationship Id="rId107" Type="http://schemas.openxmlformats.org/officeDocument/2006/relationships/image" Target="media/image50.png"/><Relationship Id="rId11" Type="http://schemas.openxmlformats.org/officeDocument/2006/relationships/footnotes" Target="footnotes.xml"/><Relationship Id="rId32" Type="http://schemas.openxmlformats.org/officeDocument/2006/relationships/footer" Target="footer7.xml"/><Relationship Id="rId37" Type="http://schemas.openxmlformats.org/officeDocument/2006/relationships/hyperlink" Target="file:///U:\PRODEC\Dossiers\2018\Dir%20H\H1\Comptence%20Center\revised%20comp%20centre\SWD_IA_part%203_mapping%20study.docx" TargetMode="External"/><Relationship Id="rId53" Type="http://schemas.openxmlformats.org/officeDocument/2006/relationships/hyperlink" Target="file:///U:\PRODEC\Dossiers\2018\Dir%20H\H1\Comptence%20Center\revised%20comp%20centre\SWD_IA_part%203_mapping%20study.docx" TargetMode="External"/><Relationship Id="rId58" Type="http://schemas.openxmlformats.org/officeDocument/2006/relationships/footer" Target="footer10.xml"/><Relationship Id="rId74" Type="http://schemas.openxmlformats.org/officeDocument/2006/relationships/image" Target="media/image17.png"/><Relationship Id="rId79" Type="http://schemas.openxmlformats.org/officeDocument/2006/relationships/image" Target="media/image22.png"/><Relationship Id="rId102" Type="http://schemas.openxmlformats.org/officeDocument/2006/relationships/image" Target="media/image45.png"/><Relationship Id="rId123" Type="http://schemas.openxmlformats.org/officeDocument/2006/relationships/hyperlink" Target="file:///U:\PRODEC\Dossiers\2018\Dir%20H\H1\Comptence%20Center\revised%20comp%20centre\SWD_IA_part%203_mapping%20study.docx" TargetMode="External"/><Relationship Id="rId128" Type="http://schemas.openxmlformats.org/officeDocument/2006/relationships/hyperlink" Target="file:///U:\PRODEC\Dossiers\2018\Dir%20H\H1\Comptence%20Center\revised%20comp%20centre\SWD_IA_part%203_mapping%20study.docx" TargetMode="External"/><Relationship Id="rId144" Type="http://schemas.openxmlformats.org/officeDocument/2006/relationships/hyperlink" Target="file:///U:\PRODEC\Dossiers\2018\Dir%20H\H1\Comptence%20Center\revised%20comp%20centre\SWD_IA_part%203_mapping%20study.docx" TargetMode="External"/><Relationship Id="rId149" Type="http://schemas.openxmlformats.org/officeDocument/2006/relationships/hyperlink" Target="file:///U:\PRODEC\Dossiers\2018\Dir%20H\H1\Comptence%20Center\revised%20comp%20centre\SWD_IA_part%203_mapping%20study.docx" TargetMode="External"/><Relationship Id="rId5" Type="http://schemas.openxmlformats.org/officeDocument/2006/relationships/customXml" Target="../customXml/item5.xml"/><Relationship Id="rId90" Type="http://schemas.openxmlformats.org/officeDocument/2006/relationships/image" Target="media/image33.png"/><Relationship Id="rId95" Type="http://schemas.openxmlformats.org/officeDocument/2006/relationships/image" Target="media/image38.png"/><Relationship Id="rId160" Type="http://schemas.openxmlformats.org/officeDocument/2006/relationships/image" Target="media/image61.jpeg"/><Relationship Id="rId165" Type="http://schemas.openxmlformats.org/officeDocument/2006/relationships/footer" Target="footer17.xml"/><Relationship Id="rId22" Type="http://schemas.microsoft.com/office/2007/relationships/hdphoto" Target="media/hdphoto1.wdp"/><Relationship Id="rId27" Type="http://schemas.openxmlformats.org/officeDocument/2006/relationships/footer" Target="footer5.xml"/><Relationship Id="rId43" Type="http://schemas.openxmlformats.org/officeDocument/2006/relationships/hyperlink" Target="file:///U:\PRODEC\Dossiers\2018\Dir%20H\H1\Comptence%20Center\revised%20comp%20centre\SWD_IA_part%203_mapping%20study.docx" TargetMode="External"/><Relationship Id="rId48" Type="http://schemas.openxmlformats.org/officeDocument/2006/relationships/hyperlink" Target="file:///U:\PRODEC\Dossiers\2018\Dir%20H\H1\Comptence%20Center\revised%20comp%20centre\SWD_IA_part%203_mapping%20study.docx" TargetMode="External"/><Relationship Id="rId64" Type="http://schemas.openxmlformats.org/officeDocument/2006/relationships/image" Target="media/image7.png"/><Relationship Id="rId69" Type="http://schemas.openxmlformats.org/officeDocument/2006/relationships/image" Target="media/image12.png"/><Relationship Id="rId113" Type="http://schemas.openxmlformats.org/officeDocument/2006/relationships/image" Target="media/image56.png"/><Relationship Id="rId118" Type="http://schemas.openxmlformats.org/officeDocument/2006/relationships/hyperlink" Target="file:///U:\PRODEC\Dossiers\2018\Dir%20H\H1\Comptence%20Center\revised%20comp%20centre\SWD_IA_part%203_mapping%20study.docx" TargetMode="External"/><Relationship Id="rId134" Type="http://schemas.openxmlformats.org/officeDocument/2006/relationships/hyperlink" Target="file:///U:\PRODEC\Dossiers\2018\Dir%20H\H1\Comptence%20Center\revised%20comp%20centre\SWD_IA_part%203_mapping%20study.docx" TargetMode="External"/><Relationship Id="rId139" Type="http://schemas.openxmlformats.org/officeDocument/2006/relationships/hyperlink" Target="file:///U:\PRODEC\Dossiers\2018\Dir%20H\H1\Comptence%20Center\revised%20comp%20centre\SWD_IA_part%203_mapping%20study.docx" TargetMode="External"/><Relationship Id="rId80" Type="http://schemas.openxmlformats.org/officeDocument/2006/relationships/image" Target="media/image23.png"/><Relationship Id="rId85" Type="http://schemas.openxmlformats.org/officeDocument/2006/relationships/image" Target="media/image28.png"/><Relationship Id="rId150" Type="http://schemas.openxmlformats.org/officeDocument/2006/relationships/hyperlink" Target="file:///U:\PRODEC\Dossiers\2018\Dir%20H\H1\Comptence%20Center\revised%20comp%20centre\SWD_IA_part%203_mapping%20study.docx" TargetMode="External"/><Relationship Id="rId155" Type="http://schemas.openxmlformats.org/officeDocument/2006/relationships/header" Target="header14.xm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footer" Target="footer8.xml"/><Relationship Id="rId38" Type="http://schemas.openxmlformats.org/officeDocument/2006/relationships/hyperlink" Target="file:///U:\PRODEC\Dossiers\2018\Dir%20H\H1\Comptence%20Center\revised%20comp%20centre\SWD_IA_part%203_mapping%20study.docx" TargetMode="External"/><Relationship Id="rId59" Type="http://schemas.openxmlformats.org/officeDocument/2006/relationships/footer" Target="footer11.xml"/><Relationship Id="rId103" Type="http://schemas.openxmlformats.org/officeDocument/2006/relationships/image" Target="media/image46.png"/><Relationship Id="rId108" Type="http://schemas.openxmlformats.org/officeDocument/2006/relationships/image" Target="media/image51.png"/><Relationship Id="rId124" Type="http://schemas.openxmlformats.org/officeDocument/2006/relationships/hyperlink" Target="file:///U:\PRODEC\Dossiers\2018\Dir%20H\H1\Comptence%20Center\revised%20comp%20centre\SWD_IA_part%203_mapping%20study.docx" TargetMode="External"/><Relationship Id="rId129" Type="http://schemas.openxmlformats.org/officeDocument/2006/relationships/hyperlink" Target="file:///U:\PRODEC\Dossiers\2018\Dir%20H\H1\Comptence%20Center\revised%20comp%20centre\SWD_IA_part%203_mapping%20study.docx" TargetMode="External"/><Relationship Id="rId54" Type="http://schemas.openxmlformats.org/officeDocument/2006/relationships/hyperlink" Target="file:///U:\PRODEC\Dossiers\2018\Dir%20H\H1\Comptence%20Center\revised%20comp%20centre\SWD_IA_part%203_mapping%20study.docx" TargetMode="External"/><Relationship Id="rId70" Type="http://schemas.openxmlformats.org/officeDocument/2006/relationships/image" Target="media/image13.png"/><Relationship Id="rId75" Type="http://schemas.openxmlformats.org/officeDocument/2006/relationships/image" Target="media/image18.png"/><Relationship Id="rId91" Type="http://schemas.openxmlformats.org/officeDocument/2006/relationships/image" Target="media/image34.png"/><Relationship Id="rId96" Type="http://schemas.openxmlformats.org/officeDocument/2006/relationships/image" Target="media/image39.png"/><Relationship Id="rId140" Type="http://schemas.openxmlformats.org/officeDocument/2006/relationships/hyperlink" Target="file:///U:\PRODEC\Dossiers\2018\Dir%20H\H1\Comptence%20Center\revised%20comp%20centre\SWD_IA_part%203_mapping%20study.docx" TargetMode="External"/><Relationship Id="rId145" Type="http://schemas.openxmlformats.org/officeDocument/2006/relationships/hyperlink" Target="file:///U:\PRODEC\Dossiers\2018\Dir%20H\H1\Comptence%20Center\revised%20comp%20centre\SWD_IA_part%203_mapping%20study.docx" TargetMode="External"/><Relationship Id="rId161" Type="http://schemas.openxmlformats.org/officeDocument/2006/relationships/image" Target="media/image62.png"/><Relationship Id="rId16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header" Target="header6.xml"/><Relationship Id="rId36" Type="http://schemas.openxmlformats.org/officeDocument/2006/relationships/hyperlink" Target="file:///U:\PRODEC\Dossiers\2018\Dir%20H\H1\Comptence%20Center\revised%20comp%20centre\SWD_IA_part%203_mapping%20study.docx" TargetMode="External"/><Relationship Id="rId49" Type="http://schemas.openxmlformats.org/officeDocument/2006/relationships/hyperlink" Target="file:///U:\PRODEC\Dossiers\2018\Dir%20H\H1\Comptence%20Center\revised%20comp%20centre\SWD_IA_part%203_mapping%20study.docx" TargetMode="External"/><Relationship Id="rId57" Type="http://schemas.openxmlformats.org/officeDocument/2006/relationships/header" Target="header11.xml"/><Relationship Id="rId106" Type="http://schemas.openxmlformats.org/officeDocument/2006/relationships/image" Target="media/image49.png"/><Relationship Id="rId114" Type="http://schemas.openxmlformats.org/officeDocument/2006/relationships/image" Target="media/image57.png"/><Relationship Id="rId119" Type="http://schemas.openxmlformats.org/officeDocument/2006/relationships/hyperlink" Target="file:///U:\PRODEC\Dossiers\2018\Dir%20H\H1\Comptence%20Center\revised%20comp%20centre\SWD_IA_part%203_mapping%20study.docx" TargetMode="External"/><Relationship Id="rId127" Type="http://schemas.openxmlformats.org/officeDocument/2006/relationships/hyperlink" Target="file:///U:\PRODEC\Dossiers\2018\Dir%20H\H1\Comptence%20Center\revised%20comp%20centre\SWD_IA_part%203_mapping%20study.docx" TargetMode="External"/><Relationship Id="rId10" Type="http://schemas.openxmlformats.org/officeDocument/2006/relationships/webSettings" Target="webSettings.xml"/><Relationship Id="rId31" Type="http://schemas.openxmlformats.org/officeDocument/2006/relationships/header" Target="header8.xml"/><Relationship Id="rId44" Type="http://schemas.openxmlformats.org/officeDocument/2006/relationships/hyperlink" Target="file:///U:\PRODEC\Dossiers\2018\Dir%20H\H1\Comptence%20Center\revised%20comp%20centre\SWD_IA_part%203_mapping%20study.docx" TargetMode="External"/><Relationship Id="rId52" Type="http://schemas.openxmlformats.org/officeDocument/2006/relationships/hyperlink" Target="file:///U:\PRODEC\Dossiers\2018\Dir%20H\H1\Comptence%20Center\revised%20comp%20centre\SWD_IA_part%203_mapping%20study.docx" TargetMode="External"/><Relationship Id="rId60" Type="http://schemas.openxmlformats.org/officeDocument/2006/relationships/header" Target="header12.xml"/><Relationship Id="rId65" Type="http://schemas.openxmlformats.org/officeDocument/2006/relationships/image" Target="media/image8.png"/><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image" Target="media/image37.png"/><Relationship Id="rId99" Type="http://schemas.openxmlformats.org/officeDocument/2006/relationships/image" Target="media/image42.png"/><Relationship Id="rId101" Type="http://schemas.openxmlformats.org/officeDocument/2006/relationships/image" Target="media/image44.png"/><Relationship Id="rId122" Type="http://schemas.openxmlformats.org/officeDocument/2006/relationships/hyperlink" Target="file:///U:\PRODEC\Dossiers\2018\Dir%20H\H1\Comptence%20Center\revised%20comp%20centre\SWD_IA_part%203_mapping%20study.docx" TargetMode="External"/><Relationship Id="rId130" Type="http://schemas.openxmlformats.org/officeDocument/2006/relationships/hyperlink" Target="file:///U:\PRODEC\Dossiers\2018\Dir%20H\H1\Comptence%20Center\revised%20comp%20centre\SWD_IA_part%203_mapping%20study.docx" TargetMode="External"/><Relationship Id="rId135" Type="http://schemas.openxmlformats.org/officeDocument/2006/relationships/hyperlink" Target="file:///U:\PRODEC\Dossiers\2018\Dir%20H\H1\Comptence%20Center\revised%20comp%20centre\SWD_IA_part%203_mapping%20study.docx" TargetMode="External"/><Relationship Id="rId143" Type="http://schemas.openxmlformats.org/officeDocument/2006/relationships/hyperlink" Target="file:///U:\PRODEC\Dossiers\2018\Dir%20H\H1\Comptence%20Center\revised%20comp%20centre\SWD_IA_part%203_mapping%20study.docx" TargetMode="External"/><Relationship Id="rId148" Type="http://schemas.openxmlformats.org/officeDocument/2006/relationships/hyperlink" Target="file:///U:\PRODEC\Dossiers\2018\Dir%20H\H1\Comptence%20Center\revised%20comp%20centre\SWD_IA_part%203_mapping%20study.docx" TargetMode="External"/><Relationship Id="rId151" Type="http://schemas.openxmlformats.org/officeDocument/2006/relationships/hyperlink" Target="file:///U:\PRODEC\Dossiers\2018\Dir%20H\H1\Comptence%20Center\revised%20comp%20centre\SWD_IA_part%203_mapping%20study.docx" TargetMode="External"/><Relationship Id="rId156" Type="http://schemas.openxmlformats.org/officeDocument/2006/relationships/footer" Target="footer13.xml"/><Relationship Id="rId164" Type="http://schemas.openxmlformats.org/officeDocument/2006/relationships/footer" Target="footer16.xm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hyperlink" Target="file:///U:\PRODEC\Dossiers\2018\Dir%20H\H1\Comptence%20Center\revised%20comp%20centre\SWD_IA_part%203_mapping%20study.docx" TargetMode="External"/><Relationship Id="rId109" Type="http://schemas.openxmlformats.org/officeDocument/2006/relationships/image" Target="media/image52.png"/><Relationship Id="rId34" Type="http://schemas.openxmlformats.org/officeDocument/2006/relationships/header" Target="header9.xml"/><Relationship Id="rId50" Type="http://schemas.openxmlformats.org/officeDocument/2006/relationships/hyperlink" Target="file:///U:\PRODEC\Dossiers\2018\Dir%20H\H1\Comptence%20Center\revised%20comp%20centre\SWD_IA_part%203_mapping%20study.docx" TargetMode="External"/><Relationship Id="rId55" Type="http://schemas.openxmlformats.org/officeDocument/2006/relationships/hyperlink" Target="file:///U:\PRODEC\Dossiers\2018\Dir%20H\H1\Comptence%20Center\revised%20comp%20centre\SWD_IA_part%203_mapping%20study.docx" TargetMode="External"/><Relationship Id="rId76" Type="http://schemas.openxmlformats.org/officeDocument/2006/relationships/image" Target="media/image19.png"/><Relationship Id="rId97" Type="http://schemas.openxmlformats.org/officeDocument/2006/relationships/image" Target="media/image40.png"/><Relationship Id="rId104" Type="http://schemas.openxmlformats.org/officeDocument/2006/relationships/image" Target="media/image47.png"/><Relationship Id="rId120" Type="http://schemas.openxmlformats.org/officeDocument/2006/relationships/hyperlink" Target="file:///U:\PRODEC\Dossiers\2018\Dir%20H\H1\Comptence%20Center\revised%20comp%20centre\SWD_IA_part%203_mapping%20study.docx" TargetMode="External"/><Relationship Id="rId125" Type="http://schemas.openxmlformats.org/officeDocument/2006/relationships/hyperlink" Target="file:///U:\PRODEC\Dossiers\2018\Dir%20H\H1\Comptence%20Center\revised%20comp%20centre\SWD_IA_part%203_mapping%20study.docx" TargetMode="External"/><Relationship Id="rId141" Type="http://schemas.openxmlformats.org/officeDocument/2006/relationships/hyperlink" Target="file:///U:\PRODEC\Dossiers\2018\Dir%20H\H1\Comptence%20Center\revised%20comp%20centre\SWD_IA_part%203_mapping%20study.docx" TargetMode="External"/><Relationship Id="rId146" Type="http://schemas.openxmlformats.org/officeDocument/2006/relationships/hyperlink" Target="file:///U:\PRODEC\Dossiers\2018\Dir%20H\H1\Comptence%20Center\revised%20comp%20centre\SWD_IA_part%203_mapping%20study.docx" TargetMode="External"/><Relationship Id="rId167" Type="http://schemas.openxmlformats.org/officeDocument/2006/relationships/footer" Target="footer18.xml"/><Relationship Id="rId7" Type="http://schemas.openxmlformats.org/officeDocument/2006/relationships/styles" Target="styles.xml"/><Relationship Id="rId71" Type="http://schemas.openxmlformats.org/officeDocument/2006/relationships/image" Target="media/image14.png"/><Relationship Id="rId92" Type="http://schemas.openxmlformats.org/officeDocument/2006/relationships/image" Target="media/image35.png"/><Relationship Id="rId16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hyperlink" Target="file:///U:\PRODEC\Dossiers\2018\Dir%20H\H1\Comptence%20Center\revised%20comp%20centre\SWD_IA_part%203_mapping%20study.docx" TargetMode="External"/><Relationship Id="rId45" Type="http://schemas.openxmlformats.org/officeDocument/2006/relationships/hyperlink" Target="file:///U:\PRODEC\Dossiers\2018\Dir%20H\H1\Comptence%20Center\revised%20comp%20centre\SWD_IA_part%203_mapping%20study.docx" TargetMode="External"/><Relationship Id="rId66" Type="http://schemas.openxmlformats.org/officeDocument/2006/relationships/image" Target="media/image9.png"/><Relationship Id="rId87" Type="http://schemas.openxmlformats.org/officeDocument/2006/relationships/image" Target="media/image30.png"/><Relationship Id="rId110" Type="http://schemas.openxmlformats.org/officeDocument/2006/relationships/image" Target="media/image53.png"/><Relationship Id="rId115" Type="http://schemas.openxmlformats.org/officeDocument/2006/relationships/image" Target="media/image58.png"/><Relationship Id="rId131" Type="http://schemas.openxmlformats.org/officeDocument/2006/relationships/hyperlink" Target="file:///U:\PRODEC\Dossiers\2018\Dir%20H\H1\Comptence%20Center\revised%20comp%20centre\SWD_IA_part%203_mapping%20study.docx" TargetMode="External"/><Relationship Id="rId136" Type="http://schemas.openxmlformats.org/officeDocument/2006/relationships/hyperlink" Target="file:///U:\PRODEC\Dossiers\2018\Dir%20H\H1\Comptence%20Center\revised%20comp%20centre\SWD_IA_part%203_mapping%20study.docx" TargetMode="External"/><Relationship Id="rId157" Type="http://schemas.openxmlformats.org/officeDocument/2006/relationships/footer" Target="footer14.xml"/><Relationship Id="rId61" Type="http://schemas.openxmlformats.org/officeDocument/2006/relationships/footer" Target="footer12.xml"/><Relationship Id="rId82" Type="http://schemas.openxmlformats.org/officeDocument/2006/relationships/image" Target="media/image25.png"/><Relationship Id="rId152" Type="http://schemas.openxmlformats.org/officeDocument/2006/relationships/hyperlink" Target="file:///U:\PRODEC\Dossiers\2018\Dir%20H\H1\Comptence%20Center\revised%20comp%20centre\SWD_IA_part%203_mapping%20study.docx"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header" Target="header10.xml"/><Relationship Id="rId77" Type="http://schemas.openxmlformats.org/officeDocument/2006/relationships/image" Target="media/image20.png"/><Relationship Id="rId100" Type="http://schemas.openxmlformats.org/officeDocument/2006/relationships/image" Target="media/image43.png"/><Relationship Id="rId105" Type="http://schemas.openxmlformats.org/officeDocument/2006/relationships/image" Target="media/image48.png"/><Relationship Id="rId126" Type="http://schemas.openxmlformats.org/officeDocument/2006/relationships/hyperlink" Target="file:///U:\PRODEC\Dossiers\2018\Dir%20H\H1\Comptence%20Center\revised%20comp%20centre\SWD_IA_part%203_mapping%20study.docx" TargetMode="External"/><Relationship Id="rId147" Type="http://schemas.openxmlformats.org/officeDocument/2006/relationships/hyperlink" Target="file:///U:\PRODEC\Dossiers\2018\Dir%20H\H1\Comptence%20Center\revised%20comp%20centre\SWD_IA_part%203_mapping%20study.docx" TargetMode="External"/><Relationship Id="rId168"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hyperlink" Target="file:///U:\PRODEC\Dossiers\2018\Dir%20H\H1\Comptence%20Center\revised%20comp%20centre\SWD_IA_part%203_mapping%20study.docx" TargetMode="External"/><Relationship Id="rId72" Type="http://schemas.openxmlformats.org/officeDocument/2006/relationships/image" Target="media/image15.png"/><Relationship Id="rId93" Type="http://schemas.openxmlformats.org/officeDocument/2006/relationships/image" Target="media/image36.png"/><Relationship Id="rId98" Type="http://schemas.openxmlformats.org/officeDocument/2006/relationships/image" Target="media/image41.png"/><Relationship Id="rId121" Type="http://schemas.openxmlformats.org/officeDocument/2006/relationships/hyperlink" Target="file:///U:\PRODEC\Dossiers\2018\Dir%20H\H1\Comptence%20Center\revised%20comp%20centre\SWD_IA_part%203_mapping%20study.docx" TargetMode="External"/><Relationship Id="rId142" Type="http://schemas.openxmlformats.org/officeDocument/2006/relationships/hyperlink" Target="file:///U:\PRODEC\Dossiers\2018\Dir%20H\H1\Comptence%20Center\revised%20comp%20centre\SWD_IA_part%203_mapping%20study.docx" TargetMode="External"/><Relationship Id="rId163" Type="http://schemas.openxmlformats.org/officeDocument/2006/relationships/header" Target="header17.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hyperlink" Target="file:///U:\PRODEC\Dossiers\2018\Dir%20H\H1\Comptence%20Center\revised%20comp%20centre\SWD_IA_part%203_mapping%20study.docx" TargetMode="External"/><Relationship Id="rId67" Type="http://schemas.openxmlformats.org/officeDocument/2006/relationships/image" Target="media/image10.png"/><Relationship Id="rId116" Type="http://schemas.openxmlformats.org/officeDocument/2006/relationships/image" Target="media/image59.png"/><Relationship Id="rId137" Type="http://schemas.openxmlformats.org/officeDocument/2006/relationships/hyperlink" Target="file:///U:\PRODEC\Dossiers\2018\Dir%20H\H1\Comptence%20Center\revised%20comp%20centre\SWD_IA_part%203_mapping%20study.docx" TargetMode="External"/><Relationship Id="rId158" Type="http://schemas.openxmlformats.org/officeDocument/2006/relationships/header" Target="header15.xml"/><Relationship Id="rId20" Type="http://schemas.openxmlformats.org/officeDocument/2006/relationships/image" Target="media/image2.jpeg"/><Relationship Id="rId41" Type="http://schemas.openxmlformats.org/officeDocument/2006/relationships/hyperlink" Target="file:///U:\PRODEC\Dossiers\2018\Dir%20H\H1\Comptence%20Center\revised%20comp%20centre\SWD_IA_part%203_mapping%20study.docx" TargetMode="External"/><Relationship Id="rId62" Type="http://schemas.openxmlformats.org/officeDocument/2006/relationships/image" Target="media/image5.png"/><Relationship Id="rId83" Type="http://schemas.openxmlformats.org/officeDocument/2006/relationships/image" Target="media/image26.png"/><Relationship Id="rId88" Type="http://schemas.openxmlformats.org/officeDocument/2006/relationships/image" Target="media/image31.png"/><Relationship Id="rId111" Type="http://schemas.openxmlformats.org/officeDocument/2006/relationships/image" Target="media/image54.png"/><Relationship Id="rId132" Type="http://schemas.openxmlformats.org/officeDocument/2006/relationships/hyperlink" Target="file:///U:\PRODEC\Dossiers\2018\Dir%20H\H1\Comptence%20Center\revised%20comp%20centre\SWD_IA_part%203_mapping%20study.docx" TargetMode="External"/><Relationship Id="rId153" Type="http://schemas.openxmlformats.org/officeDocument/2006/relationships/hyperlink" Target="file:///U:\PRODEC\Dossiers\2018\Dir%20H\H1\Comptence%20Center\revised%20comp%20centre\SWD_IA_part%203_mapping%20study.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716C6D809718154B85A00D8564272987" ma:contentTypeVersion="9" ma:contentTypeDescription="Create a new document." ma:contentTypeScope="" ma:versionID="e400d484b8aebbd8e56d91cb7a208e94">
  <xsd:schema xmlns:xsd="http://www.w3.org/2001/XMLSchema" xmlns:xs="http://www.w3.org/2001/XMLSchema" xmlns:p="http://schemas.microsoft.com/office/2006/metadata/properties" xmlns:ns3="69896359-b98d-4972-ac24-787626a39a52" xmlns:ns4="866aabb8-7ec2-447a-a7ff-f911015037e7" targetNamespace="http://schemas.microsoft.com/office/2006/metadata/properties" ma:root="true" ma:fieldsID="a02399e1f5cc7de95a172560ad66efe5" ns3:_="" ns4:_="">
    <xsd:import namespace="69896359-b98d-4972-ac24-787626a39a52"/>
    <xsd:import namespace="866aabb8-7ec2-447a-a7ff-f911015037e7"/>
    <xsd:element name="properties">
      <xsd:complexType>
        <xsd:sequence>
          <xsd:element name="documentManagement">
            <xsd:complexType>
              <xsd:all>
                <xsd:element ref="ns3:EC_Collab_Reference" minOccurs="0"/>
                <xsd:element ref="ns3:EC_Collab_DocumentLanguag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96359-b98d-4972-ac24-787626a39a5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schema>
  <xsd:schema xmlns:xsd="http://www.w3.org/2001/XMLSchema" xmlns:xs="http://www.w3.org/2001/XMLSchema" xmlns:dms="http://schemas.microsoft.com/office/2006/documentManagement/types" xmlns:pc="http://schemas.microsoft.com/office/infopath/2007/PartnerControls" targetNamespace="866aabb8-7ec2-447a-a7ff-f911015037e7"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Reference xmlns="69896359-b98d-4972-ac24-787626a39a52" xsi:nil="true"/>
    <EC_Collab_DocumentLanguage xmlns="69896359-b98d-4972-ac24-787626a39a52">EN</EC_Collab_DocumentLanguage>
    <_dlc_DocId xmlns="866aabb8-7ec2-447a-a7ff-f911015037e7">UVNUSV5RWJH5-860911943-676</_dlc_DocId>
    <_dlc_DocIdUrl xmlns="866aabb8-7ec2-447a-a7ff-f911015037e7">
      <Url>https://myintracomm-collab.ec.europa.eu/dg/CONNECT/directorateH/UnitH1/_layouts/15/DocIdRedir.aspx?ID=UVNUSV5RWJH5-860911943-676</Url>
      <Description>UVNUSV5RWJH5-860911943-676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B4BC0-669D-47BF-8F28-D3FD07BC9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96359-b98d-4972-ac24-787626a39a52"/>
    <ds:schemaRef ds:uri="866aabb8-7ec2-447a-a7ff-f91101503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EC5D68-2BD3-49AC-ABE9-DA4743B532D6}">
  <ds:schemaRefs>
    <ds:schemaRef ds:uri="866aabb8-7ec2-447a-a7ff-f911015037e7"/>
    <ds:schemaRef ds:uri="http://schemas.microsoft.com/office/2006/metadata/properties"/>
    <ds:schemaRef ds:uri="http://www.w3.org/XML/1998/namespace"/>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69896359-b98d-4972-ac24-787626a39a52"/>
  </ds:schemaRefs>
</ds:datastoreItem>
</file>

<file path=customXml/itemProps3.xml><?xml version="1.0" encoding="utf-8"?>
<ds:datastoreItem xmlns:ds="http://schemas.openxmlformats.org/officeDocument/2006/customXml" ds:itemID="{789968D3-4235-4AFA-9299-5AA54B6F89BD}">
  <ds:schemaRefs>
    <ds:schemaRef ds:uri="http://schemas.microsoft.com/sharepoint/v3/contenttype/forms"/>
  </ds:schemaRefs>
</ds:datastoreItem>
</file>

<file path=customXml/itemProps4.xml><?xml version="1.0" encoding="utf-8"?>
<ds:datastoreItem xmlns:ds="http://schemas.openxmlformats.org/officeDocument/2006/customXml" ds:itemID="{CA81F117-9157-4851-A94A-6A6328771003}">
  <ds:schemaRefs>
    <ds:schemaRef ds:uri="http://schemas.microsoft.com/sharepoint/events"/>
  </ds:schemaRefs>
</ds:datastoreItem>
</file>

<file path=customXml/itemProps5.xml><?xml version="1.0" encoding="utf-8"?>
<ds:datastoreItem xmlns:ds="http://schemas.openxmlformats.org/officeDocument/2006/customXml" ds:itemID="{C4BC3511-C25E-45C8-8BC7-5992406B2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Pages>
  <Words>8185</Words>
  <Characters>46982</Characters>
  <Application>Microsoft Office Word</Application>
  <DocSecurity>0</DocSecurity>
  <Lines>978</Lines>
  <Paragraphs>367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36</cp:revision>
  <cp:lastPrinted>2018-09-06T14:28:00Z</cp:lastPrinted>
  <dcterms:created xsi:type="dcterms:W3CDTF">2018-09-05T09:21:00Z</dcterms:created>
  <dcterms:modified xsi:type="dcterms:W3CDTF">2018-09-11T13:06:00Z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3</vt:lpwstr>
  </property>
  <property fmtid="{D5CDD505-2E9C-101B-9397-08002B2CF9AE}" pid="4" name="Total parts">
    <vt:lpwstr>4</vt:lpwstr>
  </property>
  <property fmtid="{D5CDD505-2E9C-101B-9397-08002B2CF9AE}" pid="5" name="DocStatus">
    <vt:lpwstr>Green</vt:lpwstr>
  </property>
  <property fmtid="{D5CDD505-2E9C-101B-9397-08002B2CF9AE}" pid="6" name="ContentTypeId">
    <vt:lpwstr>0x010100258AA79CEB83498886A3A0868112325000716C6D809718154B85A00D8564272987</vt:lpwstr>
  </property>
  <property fmtid="{D5CDD505-2E9C-101B-9397-08002B2CF9AE}" pid="7" name="_dlc_DocIdItemGuid">
    <vt:lpwstr>fe65179a-a8bc-45e7-8cd1-8a3e72b566b4</vt:lpwstr>
  </property>
  <property fmtid="{D5CDD505-2E9C-101B-9397-08002B2CF9AE}" pid="8" name="Last edited using">
    <vt:lpwstr>LW 6.0.1, Build 20180503</vt:lpwstr>
  </property>
  <property fmtid="{D5CDD505-2E9C-101B-9397-08002B2CF9AE}" pid="9" name="Created using">
    <vt:lpwstr>LW 6.0.1, Build 20180503</vt:lpwstr>
  </property>
</Properties>
</file>