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FC35F7E-CE61-461B-B8DB-BC74E57BE468" style="width:450.75pt;height:392.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Liste des actes délégués et des actes d’exécution adoptés/à adopter par la Commission conformément au quatrième paquet ferroviaire</w:t>
      </w:r>
    </w:p>
    <w:p>
      <w:pPr>
        <w:spacing w:after="0" w:line="240" w:lineRule="auto"/>
        <w:jc w:val="center"/>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rPr>
          <w:rFonts w:ascii="Times New Roman" w:hAnsi="Times New Roman" w:cs="Times New Roman"/>
          <w:b/>
          <w:noProof/>
          <w:sz w:val="24"/>
        </w:rPr>
      </w:pPr>
      <w:r>
        <w:rPr>
          <w:rFonts w:ascii="Times New Roman" w:hAnsi="Times New Roman"/>
          <w:b/>
          <w:noProof/>
          <w:sz w:val="24"/>
        </w:rPr>
        <w:t>1. Actes délégués et actes d'exécution adoptés</w:t>
      </w:r>
    </w:p>
    <w:p>
      <w:pPr>
        <w:pStyle w:val="ListParagraph"/>
        <w:numPr>
          <w:ilvl w:val="0"/>
          <w:numId w:val="1"/>
        </w:numPr>
        <w:spacing w:after="120" w:line="240" w:lineRule="auto"/>
        <w:contextualSpacing w:val="0"/>
        <w:jc w:val="both"/>
        <w:rPr>
          <w:rFonts w:ascii="Times New Roman" w:eastAsia="Times New Roman" w:hAnsi="Times New Roman" w:cs="Times New Roman"/>
          <w:bCs/>
          <w:noProof/>
          <w:sz w:val="24"/>
          <w:szCs w:val="24"/>
        </w:rPr>
      </w:pPr>
      <w:r>
        <w:rPr>
          <w:rFonts w:ascii="Times New Roman" w:hAnsi="Times New Roman"/>
          <w:noProof/>
          <w:sz w:val="24"/>
        </w:rPr>
        <w:t>Décision déléguée (UE) 2017/1474 de la Commission du 8 juin 2017 complétant la directive (UE) 2016/797 du Parlement européen et du Conseil relativement aux objectifs spécifiques pour l'élaboration, l'adoption et la révision des spécifications techniques d'interopérabilité</w:t>
      </w:r>
      <w:r>
        <w:rPr>
          <w:rStyle w:val="FootnoteReference"/>
          <w:rFonts w:ascii="Times New Roman" w:hAnsi="Times New Roman"/>
          <w:noProof/>
          <w:sz w:val="24"/>
        </w:rPr>
        <w:footnoteReference w:id="1"/>
      </w:r>
    </w:p>
    <w:p>
      <w:pPr>
        <w:pStyle w:val="ListParagraph"/>
        <w:numPr>
          <w:ilvl w:val="0"/>
          <w:numId w:val="1"/>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Règlement d'exécution</w:t>
      </w:r>
      <w:r>
        <w:rPr>
          <w:rStyle w:val="Strong"/>
          <w:rFonts w:ascii="Times New Roman" w:hAnsi="Times New Roman"/>
          <w:b w:val="0"/>
          <w:noProof/>
          <w:sz w:val="24"/>
        </w:rPr>
        <w:t xml:space="preserve"> (UE) 2018/763 de la Commission du 9 avril 2018</w:t>
      </w:r>
      <w:r>
        <w:rPr>
          <w:rFonts w:ascii="Times New Roman" w:hAnsi="Times New Roman"/>
          <w:noProof/>
          <w:sz w:val="24"/>
        </w:rPr>
        <w:t xml:space="preserve"> établissant les modalités pratiques de la délivrance des certificats de sécurité uniques aux entreprises ferroviaires en application de la directive (UE) 2016/798 du Parlement européen et du Conseil, et abrogeant le règlement (CE) n° 653/2007 de la Commission</w:t>
      </w:r>
      <w:r>
        <w:rPr>
          <w:rStyle w:val="FootnoteReference"/>
          <w:rFonts w:ascii="Times New Roman" w:hAnsi="Times New Roman"/>
          <w:noProof/>
          <w:sz w:val="24"/>
        </w:rPr>
        <w:footnoteReference w:id="2"/>
      </w:r>
    </w:p>
    <w:p>
      <w:pPr>
        <w:pStyle w:val="ListParagraph"/>
        <w:numPr>
          <w:ilvl w:val="0"/>
          <w:numId w:val="1"/>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Règlement d'exécution (UE) 2018/545 de la Commission du 4 avril 2018 établissant les modalités pratiques du processus d'autorisation des véhicules ferroviaires et d'autorisation par type de véhicule ferroviaire conformément à la directive (UE) 2016/797 du Parlement européen et du Conseil</w:t>
      </w:r>
      <w:r>
        <w:rPr>
          <w:rStyle w:val="FootnoteReference"/>
          <w:rFonts w:ascii="Times New Roman" w:hAnsi="Times New Roman"/>
          <w:noProof/>
          <w:sz w:val="24"/>
        </w:rPr>
        <w:footnoteReference w:id="3"/>
      </w:r>
    </w:p>
    <w:p>
      <w:pPr>
        <w:pStyle w:val="ListParagraph"/>
        <w:numPr>
          <w:ilvl w:val="0"/>
          <w:numId w:val="1"/>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Règlement d'exécution (UE) 2018/764 de la Commission du 2 mai 2018 sur les droits et redevances dus à l'Agence de l'Union européenne pour les chemins de fer et leurs conditions de paiement</w:t>
      </w:r>
      <w:r>
        <w:rPr>
          <w:rStyle w:val="FootnoteReference"/>
          <w:rFonts w:ascii="Times New Roman" w:hAnsi="Times New Roman"/>
          <w:noProof/>
          <w:sz w:val="24"/>
        </w:rPr>
        <w:footnoteReference w:id="4"/>
      </w:r>
    </w:p>
    <w:p>
      <w:pPr>
        <w:pStyle w:val="ListParagraph"/>
        <w:numPr>
          <w:ilvl w:val="0"/>
          <w:numId w:val="1"/>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Règlement d’exécution (UE) 2018/867 de la Commission du 13 juin 2018 établissant le règlement intérieur de la ou des chambres de recours de l’Agence de l’Union européenne pour les chemins de fer</w:t>
      </w:r>
      <w:r>
        <w:rPr>
          <w:rStyle w:val="FootnoteReference"/>
          <w:rFonts w:ascii="Times New Roman" w:hAnsi="Times New Roman"/>
          <w:noProof/>
          <w:sz w:val="24"/>
        </w:rPr>
        <w:footnoteReference w:id="5"/>
      </w:r>
    </w:p>
    <w:p>
      <w:pPr>
        <w:pStyle w:val="ListParagraph"/>
        <w:numPr>
          <w:ilvl w:val="0"/>
          <w:numId w:val="1"/>
        </w:numPr>
        <w:spacing w:after="120" w:line="240" w:lineRule="auto"/>
        <w:contextualSpacing w:val="0"/>
        <w:jc w:val="both"/>
        <w:rPr>
          <w:rFonts w:ascii="Times New Roman" w:eastAsia="Calibri" w:hAnsi="Times New Roman" w:cs="Times New Roman"/>
          <w:noProof/>
          <w:sz w:val="24"/>
          <w:szCs w:val="24"/>
        </w:rPr>
      </w:pPr>
      <w:r>
        <w:rPr>
          <w:rFonts w:ascii="Times New Roman" w:hAnsi="Times New Roman"/>
          <w:noProof/>
          <w:sz w:val="24"/>
        </w:rPr>
        <w:t xml:space="preserve">Règlement délégué </w:t>
      </w:r>
      <w:r>
        <w:rPr>
          <w:rStyle w:val="Strong"/>
          <w:rFonts w:ascii="Times New Roman" w:hAnsi="Times New Roman"/>
          <w:b w:val="0"/>
          <w:noProof/>
          <w:sz w:val="24"/>
        </w:rPr>
        <w:t>(UE) 2018/762 de la Commission du 8 mars 2018</w:t>
      </w:r>
      <w:r>
        <w:rPr>
          <w:rFonts w:ascii="Times New Roman" w:hAnsi="Times New Roman"/>
          <w:noProof/>
          <w:sz w:val="24"/>
        </w:rPr>
        <w:t xml:space="preserve"> établissant des méthodes de sécurité communes relatives aux exigences en matière de système de gestion de la sécurité conformément à la directive (UE) 2016/798 du Parlement européen et du Conseil et abrogeant les règlements de la Commission (UE) n° 1158/2010 et (UE) n° 1169/2010</w:t>
      </w:r>
      <w:r>
        <w:rPr>
          <w:rStyle w:val="FootnoteReference"/>
          <w:rFonts w:ascii="Times New Roman" w:hAnsi="Times New Roman"/>
          <w:noProof/>
          <w:sz w:val="24"/>
        </w:rPr>
        <w:footnoteReference w:id="6"/>
      </w:r>
    </w:p>
    <w:p>
      <w:pPr>
        <w:pStyle w:val="ListParagraph"/>
        <w:numPr>
          <w:ilvl w:val="0"/>
          <w:numId w:val="1"/>
        </w:numPr>
        <w:spacing w:after="120" w:line="240" w:lineRule="auto"/>
        <w:contextualSpacing w:val="0"/>
        <w:jc w:val="both"/>
        <w:rPr>
          <w:rFonts w:ascii="Times New Roman" w:eastAsia="Calibri" w:hAnsi="Times New Roman" w:cs="Times New Roman"/>
          <w:noProof/>
          <w:sz w:val="24"/>
          <w:szCs w:val="24"/>
        </w:rPr>
      </w:pPr>
      <w:r>
        <w:rPr>
          <w:rFonts w:ascii="Times New Roman" w:hAnsi="Times New Roman"/>
          <w:noProof/>
          <w:sz w:val="24"/>
        </w:rPr>
        <w:t xml:space="preserve">Règlement délégué </w:t>
      </w:r>
      <w:r>
        <w:rPr>
          <w:rStyle w:val="Strong"/>
          <w:rFonts w:ascii="Times New Roman" w:hAnsi="Times New Roman"/>
          <w:b w:val="0"/>
          <w:noProof/>
          <w:sz w:val="24"/>
        </w:rPr>
        <w:t>(UE) 2018/761 de la Commission du 16 février 2018</w:t>
      </w:r>
      <w:r>
        <w:rPr>
          <w:rFonts w:ascii="Times New Roman" w:hAnsi="Times New Roman"/>
          <w:noProof/>
          <w:sz w:val="24"/>
        </w:rPr>
        <w:t xml:space="preserve"> établissant des méthodes de sécurité communes aux fins de la surveillance exercée par les autorités nationales de sécurité après la délivrance d'un certificat de sécurité unique ou d'un agrément de sécurité conformément à la directive (UE) 2016/798 du Parlement européen et du Conseil et abrogeant le règlement (UE) n° 1077/2012 de la Commission</w:t>
      </w:r>
      <w:r>
        <w:rPr>
          <w:rStyle w:val="FootnoteReference"/>
          <w:rFonts w:ascii="Times New Roman" w:hAnsi="Times New Roman"/>
          <w:noProof/>
          <w:sz w:val="24"/>
        </w:rPr>
        <w:footnoteReference w:id="7"/>
      </w:r>
    </w:p>
    <w:p>
      <w:pPr>
        <w:pStyle w:val="ListParagraph"/>
        <w:numPr>
          <w:ilvl w:val="0"/>
          <w:numId w:val="1"/>
        </w:numPr>
        <w:spacing w:after="0" w:line="240" w:lineRule="auto"/>
        <w:ind w:left="357" w:hanging="357"/>
        <w:jc w:val="both"/>
        <w:rPr>
          <w:rFonts w:ascii="Times New Roman" w:eastAsia="Calibri" w:hAnsi="Times New Roman" w:cs="Times New Roman"/>
          <w:noProof/>
          <w:sz w:val="24"/>
          <w:szCs w:val="24"/>
        </w:rPr>
      </w:pPr>
      <w:r>
        <w:rPr>
          <w:rFonts w:ascii="Times New Roman" w:hAnsi="Times New Roman"/>
          <w:noProof/>
          <w:sz w:val="24"/>
        </w:rPr>
        <w:t>Recommandation de la Commission du 18 juillet 2018 concernant des orientations pour la mise en œuvre harmonisée du système européen de gestion du trafic ferroviaire dans l’Union</w:t>
      </w:r>
      <w:r>
        <w:rPr>
          <w:rStyle w:val="FootnoteReference"/>
          <w:rFonts w:ascii="Times New Roman" w:hAnsi="Times New Roman"/>
          <w:noProof/>
          <w:sz w:val="24"/>
        </w:rPr>
        <w:footnoteReference w:id="8"/>
      </w:r>
    </w:p>
    <w:p>
      <w:pPr>
        <w:rPr>
          <w:rFonts w:ascii="Times New Roman" w:hAnsi="Times New Roman" w:cs="Times New Roman"/>
          <w:noProof/>
          <w:sz w:val="24"/>
        </w:rPr>
      </w:pPr>
    </w:p>
    <w:p>
      <w:pPr>
        <w:keepNext/>
        <w:rPr>
          <w:rFonts w:ascii="Times New Roman" w:hAnsi="Times New Roman" w:cs="Times New Roman"/>
          <w:b/>
          <w:noProof/>
          <w:sz w:val="24"/>
        </w:rPr>
      </w:pPr>
      <w:r>
        <w:rPr>
          <w:rFonts w:ascii="Times New Roman" w:hAnsi="Times New Roman"/>
          <w:b/>
          <w:noProof/>
          <w:sz w:val="24"/>
        </w:rPr>
        <w:t>2. Actes délégués et actes d’exécution à adopter</w:t>
      </w:r>
    </w:p>
    <w:p>
      <w:pPr>
        <w:pStyle w:val="ListParagraph"/>
        <w:numPr>
          <w:ilvl w:val="0"/>
          <w:numId w:val="3"/>
        </w:numPr>
        <w:spacing w:after="120" w:line="240" w:lineRule="auto"/>
        <w:contextualSpacing w:val="0"/>
        <w:jc w:val="both"/>
        <w:rPr>
          <w:rFonts w:ascii="Times New Roman" w:eastAsia="Calibri" w:hAnsi="Times New Roman" w:cs="Times New Roman"/>
          <w:noProof/>
          <w:sz w:val="24"/>
          <w:szCs w:val="24"/>
        </w:rPr>
      </w:pPr>
      <w:r>
        <w:rPr>
          <w:rFonts w:ascii="Times New Roman" w:hAnsi="Times New Roman"/>
          <w:noProof/>
          <w:sz w:val="24"/>
        </w:rPr>
        <w:t>Projet d’acte d’exécution de la Commission sur les spécifications des registres nationaux et européen des véhicules</w:t>
      </w:r>
    </w:p>
    <w:p>
      <w:pPr>
        <w:pStyle w:val="ListParagraph"/>
        <w:numPr>
          <w:ilvl w:val="0"/>
          <w:numId w:val="3"/>
        </w:numPr>
        <w:spacing w:after="120" w:line="240" w:lineRule="auto"/>
        <w:contextualSpacing w:val="0"/>
        <w:jc w:val="both"/>
        <w:rPr>
          <w:rFonts w:ascii="Times New Roman" w:eastAsia="Calibri" w:hAnsi="Times New Roman" w:cs="Times New Roman"/>
          <w:noProof/>
          <w:sz w:val="24"/>
          <w:szCs w:val="24"/>
        </w:rPr>
      </w:pPr>
      <w:r>
        <w:rPr>
          <w:rFonts w:ascii="Times New Roman" w:hAnsi="Times New Roman"/>
          <w:noProof/>
          <w:sz w:val="24"/>
        </w:rPr>
        <w:t>Projet d’acte d’exécution de la Commission sur le modèle pour la déclaration «CE» de vérification</w:t>
      </w:r>
    </w:p>
    <w:p>
      <w:pPr>
        <w:pStyle w:val="ListParagraph"/>
        <w:numPr>
          <w:ilvl w:val="0"/>
          <w:numId w:val="3"/>
        </w:numPr>
        <w:spacing w:after="120" w:line="240" w:lineRule="auto"/>
        <w:contextualSpacing w:val="0"/>
        <w:jc w:val="both"/>
        <w:rPr>
          <w:rFonts w:ascii="Times New Roman" w:eastAsia="Calibri" w:hAnsi="Times New Roman" w:cs="Times New Roman"/>
          <w:noProof/>
          <w:sz w:val="24"/>
          <w:szCs w:val="24"/>
        </w:rPr>
      </w:pPr>
      <w:r>
        <w:rPr>
          <w:rFonts w:ascii="Times New Roman" w:hAnsi="Times New Roman"/>
          <w:noProof/>
          <w:sz w:val="24"/>
        </w:rPr>
        <w:t>Projet d’acte d’exécution de la Commission sur la révision du règlement relatif aux entités chargées de l’entretien (ECE) et l’extension à d’autres véhicules</w:t>
      </w:r>
    </w:p>
    <w:p>
      <w:pPr>
        <w:pStyle w:val="ListParagraph"/>
        <w:numPr>
          <w:ilvl w:val="0"/>
          <w:numId w:val="3"/>
        </w:numPr>
        <w:spacing w:after="120" w:line="240" w:lineRule="auto"/>
        <w:contextualSpacing w:val="0"/>
        <w:jc w:val="both"/>
        <w:rPr>
          <w:rFonts w:ascii="Times New Roman" w:eastAsia="Calibri" w:hAnsi="Times New Roman" w:cs="Times New Roman"/>
          <w:noProof/>
          <w:sz w:val="24"/>
          <w:szCs w:val="24"/>
        </w:rPr>
      </w:pPr>
      <w:r>
        <w:rPr>
          <w:rFonts w:ascii="Times New Roman" w:hAnsi="Times New Roman"/>
          <w:noProof/>
          <w:sz w:val="24"/>
        </w:rPr>
        <w:t>Projet de décision de la Commission établissant une liste d’experts qualifiés désignés par le conseil d’administration de l’Agence en tant que membres de la chambre de recours de l’Agence</w:t>
      </w:r>
    </w:p>
    <w:p>
      <w:pPr>
        <w:pStyle w:val="ListParagraph"/>
        <w:numPr>
          <w:ilvl w:val="0"/>
          <w:numId w:val="3"/>
        </w:numPr>
        <w:spacing w:after="120" w:line="240" w:lineRule="auto"/>
        <w:contextualSpacing w:val="0"/>
        <w:jc w:val="both"/>
        <w:rPr>
          <w:rFonts w:ascii="Times New Roman" w:eastAsia="Calibri" w:hAnsi="Times New Roman" w:cs="Times New Roman"/>
          <w:noProof/>
          <w:sz w:val="24"/>
          <w:szCs w:val="24"/>
        </w:rPr>
      </w:pPr>
      <w:r>
        <w:rPr>
          <w:rFonts w:ascii="Times New Roman" w:hAnsi="Times New Roman"/>
          <w:noProof/>
          <w:sz w:val="24"/>
        </w:rPr>
        <w:t>Projet d’acte d’exécution sur la classification des règles nationales</w:t>
      </w:r>
    </w:p>
    <w:p>
      <w:pPr>
        <w:pStyle w:val="ListParagraph"/>
        <w:numPr>
          <w:ilvl w:val="0"/>
          <w:numId w:val="3"/>
        </w:numPr>
        <w:spacing w:after="120" w:line="240" w:lineRule="auto"/>
        <w:contextualSpacing w:val="0"/>
        <w:jc w:val="both"/>
        <w:rPr>
          <w:rFonts w:ascii="Times New Roman" w:eastAsia="Calibri" w:hAnsi="Times New Roman" w:cs="Times New Roman"/>
          <w:noProof/>
          <w:sz w:val="24"/>
          <w:szCs w:val="24"/>
        </w:rPr>
      </w:pPr>
      <w:r>
        <w:rPr>
          <w:rFonts w:ascii="Times New Roman" w:hAnsi="Times New Roman"/>
          <w:noProof/>
          <w:sz w:val="24"/>
        </w:rPr>
        <w:t>Projet d’acte d’exécution de la Commission sur le registre de l’infrastructure (RINF)</w:t>
      </w:r>
    </w:p>
    <w:p>
      <w:pPr>
        <w:pStyle w:val="ListParagraph"/>
        <w:numPr>
          <w:ilvl w:val="0"/>
          <w:numId w:val="3"/>
        </w:numPr>
        <w:spacing w:after="120" w:line="240" w:lineRule="auto"/>
        <w:contextualSpacing w:val="0"/>
        <w:jc w:val="both"/>
        <w:rPr>
          <w:rFonts w:ascii="Times New Roman" w:eastAsia="Calibri" w:hAnsi="Times New Roman" w:cs="Times New Roman"/>
          <w:noProof/>
          <w:sz w:val="24"/>
          <w:szCs w:val="24"/>
        </w:rPr>
      </w:pPr>
      <w:r>
        <w:rPr>
          <w:rFonts w:ascii="Times New Roman" w:hAnsi="Times New Roman"/>
          <w:noProof/>
          <w:sz w:val="24"/>
        </w:rPr>
        <w:t xml:space="preserve">Projet d’acte d’exécution de la Commission sur la modification des STI LOC &amp; PAS, WAG, INF, ENE, CCS, SRT, NOI et ERATV </w:t>
      </w:r>
    </w:p>
    <w:p>
      <w:pPr>
        <w:pStyle w:val="ListParagraph"/>
        <w:numPr>
          <w:ilvl w:val="0"/>
          <w:numId w:val="3"/>
        </w:numPr>
        <w:spacing w:after="120" w:line="240" w:lineRule="auto"/>
        <w:contextualSpacing w:val="0"/>
        <w:jc w:val="both"/>
        <w:rPr>
          <w:rFonts w:ascii="Times New Roman" w:eastAsia="Calibri" w:hAnsi="Times New Roman" w:cs="Times New Roman"/>
          <w:noProof/>
          <w:sz w:val="24"/>
          <w:szCs w:val="24"/>
        </w:rPr>
      </w:pPr>
      <w:r>
        <w:rPr>
          <w:rFonts w:ascii="Times New Roman" w:hAnsi="Times New Roman"/>
          <w:noProof/>
          <w:sz w:val="24"/>
        </w:rPr>
        <w:t>Projet d’acte d’exécution de la Commission sur la modification de la STI OPE.</w:t>
      </w:r>
    </w:p>
    <w:p>
      <w:pPr>
        <w:spacing w:after="0" w:line="240" w:lineRule="auto"/>
        <w:jc w:val="both"/>
        <w:rPr>
          <w:rFonts w:ascii="Times New Roman" w:hAnsi="Times New Roman" w:cs="Times New Roman"/>
          <w:noProof/>
          <w:color w:val="000000"/>
          <w:sz w:val="24"/>
          <w:szCs w:val="24"/>
        </w:rPr>
      </w:pPr>
    </w:p>
    <w:p>
      <w:pPr>
        <w:rPr>
          <w:rFonts w:ascii="Times New Roman" w:hAnsi="Times New Roman" w:cs="Times New Roman"/>
          <w:noProof/>
          <w:sz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32746875"/>
      <w:docPartObj>
        <w:docPartGallery w:val="Page Numbers (Bottom of Page)"/>
        <w:docPartUnique/>
      </w:docPartObj>
    </w:sdtPr>
    <w:sdtEndPr>
      <w:rPr>
        <w:noProof/>
      </w:rPr>
    </w:sdtEndPr>
    <w:sdtContent>
      <w:p>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noProof/>
            <w:sz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JO L 210 du 15.8.2017, p. 5.</w:t>
      </w:r>
    </w:p>
  </w:footnote>
  <w:footnote w:id="2">
    <w:p>
      <w:pPr>
        <w:pStyle w:val="FootnoteText"/>
        <w:rPr>
          <w:lang w:val="pl-PL"/>
        </w:rPr>
      </w:pPr>
      <w:r>
        <w:rPr>
          <w:rStyle w:val="FootnoteReference"/>
        </w:rPr>
        <w:footnoteRef/>
      </w:r>
      <w:r>
        <w:t xml:space="preserve"> </w:t>
      </w:r>
      <w:r>
        <w:rPr>
          <w:rFonts w:ascii="Times New Roman" w:hAnsi="Times New Roman"/>
        </w:rPr>
        <w:t>JO L 129 du 25.5.2018, p. 49.</w:t>
      </w:r>
    </w:p>
  </w:footnote>
  <w:footnote w:id="3">
    <w:p>
      <w:pPr>
        <w:pStyle w:val="FootnoteText"/>
        <w:rPr>
          <w:rFonts w:ascii="Times New Roman" w:hAnsi="Times New Roman" w:cs="Times New Roman"/>
          <w:lang w:val="pl-PL"/>
        </w:rPr>
      </w:pPr>
      <w:r>
        <w:rPr>
          <w:rStyle w:val="FootnoteReference"/>
          <w:rFonts w:ascii="Times New Roman" w:hAnsi="Times New Roman"/>
        </w:rPr>
        <w:footnoteRef/>
      </w:r>
      <w:r>
        <w:rPr>
          <w:rFonts w:ascii="Times New Roman" w:hAnsi="Times New Roman"/>
        </w:rPr>
        <w:t xml:space="preserve"> JO L 90 du 6.4.2018, p. 66.</w:t>
      </w:r>
    </w:p>
  </w:footnote>
  <w:footnote w:id="4">
    <w:p>
      <w:pPr>
        <w:pStyle w:val="FootnoteText"/>
      </w:pPr>
      <w:r>
        <w:rPr>
          <w:rStyle w:val="FootnoteReference"/>
        </w:rPr>
        <w:footnoteRef/>
      </w:r>
      <w:r>
        <w:t xml:space="preserve"> </w:t>
      </w:r>
      <w:r>
        <w:rPr>
          <w:rFonts w:ascii="Times New Roman" w:hAnsi="Times New Roman"/>
        </w:rPr>
        <w:t>JO L 129 du 25.5.2018, p. 68.</w:t>
      </w:r>
    </w:p>
  </w:footnote>
  <w:footnote w:id="5">
    <w:p>
      <w:pPr>
        <w:pStyle w:val="FootnoteText"/>
        <w:rPr>
          <w:rFonts w:ascii="Times New Roman" w:hAnsi="Times New Roman" w:cs="Times New Roman"/>
        </w:rPr>
      </w:pPr>
      <w:r>
        <w:rPr>
          <w:rStyle w:val="FootnoteReference"/>
        </w:rPr>
        <w:footnoteRef/>
      </w:r>
      <w:r>
        <w:t xml:space="preserve"> </w:t>
      </w:r>
      <w:r>
        <w:rPr>
          <w:rFonts w:ascii="Times New Roman" w:hAnsi="Times New Roman"/>
        </w:rPr>
        <w:t>JO L 149 du 14.6.2018, p. 3.</w:t>
      </w:r>
    </w:p>
  </w:footnote>
  <w:footnote w:id="6">
    <w:p>
      <w:pPr>
        <w:pStyle w:val="FootnoteText"/>
      </w:pPr>
      <w:r>
        <w:rPr>
          <w:rStyle w:val="FootnoteReference"/>
        </w:rPr>
        <w:footnoteRef/>
      </w:r>
      <w:r>
        <w:t xml:space="preserve"> </w:t>
      </w:r>
      <w:r>
        <w:rPr>
          <w:rFonts w:ascii="Times New Roman" w:hAnsi="Times New Roman"/>
        </w:rPr>
        <w:t>JO L 129 du 25.5.2018, p. 26.</w:t>
      </w:r>
    </w:p>
  </w:footnote>
  <w:footnote w:id="7">
    <w:p>
      <w:pPr>
        <w:pStyle w:val="FootnoteText"/>
      </w:pPr>
      <w:r>
        <w:rPr>
          <w:rStyle w:val="FootnoteReference"/>
        </w:rPr>
        <w:footnoteRef/>
      </w:r>
      <w:r>
        <w:rPr>
          <w:rFonts w:ascii="Times New Roman" w:hAnsi="Times New Roman"/>
        </w:rPr>
        <w:t xml:space="preserve"> JO L 129 du 25.5.2018, p. 16.</w:t>
      </w:r>
    </w:p>
  </w:footnote>
  <w:footnote w:id="8">
    <w:p>
      <w:pPr>
        <w:pStyle w:val="FootnoteText"/>
        <w:rPr>
          <w:rFonts w:ascii="Times New Roman" w:hAnsi="Times New Roman" w:cs="Times New Roman"/>
        </w:rPr>
      </w:pPr>
      <w:r>
        <w:rPr>
          <w:rStyle w:val="FootnoteReference"/>
        </w:rPr>
        <w:footnoteRef/>
      </w:r>
      <w:r>
        <w:t xml:space="preserve"> </w:t>
      </w:r>
      <w:r>
        <w:rPr>
          <w:rFonts w:ascii="Times New Roman" w:hAnsi="Times New Roman"/>
        </w:rPr>
        <w:t>JO C 253 du 19.7.2018,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5AE5"/>
    <w:multiLevelType w:val="multilevel"/>
    <w:tmpl w:val="370E93F2"/>
    <w:lvl w:ilvl="0">
      <w:start w:val="1"/>
      <w:numFmt w:val="decimal"/>
      <w:lvlText w:val="%1."/>
      <w:lvlJc w:val="left"/>
      <w:pPr>
        <w:ind w:left="360" w:hanging="360"/>
      </w:pPr>
      <w:rPr>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35F4821"/>
    <w:multiLevelType w:val="hybridMultilevel"/>
    <w:tmpl w:val="9EC8EB8A"/>
    <w:lvl w:ilvl="0" w:tplc="09B26F3A">
      <w:start w:val="1"/>
      <w:numFmt w:val="bullet"/>
      <w:lvlText w:val=""/>
      <w:lvlJc w:val="left"/>
      <w:pPr>
        <w:ind w:left="360" w:hanging="360"/>
      </w:pPr>
      <w:rPr>
        <w:rFonts w:ascii="Symbol" w:hAnsi="Symbol" w:hint="default"/>
      </w:rPr>
    </w:lvl>
    <w:lvl w:ilvl="1" w:tplc="49CEE05C">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D335997"/>
    <w:multiLevelType w:val="hybridMultilevel"/>
    <w:tmpl w:val="64C68616"/>
    <w:lvl w:ilvl="0" w:tplc="09B26F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1"/>
    <w:docVar w:name="LW_ANNEX_UNIQUE" w:val="1"/>
    <w:docVar w:name="LW_CORRIGENDUM" w:val="&lt;UNUSED&gt;"/>
    <w:docVar w:name="LW_COVERPAGE_EXISTS" w:val="True"/>
    <w:docVar w:name="LW_COVERPAGE_GUID" w:val="7FC35F7E-CE61-461B-B8DB-BC74E57BE468"/>
    <w:docVar w:name="LW_COVERPAGE_TYPE" w:val="1"/>
    <w:docVar w:name="LW_CROSSREFERENCE" w:val="&lt;UNUSED&gt;"/>
    <w:docVar w:name="LW_DocType" w:val="NORMAL"/>
    <w:docVar w:name="LW_EMISSION" w:val="13.9.2018"/>
    <w:docVar w:name="LW_EMISSION_ISODATE" w:val="2018-09-13"/>
    <w:docVar w:name="LW_EMISSION_LOCATION" w:val="BRX"/>
    <w:docVar w:name="LW_EMISSION_PREFIX" w:val="Bruxelles, le "/>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concernant les progrès réalisés pour préparer le renforcement du rôle de l\u8217?Agence de l\u8217?Union européenne pour les chemins de fer en vertu de la directive (UE) 2016/797 relative à l\u8217?interopérabilité du système ferroviaire au sein de l\u8217?Union européenne"/>
    <w:docVar w:name="LW_PART_NBR" w:val="1"/>
    <w:docVar w:name="LW_PART_NBR_TOTAL" w:val="1"/>
    <w:docVar w:name="LW_REF.INST.NEW" w:val="COM"/>
    <w:docVar w:name="LW_REF.INST.NEW_ADOPTED" w:val="final"/>
    <w:docVar w:name="LW_REF.INST.NEW_TEXT" w:val="(2018) 6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eastAsiaTheme="minorHAnsi"/>
      <w:sz w:val="20"/>
      <w:szCs w:val="20"/>
      <w:lang w:eastAsia="fr-FR"/>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HAnsi"/>
      <w:lang w:eastAsia="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HAnsi"/>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HAns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Theme="minorHAns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HAns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Theme="minorHAnsi"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eastAsiaTheme="minorHAnsi"/>
      <w:sz w:val="20"/>
      <w:szCs w:val="20"/>
      <w:lang w:eastAsia="fr-FR"/>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HAnsi"/>
      <w:lang w:eastAsia="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HAnsi"/>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HAns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Theme="minorHAns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HAns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Theme="minorHAnsi"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570717">
      <w:bodyDiv w:val="1"/>
      <w:marLeft w:val="0"/>
      <w:marRight w:val="0"/>
      <w:marTop w:val="0"/>
      <w:marBottom w:val="0"/>
      <w:divBdr>
        <w:top w:val="none" w:sz="0" w:space="0" w:color="auto"/>
        <w:left w:val="none" w:sz="0" w:space="0" w:color="auto"/>
        <w:bottom w:val="none" w:sz="0" w:space="0" w:color="auto"/>
        <w:right w:val="none" w:sz="0" w:space="0" w:color="auto"/>
      </w:divBdr>
    </w:div>
    <w:div w:id="19938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6F262-90BE-4655-A37B-83176926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519</Words>
  <Characters>2850</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 Solange (MOVE)</dc:creator>
  <cp:lastModifiedBy>DIGIT/A3</cp:lastModifiedBy>
  <cp:revision>19</cp:revision>
  <dcterms:created xsi:type="dcterms:W3CDTF">2018-06-12T14:52:00Z</dcterms:created>
  <dcterms:modified xsi:type="dcterms:W3CDTF">2018-09-06T08:49:00Z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