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A08DF4-0946-4486-A9CC-67624BB2581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widowControl w:val="0"/>
        <w:shd w:val="clear" w:color="auto" w:fill="FFFFFF"/>
        <w:autoSpaceDE w:val="0"/>
        <w:autoSpaceDN w:val="0"/>
        <w:adjustRightInd w:val="0"/>
        <w:spacing w:before="230" w:after="0" w:line="269" w:lineRule="exact"/>
        <w:ind w:right="86"/>
        <w:rPr>
          <w:noProof/>
        </w:rPr>
      </w:pPr>
      <w:r>
        <w:rPr>
          <w:noProof/>
        </w:rPr>
        <w:t>Снабдяването на ЕС с определени продукти от риболов зависи до голяма степен от техния внос. През последните 21 години се наблюдава непрекъснато нарастване на тази зависимост при задоволяване на търсенето на посочените продукти. Понастоящем продукцията от риболов и аквакултури в ЕС покрива само 46 % от нуждите му. Основното предназначение на автономните търговски мерки по отношение на продуктите от риболов и аквакултури е да се даде възможност на рибопреработвателната промишленост на ЕС да внася суровини за по-нататъшна преработка от държави извън ЕС при намалени или нулеви ставки на митата. С цел да се осигурят еднакви условия на конкуренция за производителите в ЕС, следва да се вземе предвид и уязвимостта към кризи, присъща на отделни продукти от риболов на пазара на ЕС.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Инициативата е в съответствие с политиката на ЕС от последните 18 години, насочена към осигуряване на подходящо предлагане на продукти от риболов за преработвателната промишленост, и следва тази политика.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Style w:val="Text1"/>
        <w:ind w:left="0"/>
        <w:rPr>
          <w:noProof/>
        </w:rPr>
      </w:pPr>
      <w:r>
        <w:rPr>
          <w:noProof/>
          <w:color w:val="000000"/>
          <w:u w:color="000000"/>
          <w:bdr w:val="nil"/>
        </w:rPr>
        <w:t>Не е приложимо.</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за настоящото предложение е член 31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Субсидиарност (извън областите на изключителна компетентност)</w:t>
      </w:r>
    </w:p>
    <w:p>
      <w:pPr>
        <w:pBdr>
          <w:top w:val="nil"/>
          <w:left w:val="nil"/>
          <w:bottom w:val="nil"/>
          <w:right w:val="nil"/>
          <w:between w:val="nil"/>
          <w:bar w:val="nil"/>
        </w:pBdr>
        <w:spacing w:before="0" w:after="240"/>
        <w:rPr>
          <w:rFonts w:eastAsia="Arial Unicode MS"/>
          <w:noProof/>
        </w:rPr>
      </w:pPr>
      <w:r>
        <w:rPr>
          <w:noProof/>
        </w:rPr>
        <w:t>Митата по Общата митническа тарифа са от изключителната компетентност на Европейския съюз. Следователно принципът на субсидиарност не е приложим по отношение на настоящото предложение.</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Избраната политика е пропорционална, тъй като за всеки продукт се разрешава само ограничено количество с оглед на степента на използване, необходимостта от еднакви условия на конкуренция между производителите от ЕС и тези извън ЕС, добавената стойност и други търговски преференции.</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 тъй като митническият съюз представлява обща политика и затова следва да се изпълнява чрез регламент, приет от Съвета.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Консултации с производители и преработватели от ЕС и с националните компетентни органи от държавите членки бяха проведени от януари до март 2018 г. чрез изпратен от Комисията въпросник. Освен това на 24 януари Комисията представи процедурата на Консултативния съвет по пазарите, в който са представени всички заинтересовани страни (секторът и НПО). Нито една от заинтересованите страни не се изказа против запазването на автономните тарифни квоти (АТК) за продукти от риболов.</w:t>
      </w:r>
    </w:p>
    <w:p>
      <w:pPr>
        <w:pBdr>
          <w:top w:val="nil"/>
          <w:left w:val="nil"/>
          <w:bottom w:val="nil"/>
          <w:right w:val="nil"/>
          <w:between w:val="nil"/>
          <w:bar w:val="nil"/>
        </w:pBdr>
        <w:spacing w:before="0" w:after="240"/>
        <w:rPr>
          <w:rFonts w:eastAsia="Arial Unicode MS"/>
          <w:noProof/>
        </w:rPr>
      </w:pPr>
      <w:r>
        <w:rPr>
          <w:noProof/>
        </w:rPr>
        <w:t>Както обикновено, производителите от ЕС предложиха минималистичен подход (по-малки количества и по-малко продукти), докато подходът, поддържан от европейската преработвателна промишленост, беше максималистичен (по-големи количества и повече продукти). Деветте държави членки, изразили мнение, последваха становищата на съответните си сектори. Предложението на Комисията е балансирано и се основава на фактически обективен анализ на събраните данни и информация. То гарантира достатъчно конкурентно снабдяване за преработвателната промишленост на ЕС, като същевременно отчита интересите на рибопроизводителите в ЕС.</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Оценката на добавената стойност на всеки продукт, за който се прилагат АТК, беше извършена от външен консултант (EUMOFA). Тя се основава на задълбочено проучване от 2015 г., което беше потвърдило целесъобразността, съгласуваността и ефикасността на ATК. За всяка от предложените квоти са използвани данни от Евростат и QUOTA.</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беше извършена оценка на въздействието. Предложението се опира на настоящия правен акт, който изтича в края на 2018 г. Следователно не е необходимо да се извършва оценка на въздействието. Проведена беше обаче задълбочена консултация със заинтересованите страни от ЕС, преди предложението да се представи за обсъждане на работната група на Съвета с цел да бъде прието от Съвета.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въздействие върху бюджета на Комисията.</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Не е приложимо.</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2018/0326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откриване и управление на автономните тарифни квоти на Съюза за определени продукти от риболов за периода 2019—2020 година</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Снабдяването на Съюза с определени продукти от риболов понастоящем зависи от вноса от трети държави. През последните 21 години се наблюдава непрекъснато нарастване на тази зависимост при задоволяване на търсенето на посочените продукти. С цел да не се застраши производството на продукти от риболов в Съюза и да се осигури достатъчно снабдяване за неговата преработвателна промишленост, за редица продукти от риболов митата за внос следва да бъдат суспендирани или намалени в рамките на тарифни квоти с подходящ обем.  В това отношение следва да се вземе предвид уязвимостта към кризи, присъща на отделни продукти от риболов на пазара на Съюза, за да се осигурят еднакви условия на конкуренция за производителите в Съюза.</w:t>
      </w:r>
    </w:p>
    <w:p>
      <w:pPr>
        <w:pStyle w:val="ManualConsidrant"/>
        <w:rPr>
          <w:noProof/>
        </w:rPr>
      </w:pPr>
      <w:r>
        <w:t>(2)</w:t>
      </w:r>
      <w:r>
        <w:tab/>
      </w:r>
      <w:r>
        <w:rPr>
          <w:noProof/>
        </w:rPr>
        <w:t>С Регламент (ЕС) 2015/2265 на Съвета от декември 2015 г., изменен с Регламент (ЕС) 2016/1184 от 18 юли 2016 г.</w:t>
      </w:r>
      <w:r>
        <w:rPr>
          <w:rStyle w:val="FootnoteReference"/>
          <w:noProof/>
        </w:rPr>
        <w:footnoteReference w:id="2"/>
      </w:r>
      <w:r>
        <w:rPr>
          <w:noProof/>
        </w:rPr>
        <w:t>, са открити и се управляват автономни тарифни квоти на Съюза за определени продукти от риболов за периода 2016—2018 г. Тъй като периодът на прилагане на посочения регламент изтича на 31 декември 2018 г., за периода 2019—2020 г. следва да се приеме нов регламент, с който да се предвидят тарифни квоти.</w:t>
      </w:r>
    </w:p>
    <w:p>
      <w:pPr>
        <w:pStyle w:val="ManualConsidrant"/>
        <w:rPr>
          <w:noProof/>
        </w:rPr>
      </w:pPr>
      <w:r>
        <w:t>(3)</w:t>
      </w:r>
      <w:r>
        <w:tab/>
      </w:r>
      <w:r>
        <w:rPr>
          <w:noProof/>
        </w:rPr>
        <w:t>Всички вносители от Съюза следва да разполагат с равнопоставен и непрекъснат достъп до предвидените в настоящия регламент тарифни квоти, а определените ставки за тези квоти следва да се прилагат без прекъсване до изчерпването им към всички операции по внос на съответните продукти от риболов във всички държави членки.</w:t>
      </w:r>
    </w:p>
    <w:p>
      <w:pPr>
        <w:pStyle w:val="ManualConsidrant"/>
        <w:rPr>
          <w:noProof/>
        </w:rPr>
      </w:pPr>
      <w:r>
        <w:t>(4)</w:t>
      </w:r>
      <w:r>
        <w:tab/>
      </w:r>
      <w:r>
        <w:rPr>
          <w:noProof/>
        </w:rPr>
        <w:t xml:space="preserve">Автономните тарифни квоти на Съюза се определят с оглед на нуждите на промишлеността във всички държави — членки на ЕС, включително </w:t>
      </w:r>
      <w:r>
        <w:rPr>
          <w:noProof/>
        </w:rPr>
        <w:lastRenderedPageBreak/>
        <w:t>Обединеното кралство, за периода 2019—2020 г. В регламента следва обаче да се предвиди възможността за адаптиране на наличния преференциален достъп до пазара на Съюза за продуктите, обхванати от предвидените в настоящия регламент тарифни квоти, в случай че не влязат в сила преходните разпоредби, предвидени в рамките на споразумението за оттегляне, за което се водят преговори между Европейския съюз и Обединеното кралство съгласно член 50 от Договора за Европейския съюз.</w:t>
      </w:r>
    </w:p>
    <w:p>
      <w:pPr>
        <w:pStyle w:val="ManualConsidrant"/>
        <w:rPr>
          <w:noProof/>
        </w:rPr>
      </w:pPr>
      <w:r>
        <w:t>(5)</w:t>
      </w:r>
      <w:r>
        <w:tab/>
      </w:r>
      <w:r>
        <w:rPr>
          <w:noProof/>
        </w:rPr>
        <w:t>В Регламент за изпълнение (ЕС) 2015/2447 на Комисията</w:t>
      </w:r>
      <w:r>
        <w:rPr>
          <w:rStyle w:val="FootnoteReference"/>
          <w:noProof/>
        </w:rPr>
        <w:footnoteReference w:id="3"/>
      </w:r>
      <w:r>
        <w:rPr>
          <w:noProof/>
        </w:rPr>
        <w:t xml:space="preserve"> се предвижда система за управление на тарифните квоти, която следва хронологичния ред на датите на приемане на декларациите за допускане за свободно обращение. Откритите с настоящия регламент тарифни квоти следва да бъдат управлявани от Комисията и държавите членки в съответствие с тази система,</w:t>
      </w:r>
    </w:p>
    <w:p>
      <w:pPr>
        <w:pStyle w:val="ManualConsidrant"/>
        <w:rPr>
          <w:noProof/>
          <w:color w:val="000000" w:themeColor="text1"/>
        </w:rPr>
      </w:pPr>
      <w:r>
        <w:t>(6)</w:t>
      </w:r>
      <w:r>
        <w:tab/>
      </w:r>
      <w:r>
        <w:rPr>
          <w:noProof/>
          <w:color w:val="000000" w:themeColor="text1"/>
        </w:rPr>
        <w:t xml:space="preserve">Важно е да се гарантират прозрачност, предвидимост и правна сигурност за всички заинтересовани страни. </w:t>
      </w:r>
      <w:r>
        <w:rPr>
          <w:noProof/>
        </w:rPr>
        <w:t>Тъй като целта на тарифните квоти е да се осигури достатъчно снабдяване на преработвателната промишленост в Съюза, за правото на ползване на квотите следва да се изисква минимално равнище на обработка или операция.</w:t>
      </w:r>
    </w:p>
    <w:p>
      <w:pPr>
        <w:pStyle w:val="ManualConsidrant"/>
        <w:rPr>
          <w:noProof/>
        </w:rPr>
      </w:pPr>
      <w:r>
        <w:t>(7)</w:t>
      </w:r>
      <w:r>
        <w:tab/>
      </w:r>
      <w:r>
        <w:rPr>
          <w:noProof/>
        </w:rPr>
        <w:t>За да бъде ефективно общото управление на тарифните квоти, държавите членки следва да имат право да изваждат от обема на тарифните квоти необходимите количества, които съответстват на действително извършените от тях операции по внос. Тъй като този метод на управление изисква тясно сътрудничество между държавите членки и Комисията, последната следва да може да следи темповете на изчерпване на тарифните квоти и съответно да информира държавите членки,</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Митата за внос на продуктите, изброени в приложението, се суспендират или намаляват в рамките на тарифните квоти, при ставките, за периодите и количествата, посочени в него.</w:t>
      </w:r>
    </w:p>
    <w:p>
      <w:pPr>
        <w:pStyle w:val="Titrearticle"/>
        <w:rPr>
          <w:noProof/>
        </w:rPr>
      </w:pPr>
      <w:r>
        <w:rPr>
          <w:noProof/>
        </w:rPr>
        <w:t>Член 2</w:t>
      </w:r>
    </w:p>
    <w:p>
      <w:pPr>
        <w:rPr>
          <w:noProof/>
        </w:rPr>
      </w:pPr>
      <w:r>
        <w:rPr>
          <w:noProof/>
        </w:rPr>
        <w:t>Тарифните квоти, посочени в член 1 от настоящия регламент, се управляват в съответствие с членове 49—54 от Регламент за изпълнение (ЕС) 2015/2447.</w:t>
      </w:r>
    </w:p>
    <w:p>
      <w:pPr>
        <w:pStyle w:val="Titrearticle"/>
        <w:rPr>
          <w:noProof/>
        </w:rPr>
      </w:pPr>
      <w:r>
        <w:rPr>
          <w:noProof/>
        </w:rPr>
        <w:lastRenderedPageBreak/>
        <w:t>Член 3</w:t>
      </w:r>
    </w:p>
    <w:p>
      <w:pPr>
        <w:rPr>
          <w:noProof/>
        </w:rPr>
      </w:pPr>
      <w:r>
        <w:rPr>
          <w:noProof/>
        </w:rPr>
        <w:t>По отношение на тарифните квоти се прилага митнически надзор за режим специфична употреба в съответствие с член 254 от Регламент (ЕС) № 952/2013 на Европейския парламент и на Съвета</w:t>
      </w:r>
      <w:r>
        <w:rPr>
          <w:rStyle w:val="FootnoteReference"/>
          <w:noProof/>
        </w:rPr>
        <w:footnoteReference w:id="4"/>
      </w:r>
      <w:r>
        <w:rPr>
          <w:noProof/>
        </w:rPr>
        <w:t>.</w:t>
      </w:r>
    </w:p>
    <w:p>
      <w:pPr>
        <w:pStyle w:val="Titrearticle"/>
        <w:rPr>
          <w:noProof/>
        </w:rPr>
      </w:pPr>
      <w:r>
        <w:rPr>
          <w:noProof/>
        </w:rPr>
        <w:t>Член 4</w:t>
      </w:r>
    </w:p>
    <w:p>
      <w:pPr>
        <w:pStyle w:val="ManualNumPar1"/>
        <w:rPr>
          <w:noProof/>
        </w:rPr>
      </w:pPr>
      <w:r>
        <w:rPr>
          <w:noProof/>
        </w:rPr>
        <w:t>1.</w:t>
      </w:r>
      <w:r>
        <w:rPr>
          <w:noProof/>
        </w:rPr>
        <w:tab/>
        <w:t>Суспендирането или намаляването на митата за внос се прилага само за продукти, предназначени за консумация от човека.</w:t>
      </w:r>
    </w:p>
    <w:p>
      <w:pPr>
        <w:pStyle w:val="ManualNumPar1"/>
        <w:rPr>
          <w:noProof/>
        </w:rPr>
      </w:pPr>
      <w:r>
        <w:rPr>
          <w:noProof/>
        </w:rPr>
        <w:t>2.</w:t>
      </w:r>
      <w:r>
        <w:rPr>
          <w:noProof/>
        </w:rPr>
        <w:tab/>
        <w:t>Тарифните квоти не се предоставят за продукти, чиято обработка се извършва на ниво продажба на дребно или кетъринг.</w:t>
      </w:r>
    </w:p>
    <w:p>
      <w:pPr>
        <w:pStyle w:val="ManualNumPar1"/>
        <w:rPr>
          <w:noProof/>
        </w:rPr>
      </w:pPr>
      <w:r>
        <w:rPr>
          <w:noProof/>
        </w:rPr>
        <w:t>3.</w:t>
      </w:r>
      <w:r>
        <w:rPr>
          <w:noProof/>
        </w:rPr>
        <w:tab/>
        <w:t>Тарифните квоти не се предоставят за продукти, които са предназначени единствено за една или повече от следните операции:</w:t>
      </w:r>
    </w:p>
    <w:p>
      <w:pPr>
        <w:pStyle w:val="Point1"/>
        <w:rPr>
          <w:noProof/>
        </w:rPr>
      </w:pPr>
      <w:r>
        <w:rPr>
          <w:noProof/>
        </w:rPr>
        <w:t xml:space="preserve">— </w:t>
      </w:r>
      <w:r>
        <w:rPr>
          <w:noProof/>
        </w:rPr>
        <w:tab/>
        <w:t>почистване, отстраняване на вътрешности, опашка и глава,</w:t>
      </w:r>
    </w:p>
    <w:p>
      <w:pPr>
        <w:pStyle w:val="Point1"/>
        <w:rPr>
          <w:noProof/>
        </w:rPr>
      </w:pPr>
      <w:r>
        <w:rPr>
          <w:noProof/>
        </w:rPr>
        <w:t>—</w:t>
      </w:r>
      <w:r>
        <w:rPr>
          <w:noProof/>
        </w:rPr>
        <w:tab/>
        <w:t>нарязване,</w:t>
      </w:r>
    </w:p>
    <w:p>
      <w:pPr>
        <w:pStyle w:val="Point1"/>
        <w:rPr>
          <w:noProof/>
        </w:rPr>
      </w:pPr>
      <w:r>
        <w:rPr>
          <w:noProof/>
        </w:rPr>
        <w:t xml:space="preserve">— </w:t>
      </w:r>
      <w:r>
        <w:rPr>
          <w:noProof/>
        </w:rPr>
        <w:tab/>
        <w:t>повторно пакетиране на индивидуално бързо замразени филета,</w:t>
      </w:r>
    </w:p>
    <w:p>
      <w:pPr>
        <w:pStyle w:val="Point1"/>
        <w:rPr>
          <w:noProof/>
        </w:rPr>
      </w:pPr>
      <w:r>
        <w:rPr>
          <w:noProof/>
        </w:rPr>
        <w:t xml:space="preserve">— </w:t>
      </w:r>
      <w:r>
        <w:rPr>
          <w:noProof/>
        </w:rPr>
        <w:tab/>
        <w:t>вземане на проби, сортиране,</w:t>
      </w:r>
    </w:p>
    <w:p>
      <w:pPr>
        <w:pStyle w:val="Point1"/>
        <w:rPr>
          <w:noProof/>
        </w:rPr>
      </w:pPr>
      <w:r>
        <w:rPr>
          <w:noProof/>
        </w:rPr>
        <w:t xml:space="preserve">— </w:t>
      </w:r>
      <w:r>
        <w:rPr>
          <w:noProof/>
        </w:rPr>
        <w:tab/>
        <w:t>етикетиране,</w:t>
      </w:r>
    </w:p>
    <w:p>
      <w:pPr>
        <w:pStyle w:val="Point1"/>
        <w:rPr>
          <w:noProof/>
        </w:rPr>
      </w:pPr>
      <w:r>
        <w:rPr>
          <w:noProof/>
        </w:rPr>
        <w:t>—</w:t>
      </w:r>
      <w:r>
        <w:rPr>
          <w:noProof/>
        </w:rPr>
        <w:tab/>
        <w:t>опаковане,</w:t>
      </w:r>
    </w:p>
    <w:p>
      <w:pPr>
        <w:pStyle w:val="Point1"/>
        <w:rPr>
          <w:noProof/>
        </w:rPr>
      </w:pPr>
      <w:r>
        <w:rPr>
          <w:noProof/>
        </w:rPr>
        <w:t>—</w:t>
      </w:r>
      <w:r>
        <w:rPr>
          <w:noProof/>
        </w:rPr>
        <w:tab/>
        <w:t>охлаждане,</w:t>
      </w:r>
    </w:p>
    <w:p>
      <w:pPr>
        <w:pStyle w:val="Point1"/>
        <w:rPr>
          <w:noProof/>
        </w:rPr>
      </w:pPr>
      <w:r>
        <w:rPr>
          <w:noProof/>
        </w:rPr>
        <w:t xml:space="preserve">— </w:t>
      </w:r>
      <w:r>
        <w:rPr>
          <w:noProof/>
        </w:rPr>
        <w:tab/>
        <w:t>замразяване,</w:t>
      </w:r>
    </w:p>
    <w:p>
      <w:pPr>
        <w:pStyle w:val="Point1"/>
        <w:rPr>
          <w:noProof/>
        </w:rPr>
      </w:pPr>
      <w:r>
        <w:rPr>
          <w:noProof/>
        </w:rPr>
        <w:t>—</w:t>
      </w:r>
      <w:r>
        <w:rPr>
          <w:noProof/>
        </w:rPr>
        <w:tab/>
        <w:t>дълбоко замразяване,</w:t>
      </w:r>
    </w:p>
    <w:p>
      <w:pPr>
        <w:pStyle w:val="Point1"/>
        <w:rPr>
          <w:noProof/>
        </w:rPr>
      </w:pPr>
      <w:r>
        <w:rPr>
          <w:noProof/>
        </w:rPr>
        <w:t>—</w:t>
      </w:r>
      <w:r>
        <w:rPr>
          <w:noProof/>
        </w:rPr>
        <w:tab/>
        <w:t>глазиране,</w:t>
      </w:r>
    </w:p>
    <w:p>
      <w:pPr>
        <w:pStyle w:val="Point1"/>
        <w:rPr>
          <w:noProof/>
        </w:rPr>
      </w:pPr>
      <w:r>
        <w:rPr>
          <w:noProof/>
        </w:rPr>
        <w:t>—</w:t>
      </w:r>
      <w:r>
        <w:rPr>
          <w:noProof/>
        </w:rPr>
        <w:tab/>
        <w:t>размразяване,</w:t>
      </w:r>
    </w:p>
    <w:p>
      <w:pPr>
        <w:pStyle w:val="Point1"/>
        <w:rPr>
          <w:noProof/>
        </w:rPr>
      </w:pPr>
      <w:r>
        <w:rPr>
          <w:noProof/>
        </w:rPr>
        <w:t xml:space="preserve">— </w:t>
      </w:r>
      <w:r>
        <w:rPr>
          <w:noProof/>
        </w:rPr>
        <w:tab/>
        <w:t>отделяне.</w:t>
      </w:r>
    </w:p>
    <w:p>
      <w:pPr>
        <w:pStyle w:val="ManualNumPar1"/>
        <w:rPr>
          <w:noProof/>
        </w:rPr>
      </w:pPr>
      <w:r>
        <w:rPr>
          <w:noProof/>
        </w:rPr>
        <w:t>4.</w:t>
      </w:r>
      <w:r>
        <w:rPr>
          <w:noProof/>
        </w:rPr>
        <w:tab/>
        <w:t xml:space="preserve"> Без да се засяга параграф 3, тарифните квоти се предоставят за продукти, които са предназначени за една или повече от следните операции:</w:t>
      </w:r>
    </w:p>
    <w:p>
      <w:pPr>
        <w:pStyle w:val="Point1"/>
        <w:rPr>
          <w:noProof/>
        </w:rPr>
      </w:pPr>
      <w:r>
        <w:rPr>
          <w:noProof/>
        </w:rPr>
        <w:t xml:space="preserve">— </w:t>
      </w:r>
      <w:r>
        <w:rPr>
          <w:noProof/>
        </w:rPr>
        <w:tab/>
        <w:t>нарязване на кубчета,</w:t>
      </w:r>
    </w:p>
    <w:p>
      <w:pPr>
        <w:pStyle w:val="Point1"/>
        <w:rPr>
          <w:noProof/>
        </w:rPr>
      </w:pPr>
      <w:r>
        <w:rPr>
          <w:noProof/>
        </w:rPr>
        <w:t xml:space="preserve">— </w:t>
      </w:r>
      <w:r>
        <w:rPr>
          <w:noProof/>
        </w:rPr>
        <w:tab/>
        <w:t>разрязване на кръгчета, изрязване на ленти за материали от кодове по КН 0307 43 91, 0307 43 92 и 0307 43 99,</w:t>
      </w:r>
    </w:p>
    <w:p>
      <w:pPr>
        <w:pStyle w:val="Point1"/>
        <w:rPr>
          <w:noProof/>
        </w:rPr>
      </w:pPr>
      <w:r>
        <w:rPr>
          <w:noProof/>
        </w:rPr>
        <w:t xml:space="preserve">— </w:t>
      </w:r>
      <w:r>
        <w:rPr>
          <w:noProof/>
        </w:rPr>
        <w:tab/>
        <w:t>филетиране,</w:t>
      </w:r>
    </w:p>
    <w:p>
      <w:pPr>
        <w:pStyle w:val="Point1"/>
        <w:rPr>
          <w:noProof/>
        </w:rPr>
      </w:pPr>
      <w:r>
        <w:rPr>
          <w:noProof/>
        </w:rPr>
        <w:t>—</w:t>
      </w:r>
      <w:r>
        <w:rPr>
          <w:noProof/>
        </w:rPr>
        <w:tab/>
        <w:t xml:space="preserve"> производство на половинки,</w:t>
      </w:r>
    </w:p>
    <w:p>
      <w:pPr>
        <w:pStyle w:val="Point1"/>
        <w:rPr>
          <w:noProof/>
        </w:rPr>
      </w:pPr>
      <w:r>
        <w:rPr>
          <w:noProof/>
        </w:rPr>
        <w:t>—</w:t>
      </w:r>
      <w:r>
        <w:rPr>
          <w:noProof/>
        </w:rPr>
        <w:tab/>
        <w:t xml:space="preserve"> нарязване на замразени блокове,</w:t>
      </w:r>
    </w:p>
    <w:p>
      <w:pPr>
        <w:pStyle w:val="Point1"/>
        <w:rPr>
          <w:noProof/>
        </w:rPr>
      </w:pPr>
      <w:r>
        <w:rPr>
          <w:noProof/>
        </w:rPr>
        <w:t xml:space="preserve">— </w:t>
      </w:r>
      <w:r>
        <w:rPr>
          <w:noProof/>
        </w:rPr>
        <w:tab/>
        <w:t>разделяне на замразени блокове от преплетени филета,</w:t>
      </w:r>
    </w:p>
    <w:p>
      <w:pPr>
        <w:pStyle w:val="Point1"/>
        <w:rPr>
          <w:noProof/>
        </w:rPr>
      </w:pPr>
      <w:r>
        <w:rPr>
          <w:noProof/>
        </w:rPr>
        <w:t xml:space="preserve">— </w:t>
      </w:r>
      <w:r>
        <w:rPr>
          <w:noProof/>
        </w:rPr>
        <w:tab/>
        <w:t>нарязване на резени за материали от кодове по КН ex 0303 66 11, 0303 66 12, 0303 66 13, 0303 66 19, 0303 89 70 и 0303 89 90,</w:t>
      </w:r>
    </w:p>
    <w:p>
      <w:pPr>
        <w:pStyle w:val="Point1"/>
        <w:rPr>
          <w:noProof/>
        </w:rPr>
      </w:pPr>
      <w:r>
        <w:rPr>
          <w:noProof/>
        </w:rPr>
        <w:lastRenderedPageBreak/>
        <w:t xml:space="preserve">— </w:t>
      </w:r>
      <w:r>
        <w:rPr>
          <w:noProof/>
        </w:rPr>
        <w:tab/>
        <w:t>подлагане на продукти с кодове по КН 0306 16 99 (подразделения по ТАРИК 20 и 30), 0306 17 92 (подразделение по ТАРИК 20), 0306 17 99 (подразделение по ТАРИК 10), 0306 35 90 (подразделения по ТАРИК 12, 14, 92 и 93), 0306 36 90 (подразделения по ТАРИК 20 и 30), 1605 21 90 (подразделения по ТАРИК 45, 55 и 62) и 1605 29 00 (подразделения по ТАРИК 50, 55 и 60) на обработка с опаковъчни газове съгласно определението в приложение I към Регламент (ЕО) № 1333/2008 на Европейския парламент и на Съвета от 16 декември 2008 г. относно добавките в храните (ОВ L 354, 31.12.2008 г., стр. 16).</w:t>
      </w:r>
    </w:p>
    <w:p>
      <w:pPr>
        <w:pStyle w:val="Titrearticle"/>
        <w:rPr>
          <w:noProof/>
        </w:rPr>
      </w:pPr>
      <w:r>
        <w:rPr>
          <w:noProof/>
        </w:rPr>
        <w:t>Член 5</w:t>
      </w:r>
    </w:p>
    <w:p>
      <w:pPr>
        <w:rPr>
          <w:noProof/>
        </w:rPr>
      </w:pPr>
      <w:r>
        <w:rPr>
          <w:noProof/>
        </w:rPr>
        <w:t>Комисията и митническите органи на държавите членки трябва да работят в тясно сътрудничество, за да се гарантира правилното управление и контрол на прилагането на настоящия регламент.</w:t>
      </w:r>
    </w:p>
    <w:p>
      <w:pPr>
        <w:pStyle w:val="Titrearticle"/>
        <w:rPr>
          <w:noProof/>
        </w:rPr>
      </w:pPr>
      <w:r>
        <w:rPr>
          <w:noProof/>
        </w:rPr>
        <w:t>Член 6</w:t>
      </w:r>
    </w:p>
    <w:p>
      <w:pPr>
        <w:pStyle w:val="ManualNumPar1"/>
        <w:rPr>
          <w:noProof/>
        </w:rPr>
      </w:pPr>
      <w:r>
        <w:rPr>
          <w:noProof/>
        </w:rPr>
        <w:t>1.</w:t>
      </w:r>
      <w:r>
        <w:rPr>
          <w:noProof/>
        </w:rPr>
        <w:tab/>
        <w:t>Комисията се оправомощава да приема делегирани актове за намаляване на общите квоти, определени в приложението към настоящия регламент. Намалението отразява дела на квотата, използван от Обединеното кралство през годините, предшестващи неговото оттегляне от Съюза.</w:t>
      </w:r>
    </w:p>
    <w:p>
      <w:pPr>
        <w:pStyle w:val="ManualNumPar1"/>
        <w:rPr>
          <w:noProof/>
        </w:rPr>
      </w:pPr>
      <w:r>
        <w:rPr>
          <w:noProof/>
        </w:rPr>
        <w:t>2.</w:t>
      </w:r>
      <w:r>
        <w:rPr>
          <w:noProof/>
        </w:rPr>
        <w:tab/>
        <w:t>Комисията може да упражнява правомощията, посочени в параграф 1, само при липса на споразумение между Съюза и Обединеното кралство за организирано оттегляне на Обединеното кралство от Съюза.</w:t>
      </w:r>
    </w:p>
    <w:p>
      <w:pPr>
        <w:pStyle w:val="ManualNumPar1"/>
        <w:rPr>
          <w:noProof/>
        </w:rPr>
      </w:pPr>
      <w:r>
        <w:rPr>
          <w:noProof/>
        </w:rPr>
        <w:t>3.</w:t>
      </w:r>
      <w:r>
        <w:rPr>
          <w:noProof/>
        </w:rPr>
        <w:tab/>
        <w:t>Делегираните актове, посочени в параграф 1, се приемат в съответствие с процедурата по разглеждане, посочена в член 7, параграф 2.</w:t>
      </w:r>
    </w:p>
    <w:p>
      <w:pPr>
        <w:pStyle w:val="Titrearticle"/>
        <w:rPr>
          <w:noProof/>
        </w:rPr>
      </w:pPr>
      <w:r>
        <w:rPr>
          <w:noProof/>
        </w:rPr>
        <w:t>Член 7</w:t>
      </w:r>
    </w:p>
    <w:p>
      <w:pPr>
        <w:pStyle w:val="ManualNumPar1"/>
        <w:rPr>
          <w:noProof/>
        </w:rPr>
      </w:pPr>
      <w:r>
        <w:rPr>
          <w:noProof/>
        </w:rPr>
        <w:t>1.</w:t>
      </w:r>
      <w:r>
        <w:rPr>
          <w:noProof/>
        </w:rPr>
        <w:tab/>
        <w:t>Комисията се подпомага от комитет. Този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8</w:t>
      </w:r>
    </w:p>
    <w:p>
      <w:pPr>
        <w:pStyle w:val="Titrearticle"/>
        <w:jc w:val="both"/>
        <w:rPr>
          <w:i w:val="0"/>
          <w:noProof/>
        </w:rPr>
      </w:pPr>
      <w:r>
        <w:rPr>
          <w:i w:val="0"/>
          <w:noProof/>
        </w:rPr>
        <w:t xml:space="preserve">Настоящият регламент влиза в сила на третия ден след деня на публикуването му в </w:t>
      </w:r>
      <w:r>
        <w:rPr>
          <w:noProof/>
        </w:rPr>
        <w:t>Официален вестник на Европейския съюз</w:t>
      </w:r>
      <w:r>
        <w:rPr>
          <w:i w:val="0"/>
          <w:noProof/>
        </w:rPr>
        <w:t>.</w:t>
      </w:r>
    </w:p>
    <w:p>
      <w:pPr>
        <w:rPr>
          <w:noProof/>
        </w:rPr>
      </w:pPr>
      <w:r>
        <w:rPr>
          <w:noProof/>
        </w:rPr>
        <w:t>Той се прилага от 1 януари 2019 г. до 31 декември 2020 г.</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rPr>
      </w:pPr>
      <w:r>
        <w:rPr>
          <w:rStyle w:val="FootnoteReference"/>
        </w:rPr>
        <w:footnoteRef/>
      </w:r>
      <w:r>
        <w:tab/>
      </w:r>
      <w:r>
        <w:rPr>
          <w:rStyle w:val="FootnoteReference"/>
          <w:vertAlign w:val="baseline"/>
        </w:rPr>
        <w:t>Регламент (ЕС) 2015/2265 на Съвета от 7 декември 2015 г. за откриване и управление на автономните тарифни квоти на Съюза за определени рибни продукти за периода 2016—2018 година (ОВ L 322, 8.12.2015 г., стр. 4) и Регламент (ЕС) 2016/1184 на Съвета от 18 юли 2016 г. за изменение на Регламент (ЕС) 2015/2265 за откриване и управление на автономните тарифни квоти на Съюза за определени рибни продукти за периода 2016—2018 година (ОВ L 196, 21.7.2016 г., стр. 1).</w:t>
      </w:r>
    </w:p>
  </w:footnote>
  <w:footnote w:id="3">
    <w:p>
      <w:pPr>
        <w:pStyle w:val="FootnoteText"/>
      </w:pPr>
      <w:r>
        <w:rPr>
          <w:rStyle w:val="FootnoteReference"/>
        </w:rPr>
        <w:footnoteRef/>
      </w:r>
      <w:r>
        <w:tab/>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 29.12.2015 г., стр. 558).</w:t>
      </w:r>
    </w:p>
  </w:footnote>
  <w:footnote w:id="4">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w:t>
      </w:r>
      <w:hyperlink r:id="rId1">
        <w:r>
          <w:t>OВ L 269, 10.10.2013 г., стр. 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EEFF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3E3C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7AC3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16C5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747F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66F3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46C854"/>
    <w:lvl w:ilvl="0">
      <w:start w:val="1"/>
      <w:numFmt w:val="decimal"/>
      <w:pStyle w:val="ListNumber"/>
      <w:lvlText w:val="%1."/>
      <w:lvlJc w:val="left"/>
      <w:pPr>
        <w:tabs>
          <w:tab w:val="num" w:pos="360"/>
        </w:tabs>
        <w:ind w:left="360" w:hanging="360"/>
      </w:pPr>
    </w:lvl>
  </w:abstractNum>
  <w:abstractNum w:abstractNumId="7">
    <w:nsid w:val="FFFFFF89"/>
    <w:multiLevelType w:val="singleLevel"/>
    <w:tmpl w:val="6E1201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4 10:38:5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3A08DF4-0946-4486-A9CC-67624BB25816"/>
    <w:docVar w:name="LW_COVERPAGE_TYPE" w:val="1"/>
    <w:docVar w:name="LW_CROSSREFERENCE" w:val="&lt;UNUSED&gt;"/>
    <w:docVar w:name="LW_DocType" w:val="COM"/>
    <w:docVar w:name="LW_EMISSION" w:val="14.9.2018"/>
    <w:docVar w:name="LW_EMISSION_ISODATE" w:val="2018-09-14"/>
    <w:docVar w:name="LW_EMISSION_LOCATION" w:val="BRX"/>
    <w:docVar w:name="LW_EMISSION_PREFIX" w:val="Брюксел,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6"/>
    <w:docVar w:name="LW_REF.II.NEW.CP_YEAR" w:val="2018"/>
    <w:docVar w:name="LW_REF.INST.NEW" w:val="COM"/>
    <w:docVar w:name="LW_REF.INST.NEW_ADOPTED" w:val="final"/>
    <w:docVar w:name="LW_REF.INST.NEW_TEXT" w:val="(2018) 6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90?\u1082?\u1088?\u1080?\u1074?\u1072?\u1085?\u1077? \u1080? \u1091?\u1087?\u1088?\u1072?\u1074?\u1083?\u1077?\u1085?\u1080?\u1077? \u1085?\u1072? \u1072?\u1074?\u1090?\u1086?\u1085?\u1086?\u1084?\u1085?\u1080?\u1090?\u1077? \u1090?\u1072?\u1088?\u1080?\u1092?\u1085?\u1080? \u1082?\u1074?\u1086?\u1090?\u1080? \u1085?\u1072? \u1057?\u1098?\u1102?\u1079?\u1072? \u1079?\u1072? \u1086?\u1087?\u1088?\u1077?\u1076?\u1077?\u1083?\u1077?\u1085?\u1080? \u1087?\u1088?\u1086?\u1076?\u1091?\u1082?\u1090?\u1080? \u1086?\u1090? \u1088?\u1080?\u1073?\u1086?\u1083?\u1086?\u1074? \u1079?\u1072? \u1087?\u1077?\u1088?\u1080?\u1086?\u1076?\u1072? 2019\u8212?2020 \u1075?\u1086?\u1076?\u1080?\u1085?\u1072?_x000b_"/>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08350">
      <w:bodyDiv w:val="1"/>
      <w:marLeft w:val="0"/>
      <w:marRight w:val="0"/>
      <w:marTop w:val="0"/>
      <w:marBottom w:val="0"/>
      <w:divBdr>
        <w:top w:val="none" w:sz="0" w:space="0" w:color="auto"/>
        <w:left w:val="none" w:sz="0" w:space="0" w:color="auto"/>
        <w:bottom w:val="none" w:sz="0" w:space="0" w:color="auto"/>
        <w:right w:val="none" w:sz="0" w:space="0" w:color="auto"/>
      </w:divBdr>
      <w:divsChild>
        <w:div w:id="1419137889">
          <w:marLeft w:val="0"/>
          <w:marRight w:val="0"/>
          <w:marTop w:val="0"/>
          <w:marBottom w:val="0"/>
          <w:divBdr>
            <w:top w:val="none" w:sz="0" w:space="0" w:color="auto"/>
            <w:left w:val="none" w:sz="0" w:space="0" w:color="auto"/>
            <w:bottom w:val="none" w:sz="0" w:space="0" w:color="auto"/>
            <w:right w:val="none" w:sz="0" w:space="0" w:color="auto"/>
          </w:divBdr>
          <w:divsChild>
            <w:div w:id="147551699">
              <w:marLeft w:val="0"/>
              <w:marRight w:val="0"/>
              <w:marTop w:val="0"/>
              <w:marBottom w:val="0"/>
              <w:divBdr>
                <w:top w:val="none" w:sz="0" w:space="0" w:color="auto"/>
                <w:left w:val="none" w:sz="0" w:space="0" w:color="auto"/>
                <w:bottom w:val="none" w:sz="0" w:space="0" w:color="auto"/>
                <w:right w:val="none" w:sz="0" w:space="0" w:color="auto"/>
              </w:divBdr>
              <w:divsChild>
                <w:div w:id="1978144052">
                  <w:marLeft w:val="0"/>
                  <w:marRight w:val="0"/>
                  <w:marTop w:val="0"/>
                  <w:marBottom w:val="0"/>
                  <w:divBdr>
                    <w:top w:val="none" w:sz="0" w:space="0" w:color="auto"/>
                    <w:left w:val="none" w:sz="0" w:space="0" w:color="auto"/>
                    <w:bottom w:val="none" w:sz="0" w:space="0" w:color="auto"/>
                    <w:right w:val="none" w:sz="0" w:space="0" w:color="auto"/>
                  </w:divBdr>
                  <w:divsChild>
                    <w:div w:id="699626574">
                      <w:marLeft w:val="1"/>
                      <w:marRight w:val="1"/>
                      <w:marTop w:val="0"/>
                      <w:marBottom w:val="0"/>
                      <w:divBdr>
                        <w:top w:val="none" w:sz="0" w:space="0" w:color="auto"/>
                        <w:left w:val="none" w:sz="0" w:space="0" w:color="auto"/>
                        <w:bottom w:val="none" w:sz="0" w:space="0" w:color="auto"/>
                        <w:right w:val="none" w:sz="0" w:space="0" w:color="auto"/>
                      </w:divBdr>
                      <w:divsChild>
                        <w:div w:id="1090394498">
                          <w:marLeft w:val="0"/>
                          <w:marRight w:val="0"/>
                          <w:marTop w:val="0"/>
                          <w:marBottom w:val="0"/>
                          <w:divBdr>
                            <w:top w:val="none" w:sz="0" w:space="0" w:color="auto"/>
                            <w:left w:val="none" w:sz="0" w:space="0" w:color="auto"/>
                            <w:bottom w:val="none" w:sz="0" w:space="0" w:color="auto"/>
                            <w:right w:val="none" w:sz="0" w:space="0" w:color="auto"/>
                          </w:divBdr>
                          <w:divsChild>
                            <w:div w:id="1410542493">
                              <w:marLeft w:val="0"/>
                              <w:marRight w:val="0"/>
                              <w:marTop w:val="0"/>
                              <w:marBottom w:val="360"/>
                              <w:divBdr>
                                <w:top w:val="none" w:sz="0" w:space="0" w:color="auto"/>
                                <w:left w:val="none" w:sz="0" w:space="0" w:color="auto"/>
                                <w:bottom w:val="none" w:sz="0" w:space="0" w:color="auto"/>
                                <w:right w:val="none" w:sz="0" w:space="0" w:color="auto"/>
                              </w:divBdr>
                              <w:divsChild>
                                <w:div w:id="1948656034">
                                  <w:marLeft w:val="0"/>
                                  <w:marRight w:val="0"/>
                                  <w:marTop w:val="0"/>
                                  <w:marBottom w:val="0"/>
                                  <w:divBdr>
                                    <w:top w:val="none" w:sz="0" w:space="0" w:color="auto"/>
                                    <w:left w:val="none" w:sz="0" w:space="0" w:color="auto"/>
                                    <w:bottom w:val="none" w:sz="0" w:space="0" w:color="auto"/>
                                    <w:right w:val="none" w:sz="0" w:space="0" w:color="auto"/>
                                  </w:divBdr>
                                  <w:divsChild>
                                    <w:div w:id="1641422864">
                                      <w:marLeft w:val="0"/>
                                      <w:marRight w:val="0"/>
                                      <w:marTop w:val="0"/>
                                      <w:marBottom w:val="0"/>
                                      <w:divBdr>
                                        <w:top w:val="none" w:sz="0" w:space="0" w:color="auto"/>
                                        <w:left w:val="none" w:sz="0" w:space="0" w:color="auto"/>
                                        <w:bottom w:val="none" w:sz="0" w:space="0" w:color="auto"/>
                                        <w:right w:val="none" w:sz="0" w:space="0" w:color="auto"/>
                                      </w:divBdr>
                                      <w:divsChild>
                                        <w:div w:id="1987392681">
                                          <w:marLeft w:val="0"/>
                                          <w:marRight w:val="0"/>
                                          <w:marTop w:val="0"/>
                                          <w:marBottom w:val="0"/>
                                          <w:divBdr>
                                            <w:top w:val="none" w:sz="0" w:space="0" w:color="auto"/>
                                            <w:left w:val="none" w:sz="0" w:space="0" w:color="auto"/>
                                            <w:bottom w:val="none" w:sz="0" w:space="0" w:color="auto"/>
                                            <w:right w:val="none" w:sz="0" w:space="0" w:color="auto"/>
                                          </w:divBdr>
                                        </w:div>
                                        <w:div w:id="15230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AUTO/?uri=OJ:L:2013:26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C076-3EA0-4F75-BFD8-BB372FCF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1785</Words>
  <Characters>10179</Characters>
  <Application>Microsoft Office Word</Application>
  <DocSecurity>0</DocSecurity>
  <Lines>226</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2018-08-06T13:10:00Z</cp:lastPrinted>
  <dcterms:created xsi:type="dcterms:W3CDTF">2018-09-07T09:05:00Z</dcterms:created>
  <dcterms:modified xsi:type="dcterms:W3CDTF">2018-09-14T08:38:00Z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