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9989C04-C8D8-4D11-8D06-BC07049CB75C"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521662593" w:history="1">
        <w:r>
          <w:rPr>
            <w:rStyle w:val="Hyperlink"/>
            <w:b/>
            <w:smallCaps/>
            <w:noProof/>
          </w:rPr>
          <w:t>1.</w:t>
        </w:r>
        <w:r>
          <w:rPr>
            <w:rFonts w:asciiTheme="minorHAnsi" w:eastAsiaTheme="minorEastAsia" w:hAnsiTheme="minorHAnsi" w:cstheme="minorBidi"/>
            <w:noProof/>
            <w:sz w:val="22"/>
            <w:lang w:val="en-GB" w:eastAsia="en-GB" w:bidi="ar-SA"/>
          </w:rPr>
          <w:tab/>
        </w:r>
        <w:r>
          <w:rPr>
            <w:rStyle w:val="Hyperlink"/>
            <w:b/>
            <w:smallCaps/>
            <w:noProof/>
          </w:rPr>
          <w:t>Procédure budgétaire</w:t>
        </w:r>
        <w:r>
          <w:rPr>
            <w:noProof/>
            <w:webHidden/>
          </w:rPr>
          <w:tab/>
        </w:r>
        <w:r>
          <w:rPr>
            <w:noProof/>
            <w:webHidden/>
          </w:rPr>
          <w:fldChar w:fldCharType="begin"/>
        </w:r>
        <w:r>
          <w:rPr>
            <w:noProof/>
            <w:webHidden/>
          </w:rPr>
          <w:instrText xml:space="preserve"> PAGEREF _Toc521662593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594" w:history="1">
        <w:r>
          <w:rPr>
            <w:rStyle w:val="Hyperlink"/>
            <w:b/>
            <w:noProof/>
          </w:rPr>
          <w:t>1.1.</w:t>
        </w:r>
        <w:r>
          <w:rPr>
            <w:rFonts w:asciiTheme="minorHAnsi" w:eastAsiaTheme="minorEastAsia" w:hAnsiTheme="minorHAnsi" w:cstheme="minorBidi"/>
            <w:noProof/>
            <w:sz w:val="22"/>
            <w:lang w:val="en-GB" w:eastAsia="en-GB" w:bidi="ar-SA"/>
          </w:rPr>
          <w:tab/>
        </w:r>
        <w:r>
          <w:rPr>
            <w:rStyle w:val="Hyperlink"/>
            <w:b/>
            <w:noProof/>
          </w:rPr>
          <w:t>Cadre financier</w:t>
        </w:r>
        <w:r>
          <w:rPr>
            <w:noProof/>
            <w:webHidden/>
          </w:rPr>
          <w:tab/>
        </w:r>
        <w:r>
          <w:rPr>
            <w:noProof/>
            <w:webHidden/>
          </w:rPr>
          <w:fldChar w:fldCharType="begin"/>
        </w:r>
        <w:r>
          <w:rPr>
            <w:noProof/>
            <w:webHidden/>
          </w:rPr>
          <w:instrText xml:space="preserve"> PAGEREF _Toc521662594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595" w:history="1">
        <w:r>
          <w:rPr>
            <w:rStyle w:val="Hyperlink"/>
            <w:b/>
            <w:noProof/>
          </w:rPr>
          <w:t>1.2.</w:t>
        </w:r>
        <w:r>
          <w:rPr>
            <w:rFonts w:asciiTheme="minorHAnsi" w:eastAsiaTheme="minorEastAsia" w:hAnsiTheme="minorHAnsi" w:cstheme="minorBidi"/>
            <w:noProof/>
            <w:sz w:val="22"/>
            <w:lang w:val="en-GB" w:eastAsia="en-GB" w:bidi="ar-SA"/>
          </w:rPr>
          <w:tab/>
        </w:r>
        <w:r>
          <w:rPr>
            <w:rStyle w:val="Hyperlink"/>
            <w:b/>
            <w:noProof/>
          </w:rPr>
          <w:t>Projet de budget (PB) 2017</w:t>
        </w:r>
        <w:r>
          <w:rPr>
            <w:noProof/>
            <w:webHidden/>
          </w:rPr>
          <w:tab/>
        </w:r>
        <w:r>
          <w:rPr>
            <w:noProof/>
            <w:webHidden/>
          </w:rPr>
          <w:fldChar w:fldCharType="begin"/>
        </w:r>
        <w:r>
          <w:rPr>
            <w:noProof/>
            <w:webHidden/>
          </w:rPr>
          <w:instrText xml:space="preserve"> PAGEREF _Toc521662595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596" w:history="1">
        <w:r>
          <w:rPr>
            <w:rStyle w:val="Hyperlink"/>
            <w:b/>
            <w:noProof/>
          </w:rPr>
          <w:t>1.3.</w:t>
        </w:r>
        <w:r>
          <w:rPr>
            <w:rFonts w:asciiTheme="minorHAnsi" w:eastAsiaTheme="minorEastAsia" w:hAnsiTheme="minorHAnsi" w:cstheme="minorBidi"/>
            <w:noProof/>
            <w:sz w:val="22"/>
            <w:lang w:val="en-GB" w:eastAsia="en-GB" w:bidi="ar-SA"/>
          </w:rPr>
          <w:tab/>
        </w:r>
        <w:r>
          <w:rPr>
            <w:rStyle w:val="Hyperlink"/>
            <w:b/>
            <w:noProof/>
          </w:rPr>
          <w:t>Adoption du budget 2017</w:t>
        </w:r>
        <w:r>
          <w:rPr>
            <w:noProof/>
            <w:webHidden/>
          </w:rPr>
          <w:tab/>
        </w:r>
        <w:r>
          <w:rPr>
            <w:noProof/>
            <w:webHidden/>
          </w:rPr>
          <w:fldChar w:fldCharType="begin"/>
        </w:r>
        <w:r>
          <w:rPr>
            <w:noProof/>
            <w:webHidden/>
          </w:rPr>
          <w:instrText xml:space="preserve"> PAGEREF _Toc521662596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597" w:history="1">
        <w:r>
          <w:rPr>
            <w:rStyle w:val="Hyperlink"/>
            <w:b/>
            <w:noProof/>
          </w:rPr>
          <w:t>1.4.</w:t>
        </w:r>
        <w:r>
          <w:rPr>
            <w:rFonts w:asciiTheme="minorHAnsi" w:eastAsiaTheme="minorEastAsia" w:hAnsiTheme="minorHAnsi" w:cstheme="minorBidi"/>
            <w:noProof/>
            <w:sz w:val="22"/>
            <w:lang w:val="en-GB" w:eastAsia="en-GB" w:bidi="ar-SA"/>
          </w:rPr>
          <w:tab/>
        </w:r>
        <w:r>
          <w:rPr>
            <w:rStyle w:val="Hyperlink"/>
            <w:b/>
            <w:noProof/>
          </w:rPr>
          <w:t>Adoption des budgets rectificatifs</w:t>
        </w:r>
        <w:r>
          <w:rPr>
            <w:noProof/>
            <w:webHidden/>
          </w:rPr>
          <w:tab/>
        </w:r>
        <w:r>
          <w:rPr>
            <w:noProof/>
            <w:webHidden/>
          </w:rPr>
          <w:fldChar w:fldCharType="begin"/>
        </w:r>
        <w:r>
          <w:rPr>
            <w:noProof/>
            <w:webHidden/>
          </w:rPr>
          <w:instrText xml:space="preserve"> PAGEREF _Toc521662597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21662598" w:history="1">
        <w:r>
          <w:rPr>
            <w:rStyle w:val="Hyperlink"/>
            <w:b/>
            <w:smallCaps/>
            <w:noProof/>
          </w:rPr>
          <w:t>2.</w:t>
        </w:r>
        <w:r>
          <w:rPr>
            <w:rFonts w:asciiTheme="minorHAnsi" w:eastAsiaTheme="minorEastAsia" w:hAnsiTheme="minorHAnsi" w:cstheme="minorBidi"/>
            <w:noProof/>
            <w:sz w:val="22"/>
            <w:lang w:val="en-GB" w:eastAsia="en-GB" w:bidi="ar-SA"/>
          </w:rPr>
          <w:tab/>
        </w:r>
        <w:r>
          <w:rPr>
            <w:rStyle w:val="Hyperlink"/>
            <w:b/>
            <w:smallCaps/>
            <w:noProof/>
          </w:rPr>
          <w:t>Gestion des crédits</w:t>
        </w:r>
        <w:r>
          <w:rPr>
            <w:noProof/>
            <w:webHidden/>
          </w:rPr>
          <w:tab/>
        </w:r>
        <w:r>
          <w:rPr>
            <w:noProof/>
            <w:webHidden/>
          </w:rPr>
          <w:fldChar w:fldCharType="begin"/>
        </w:r>
        <w:r>
          <w:rPr>
            <w:noProof/>
            <w:webHidden/>
          </w:rPr>
          <w:instrText xml:space="preserve"> PAGEREF _Toc521662598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599" w:history="1">
        <w:r>
          <w:rPr>
            <w:rStyle w:val="Hyperlink"/>
            <w:b/>
            <w:noProof/>
          </w:rPr>
          <w:t>2.1.</w:t>
        </w:r>
        <w:r>
          <w:rPr>
            <w:rFonts w:asciiTheme="minorHAnsi" w:eastAsiaTheme="minorEastAsia" w:hAnsiTheme="minorHAnsi" w:cstheme="minorBidi"/>
            <w:noProof/>
            <w:sz w:val="22"/>
            <w:lang w:val="en-GB" w:eastAsia="en-GB" w:bidi="ar-SA"/>
          </w:rPr>
          <w:tab/>
        </w:r>
        <w:r>
          <w:rPr>
            <w:rStyle w:val="Hyperlink"/>
            <w:b/>
            <w:noProof/>
          </w:rPr>
          <w:t>Gestion des crédits d’engagement</w:t>
        </w:r>
        <w:r>
          <w:rPr>
            <w:noProof/>
            <w:webHidden/>
          </w:rPr>
          <w:tab/>
        </w:r>
        <w:r>
          <w:rPr>
            <w:noProof/>
            <w:webHidden/>
          </w:rPr>
          <w:fldChar w:fldCharType="begin"/>
        </w:r>
        <w:r>
          <w:rPr>
            <w:noProof/>
            <w:webHidden/>
          </w:rPr>
          <w:instrText xml:space="preserve"> PAGEREF _Toc521662599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00" w:history="1">
        <w:r>
          <w:rPr>
            <w:rStyle w:val="Hyperlink"/>
            <w:i/>
            <w:noProof/>
          </w:rPr>
          <w:t>2.1.1.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_Toc521662600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01" w:history="1">
        <w:r>
          <w:rPr>
            <w:rStyle w:val="Hyperlink"/>
            <w:i/>
            <w:noProof/>
          </w:rPr>
          <w:t>2.1.2.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_Toc521662601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602" w:history="1">
        <w:r>
          <w:rPr>
            <w:rStyle w:val="Hyperlink"/>
            <w:b/>
            <w:noProof/>
          </w:rPr>
          <w:t>2.2.</w:t>
        </w:r>
        <w:r>
          <w:rPr>
            <w:rFonts w:asciiTheme="minorHAnsi" w:eastAsiaTheme="minorEastAsia" w:hAnsiTheme="minorHAnsi" w:cstheme="minorBidi"/>
            <w:noProof/>
            <w:sz w:val="22"/>
            <w:lang w:val="en-GB" w:eastAsia="en-GB" w:bidi="ar-SA"/>
          </w:rPr>
          <w:tab/>
        </w:r>
        <w:r>
          <w:rPr>
            <w:rStyle w:val="Hyperlink"/>
            <w:b/>
            <w:noProof/>
          </w:rPr>
          <w:t>Gestion des crédits de paiement</w:t>
        </w:r>
        <w:r>
          <w:rPr>
            <w:noProof/>
            <w:webHidden/>
          </w:rPr>
          <w:tab/>
        </w:r>
        <w:r>
          <w:rPr>
            <w:noProof/>
            <w:webHidden/>
          </w:rPr>
          <w:fldChar w:fldCharType="begin"/>
        </w:r>
        <w:r>
          <w:rPr>
            <w:noProof/>
            <w:webHidden/>
          </w:rPr>
          <w:instrText xml:space="preserve"> PAGEREF _Toc521662602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03" w:history="1">
        <w:r>
          <w:rPr>
            <w:rStyle w:val="Hyperlink"/>
            <w:i/>
            <w:noProof/>
          </w:rPr>
          <w:t>2.2.1.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_Toc521662603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04" w:history="1">
        <w:r>
          <w:rPr>
            <w:rStyle w:val="Hyperlink"/>
            <w:i/>
            <w:noProof/>
          </w:rPr>
          <w:t>2.2.2.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_Toc521662604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21662605" w:history="1">
        <w:r>
          <w:rPr>
            <w:rStyle w:val="Hyperlink"/>
            <w:b/>
            <w:smallCaps/>
            <w:noProof/>
          </w:rPr>
          <w:t>3.</w:t>
        </w:r>
        <w:r>
          <w:rPr>
            <w:rFonts w:asciiTheme="minorHAnsi" w:eastAsiaTheme="minorEastAsia" w:hAnsiTheme="minorHAnsi" w:cstheme="minorBidi"/>
            <w:noProof/>
            <w:sz w:val="22"/>
            <w:lang w:val="en-GB" w:eastAsia="en-GB" w:bidi="ar-SA"/>
          </w:rPr>
          <w:tab/>
        </w:r>
        <w:r>
          <w:rPr>
            <w:rStyle w:val="Hyperlink"/>
            <w:b/>
            <w:smallCaps/>
            <w:noProof/>
          </w:rPr>
          <w:t>Exécution du budget 2017 du Feader</w:t>
        </w:r>
        <w:r>
          <w:rPr>
            <w:noProof/>
            <w:webHidden/>
          </w:rPr>
          <w:tab/>
        </w:r>
        <w:r>
          <w:rPr>
            <w:noProof/>
            <w:webHidden/>
          </w:rPr>
          <w:fldChar w:fldCharType="begin"/>
        </w:r>
        <w:r>
          <w:rPr>
            <w:noProof/>
            <w:webHidden/>
          </w:rPr>
          <w:instrText xml:space="preserve"> PAGEREF _Toc521662605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606" w:history="1">
        <w:r>
          <w:rPr>
            <w:rStyle w:val="Hyperlink"/>
            <w:b/>
            <w:noProof/>
          </w:rPr>
          <w:t>3.1.</w:t>
        </w:r>
        <w:r>
          <w:rPr>
            <w:rFonts w:asciiTheme="minorHAnsi" w:eastAsiaTheme="minorEastAsia" w:hAnsiTheme="minorHAnsi" w:cstheme="minorBidi"/>
            <w:noProof/>
            <w:sz w:val="22"/>
            <w:lang w:val="en-GB" w:eastAsia="en-GB" w:bidi="ar-SA"/>
          </w:rPr>
          <w:tab/>
        </w:r>
        <w:r>
          <w:rPr>
            <w:rStyle w:val="Hyperlink"/>
            <w:b/>
            <w:noProof/>
          </w:rPr>
          <w:t>Exécution des crédits d’engagement</w:t>
        </w:r>
        <w:r>
          <w:rPr>
            <w:noProof/>
            <w:webHidden/>
          </w:rPr>
          <w:tab/>
        </w:r>
        <w:r>
          <w:rPr>
            <w:noProof/>
            <w:webHidden/>
          </w:rPr>
          <w:fldChar w:fldCharType="begin"/>
        </w:r>
        <w:r>
          <w:rPr>
            <w:noProof/>
            <w:webHidden/>
          </w:rPr>
          <w:instrText xml:space="preserve"> PAGEREF _Toc521662606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07" w:history="1">
        <w:r>
          <w:rPr>
            <w:rStyle w:val="Hyperlink"/>
            <w:i/>
            <w:noProof/>
          </w:rPr>
          <w:t>3.1.1.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_Toc521662607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08" w:history="1">
        <w:r>
          <w:rPr>
            <w:rStyle w:val="Hyperlink"/>
            <w:i/>
            <w:noProof/>
          </w:rPr>
          <w:t>3.1.2.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_Toc521662608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609" w:history="1">
        <w:r>
          <w:rPr>
            <w:rStyle w:val="Hyperlink"/>
            <w:b/>
            <w:noProof/>
          </w:rPr>
          <w:t>3.2.</w:t>
        </w:r>
        <w:r>
          <w:rPr>
            <w:rFonts w:asciiTheme="minorHAnsi" w:eastAsiaTheme="minorEastAsia" w:hAnsiTheme="minorHAnsi" w:cstheme="minorBidi"/>
            <w:noProof/>
            <w:sz w:val="22"/>
            <w:lang w:val="en-GB" w:eastAsia="en-GB" w:bidi="ar-SA"/>
          </w:rPr>
          <w:tab/>
        </w:r>
        <w:r>
          <w:rPr>
            <w:rStyle w:val="Hyperlink"/>
            <w:b/>
            <w:noProof/>
          </w:rPr>
          <w:t>Exécution des crédits de paiement</w:t>
        </w:r>
        <w:r>
          <w:rPr>
            <w:noProof/>
            <w:webHidden/>
          </w:rPr>
          <w:tab/>
        </w:r>
        <w:r>
          <w:rPr>
            <w:noProof/>
            <w:webHidden/>
          </w:rPr>
          <w:fldChar w:fldCharType="begin"/>
        </w:r>
        <w:r>
          <w:rPr>
            <w:noProof/>
            <w:webHidden/>
          </w:rPr>
          <w:instrText xml:space="preserve"> PAGEREF _Toc521662609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10" w:history="1">
        <w:r>
          <w:rPr>
            <w:rStyle w:val="Hyperlink"/>
            <w:i/>
            <w:noProof/>
          </w:rPr>
          <w:t>3.2.1.</w:t>
        </w:r>
        <w:r>
          <w:rPr>
            <w:rFonts w:asciiTheme="minorHAnsi" w:eastAsiaTheme="minorEastAsia" w:hAnsiTheme="minorHAnsi" w:cstheme="minorBidi"/>
            <w:noProof/>
            <w:sz w:val="22"/>
            <w:lang w:val="en-GB" w:eastAsia="en-GB" w:bidi="ar-SA"/>
          </w:rPr>
          <w:tab/>
        </w:r>
        <w:r>
          <w:rPr>
            <w:rStyle w:val="Hyperlink"/>
            <w:i/>
            <w:noProof/>
          </w:rPr>
          <w:t>Programmes de développement rural du Feader</w:t>
        </w:r>
        <w:r>
          <w:rPr>
            <w:noProof/>
            <w:webHidden/>
          </w:rPr>
          <w:tab/>
        </w:r>
        <w:r>
          <w:rPr>
            <w:noProof/>
            <w:webHidden/>
          </w:rPr>
          <w:fldChar w:fldCharType="begin"/>
        </w:r>
        <w:r>
          <w:rPr>
            <w:noProof/>
            <w:webHidden/>
          </w:rPr>
          <w:instrText xml:space="preserve"> PAGEREF _Toc521662610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11" w:history="1">
        <w:r>
          <w:rPr>
            <w:rStyle w:val="Hyperlink"/>
            <w:i/>
            <w:noProof/>
          </w:rPr>
          <w:t>3.2.2.</w:t>
        </w:r>
        <w:r>
          <w:rPr>
            <w:rFonts w:asciiTheme="minorHAnsi" w:eastAsiaTheme="minorEastAsia" w:hAnsiTheme="minorHAnsi" w:cstheme="minorBidi"/>
            <w:noProof/>
            <w:sz w:val="22"/>
            <w:lang w:val="en-GB" w:eastAsia="en-GB" w:bidi="ar-SA"/>
          </w:rPr>
          <w:tab/>
        </w:r>
        <w:r>
          <w:rPr>
            <w:rStyle w:val="Hyperlink"/>
            <w:i/>
            <w:noProof/>
          </w:rPr>
          <w:t>Assistance technique</w:t>
        </w:r>
        <w:r>
          <w:rPr>
            <w:noProof/>
            <w:webHidden/>
          </w:rPr>
          <w:tab/>
        </w:r>
        <w:r>
          <w:rPr>
            <w:noProof/>
            <w:webHidden/>
          </w:rPr>
          <w:fldChar w:fldCharType="begin"/>
        </w:r>
        <w:r>
          <w:rPr>
            <w:noProof/>
            <w:webHidden/>
          </w:rPr>
          <w:instrText xml:space="preserve"> PAGEREF _Toc521662611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612" w:history="1">
        <w:r>
          <w:rPr>
            <w:rStyle w:val="Hyperlink"/>
            <w:b/>
            <w:noProof/>
          </w:rPr>
          <w:t>3.3.</w:t>
        </w:r>
        <w:r>
          <w:rPr>
            <w:rFonts w:asciiTheme="minorHAnsi" w:eastAsiaTheme="minorEastAsia" w:hAnsiTheme="minorHAnsi" w:cstheme="minorBidi"/>
            <w:noProof/>
            <w:sz w:val="22"/>
            <w:lang w:val="en-GB" w:eastAsia="en-GB" w:bidi="ar-SA"/>
          </w:rPr>
          <w:tab/>
        </w:r>
        <w:r>
          <w:rPr>
            <w:rStyle w:val="Hyperlink"/>
            <w:b/>
            <w:noProof/>
          </w:rPr>
          <w:t>Analyse des dépenses déclarées par mesure</w:t>
        </w:r>
        <w:r>
          <w:rPr>
            <w:noProof/>
            <w:webHidden/>
          </w:rPr>
          <w:tab/>
        </w:r>
        <w:r>
          <w:rPr>
            <w:noProof/>
            <w:webHidden/>
          </w:rPr>
          <w:fldChar w:fldCharType="begin"/>
        </w:r>
        <w:r>
          <w:rPr>
            <w:noProof/>
            <w:webHidden/>
          </w:rPr>
          <w:instrText xml:space="preserve"> PAGEREF _Toc521662612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lang w:val="en-GB" w:eastAsia="en-GB" w:bidi="ar-SA"/>
        </w:rPr>
      </w:pPr>
      <w:hyperlink w:anchor="_Toc521662613" w:history="1">
        <w:r>
          <w:rPr>
            <w:rStyle w:val="Hyperlink"/>
            <w:b/>
            <w:noProof/>
          </w:rPr>
          <w:t>3.4.</w:t>
        </w:r>
        <w:r>
          <w:rPr>
            <w:rFonts w:asciiTheme="minorHAnsi" w:eastAsiaTheme="minorEastAsia" w:hAnsiTheme="minorHAnsi" w:cstheme="minorBidi"/>
            <w:noProof/>
            <w:sz w:val="22"/>
            <w:lang w:val="en-GB" w:eastAsia="en-GB" w:bidi="ar-SA"/>
          </w:rPr>
          <w:tab/>
        </w:r>
        <w:r>
          <w:rPr>
            <w:rStyle w:val="Hyperlink"/>
            <w:b/>
            <w:noProof/>
          </w:rPr>
          <w:t>Exécution des programmes du Feader</w:t>
        </w:r>
        <w:r>
          <w:rPr>
            <w:noProof/>
            <w:webHidden/>
          </w:rPr>
          <w:tab/>
        </w:r>
        <w:r>
          <w:rPr>
            <w:noProof/>
            <w:webHidden/>
          </w:rPr>
          <w:fldChar w:fldCharType="begin"/>
        </w:r>
        <w:r>
          <w:rPr>
            <w:noProof/>
            <w:webHidden/>
          </w:rPr>
          <w:instrText xml:space="preserve"> PAGEREF _Toc521662613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14" w:history="1">
        <w:r>
          <w:rPr>
            <w:rStyle w:val="Hyperlink"/>
            <w:i/>
            <w:noProof/>
          </w:rPr>
          <w:t>3.4.1.</w:t>
        </w:r>
        <w:r>
          <w:rPr>
            <w:rFonts w:asciiTheme="minorHAnsi" w:eastAsiaTheme="minorEastAsia" w:hAnsiTheme="minorHAnsi" w:cstheme="minorBidi"/>
            <w:noProof/>
            <w:sz w:val="22"/>
            <w:lang w:val="en-GB" w:eastAsia="en-GB" w:bidi="ar-SA"/>
          </w:rPr>
          <w:tab/>
        </w:r>
        <w:r>
          <w:rPr>
            <w:rStyle w:val="Hyperlink"/>
            <w:i/>
            <w:noProof/>
          </w:rPr>
          <w:t>Période de programmation 2007-2013</w:t>
        </w:r>
        <w:r>
          <w:rPr>
            <w:noProof/>
            <w:webHidden/>
          </w:rPr>
          <w:tab/>
        </w:r>
        <w:r>
          <w:rPr>
            <w:noProof/>
            <w:webHidden/>
          </w:rPr>
          <w:fldChar w:fldCharType="begin"/>
        </w:r>
        <w:r>
          <w:rPr>
            <w:noProof/>
            <w:webHidden/>
          </w:rPr>
          <w:instrText xml:space="preserve"> PAGEREF _Toc521662614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lang w:val="en-GB" w:eastAsia="en-GB" w:bidi="ar-SA"/>
        </w:rPr>
      </w:pPr>
      <w:hyperlink w:anchor="_Toc521662615" w:history="1">
        <w:r>
          <w:rPr>
            <w:rStyle w:val="Hyperlink"/>
            <w:i/>
            <w:noProof/>
          </w:rPr>
          <w:t>3.4.2.</w:t>
        </w:r>
        <w:r>
          <w:rPr>
            <w:rFonts w:asciiTheme="minorHAnsi" w:eastAsiaTheme="minorEastAsia" w:hAnsiTheme="minorHAnsi" w:cstheme="minorBidi"/>
            <w:noProof/>
            <w:sz w:val="22"/>
            <w:lang w:val="en-GB" w:eastAsia="en-GB" w:bidi="ar-SA"/>
          </w:rPr>
          <w:tab/>
        </w:r>
        <w:r>
          <w:rPr>
            <w:rStyle w:val="Hyperlink"/>
            <w:i/>
            <w:noProof/>
          </w:rPr>
          <w:t>Période de programmation 2014-2020</w:t>
        </w:r>
        <w:r>
          <w:rPr>
            <w:noProof/>
            <w:webHidden/>
          </w:rPr>
          <w:tab/>
        </w:r>
        <w:r>
          <w:rPr>
            <w:noProof/>
            <w:webHidden/>
          </w:rPr>
          <w:fldChar w:fldCharType="begin"/>
        </w:r>
        <w:r>
          <w:rPr>
            <w:noProof/>
            <w:webHidden/>
          </w:rPr>
          <w:instrText xml:space="preserve"> PAGEREF _Toc521662615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rPr>
      </w:pPr>
      <w:r>
        <w:rPr>
          <w:noProof/>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08"/>
          <w:docGrid w:linePitch="360"/>
        </w:sectPr>
      </w:pPr>
    </w:p>
    <w:p>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rPr>
      </w:pPr>
      <w:bookmarkStart w:id="2" w:name="_Toc331167057"/>
      <w:bookmarkStart w:id="3" w:name="_Toc393127465"/>
      <w:bookmarkStart w:id="4" w:name="_Toc518304998"/>
      <w:bookmarkStart w:id="5" w:name="_Toc521662593"/>
      <w:r>
        <w:rPr>
          <w:rFonts w:ascii="Times New Roman" w:hAnsi="Times New Roman"/>
          <w:b/>
          <w:smallCaps/>
          <w:noProof/>
          <w:sz w:val="24"/>
        </w:rPr>
        <w:t>1.</w:t>
      </w:r>
      <w:r>
        <w:rPr>
          <w:noProof/>
        </w:rPr>
        <w:tab/>
      </w:r>
      <w:r>
        <w:rPr>
          <w:rFonts w:ascii="Times New Roman" w:hAnsi="Times New Roman"/>
          <w:b/>
          <w:smallCaps/>
          <w:noProof/>
          <w:sz w:val="24"/>
        </w:rPr>
        <w:t>Procédure budgétaire</w:t>
      </w:r>
      <w:bookmarkEnd w:id="2"/>
      <w:bookmarkEnd w:id="3"/>
      <w:bookmarkEnd w:id="4"/>
      <w:bookmarkEnd w:id="5"/>
    </w:p>
    <w:p>
      <w:pPr>
        <w:keepNext/>
        <w:tabs>
          <w:tab w:val="left" w:pos="0"/>
        </w:tabs>
        <w:spacing w:before="240" w:after="120" w:line="240" w:lineRule="auto"/>
        <w:ind w:left="850" w:hanging="850"/>
        <w:jc w:val="both"/>
        <w:outlineLvl w:val="1"/>
        <w:rPr>
          <w:rFonts w:ascii="Times New Roman" w:eastAsia="Times New Roman" w:hAnsi="Times New Roman"/>
          <w:b/>
          <w:noProof/>
          <w:sz w:val="24"/>
        </w:rPr>
      </w:pPr>
      <w:bookmarkStart w:id="6" w:name="_Toc331167058"/>
      <w:bookmarkStart w:id="7" w:name="_Toc393127466"/>
      <w:bookmarkStart w:id="8" w:name="_Toc518304999"/>
      <w:bookmarkStart w:id="9" w:name="_Toc521662594"/>
      <w:r>
        <w:rPr>
          <w:rFonts w:ascii="Times New Roman" w:hAnsi="Times New Roman"/>
          <w:b/>
          <w:noProof/>
          <w:sz w:val="24"/>
        </w:rPr>
        <w:t>1.1.</w:t>
      </w:r>
      <w:r>
        <w:rPr>
          <w:noProof/>
        </w:rPr>
        <w:tab/>
      </w:r>
      <w:r>
        <w:rPr>
          <w:rFonts w:ascii="Times New Roman" w:hAnsi="Times New Roman"/>
          <w:b/>
          <w:noProof/>
          <w:sz w:val="24"/>
        </w:rPr>
        <w:t>Cadre financier</w:t>
      </w:r>
      <w:bookmarkEnd w:id="6"/>
      <w:bookmarkEnd w:id="7"/>
      <w:bookmarkEnd w:id="8"/>
      <w:bookmarkEnd w:id="9"/>
      <w:r>
        <w:rPr>
          <w:rFonts w:ascii="Times New Roman" w:hAnsi="Times New Roman"/>
          <w:b/>
          <w:noProof/>
          <w:sz w:val="24"/>
        </w:rPr>
        <w:t xml:space="preserve"> </w:t>
      </w:r>
    </w:p>
    <w:p>
      <w:pPr>
        <w:spacing w:before="120" w:after="120" w:line="240" w:lineRule="auto"/>
        <w:ind w:left="840" w:right="-49"/>
        <w:jc w:val="both"/>
        <w:rPr>
          <w:rFonts w:ascii="Times New Roman" w:eastAsia="Times New Roman" w:hAnsi="Times New Roman"/>
          <w:noProof/>
          <w:sz w:val="24"/>
        </w:rPr>
      </w:pPr>
      <w:r>
        <w:rPr>
          <w:rFonts w:ascii="Times New Roman" w:hAnsi="Times New Roman"/>
          <w:noProof/>
          <w:sz w:val="24"/>
        </w:rPr>
        <w:t>En 2017, le financement des dépenses de développement rural relève de deux cadres financiers pluriannuels (CFP): le CFP 2007-2013 et le CFP 2014-2020. Le cadre financier 2014-2020 est établi par le règlement (UE) n° 1311/2013 du Conseil. La dotation pour le développement rural et la dotation pour les dépenses relatives au marché et les paiements directs, après ajustement technique annuel du CFP, sont présentées dans le tableau 1.</w:t>
      </w:r>
    </w:p>
    <w:p>
      <w:pPr>
        <w:tabs>
          <w:tab w:val="left" w:pos="0"/>
        </w:tabs>
        <w:spacing w:before="120" w:after="120" w:line="240" w:lineRule="auto"/>
        <w:jc w:val="both"/>
        <w:rPr>
          <w:rFonts w:ascii="Times New Roman" w:eastAsia="Times New Roman" w:hAnsi="Times New Roman"/>
          <w:noProof/>
          <w:sz w:val="24"/>
        </w:rPr>
      </w:pPr>
      <w:bookmarkStart w:id="10" w:name="_Toc331167059"/>
      <w:bookmarkStart w:id="11" w:name="_Toc393127467"/>
    </w:p>
    <w:p>
      <w:pPr>
        <w:tabs>
          <w:tab w:val="left" w:pos="0"/>
        </w:tabs>
        <w:spacing w:before="120" w:after="120" w:line="240" w:lineRule="auto"/>
        <w:jc w:val="both"/>
        <w:rPr>
          <w:rFonts w:ascii="Times New Roman" w:eastAsia="Times New Roman" w:hAnsi="Times New Roman"/>
          <w:noProof/>
          <w:sz w:val="24"/>
        </w:rPr>
      </w:pPr>
      <w:r>
        <w:rPr>
          <w:rFonts w:ascii="Times New Roman" w:hAnsi="Times New Roman"/>
          <w:noProof/>
          <w:sz w:val="24"/>
        </w:rPr>
        <w:t>Tableau 1 — Cadre financier 2014-2020</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rPr>
            </w:pPr>
            <w:r>
              <w:rPr>
                <w:rFonts w:ascii="Times New Roman" w:hAnsi="Times New Roman"/>
                <w:b/>
                <w:noProof/>
                <w:sz w:val="20"/>
              </w:rPr>
              <w:t>RUBRIQUE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bCs/>
                <w:noProof/>
                <w:sz w:val="20"/>
                <w:szCs w:val="20"/>
              </w:rPr>
            </w:pPr>
            <w:r>
              <w:rPr>
                <w:rFonts w:ascii="Times New Roman" w:hAnsi="Times New Roman"/>
                <w:noProof/>
                <w:sz w:val="20"/>
              </w:rPr>
              <w:t>En millions d’EUR; prix courants</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Croissance durable: ressources naturelles</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2014</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2015</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2016</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2017</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2018</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2019</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2020</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TOTAL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noProof/>
                <w:sz w:val="18"/>
                <w:szCs w:val="18"/>
              </w:rPr>
            </w:pPr>
            <w:r>
              <w:rPr>
                <w:rFonts w:ascii="Times New Roman" w:hAnsi="Times New Roman"/>
                <w:noProof/>
                <w:sz w:val="18"/>
              </w:rPr>
              <w:t>Dont:</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xml:space="preserve">- Développement rural </w:t>
            </w:r>
            <w:r>
              <w:rPr>
                <w:rFonts w:ascii="Times New Roman" w:hAnsi="Times New Roman"/>
                <w:noProof/>
                <w:vertAlign w:val="superscript"/>
              </w:rPr>
              <w:t>a), b), c), d), e)</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5 299</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18 184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18 684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14 371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14 381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14 691</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14 709</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rPr>
            </w:pPr>
            <w:r>
              <w:rPr>
                <w:rFonts w:ascii="Times New Roman" w:hAnsi="Times New Roman"/>
                <w:noProof/>
                <w:sz w:val="18"/>
              </w:rPr>
              <w:t>- Dépenses relatives au marché et aux aides directes</w:t>
            </w:r>
            <w:r>
              <w:rPr>
                <w:noProof/>
              </w:rPr>
              <w:t xml:space="preserve"> </w:t>
            </w:r>
            <w:r>
              <w:rPr>
                <w:rFonts w:ascii="Times New Roman" w:hAnsi="Times New Roman"/>
                <w:noProof/>
                <w:vertAlign w:val="superscript"/>
              </w:rPr>
              <w:t>a), b), c), d)</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43 778</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44 190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43 950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44 146</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44 162</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43 880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43 888</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a) après virement net de 351,9 millions d’EUR entre le FEAGA et le Feader pour l’exercice 2014 [voir note f) pour les détails]</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b) après virement net de 51,6 millions d’EUR entre le FEAGA et le Feader pour l’exercice 2015 [voir note f) pour les détails]</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xml:space="preserve">c) après virement net de 28 millions d’EUR entre le FEAGA et le Feader pour les exercices 2014-2020 [voir note f) pour les détails] </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d) après virement net de 4 313,6 millions d’EUR entre le FEAGA et le Feader pour les exercices 2015-2020 [voir note f) pour les détails]</w:t>
            </w:r>
          </w:p>
          <w:p>
            <w:pPr>
              <w:spacing w:after="0" w:line="240" w:lineRule="auto"/>
              <w:jc w:val="both"/>
              <w:rPr>
                <w:rFonts w:ascii="Times New Roman" w:eastAsia="Times New Roman" w:hAnsi="Times New Roman"/>
                <w:noProof/>
                <w:color w:val="000000" w:themeColor="text1"/>
                <w:sz w:val="18"/>
                <w:szCs w:val="18"/>
              </w:rPr>
            </w:pPr>
          </w:p>
        </w:tc>
      </w:tr>
      <w:tr>
        <w:trPr>
          <w:trHeight w:val="255"/>
        </w:trPr>
        <w:tc>
          <w:tcPr>
            <w:tcW w:w="9273" w:type="dxa"/>
            <w:gridSpan w:val="8"/>
            <w:tcBorders>
              <w:top w:val="nil"/>
              <w:left w:val="nil"/>
              <w:bottom w:val="nil"/>
              <w:right w:val="nil"/>
            </w:tcBorders>
            <w:shd w:val="clear" w:color="auto" w:fill="auto"/>
            <w:noWrap/>
            <w:vAlign w:val="bottom"/>
          </w:tcPr>
          <w:p>
            <w:pPr>
              <w:pStyle w:val="Defaul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e) après reprogrammation de la dotation du Feader pour l’année 2014 à la suite de l’application de l’article 19 du règlement (UE) n° 1311/2013 relatif au CFP, un montant total de 8 705 millions d’EUR prélevé sur les engagements de 2014 a été réparti de façon égale entre les engagements de 2015 et de 2016</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color w:val="000000" w:themeColor="text1"/>
                <w:sz w:val="18"/>
                <w:szCs w:val="18"/>
              </w:rPr>
            </w:pPr>
          </w:p>
          <w:p>
            <w:pPr>
              <w:spacing w:after="0" w:line="240" w:lineRule="auto"/>
              <w:jc w:val="both"/>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f) les virements vers le développement rural (Feader) mentionnés dans les notes a) à d) ci-dessus concernent: un montant de 4 millions d’EUR transféré annuellement à partir du secteur du coton (EL) pour l’ensemble de la période 2014-2020 sur la base de l’article 66, paragraphe 1, du règlement (UE) n° 1307/2013; un montant de 296,3 millions d’EUR retenu au titre de l’ajustement facultatif transféré pour l’exercice 2014 (UK) sur la base de l’article 10 </w:t>
            </w:r>
            <w:r>
              <w:rPr>
                <w:rFonts w:ascii="Times New Roman" w:hAnsi="Times New Roman"/>
                <w:i/>
                <w:noProof/>
                <w:color w:val="000000" w:themeColor="text1"/>
                <w:sz w:val="18"/>
              </w:rPr>
              <w:t>ter</w:t>
            </w:r>
            <w:r>
              <w:rPr>
                <w:rFonts w:ascii="Times New Roman" w:hAnsi="Times New Roman"/>
                <w:noProof/>
                <w:color w:val="000000" w:themeColor="text1"/>
                <w:sz w:val="18"/>
              </w:rPr>
              <w:t xml:space="preserve"> et de l’article 10 </w:t>
            </w:r>
            <w:r>
              <w:rPr>
                <w:rFonts w:ascii="Times New Roman" w:hAnsi="Times New Roman"/>
                <w:i/>
                <w:noProof/>
                <w:color w:val="000000" w:themeColor="text1"/>
                <w:sz w:val="18"/>
              </w:rPr>
              <w:t>quater</w:t>
            </w:r>
            <w:r>
              <w:rPr>
                <w:rFonts w:ascii="Times New Roman" w:hAnsi="Times New Roman"/>
                <w:noProof/>
                <w:color w:val="000000" w:themeColor="text1"/>
                <w:sz w:val="18"/>
              </w:rPr>
              <w:t xml:space="preserve">, paragraphe 2, du règlement (CE) n° 73/2009; un montant de 51,6 millions d’EUR pour les montants non dépensés, transféré chaque année pour les exercices 2014 et 2015 (SE et DE) sur la base des articles 136 et 136 </w:t>
            </w:r>
            <w:r>
              <w:rPr>
                <w:rFonts w:ascii="Times New Roman" w:hAnsi="Times New Roman"/>
                <w:i/>
                <w:noProof/>
                <w:color w:val="000000" w:themeColor="text1"/>
                <w:sz w:val="18"/>
              </w:rPr>
              <w:t>ter</w:t>
            </w:r>
            <w:r>
              <w:rPr>
                <w:rFonts w:ascii="Times New Roman" w:hAnsi="Times New Roman"/>
                <w:noProof/>
                <w:color w:val="000000" w:themeColor="text1"/>
                <w:sz w:val="18"/>
              </w:rPr>
              <w:t xml:space="preserve"> du règlement (CE) n° 73/2009; et un montant de 4 313,6 millions d’EUR au titre de la réduction des paiements et de la flexibilité entre les piliers sur la base de l’article 7, paragraphe 2, et de l’article 14, paragraphe 1, du règlement (UE) n° 1307/2013.</w:t>
            </w:r>
          </w:p>
          <w:p>
            <w:pPr>
              <w:spacing w:after="0" w:line="240" w:lineRule="auto"/>
              <w:jc w:val="both"/>
              <w:rPr>
                <w:rFonts w:ascii="Times New Roman" w:eastAsia="Times New Roman" w:hAnsi="Times New Roman"/>
                <w:noProof/>
                <w:color w:val="000000" w:themeColor="text1"/>
                <w:sz w:val="18"/>
                <w:szCs w:val="18"/>
              </w:rPr>
            </w:pP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2" w:name="_Toc518305000"/>
      <w:bookmarkStart w:id="13" w:name="_Toc521662595"/>
      <w:r>
        <w:rPr>
          <w:rFonts w:ascii="Times New Roman" w:hAnsi="Times New Roman"/>
          <w:b/>
          <w:noProof/>
          <w:sz w:val="24"/>
        </w:rPr>
        <w:t>1.2.</w:t>
      </w:r>
      <w:r>
        <w:rPr>
          <w:noProof/>
        </w:rPr>
        <w:tab/>
      </w:r>
      <w:r>
        <w:rPr>
          <w:rFonts w:ascii="Times New Roman" w:hAnsi="Times New Roman"/>
          <w:b/>
          <w:noProof/>
          <w:sz w:val="24"/>
        </w:rPr>
        <w:t xml:space="preserve">Projet de budget (PB) </w:t>
      </w:r>
      <w:bookmarkEnd w:id="10"/>
      <w:r>
        <w:rPr>
          <w:rFonts w:ascii="Times New Roman" w:hAnsi="Times New Roman"/>
          <w:b/>
          <w:noProof/>
          <w:sz w:val="24"/>
        </w:rPr>
        <w:t>2017</w:t>
      </w:r>
      <w:bookmarkEnd w:id="11"/>
      <w:bookmarkEnd w:id="12"/>
      <w:bookmarkEnd w:id="13"/>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projet de budget (PB) 2017 a été adopté par la Commission et proposé à l’autorité budgétaire le 18 juillet 2016.</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projet de budget prévoyait un montant de 1 280 millions d’EUR en crédits de paiement pour le Fonds européen agricole pour le développement rural (Feader) au titre de la période de programmation 2007-2013.</w:t>
      </w:r>
      <w:bookmarkStart w:id="14" w:name="OLE_LINK6"/>
      <w:r>
        <w:rPr>
          <w:rFonts w:ascii="Times New Roman" w:hAnsi="Times New Roman"/>
          <w:noProof/>
          <w:sz w:val="24"/>
        </w:rPr>
        <w:t xml:space="preserve"> Aucun crédit d’engagement n’avait été demandé pour l’année 2017, étant donné que la période de programmation 2007-2013 s'était terminée à la fin de 2013. Pour la période de programmation 2014-2020, le PB 2017 comprenait un montant de 14 360 millions d’EUR en crédits d’engagement et un montant de 9 926 millions d’EUR en crédits de paiement.</w:t>
      </w:r>
    </w:p>
    <w:p>
      <w:pPr>
        <w:spacing w:before="120" w:after="120" w:line="240" w:lineRule="auto"/>
        <w:ind w:left="850"/>
        <w:jc w:val="both"/>
        <w:rPr>
          <w:rFonts w:ascii="Times New Roman" w:eastAsia="Times New Roman" w:hAnsi="Times New Roman"/>
          <w:noProof/>
          <w:sz w:val="24"/>
        </w:rPr>
      </w:pPr>
    </w:p>
    <w:bookmarkEnd w:id="14"/>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Conseil a adopté sa position sur le projet de budget 2017 le 12 septembre 2016, et le Parlement européen a adopté sa position le 26 octobre 2016. Le comité de conciliation a dû être convoqué, et celui-ci a convenu d’un texte commun dans le délai prescrit de 21 jours. Le Conseil a approuvé le texte commun le 29 novembre 2016 et le Parlement européen, le 1</w:t>
      </w:r>
      <w:r>
        <w:rPr>
          <w:rFonts w:ascii="Times New Roman" w:hAnsi="Times New Roman"/>
          <w:noProof/>
          <w:sz w:val="24"/>
          <w:vertAlign w:val="superscript"/>
        </w:rPr>
        <w:t>er</w:t>
      </w:r>
      <w:r>
        <w:rPr>
          <w:rFonts w:ascii="Times New Roman" w:hAnsi="Times New Roman"/>
          <w:noProof/>
          <w:sz w:val="24"/>
        </w:rPr>
        <w:t xml:space="preserve"> décembre 2016.</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15" w:name="_Toc331167061"/>
      <w:bookmarkStart w:id="16" w:name="_Toc393127468"/>
      <w:bookmarkStart w:id="17" w:name="_Toc518305001"/>
      <w:bookmarkStart w:id="18" w:name="_Toc521662596"/>
      <w:r>
        <w:rPr>
          <w:rFonts w:ascii="Times New Roman" w:hAnsi="Times New Roman"/>
          <w:b/>
          <w:noProof/>
          <w:sz w:val="24"/>
        </w:rPr>
        <w:t>1.3.</w:t>
      </w:r>
      <w:r>
        <w:rPr>
          <w:noProof/>
        </w:rPr>
        <w:tab/>
      </w:r>
      <w:r>
        <w:rPr>
          <w:rFonts w:ascii="Times New Roman" w:hAnsi="Times New Roman"/>
          <w:b/>
          <w:noProof/>
          <w:sz w:val="24"/>
        </w:rPr>
        <w:t>Adoption du budget 2017</w:t>
      </w:r>
      <w:bookmarkEnd w:id="15"/>
      <w:bookmarkEnd w:id="16"/>
      <w:bookmarkEnd w:id="17"/>
      <w:bookmarkEnd w:id="1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le Feader, le budget 2017 adopté le 1</w:t>
      </w:r>
      <w:r>
        <w:rPr>
          <w:rFonts w:ascii="Times New Roman" w:hAnsi="Times New Roman"/>
          <w:noProof/>
          <w:sz w:val="24"/>
          <w:vertAlign w:val="superscript"/>
        </w:rPr>
        <w:t>er</w:t>
      </w:r>
      <w:r>
        <w:rPr>
          <w:rFonts w:ascii="Times New Roman" w:hAnsi="Times New Roman"/>
          <w:noProof/>
          <w:sz w:val="24"/>
        </w:rPr>
        <w:t xml:space="preserve"> décembre 2016 était identique à la proposition initiale de la Commission. </w:t>
      </w:r>
    </w:p>
    <w:p>
      <w:pPr>
        <w:spacing w:before="120" w:after="120" w:line="240" w:lineRule="auto"/>
        <w:ind w:right="71"/>
        <w:jc w:val="both"/>
        <w:rPr>
          <w:rFonts w:ascii="Times New Roman" w:eastAsia="Times New Roman" w:hAnsi="Times New Roman"/>
          <w:noProof/>
          <w:sz w:val="24"/>
        </w:rPr>
      </w:pPr>
      <w:bookmarkStart w:id="19" w:name="OLE_LINK7"/>
      <w:r>
        <w:rPr>
          <w:rFonts w:ascii="Times New Roman" w:hAnsi="Times New Roman"/>
          <w:noProof/>
          <w:sz w:val="24"/>
        </w:rPr>
        <w:t>Tableau 2</w:t>
      </w:r>
    </w:p>
    <w:tbl>
      <w:tblPr>
        <w:tblW w:w="9015" w:type="dxa"/>
        <w:tblInd w:w="93" w:type="dxa"/>
        <w:tblLayout w:type="fixed"/>
        <w:tblLook w:val="04A0" w:firstRow="1" w:lastRow="0" w:firstColumn="1" w:lastColumn="0" w:noHBand="0" w:noVBand="1"/>
      </w:tblPr>
      <w:tblGrid>
        <w:gridCol w:w="5055"/>
        <w:gridCol w:w="1920"/>
        <w:gridCol w:w="2040"/>
      </w:tblGrid>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bookmarkStart w:id="20" w:name="_Toc331167062"/>
            <w:bookmarkEnd w:id="19"/>
            <w:r>
              <w:rPr>
                <w:rFonts w:ascii="Times New Roman" w:hAnsi="Times New Roman"/>
                <w:b/>
                <w:noProof/>
              </w:rPr>
              <w:t>Budget 2017 adopté</w:t>
            </w:r>
          </w:p>
        </w:tc>
      </w:tr>
      <w:tr>
        <w:trPr>
          <w:trHeight w:val="570"/>
        </w:trPr>
        <w:tc>
          <w:tcPr>
            <w:tcW w:w="505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b/>
                <w:bCs/>
                <w:noProof/>
              </w:rPr>
            </w:pPr>
            <w:r>
              <w:rPr>
                <w:rFonts w:ascii="Times New Roman" w:hAnsi="Times New Roman"/>
                <w:b/>
                <w:noProof/>
              </w:rPr>
              <w:t>Poste budgétaire</w:t>
            </w:r>
          </w:p>
        </w:tc>
        <w:tc>
          <w:tcPr>
            <w:tcW w:w="192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Crédits d’engagement</w:t>
            </w:r>
          </w:p>
        </w:tc>
        <w:tc>
          <w:tcPr>
            <w:tcW w:w="20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Crédits de paiement</w:t>
            </w:r>
          </w:p>
        </w:tc>
      </w:tr>
      <w:tr>
        <w:trPr>
          <w:trHeight w:val="270"/>
        </w:trPr>
        <w:tc>
          <w:tcPr>
            <w:tcW w:w="505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rPr>
            </w:pP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(en EUR)</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(en EUR)</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2007-2013</w:t>
            </w:r>
          </w:p>
        </w:tc>
      </w:tr>
      <w:tr>
        <w:trPr>
          <w:trHeight w:val="526"/>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 xml:space="preserve">05.040501 (Programmes de développement rural)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1 280 000 000</w:t>
            </w:r>
          </w:p>
        </w:tc>
      </w:tr>
      <w:tr>
        <w:trPr>
          <w:trHeight w:val="454"/>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05.040502 (Assistance technique opérationnelle)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w:t>
            </w:r>
          </w:p>
        </w:tc>
      </w:tr>
      <w:tr>
        <w:trPr>
          <w:trHeight w:val="300"/>
        </w:trPr>
        <w:tc>
          <w:tcPr>
            <w:tcW w:w="9015" w:type="dxa"/>
            <w:gridSpan w:val="3"/>
            <w:tcBorders>
              <w:top w:val="single" w:sz="8" w:space="0" w:color="auto"/>
              <w:left w:val="single" w:sz="8" w:space="0" w:color="auto"/>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2014-2020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05.046001 (Programmes de développement rural)</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14 337 026 697</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9 902 000 000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05.010404 (Assistance technique non opérationnelle)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r>
      <w:tr>
        <w:trPr>
          <w:trHeight w:val="502"/>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05.046002 (Assistance technique opérationnelle)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18 522 000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19 022 443</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1" w:name="_Toc393127469"/>
      <w:bookmarkStart w:id="22" w:name="_Toc518305002"/>
      <w:bookmarkStart w:id="23" w:name="_Toc521662597"/>
      <w:r>
        <w:rPr>
          <w:rFonts w:ascii="Times New Roman" w:hAnsi="Times New Roman"/>
          <w:b/>
          <w:noProof/>
          <w:sz w:val="24"/>
        </w:rPr>
        <w:t>1.4.</w:t>
      </w:r>
      <w:r>
        <w:rPr>
          <w:noProof/>
        </w:rPr>
        <w:tab/>
      </w:r>
      <w:r>
        <w:rPr>
          <w:rFonts w:ascii="Times New Roman" w:hAnsi="Times New Roman"/>
          <w:b/>
          <w:noProof/>
          <w:sz w:val="24"/>
        </w:rPr>
        <w:t>Adoption des budgets rectificatifs</w:t>
      </w:r>
      <w:bookmarkEnd w:id="21"/>
      <w:bookmarkEnd w:id="22"/>
      <w:bookmarkEnd w:id="23"/>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Dans le budget rectificatif n° 6, les crédits de paiement du Feader 2007-2013 ont été réduits de 780 millions d’EUR et les crédits d’engagement pour l’assistance technique, de 1,5 million d’EUR.</w:t>
      </w:r>
    </w:p>
    <w:p>
      <w:pPr>
        <w:spacing w:before="120" w:after="120" w:line="240" w:lineRule="auto"/>
        <w:ind w:right="71"/>
        <w:jc w:val="both"/>
        <w:rPr>
          <w:rFonts w:ascii="Times New Roman" w:eastAsia="Times New Roman" w:hAnsi="Times New Roman"/>
          <w:noProof/>
          <w:sz w:val="24"/>
        </w:rPr>
      </w:pPr>
      <w:r>
        <w:rPr>
          <w:rFonts w:ascii="Times New Roman" w:hAnsi="Times New Roman"/>
          <w:noProof/>
          <w:sz w:val="24"/>
        </w:rPr>
        <w:t>Tableau 3</w:t>
      </w:r>
    </w:p>
    <w:tbl>
      <w:tblPr>
        <w:tblW w:w="9015" w:type="dxa"/>
        <w:tblInd w:w="93" w:type="dxa"/>
        <w:tblLook w:val="04A0" w:firstRow="1" w:lastRow="0" w:firstColumn="1" w:lastColumn="0" w:noHBand="0" w:noVBand="1"/>
      </w:tblPr>
      <w:tblGrid>
        <w:gridCol w:w="5055"/>
        <w:gridCol w:w="1920"/>
        <w:gridCol w:w="2040"/>
      </w:tblGrid>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 xml:space="preserve">Budget 2017 après les budgets rectificatifs </w:t>
            </w:r>
          </w:p>
        </w:tc>
      </w:tr>
      <w:tr>
        <w:trPr>
          <w:trHeight w:val="570"/>
        </w:trPr>
        <w:tc>
          <w:tcPr>
            <w:tcW w:w="5055"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rPr>
                <w:rFonts w:ascii="Times New Roman" w:eastAsia="Times New Roman" w:hAnsi="Times New Roman"/>
                <w:b/>
                <w:bCs/>
                <w:noProof/>
              </w:rPr>
            </w:pPr>
            <w:r>
              <w:rPr>
                <w:rFonts w:ascii="Times New Roman" w:hAnsi="Times New Roman"/>
                <w:b/>
                <w:noProof/>
              </w:rPr>
              <w:t>Poste budgétaire</w:t>
            </w:r>
          </w:p>
        </w:tc>
        <w:tc>
          <w:tcPr>
            <w:tcW w:w="192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Crédits d’engagement</w:t>
            </w:r>
          </w:p>
        </w:tc>
        <w:tc>
          <w:tcPr>
            <w:tcW w:w="20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Crédits de paiement</w:t>
            </w:r>
          </w:p>
        </w:tc>
      </w:tr>
      <w:tr>
        <w:trPr>
          <w:trHeight w:val="270"/>
        </w:trPr>
        <w:tc>
          <w:tcPr>
            <w:tcW w:w="5055"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rPr>
            </w:pP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(en EUR)</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(en EUR)</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2007-2013</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 xml:space="preserve">05.040501 (Programmes de développement rural)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 xml:space="preserve">- </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500 000 000</w:t>
            </w:r>
          </w:p>
        </w:tc>
      </w:tr>
      <w:tr>
        <w:trPr>
          <w:trHeight w:val="6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05.040502 (Assistance technique opérationnelle)</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 xml:space="preserve">- </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w:t>
            </w:r>
          </w:p>
        </w:tc>
      </w:tr>
      <w:tr>
        <w:trPr>
          <w:trHeight w:val="300"/>
        </w:trPr>
        <w:tc>
          <w:tcPr>
            <w:tcW w:w="901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2014-2020</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05.046001 (Programmes de développement rural)</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14 337 026 697</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9 902 000 000</w:t>
            </w:r>
          </w:p>
        </w:tc>
      </w:tr>
      <w:tr>
        <w:trPr>
          <w:trHeight w:val="315"/>
        </w:trPr>
        <w:tc>
          <w:tcPr>
            <w:tcW w:w="505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rPr>
            </w:pPr>
            <w:r>
              <w:rPr>
                <w:rFonts w:ascii="Times New Roman" w:hAnsi="Times New Roman"/>
                <w:noProof/>
              </w:rPr>
              <w:t>05.010404 (Assistance technique non opérationnelle)</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rPr>
            </w:pPr>
            <w:r>
              <w:rPr>
                <w:rFonts w:ascii="Times New Roman" w:hAnsi="Times New Roman"/>
                <w:noProof/>
              </w:rPr>
              <w:t>4 910 000</w:t>
            </w:r>
          </w:p>
        </w:tc>
      </w:tr>
      <w:tr>
        <w:trPr>
          <w:trHeight w:val="615"/>
        </w:trPr>
        <w:tc>
          <w:tcPr>
            <w:tcW w:w="50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rPr>
            </w:pPr>
            <w:r>
              <w:rPr>
                <w:rFonts w:ascii="Times New Roman" w:hAnsi="Times New Roman"/>
                <w:noProof/>
              </w:rPr>
              <w:t>05.046002 (Assistance technique opérationnelle)</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17 022 000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rPr>
            </w:pPr>
            <w:r>
              <w:rPr>
                <w:rFonts w:ascii="Times New Roman" w:hAnsi="Times New Roman"/>
                <w:noProof/>
              </w:rPr>
              <w:t>19 022 443</w:t>
            </w:r>
          </w:p>
        </w:tc>
      </w:tr>
    </w:tbl>
    <w:p>
      <w:pPr>
        <w:spacing w:before="120" w:after="120" w:line="240" w:lineRule="auto"/>
        <w:jc w:val="both"/>
        <w:rPr>
          <w:rFonts w:ascii="Times New Roman" w:eastAsia="Times New Roman" w:hAnsi="Times New Roman"/>
          <w:noProof/>
          <w:sz w:val="24"/>
        </w:rPr>
      </w:pP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rPr>
      </w:pPr>
      <w:bookmarkStart w:id="24" w:name="_Toc393127470"/>
      <w:bookmarkStart w:id="25" w:name="_Toc518305003"/>
      <w:bookmarkStart w:id="26" w:name="_Toc521662598"/>
      <w:r>
        <w:rPr>
          <w:rFonts w:ascii="Times New Roman" w:hAnsi="Times New Roman"/>
          <w:b/>
          <w:smallCaps/>
          <w:noProof/>
          <w:sz w:val="24"/>
        </w:rPr>
        <w:t>2.</w:t>
      </w:r>
      <w:r>
        <w:rPr>
          <w:noProof/>
        </w:rPr>
        <w:tab/>
      </w:r>
      <w:r>
        <w:rPr>
          <w:rFonts w:ascii="Times New Roman" w:hAnsi="Times New Roman"/>
          <w:b/>
          <w:smallCaps/>
          <w:noProof/>
          <w:sz w:val="24"/>
        </w:rPr>
        <w:t>Gestion des crédits</w:t>
      </w:r>
      <w:bookmarkEnd w:id="20"/>
      <w:bookmarkEnd w:id="24"/>
      <w:bookmarkEnd w:id="25"/>
      <w:bookmarkEnd w:id="26"/>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27" w:name="_Toc331167063"/>
      <w:bookmarkStart w:id="28" w:name="_Toc393127471"/>
      <w:bookmarkStart w:id="29" w:name="_Toc518305004"/>
      <w:bookmarkStart w:id="30" w:name="_Toc521662599"/>
      <w:r>
        <w:rPr>
          <w:rFonts w:ascii="Times New Roman" w:hAnsi="Times New Roman"/>
          <w:b/>
          <w:noProof/>
          <w:sz w:val="24"/>
        </w:rPr>
        <w:t>2.1.</w:t>
      </w:r>
      <w:r>
        <w:rPr>
          <w:noProof/>
        </w:rPr>
        <w:tab/>
      </w:r>
      <w:r>
        <w:rPr>
          <w:rFonts w:ascii="Times New Roman" w:hAnsi="Times New Roman"/>
          <w:b/>
          <w:noProof/>
          <w:sz w:val="24"/>
        </w:rPr>
        <w:t>Gestion des crédits d’engagement</w:t>
      </w:r>
      <w:bookmarkEnd w:id="27"/>
      <w:bookmarkEnd w:id="28"/>
      <w:bookmarkEnd w:id="29"/>
      <w:bookmarkEnd w:id="30"/>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1" w:name="_Toc331167064"/>
      <w:bookmarkStart w:id="32" w:name="_Toc393127472"/>
      <w:bookmarkStart w:id="33" w:name="_Toc518305005"/>
      <w:bookmarkStart w:id="34" w:name="_Toc521662600"/>
      <w:r>
        <w:rPr>
          <w:rFonts w:ascii="Times New Roman" w:hAnsi="Times New Roman"/>
          <w:i/>
          <w:noProof/>
          <w:sz w:val="24"/>
        </w:rPr>
        <w:t>2.1.1.</w:t>
      </w:r>
      <w:r>
        <w:rPr>
          <w:noProof/>
        </w:rPr>
        <w:tab/>
      </w:r>
      <w:r>
        <w:rPr>
          <w:rFonts w:ascii="Times New Roman" w:hAnsi="Times New Roman"/>
          <w:i/>
          <w:noProof/>
          <w:sz w:val="24"/>
        </w:rPr>
        <w:t>Programmes de développement rural du Feader</w:t>
      </w:r>
      <w:bookmarkEnd w:id="31"/>
      <w:bookmarkEnd w:id="32"/>
      <w:bookmarkEnd w:id="33"/>
      <w:bookmarkEnd w:id="34"/>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En ce qui concerne les crédits d’engagement, le budget voté pour 2017 s’élevait à 14 337 millions d’EUR, intégralement liés aux programmes 2014-2020.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budget 2017 ne prévoyait pas de crédits d’engagement pour les programmes du Feader 2007-2013.</w:t>
      </w:r>
    </w:p>
    <w:p>
      <w:pPr>
        <w:keepNext/>
        <w:keepLines/>
        <w:spacing w:before="120" w:after="120" w:line="240" w:lineRule="auto"/>
        <w:ind w:left="850"/>
        <w:jc w:val="both"/>
        <w:rPr>
          <w:rFonts w:ascii="Times New Roman" w:eastAsia="Times New Roman" w:hAnsi="Times New Roman"/>
          <w:noProof/>
          <w:sz w:val="24"/>
        </w:rPr>
      </w:pPr>
      <w:bookmarkStart w:id="35" w:name="OLE_LINK8"/>
      <w:r>
        <w:rPr>
          <w:rFonts w:ascii="Times New Roman" w:hAnsi="Times New Roman"/>
          <w:noProof/>
          <w:sz w:val="24"/>
        </w:rPr>
        <w:t>Tableau 4</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trPr>
          <w:trHeight w:val="763"/>
        </w:trPr>
        <w:tc>
          <w:tcPr>
            <w:tcW w:w="4560" w:type="dxa"/>
            <w:shd w:val="clear" w:color="auto" w:fill="FFFF99"/>
            <w:vAlign w:val="center"/>
          </w:tcPr>
          <w:p>
            <w:pPr>
              <w:keepNext/>
              <w:keepLines/>
              <w:autoSpaceDE w:val="0"/>
              <w:autoSpaceDN w:val="0"/>
              <w:adjustRightInd w:val="0"/>
              <w:spacing w:before="120" w:after="0" w:line="240" w:lineRule="auto"/>
              <w:jc w:val="center"/>
              <w:rPr>
                <w:rFonts w:ascii="Times New Roman" w:eastAsia="Times New Roman" w:hAnsi="Times New Roman"/>
                <w:b/>
                <w:noProof/>
              </w:rPr>
            </w:pPr>
            <w:r>
              <w:rPr>
                <w:rFonts w:ascii="Times New Roman" w:hAnsi="Times New Roman"/>
                <w:b/>
                <w:noProof/>
              </w:rPr>
              <w:t>Gestion des crédits d’engagement en 2017 – Feader</w:t>
            </w:r>
          </w:p>
        </w:tc>
        <w:tc>
          <w:tcPr>
            <w:tcW w:w="1920" w:type="dxa"/>
            <w:shd w:val="clear" w:color="auto" w:fill="FFFF99"/>
            <w:vAlign w:val="center"/>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Poste budgétaire</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05.040501</w:t>
            </w:r>
          </w:p>
          <w:p>
            <w:pPr>
              <w:keepNext/>
              <w:keepLines/>
              <w:autoSpaceDE w:val="0"/>
              <w:autoSpaceDN w:val="0"/>
              <w:adjustRightInd w:val="0"/>
              <w:spacing w:after="0" w:line="240" w:lineRule="auto"/>
              <w:jc w:val="center"/>
              <w:rPr>
                <w:rFonts w:ascii="Times New Roman" w:eastAsia="Times New Roman" w:hAnsi="Times New Roman"/>
                <w:noProof/>
              </w:rPr>
            </w:pPr>
            <w:r>
              <w:rPr>
                <w:rFonts w:ascii="Times New Roman" w:hAnsi="Times New Roman"/>
                <w:noProof/>
                <w:sz w:val="20"/>
              </w:rPr>
              <w:t>(en EUR)</w:t>
            </w:r>
          </w:p>
        </w:tc>
        <w:tc>
          <w:tcPr>
            <w:tcW w:w="1861" w:type="dxa"/>
            <w:shd w:val="clear" w:color="auto" w:fill="FFFF99"/>
          </w:tcPr>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b/>
                <w:noProof/>
              </w:rPr>
              <w:t>Poste budgétaire</w:t>
            </w:r>
          </w:p>
          <w:p>
            <w:pPr>
              <w:keepNext/>
              <w:keepLines/>
              <w:autoSpaceDE w:val="0"/>
              <w:autoSpaceDN w:val="0"/>
              <w:adjustRightInd w:val="0"/>
              <w:spacing w:after="0" w:line="240" w:lineRule="auto"/>
              <w:jc w:val="center"/>
              <w:rPr>
                <w:rFonts w:ascii="Times New Roman" w:eastAsia="Times New Roman" w:hAnsi="Times New Roman"/>
                <w:b/>
                <w:noProof/>
                <w:sz w:val="20"/>
              </w:rPr>
            </w:pPr>
            <w:r>
              <w:rPr>
                <w:rFonts w:ascii="Times New Roman" w:hAnsi="Times New Roman"/>
                <w:b/>
                <w:noProof/>
                <w:sz w:val="20"/>
              </w:rPr>
              <w:t>05.046001</w:t>
            </w:r>
          </w:p>
          <w:p>
            <w:pPr>
              <w:keepNext/>
              <w:keepLines/>
              <w:autoSpaceDE w:val="0"/>
              <w:autoSpaceDN w:val="0"/>
              <w:adjustRightInd w:val="0"/>
              <w:spacing w:after="0" w:line="240" w:lineRule="auto"/>
              <w:jc w:val="center"/>
              <w:rPr>
                <w:rFonts w:ascii="Times New Roman" w:eastAsia="Times New Roman" w:hAnsi="Times New Roman"/>
                <w:b/>
                <w:noProof/>
              </w:rPr>
            </w:pPr>
            <w:r>
              <w:rPr>
                <w:rFonts w:ascii="Times New Roman" w:hAnsi="Times New Roman"/>
                <w:noProof/>
                <w:sz w:val="20"/>
              </w:rPr>
              <w:t>(en EUR)</w:t>
            </w:r>
          </w:p>
        </w:tc>
      </w:tr>
      <w:tr>
        <w:tc>
          <w:tcPr>
            <w:tcW w:w="4560" w:type="dxa"/>
            <w:shd w:val="clear" w:color="auto" w:fill="auto"/>
            <w:vAlign w:val="center"/>
          </w:tcPr>
          <w:p>
            <w:pPr>
              <w:keepNext/>
              <w:keepLines/>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Crédits au début de 2017</w:t>
            </w:r>
          </w:p>
        </w:tc>
        <w:tc>
          <w:tcPr>
            <w:tcW w:w="1920" w:type="dxa"/>
            <w:shd w:val="clear" w:color="auto" w:fill="auto"/>
            <w:vAlign w:val="center"/>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keepNext/>
              <w:keepLines/>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14 337 026 697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b/>
                <w:noProof/>
              </w:rPr>
            </w:pPr>
            <w:r>
              <w:rPr>
                <w:rFonts w:ascii="Times New Roman" w:hAnsi="Times New Roman"/>
                <w:b/>
                <w:noProof/>
              </w:rPr>
              <w:t>Crédits disponibles en 2017</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b/>
                <w:noProof/>
              </w:rPr>
            </w:pPr>
            <w:r>
              <w:rPr>
                <w:rFonts w:ascii="Times New Roman" w:hAnsi="Times New Roman"/>
                <w:b/>
                <w:noProof/>
              </w:rPr>
              <w:t>14 337 026 697</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rPr>
            </w:pPr>
            <w:r>
              <w:rPr>
                <w:rFonts w:ascii="Times New Roman" w:hAnsi="Times New Roman"/>
                <w:noProof/>
              </w:rPr>
              <w:t>Crédits utilisés en 2017</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rPr>
            </w:pPr>
            <w:r>
              <w:rPr>
                <w:rFonts w:ascii="Times New Roman" w:hAnsi="Times New Roman"/>
                <w:noProof/>
              </w:rPr>
              <w:t>14 337 026 697</w:t>
            </w:r>
          </w:p>
        </w:tc>
      </w:tr>
    </w:tbl>
    <w:p>
      <w:pPr>
        <w:spacing w:before="120" w:after="120" w:line="240" w:lineRule="auto"/>
        <w:ind w:left="850"/>
        <w:jc w:val="both"/>
        <w:rPr>
          <w:rFonts w:ascii="Times New Roman" w:eastAsia="Times New Roman" w:hAnsi="Times New Roman"/>
          <w:noProof/>
          <w:sz w:val="24"/>
        </w:rPr>
      </w:pPr>
      <w:bookmarkStart w:id="36" w:name="_Toc331167065"/>
      <w:bookmarkStart w:id="37" w:name="_Toc393127473"/>
      <w:bookmarkEnd w:id="35"/>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38" w:name="_Toc518305006"/>
      <w:bookmarkStart w:id="39" w:name="_Toc521662601"/>
      <w:r>
        <w:rPr>
          <w:rFonts w:ascii="Times New Roman" w:hAnsi="Times New Roman"/>
          <w:i/>
          <w:noProof/>
          <w:sz w:val="24"/>
        </w:rPr>
        <w:t>2.1.2.</w:t>
      </w:r>
      <w:r>
        <w:rPr>
          <w:noProof/>
        </w:rPr>
        <w:tab/>
      </w:r>
      <w:r>
        <w:rPr>
          <w:rFonts w:ascii="Times New Roman" w:hAnsi="Times New Roman"/>
          <w:i/>
          <w:noProof/>
          <w:sz w:val="24"/>
        </w:rPr>
        <w:t>Assistance technique</w:t>
      </w:r>
      <w:bookmarkEnd w:id="36"/>
      <w:bookmarkEnd w:id="37"/>
      <w:bookmarkEnd w:id="38"/>
      <w:bookmarkEnd w:id="39"/>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L’article 51, paragraphe 1, du règlement (UE) n° 1305/2013 prévoit que le Feader peut utiliser jusqu’à 0,25 % de sa dotation annuelle pour financer des actions d’assistance technique à l’initiative de la Commission. Dans le budget 2017, le montant initial disponible à cette fin était de 4,9 millions d’EUR pour l’assistance technique non opérationnelle et de 18,5 millions d’EUR pour l’assistance technique opérationnelle. Ce dernier montant a été réduit de 1,5 million d’EUR dans le budget rectificatif n° 6.</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40" w:name="_Toc331167066"/>
      <w:bookmarkStart w:id="41" w:name="_Toc393127474"/>
      <w:bookmarkStart w:id="42" w:name="_Toc518305007"/>
      <w:bookmarkStart w:id="43" w:name="_Toc521662602"/>
      <w:r>
        <w:rPr>
          <w:rFonts w:ascii="Times New Roman" w:hAnsi="Times New Roman"/>
          <w:b/>
          <w:noProof/>
          <w:sz w:val="24"/>
        </w:rPr>
        <w:t>2.2.</w:t>
      </w:r>
      <w:r>
        <w:rPr>
          <w:noProof/>
        </w:rPr>
        <w:tab/>
      </w:r>
      <w:r>
        <w:rPr>
          <w:rFonts w:ascii="Times New Roman" w:hAnsi="Times New Roman"/>
          <w:b/>
          <w:noProof/>
          <w:sz w:val="24"/>
        </w:rPr>
        <w:t>Gestion des crédits de paiement</w:t>
      </w:r>
      <w:bookmarkEnd w:id="40"/>
      <w:bookmarkEnd w:id="41"/>
      <w:bookmarkEnd w:id="42"/>
      <w:bookmarkEnd w:id="43"/>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4" w:name="_Toc331167067"/>
      <w:bookmarkStart w:id="45" w:name="_Toc393127475"/>
      <w:bookmarkStart w:id="46" w:name="_Toc518305008"/>
      <w:bookmarkStart w:id="47" w:name="_Toc521662603"/>
      <w:r>
        <w:rPr>
          <w:rFonts w:ascii="Times New Roman" w:hAnsi="Times New Roman"/>
          <w:i/>
          <w:noProof/>
          <w:sz w:val="24"/>
        </w:rPr>
        <w:t>2.2.1.</w:t>
      </w:r>
      <w:r>
        <w:rPr>
          <w:noProof/>
        </w:rPr>
        <w:tab/>
      </w:r>
      <w:r>
        <w:rPr>
          <w:rFonts w:ascii="Times New Roman" w:hAnsi="Times New Roman"/>
          <w:i/>
          <w:noProof/>
          <w:sz w:val="24"/>
        </w:rPr>
        <w:t>Programmes de développement rural du Feader</w:t>
      </w:r>
      <w:bookmarkEnd w:id="44"/>
      <w:bookmarkEnd w:id="45"/>
      <w:bookmarkEnd w:id="46"/>
      <w:bookmarkEnd w:id="47"/>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En ce qui concerne les programmes de développement rural 2014-2020, les crédits de paiement du budget voté pour 2017 s’élevaient à 9 902 millions d’EUR. En outre, les recettes affectées disponibles perçues durant l’année se sont élevées à 14,0 millions d’EUR. Les crédits de paiement ont été renforcés, avec le virement d’un montant de 3 millions d’EUR provenant de la ligne consacrée à l’assistance technique, le virement de fin d’année d’un montant de 567,7 millions d’EUR et le virement d’un montant de 110 millions d’EUR de recettes affectées provenant du Feader 2007-2013 afin de couvrir intégralement les déclarations de dépenses des États membres pour le troisième trimestre de 2017. Compte tenu de l’ensemble des virements, le montant total des crédits de paiement disponibles en 2017 s’est élevé à 11 069,9 millions d’EUR. Au total, en 2017, les crédits de paiement ont été utilisés à hauteur de 11 051,8 millions d’EUR, et un montant de 18,1 millions d’EUR de recettes affectées a été automatiquement reporté à 2018.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En ce qui concerne les programmes de développement rural 2007-2013, les crédits de paiement du budget voté pour 2017 s’élevaient à 1 280 millions d’EUR. En outre, les recettes affectées disponibles, reportées de 2016 ou perçues durant l’année, se sont élevées à 497,2 millions d’EUR. Le budget rectificatif n° 6 a réduit les crédits de paiement d’un montant de 780 millions d’EUR. Ces crédits ont en outre été réduits par deux virements vers la ligne budgétaire consacrée aux programmes du Feader 2014-2020, pour un montant total de 583,2 millions d’EUR. À la fin de l’année, le montant total des crédits de paiement disponibles en 2017 s’élevait à 413,8 millions d’EUR. Sur ce montant, 43,1 millions d’EUR ont été utilisés et 370,7 millions d’EUR de recettes affectées ont été automatiquement reportés à 2018.</w:t>
      </w:r>
    </w:p>
    <w:p>
      <w:pPr>
        <w:keepNext/>
        <w:keepLines/>
        <w:spacing w:before="120" w:after="120" w:line="240" w:lineRule="auto"/>
        <w:ind w:left="850"/>
        <w:jc w:val="both"/>
        <w:rPr>
          <w:rFonts w:ascii="Times New Roman" w:eastAsia="Times New Roman" w:hAnsi="Times New Roman"/>
          <w:noProof/>
          <w:sz w:val="24"/>
        </w:rPr>
      </w:pPr>
      <w:bookmarkStart w:id="48" w:name="OLE_LINK9"/>
      <w:r>
        <w:rPr>
          <w:rFonts w:ascii="Times New Roman" w:hAnsi="Times New Roman"/>
          <w:noProof/>
          <w:sz w:val="24"/>
        </w:rPr>
        <w:t>Tableau 5</w:t>
      </w:r>
    </w:p>
    <w:tbl>
      <w:tblPr>
        <w:tblW w:w="7752" w:type="dxa"/>
        <w:tblInd w:w="948" w:type="dxa"/>
        <w:tblLook w:val="04A0" w:firstRow="1" w:lastRow="0" w:firstColumn="1" w:lastColumn="0" w:noHBand="0" w:noVBand="1"/>
      </w:tblPr>
      <w:tblGrid>
        <w:gridCol w:w="4992"/>
        <w:gridCol w:w="2760"/>
      </w:tblGrid>
      <w:tr>
        <w:trPr>
          <w:trHeight w:val="28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Gestion des crédits de paiement en 2017</w:t>
            </w:r>
          </w:p>
        </w:tc>
      </w:tr>
      <w:tr>
        <w:trPr>
          <w:trHeight w:val="300"/>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(en EUR)</w:t>
            </w:r>
          </w:p>
        </w:tc>
      </w:tr>
      <w:tr>
        <w:trPr>
          <w:trHeight w:val="178"/>
        </w:trPr>
        <w:tc>
          <w:tcPr>
            <w:tcW w:w="77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rPr>
            </w:pPr>
            <w:r>
              <w:rPr>
                <w:rFonts w:ascii="Times New Roman" w:hAnsi="Times New Roman"/>
                <w:noProof/>
              </w:rPr>
              <w:t> </w:t>
            </w:r>
          </w:p>
        </w:tc>
      </w:tr>
      <w:tr>
        <w:trPr>
          <w:trHeight w:val="285"/>
        </w:trPr>
        <w:tc>
          <w:tcPr>
            <w:tcW w:w="7752"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Feader (2014-2020)</w:t>
            </w:r>
          </w:p>
        </w:tc>
      </w:tr>
      <w:tr>
        <w:trPr>
          <w:trHeight w:val="300"/>
        </w:trPr>
        <w:tc>
          <w:tcPr>
            <w:tcW w:w="7752"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Poste budgétaire - 05.046001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Crédits au début de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9 902 000 000</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Virements à partir du Feader 2007-2013</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473 190 882</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Virement à partir de la ligne «assistance technique» du Feader 2014-2020</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3 000 000</w:t>
            </w:r>
          </w:p>
        </w:tc>
      </w:tr>
      <w:tr>
        <w:trPr>
          <w:trHeight w:val="394"/>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Virement de fin d’année</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567 662 308</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Recettes affectées perçues en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14 029 057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Virement de recettes affectées à partir du Feader 2007-2013</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b/>
                <w:noProof/>
              </w:rPr>
            </w:pPr>
            <w:r>
              <w:rPr>
                <w:rFonts w:ascii="Times New Roman" w:hAnsi="Times New Roman"/>
                <w:b/>
                <w:noProof/>
              </w:rPr>
              <w:t>Crédits disponibles en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b/>
                <w:noProof/>
              </w:rPr>
            </w:pPr>
            <w:r>
              <w:rPr>
                <w:rFonts w:ascii="Times New Roman" w:hAnsi="Times New Roman"/>
                <w:b/>
                <w:noProof/>
              </w:rPr>
              <w:t>11 069 882 247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Crédits utilisés en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11 051 784 091</w:t>
            </w:r>
          </w:p>
        </w:tc>
      </w:tr>
      <w:tr>
        <w:trPr>
          <w:trHeight w:val="31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Feader (2007-2013)</w:t>
            </w:r>
          </w:p>
        </w:tc>
      </w:tr>
      <w:tr>
        <w:trPr>
          <w:trHeight w:val="285"/>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rPr>
            </w:pPr>
            <w:r>
              <w:rPr>
                <w:rFonts w:ascii="Times New Roman" w:hAnsi="Times New Roman"/>
                <w:b/>
                <w:noProof/>
              </w:rPr>
              <w:t xml:space="preserve">Poste budgétaire - </w:t>
            </w:r>
            <w:r>
              <w:rPr>
                <w:rFonts w:ascii="Times New Roman" w:hAnsi="Times New Roman"/>
                <w:b/>
                <w:noProof/>
                <w:sz w:val="20"/>
              </w:rPr>
              <w:t>05.040501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Crédits au début de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1 280 000 000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 xml:space="preserve">Virements vers le Feader 2014-2020 </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-473 190 882</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Virement vers la ligne 05.087706</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-182 967</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Budget rectificatif</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-780 000 000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Recettes affectées reportées de 2016</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12 134 265</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Recettes affectées perçues en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485 027 166</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Virement de recettes affectées vers le Feader 2014-2020</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-110 000 000</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b/>
                <w:noProof/>
              </w:rPr>
            </w:pPr>
            <w:r>
              <w:rPr>
                <w:rFonts w:ascii="Times New Roman" w:hAnsi="Times New Roman"/>
                <w:b/>
                <w:noProof/>
              </w:rPr>
              <w:t>Crédits disponibles en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b/>
                <w:noProof/>
              </w:rPr>
            </w:pPr>
            <w:r>
              <w:rPr>
                <w:rFonts w:ascii="Times New Roman" w:hAnsi="Times New Roman"/>
                <w:b/>
                <w:noProof/>
              </w:rPr>
              <w:t>413 787 582</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tcPr>
          <w:p>
            <w:pPr>
              <w:rPr>
                <w:rFonts w:ascii="Times New Roman" w:hAnsi="Times New Roman"/>
                <w:noProof/>
              </w:rPr>
            </w:pPr>
            <w:r>
              <w:rPr>
                <w:rFonts w:ascii="Times New Roman" w:hAnsi="Times New Roman"/>
                <w:noProof/>
              </w:rPr>
              <w:t>Crédits utilisés en 2017</w:t>
            </w:r>
          </w:p>
        </w:tc>
        <w:tc>
          <w:tcPr>
            <w:tcW w:w="2760" w:type="dxa"/>
            <w:tcBorders>
              <w:top w:val="nil"/>
              <w:left w:val="nil"/>
              <w:bottom w:val="single" w:sz="8" w:space="0" w:color="auto"/>
              <w:right w:val="single" w:sz="8" w:space="0" w:color="auto"/>
            </w:tcBorders>
            <w:shd w:val="clear" w:color="auto" w:fill="auto"/>
          </w:tcPr>
          <w:p>
            <w:pPr>
              <w:jc w:val="right"/>
              <w:rPr>
                <w:rFonts w:ascii="Times New Roman" w:hAnsi="Times New Roman"/>
                <w:noProof/>
              </w:rPr>
            </w:pPr>
            <w:r>
              <w:rPr>
                <w:rFonts w:ascii="Times New Roman" w:hAnsi="Times New Roman"/>
                <w:noProof/>
              </w:rPr>
              <w:t>43 121 731</w:t>
            </w:r>
          </w:p>
        </w:tc>
      </w:tr>
    </w:tbl>
    <w:p>
      <w:pPr>
        <w:spacing w:before="120" w:after="120" w:line="240" w:lineRule="auto"/>
        <w:ind w:left="850"/>
        <w:jc w:val="both"/>
        <w:rPr>
          <w:rFonts w:ascii="Times New Roman" w:eastAsia="Times New Roman" w:hAnsi="Times New Roman"/>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49" w:name="_Toc331167068"/>
      <w:bookmarkStart w:id="50" w:name="_Toc393127476"/>
      <w:bookmarkStart w:id="51" w:name="_Toc518305009"/>
      <w:bookmarkStart w:id="52" w:name="_Toc521662604"/>
      <w:bookmarkEnd w:id="48"/>
      <w:r>
        <w:rPr>
          <w:rFonts w:ascii="Times New Roman" w:hAnsi="Times New Roman"/>
          <w:i/>
          <w:noProof/>
          <w:sz w:val="24"/>
        </w:rPr>
        <w:t>2.2.2.</w:t>
      </w:r>
      <w:r>
        <w:rPr>
          <w:noProof/>
        </w:rPr>
        <w:tab/>
      </w:r>
      <w:r>
        <w:rPr>
          <w:rFonts w:ascii="Times New Roman" w:hAnsi="Times New Roman"/>
          <w:i/>
          <w:noProof/>
          <w:sz w:val="24"/>
        </w:rPr>
        <w:t>Assistance technique</w:t>
      </w:r>
      <w:bookmarkEnd w:id="49"/>
      <w:bookmarkEnd w:id="50"/>
      <w:bookmarkEnd w:id="51"/>
      <w:bookmarkEnd w:id="52"/>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En ce qui concerne l’assistance technique du Feader, les crédits de paiement totaux inscrits au budget 2017 s’élevaient à 23,9 millions d’EUR, dont 3 millions d’EUR ont été transférés vers la ligne des programmes 2014-2020 du Feader afin de couvrir l’intégralité des déclarations de dépenses des États membres pour le troisième trimestre de 2017. Les crédits de paiement totaux s’élevaient à 20,9 millions d’EUR. </w:t>
      </w:r>
    </w:p>
    <w:p>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rPr>
      </w:pPr>
      <w:bookmarkStart w:id="53" w:name="_Toc331167069"/>
      <w:bookmarkStart w:id="54" w:name="_Toc393127477"/>
      <w:bookmarkStart w:id="55" w:name="_Toc518305010"/>
      <w:bookmarkStart w:id="56" w:name="_Toc521662605"/>
      <w:r>
        <w:rPr>
          <w:rFonts w:ascii="Times New Roman" w:hAnsi="Times New Roman"/>
          <w:b/>
          <w:smallCaps/>
          <w:noProof/>
          <w:sz w:val="24"/>
        </w:rPr>
        <w:t>3.</w:t>
      </w:r>
      <w:r>
        <w:rPr>
          <w:noProof/>
        </w:rPr>
        <w:tab/>
      </w:r>
      <w:r>
        <w:rPr>
          <w:rFonts w:ascii="Times New Roman" w:hAnsi="Times New Roman"/>
          <w:b/>
          <w:smallCaps/>
          <w:noProof/>
          <w:sz w:val="24"/>
        </w:rPr>
        <w:t>Exécution du budget 2017 du Feader</w:t>
      </w:r>
      <w:bookmarkEnd w:id="53"/>
      <w:bookmarkEnd w:id="54"/>
      <w:bookmarkEnd w:id="55"/>
      <w:bookmarkEnd w:id="56"/>
    </w:p>
    <w:p>
      <w:pPr>
        <w:keepNext/>
        <w:tabs>
          <w:tab w:val="left" w:pos="850"/>
        </w:tabs>
        <w:spacing w:before="240" w:after="120" w:line="240" w:lineRule="auto"/>
        <w:ind w:left="850" w:right="749" w:hanging="850"/>
        <w:jc w:val="both"/>
        <w:outlineLvl w:val="1"/>
        <w:rPr>
          <w:rFonts w:ascii="Times New Roman" w:eastAsia="Times New Roman" w:hAnsi="Times New Roman"/>
          <w:b/>
          <w:noProof/>
          <w:sz w:val="24"/>
        </w:rPr>
      </w:pPr>
      <w:bookmarkStart w:id="57" w:name="_Toc331167071"/>
      <w:bookmarkStart w:id="58" w:name="_Toc393127479"/>
      <w:bookmarkStart w:id="59" w:name="_Toc518305011"/>
      <w:bookmarkStart w:id="60" w:name="_Toc521662606"/>
      <w:r>
        <w:rPr>
          <w:rFonts w:ascii="Times New Roman" w:hAnsi="Times New Roman"/>
          <w:b/>
          <w:noProof/>
          <w:sz w:val="24"/>
        </w:rPr>
        <w:t>3.1.</w:t>
      </w:r>
      <w:r>
        <w:rPr>
          <w:noProof/>
        </w:rPr>
        <w:tab/>
      </w:r>
      <w:r>
        <w:rPr>
          <w:rFonts w:ascii="Times New Roman" w:hAnsi="Times New Roman"/>
          <w:b/>
          <w:noProof/>
          <w:sz w:val="24"/>
        </w:rPr>
        <w:t>Exécution des crédits d’engagement</w:t>
      </w:r>
      <w:bookmarkEnd w:id="57"/>
      <w:bookmarkEnd w:id="58"/>
      <w:bookmarkEnd w:id="59"/>
      <w:bookmarkEnd w:id="60"/>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i/>
          <w:noProof/>
          <w:sz w:val="24"/>
        </w:rPr>
      </w:pPr>
      <w:bookmarkStart w:id="61" w:name="_Toc331167072"/>
      <w:bookmarkStart w:id="62" w:name="_Toc393127480"/>
      <w:bookmarkStart w:id="63" w:name="_Toc518305012"/>
      <w:bookmarkStart w:id="64" w:name="_Toc521662607"/>
      <w:r>
        <w:rPr>
          <w:rFonts w:ascii="Times New Roman" w:hAnsi="Times New Roman"/>
          <w:i/>
          <w:noProof/>
          <w:sz w:val="24"/>
        </w:rPr>
        <w:t>3.1.1.</w:t>
      </w:r>
      <w:r>
        <w:rPr>
          <w:noProof/>
        </w:rPr>
        <w:tab/>
      </w:r>
      <w:r>
        <w:rPr>
          <w:rFonts w:ascii="Times New Roman" w:hAnsi="Times New Roman"/>
          <w:i/>
          <w:noProof/>
          <w:sz w:val="24"/>
        </w:rPr>
        <w:t>Programmes de développement rural du Feader</w:t>
      </w:r>
      <w:bookmarkEnd w:id="61"/>
      <w:bookmarkEnd w:id="62"/>
      <w:bookmarkEnd w:id="63"/>
      <w:bookmarkEnd w:id="64"/>
      <w:r>
        <w:rPr>
          <w:noProof/>
        </w:rPr>
        <w:tab/>
      </w:r>
    </w:p>
    <w:p>
      <w:pPr>
        <w:spacing w:before="120" w:after="240" w:line="240" w:lineRule="auto"/>
        <w:ind w:left="850" w:right="71"/>
        <w:jc w:val="both"/>
        <w:rPr>
          <w:rFonts w:ascii="Times New Roman" w:eastAsia="Times New Roman" w:hAnsi="Times New Roman"/>
          <w:noProof/>
          <w:sz w:val="24"/>
        </w:rPr>
      </w:pPr>
      <w:r>
        <w:rPr>
          <w:rFonts w:ascii="Times New Roman" w:hAnsi="Times New Roman"/>
          <w:noProof/>
          <w:sz w:val="24"/>
        </w:rPr>
        <w:t xml:space="preserve">La totalité des crédits d’engagement inscrits au budget 2017 pour les programmes du Feader 2014-2020 (14 337,0 millions d’EUR) a été engagée. </w:t>
      </w:r>
    </w:p>
    <w:p>
      <w:pPr>
        <w:spacing w:before="120" w:after="240" w:line="240" w:lineRule="auto"/>
        <w:ind w:left="850" w:right="71"/>
        <w:jc w:val="both"/>
        <w:rPr>
          <w:rFonts w:ascii="Times New Roman" w:eastAsia="Times New Roman" w:hAnsi="Times New Roman"/>
          <w:noProof/>
          <w:sz w:val="24"/>
        </w:rPr>
      </w:pPr>
      <w:bookmarkStart w:id="65" w:name="OLE_LINK10"/>
      <w:r>
        <w:rPr>
          <w:rFonts w:ascii="Times New Roman" w:hAnsi="Times New Roman"/>
          <w:noProof/>
          <w:sz w:val="24"/>
        </w:rPr>
        <w:t>Le tableau 6 présente, par État membre, la dotation fixée par le règlement (CE) n° 1305/2013, modifié en dernier lieu par le règlement (UE) 2018/162, et les montants engagés en 2017.</w:t>
      </w:r>
    </w:p>
    <w:p>
      <w:pPr>
        <w:keepNext/>
        <w:keepLines/>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Tableau 6</w:t>
      </w:r>
    </w:p>
    <w:tbl>
      <w:tblPr>
        <w:tblW w:w="5960" w:type="dxa"/>
        <w:tblInd w:w="948"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bookmarkStart w:id="66" w:name="_Toc331167073"/>
            <w:bookmarkStart w:id="67" w:name="_Toc393127481"/>
            <w:bookmarkEnd w:id="65"/>
            <w:r>
              <w:rPr>
                <w:rFonts w:ascii="Times New Roman" w:hAnsi="Times New Roman"/>
                <w:b/>
                <w:i/>
                <w:noProof/>
              </w:rPr>
              <w:t>Règlement (UE) n° 1305/2013 (modifié) - comparaison avec les montants engagés à la fin de 2017</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Poste budgétaire: 05.046001</w:t>
            </w:r>
          </w:p>
        </w:tc>
        <w:tc>
          <w:tcPr>
            <w:tcW w:w="1980"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i/>
                <w:iCs/>
                <w:noProof/>
                <w:sz w:val="20"/>
                <w:szCs w:val="20"/>
              </w:rPr>
            </w:pPr>
            <w:r>
              <w:rPr>
                <w:rFonts w:ascii="Times New Roman" w:hAnsi="Times New Roman"/>
                <w:i/>
                <w:noProof/>
                <w:sz w:val="20"/>
              </w:rPr>
              <w:t>(en EUR)</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EM</w:t>
            </w:r>
          </w:p>
        </w:tc>
        <w:tc>
          <w:tcPr>
            <w:tcW w:w="22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Règlement (UE) n°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Montants engagés en 2017</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20"/>
                <w:szCs w:val="20"/>
              </w:rPr>
            </w:pP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Dotation 2017</w:t>
            </w:r>
          </w:p>
        </w:tc>
        <w:tc>
          <w:tcPr>
            <w:tcW w:w="198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20"/>
                <w:szCs w:val="20"/>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eastAsia="Times New Roman" w:cs="Arial"/>
                <w:noProof/>
                <w:sz w:val="20"/>
                <w:szCs w:val="20"/>
              </w:rPr>
            </w:pPr>
            <w:r>
              <w:rPr>
                <w:noProof/>
                <w:sz w:val="20"/>
              </w:rPr>
              <w:t> </w:t>
            </w:r>
          </w:p>
        </w:tc>
        <w:tc>
          <w:tcPr>
            <w:tcW w:w="22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(a)</w:t>
            </w:r>
          </w:p>
        </w:tc>
        <w:tc>
          <w:tcPr>
            <w:tcW w:w="19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(b)</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AT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562 467 745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562 467 745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97 175 076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97 175 076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340 409 994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340 409 994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18 894 801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18 894 801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344 509 078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344 509 078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1 404 073 302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1 404 073 302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144 868 072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144 868 072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122 865 093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122 865 093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1 185 553 005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1 185 553 005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340 009 057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340 009 057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1 665 777 592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1 665 777 592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703 471 245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703 471 245</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282 342 500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282 342 500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488 620 684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488 620 684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313 007 411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313 007 411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1 493 380 162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1 493 380 162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230 451 686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230 451 686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14 366 484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14 366 484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155 139 289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155 139 289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13 914 927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13 914 927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118 357 256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118 357 256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1 192 025 238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1 192 025 238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579 806 001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579 806 001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1 186 544 149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1 186 544 149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249 386 135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249 386 135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119 684 133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119 684 133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215 356 644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215 356 644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754 569 938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754 569 938</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Total</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14 337 026 697</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14 337 026 697</w:t>
            </w:r>
          </w:p>
        </w:tc>
      </w:tr>
    </w:tbl>
    <w:p>
      <w:pPr>
        <w:keepNext/>
        <w:tabs>
          <w:tab w:val="left" w:pos="850"/>
        </w:tabs>
        <w:spacing w:before="240" w:after="120" w:line="240" w:lineRule="auto"/>
        <w:ind w:left="850" w:hanging="850"/>
        <w:jc w:val="both"/>
        <w:outlineLvl w:val="2"/>
        <w:rPr>
          <w:rFonts w:ascii="Times New Roman" w:eastAsia="Times New Roman" w:hAnsi="Times New Roman"/>
          <w:i/>
          <w:noProof/>
          <w:sz w:val="24"/>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68" w:name="_Toc518305013"/>
      <w:bookmarkStart w:id="69" w:name="_Toc521662608"/>
      <w:r>
        <w:rPr>
          <w:rFonts w:ascii="Times New Roman" w:hAnsi="Times New Roman"/>
          <w:i/>
          <w:noProof/>
          <w:sz w:val="24"/>
        </w:rPr>
        <w:t>3.1.2.</w:t>
      </w:r>
      <w:r>
        <w:rPr>
          <w:noProof/>
        </w:rPr>
        <w:tab/>
      </w:r>
      <w:r>
        <w:rPr>
          <w:rFonts w:ascii="Times New Roman" w:hAnsi="Times New Roman"/>
          <w:i/>
          <w:noProof/>
          <w:sz w:val="24"/>
        </w:rPr>
        <w:t>Assistance technique</w:t>
      </w:r>
      <w:bookmarkEnd w:id="66"/>
      <w:bookmarkEnd w:id="67"/>
      <w:bookmarkEnd w:id="68"/>
      <w:bookmarkEnd w:id="69"/>
    </w:p>
    <w:p>
      <w:pPr>
        <w:spacing w:before="120" w:after="240" w:line="240" w:lineRule="auto"/>
        <w:ind w:left="851" w:right="71"/>
        <w:jc w:val="both"/>
        <w:rPr>
          <w:rFonts w:ascii="Times New Roman" w:eastAsia="Times New Roman" w:hAnsi="Times New Roman"/>
          <w:noProof/>
          <w:sz w:val="24"/>
        </w:rPr>
      </w:pPr>
      <w:r>
        <w:rPr>
          <w:rFonts w:ascii="Times New Roman" w:hAnsi="Times New Roman"/>
          <w:noProof/>
          <w:sz w:val="24"/>
        </w:rPr>
        <w:t>Pour la période de programmation 2014-2020, le montant des crédits d’engagement inscrits au budget 2017 pour l’assistance technique opérationnelle s’élevait à 18,5 millions d’EUR. Le montant de cette ligne a été réduit de 1,5 million d’EUR dans le budget rectificatif n° 6. Le tableau 7 présente la consommation des crédits d’engagement disponibles au titre de l’assistance technique opérationnelle en 2017. La majeure partie de ces montants concerne le réseau européen de développement rural et le partenariat d’innovation européen.</w:t>
      </w:r>
    </w:p>
    <w:p>
      <w:pPr>
        <w:keepNext/>
        <w:keepLines/>
        <w:spacing w:before="120" w:after="120" w:line="240" w:lineRule="auto"/>
        <w:ind w:left="850"/>
        <w:jc w:val="both"/>
        <w:rPr>
          <w:rFonts w:ascii="Times New Roman" w:eastAsia="Times New Roman" w:hAnsi="Times New Roman"/>
          <w:noProof/>
          <w:sz w:val="24"/>
        </w:rPr>
      </w:pPr>
      <w:bookmarkStart w:id="70" w:name="OLE_LINK11"/>
      <w:r>
        <w:rPr>
          <w:rFonts w:ascii="Times New Roman" w:hAnsi="Times New Roman"/>
          <w:noProof/>
          <w:sz w:val="24"/>
        </w:rPr>
        <w:t>Tableau 7</w:t>
      </w:r>
    </w:p>
    <w:tbl>
      <w:tblPr>
        <w:tblW w:w="8160" w:type="dxa"/>
        <w:tblInd w:w="948" w:type="dxa"/>
        <w:tblLook w:val="04A0" w:firstRow="1" w:lastRow="0" w:firstColumn="1" w:lastColumn="0" w:noHBand="0" w:noVBand="1"/>
      </w:tblPr>
      <w:tblGrid>
        <w:gridCol w:w="4800"/>
        <w:gridCol w:w="3360"/>
      </w:tblGrid>
      <w:tr>
        <w:trPr>
          <w:trHeight w:val="600"/>
        </w:trPr>
        <w:tc>
          <w:tcPr>
            <w:tcW w:w="816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Assistance technique - Exécution des crédits d’engagement</w:t>
            </w:r>
          </w:p>
        </w:tc>
      </w:tr>
      <w:tr>
        <w:trPr>
          <w:trHeight w:val="270"/>
        </w:trPr>
        <w:tc>
          <w:tcPr>
            <w:tcW w:w="4800"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Poste budgétaire: 05.046002</w:t>
            </w:r>
          </w:p>
        </w:tc>
        <w:tc>
          <w:tcPr>
            <w:tcW w:w="33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(en EUR) </w:t>
            </w:r>
          </w:p>
        </w:tc>
      </w:tr>
      <w:tr>
        <w:trPr>
          <w:trHeight w:val="525"/>
        </w:trPr>
        <w:tc>
          <w:tcPr>
            <w:tcW w:w="48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Description</w:t>
            </w:r>
          </w:p>
        </w:tc>
        <w:tc>
          <w:tcPr>
            <w:tcW w:w="336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 Montant engagé </w:t>
            </w:r>
          </w:p>
        </w:tc>
      </w:tr>
      <w:tr>
        <w:trPr>
          <w:trHeight w:val="525"/>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Réseau européen de développement rural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5 023 899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Partenariat d’innovation européen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2 687 741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Technologies de l’information*</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2 257 024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Réseau européen d’évaluation </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1 925 113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Audit et contrôles</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668 574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Corps européen de solidarité</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500 000 </w:t>
            </w:r>
          </w:p>
        </w:tc>
      </w:tr>
      <w:tr>
        <w:trPr>
          <w:trHeight w:val="270"/>
        </w:trPr>
        <w:tc>
          <w:tcPr>
            <w:tcW w:w="480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Base de données sur l’agriculture biologique</w:t>
            </w:r>
          </w:p>
        </w:tc>
        <w:tc>
          <w:tcPr>
            <w:tcW w:w="33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 xml:space="preserve">                 115 000 </w:t>
            </w:r>
          </w:p>
        </w:tc>
      </w:tr>
      <w:tr>
        <w:trPr>
          <w:trHeight w:val="270"/>
        </w:trPr>
        <w:tc>
          <w:tcPr>
            <w:tcW w:w="48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w:t>
            </w:r>
          </w:p>
        </w:tc>
        <w:tc>
          <w:tcPr>
            <w:tcW w:w="336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 xml:space="preserve">         13 177 350 </w:t>
            </w:r>
          </w:p>
        </w:tc>
      </w:tr>
      <w:tr>
        <w:trPr>
          <w:trHeight w:val="270"/>
        </w:trPr>
        <w:tc>
          <w:tcPr>
            <w:tcW w:w="8160" w:type="dxa"/>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 xml:space="preserve">  * Y compris les bureaux de compétences en matière de haut débit</w:t>
            </w: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71" w:name="_Toc331167074"/>
      <w:bookmarkStart w:id="72" w:name="_Toc393127482"/>
      <w:bookmarkStart w:id="73" w:name="_Toc518305014"/>
      <w:bookmarkStart w:id="74" w:name="_Toc521662609"/>
      <w:bookmarkEnd w:id="70"/>
      <w:r>
        <w:rPr>
          <w:rFonts w:ascii="Times New Roman" w:hAnsi="Times New Roman"/>
          <w:b/>
          <w:noProof/>
          <w:sz w:val="24"/>
        </w:rPr>
        <w:t>3.2.</w:t>
      </w:r>
      <w:r>
        <w:rPr>
          <w:noProof/>
        </w:rPr>
        <w:tab/>
      </w:r>
      <w:r>
        <w:rPr>
          <w:rFonts w:ascii="Times New Roman" w:hAnsi="Times New Roman"/>
          <w:b/>
          <w:noProof/>
          <w:sz w:val="24"/>
        </w:rPr>
        <w:t>Exécution des crédits de paiement</w:t>
      </w:r>
      <w:bookmarkEnd w:id="71"/>
      <w:bookmarkEnd w:id="72"/>
      <w:bookmarkEnd w:id="73"/>
      <w:bookmarkEnd w:id="74"/>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75" w:name="_Toc331167075"/>
      <w:bookmarkStart w:id="76" w:name="_Toc393127483"/>
      <w:bookmarkStart w:id="77" w:name="_Toc518305015"/>
      <w:bookmarkStart w:id="78" w:name="_Toc521662610"/>
      <w:r>
        <w:rPr>
          <w:rFonts w:ascii="Times New Roman" w:hAnsi="Times New Roman"/>
          <w:i/>
          <w:noProof/>
          <w:sz w:val="24"/>
        </w:rPr>
        <w:t>3.2.1.</w:t>
      </w:r>
      <w:r>
        <w:rPr>
          <w:noProof/>
        </w:rPr>
        <w:tab/>
      </w:r>
      <w:r>
        <w:rPr>
          <w:rFonts w:ascii="Times New Roman" w:hAnsi="Times New Roman"/>
          <w:i/>
          <w:noProof/>
          <w:sz w:val="24"/>
        </w:rPr>
        <w:t>Programmes de développement rural du Feader</w:t>
      </w:r>
      <w:bookmarkEnd w:id="75"/>
      <w:bookmarkEnd w:id="76"/>
      <w:bookmarkEnd w:id="77"/>
      <w:bookmarkEnd w:id="78"/>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Pour la période de programmation 2014-2020, la totalité des crédits de paiement inscrits au budget 2017 (9 902,0 millions d’EUR) ont été utilisés. En outre, en fin d’année, des renforcements se sont révélés nécessaires pour permettre le remboursement intégral des dépenses déclarées par les États membres. Les virements suivants sont venus augmenter les crédits de paiement disponibles pour le Feader 2014-2020: 473,2 millions d’EUR provenant du budget 2017 du Feader 2007-2013, 110,0 millions d’EUR de recettes affectées provenant du Feader 2007-2013, 3,0 millions d’EUR provenant de l’assistance technique opérationnelle du Feader 2014-2020 et 567,7 millions d’EUR provenant du virement de fin d’année. Au total, à la fin de 2017, 11 051,8 millions d’EUR avaient été utilisés sur les 11 069,9 millions d’EUR de crédits de paiement disponibles après les virements.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Pour la période de programmation 2007-2013, 43,1 millions d’EUR ont été consommés sur les 1 280 millions d’EUR de crédits de paiement inscrits au budget et les 497,2 millions d’EUR de recettes affectées disponibles. Le budget rectificatif n° 6 a réduit les crédits de paiement d’un montant de 780,0 millions d’EUR. En outre, un montant de 583,2 millions d’EUR (dont 110,0 millions d’EUR de recettes affectées) a été transféré vers la ligne budgétaire des programmes 2014-2020 du Feader. </w:t>
      </w:r>
    </w:p>
    <w:p>
      <w:pPr>
        <w:spacing w:before="120" w:after="120" w:line="240" w:lineRule="auto"/>
        <w:ind w:left="840" w:right="71"/>
        <w:jc w:val="both"/>
        <w:rPr>
          <w:rFonts w:ascii="Times New Roman" w:eastAsia="Times New Roman" w:hAnsi="Times New Roman"/>
          <w:noProof/>
          <w:sz w:val="24"/>
        </w:rPr>
      </w:pPr>
      <w:r>
        <w:rPr>
          <w:rFonts w:ascii="Times New Roman" w:hAnsi="Times New Roman"/>
          <w:noProof/>
          <w:sz w:val="24"/>
        </w:rPr>
        <w:t>Le tableau 8 présente la ventilation des paiements effectués en 2017 par période de déclaration:</w:t>
      </w:r>
    </w:p>
    <w:p>
      <w:pPr>
        <w:pStyle w:val="Text1"/>
        <w:ind w:right="749"/>
        <w:rPr>
          <w:noProof/>
        </w:rPr>
      </w:pPr>
      <w:bookmarkStart w:id="79" w:name="OLE_LINK12"/>
      <w:r>
        <w:rPr>
          <w:noProof/>
        </w:rPr>
        <w:t>Tableau 8</w:t>
      </w:r>
    </w:p>
    <w:tbl>
      <w:tblPr>
        <w:tblW w:w="8400" w:type="dxa"/>
        <w:tblInd w:w="708" w:type="dxa"/>
        <w:tblLook w:val="04A0" w:firstRow="1" w:lastRow="0" w:firstColumn="1" w:lastColumn="0" w:noHBand="0" w:noVBand="1"/>
      </w:tblPr>
      <w:tblGrid>
        <w:gridCol w:w="4440"/>
        <w:gridCol w:w="1920"/>
        <w:gridCol w:w="2040"/>
      </w:tblGrid>
      <w:tr>
        <w:trPr>
          <w:trHeight w:val="603"/>
        </w:trPr>
        <w:tc>
          <w:tcPr>
            <w:tcW w:w="444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Paiements effectués en 2017 en faveur des programmes de développement rural du Feader (en millions d’EUR)</w:t>
            </w:r>
          </w:p>
        </w:tc>
        <w:tc>
          <w:tcPr>
            <w:tcW w:w="192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2007-2013</w:t>
            </w:r>
          </w:p>
        </w:tc>
        <w:tc>
          <w:tcPr>
            <w:tcW w:w="204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rPr>
            </w:pPr>
            <w:r>
              <w:rPr>
                <w:rFonts w:ascii="Times New Roman" w:hAnsi="Times New Roman"/>
                <w:b/>
                <w:i/>
                <w:noProof/>
              </w:rPr>
              <w:t>2014-2020</w:t>
            </w:r>
          </w:p>
        </w:tc>
      </w:tr>
      <w:tr>
        <w:trPr>
          <w:trHeight w:val="265"/>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Poste 05.040501</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Poste 05.046001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Préfinancement 2014-2020</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antérieures au T4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26,4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T4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3 941,4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T1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1 924,2</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T2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2 099,1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Remboursement des demandes de paiement pour le T3 2017</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0,0</w:t>
            </w:r>
          </w:p>
        </w:tc>
        <w:tc>
          <w:tcPr>
            <w:tcW w:w="2040" w:type="dxa"/>
            <w:tcBorders>
              <w:top w:val="nil"/>
              <w:left w:val="nil"/>
              <w:bottom w:val="single" w:sz="8" w:space="0" w:color="auto"/>
              <w:right w:val="single" w:sz="8" w:space="0" w:color="auto"/>
            </w:tcBorders>
            <w:shd w:val="clear" w:color="auto" w:fill="auto"/>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3 060,7</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Clôture et/ou paiements positifs 2007-2013</w:t>
            </w:r>
          </w:p>
        </w:tc>
        <w:tc>
          <w:tcPr>
            <w:tcW w:w="192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43,1</w:t>
            </w:r>
          </w:p>
        </w:tc>
        <w:tc>
          <w:tcPr>
            <w:tcW w:w="204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w:t>
            </w:r>
          </w:p>
        </w:tc>
      </w:tr>
      <w:tr>
        <w:trPr>
          <w:trHeight w:val="265"/>
        </w:trPr>
        <w:tc>
          <w:tcPr>
            <w:tcW w:w="44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 2017</w:t>
            </w:r>
          </w:p>
        </w:tc>
        <w:tc>
          <w:tcPr>
            <w:tcW w:w="1920" w:type="dxa"/>
            <w:tcBorders>
              <w:top w:val="nil"/>
              <w:left w:val="nil"/>
              <w:bottom w:val="single" w:sz="8" w:space="0" w:color="auto"/>
              <w:right w:val="single" w:sz="8" w:space="0" w:color="auto"/>
            </w:tcBorders>
            <w:shd w:val="clear" w:color="000000" w:fill="FFFF99"/>
            <w:vAlign w:val="center"/>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43,1</w:t>
            </w:r>
          </w:p>
        </w:tc>
        <w:tc>
          <w:tcPr>
            <w:tcW w:w="2040" w:type="dxa"/>
            <w:tcBorders>
              <w:top w:val="nil"/>
              <w:left w:val="nil"/>
              <w:bottom w:val="single" w:sz="8" w:space="0" w:color="auto"/>
              <w:right w:val="single" w:sz="8" w:space="0" w:color="auto"/>
            </w:tcBorders>
            <w:shd w:val="clear" w:color="000000" w:fill="FFFF99"/>
            <w:vAlign w:val="center"/>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11 051,8</w:t>
            </w:r>
          </w:p>
        </w:tc>
      </w:tr>
    </w:tbl>
    <w:p>
      <w:pPr>
        <w:pStyle w:val="Text1"/>
        <w:ind w:right="749"/>
        <w:rPr>
          <w:noProof/>
        </w:rPr>
      </w:pPr>
    </w:p>
    <w:bookmarkEnd w:id="79"/>
    <w:p>
      <w:pPr>
        <w:spacing w:before="120" w:after="120" w:line="240" w:lineRule="auto"/>
        <w:ind w:left="850" w:right="71"/>
        <w:jc w:val="both"/>
        <w:rPr>
          <w:rFonts w:ascii="Times New Roman" w:eastAsia="Times New Roman" w:hAnsi="Times New Roman"/>
          <w:noProof/>
          <w:color w:val="000000"/>
          <w:sz w:val="24"/>
        </w:rPr>
      </w:pPr>
      <w:r>
        <w:rPr>
          <w:noProof/>
        </w:rPr>
        <w:br w:type="page"/>
      </w:r>
      <w:r>
        <w:rPr>
          <w:rFonts w:ascii="Times New Roman" w:hAnsi="Times New Roman"/>
          <w:noProof/>
          <w:color w:val="000000"/>
          <w:sz w:val="24"/>
        </w:rPr>
        <w:t xml:space="preserve">La consommation mensuelle des crédits de paiement au cours de l’exercice (de janvier à décembre 2017) est présentée dans le graphique ci-dessous. </w:t>
      </w:r>
    </w:p>
    <w:p>
      <w:pPr>
        <w:spacing w:before="120" w:after="120" w:line="240" w:lineRule="auto"/>
        <w:ind w:left="850" w:right="71"/>
        <w:jc w:val="both"/>
        <w:rPr>
          <w:rFonts w:ascii="Times New Roman" w:eastAsia="Times New Roman" w:hAnsi="Times New Roman"/>
          <w:noProof/>
          <w:color w:val="000000"/>
          <w:sz w:val="24"/>
        </w:rPr>
      </w:pPr>
    </w:p>
    <w:p>
      <w:pPr>
        <w:spacing w:before="120" w:after="120" w:line="240" w:lineRule="auto"/>
        <w:ind w:left="840" w:right="749"/>
        <w:jc w:val="both"/>
        <w:rPr>
          <w:noProof/>
        </w:rPr>
      </w:pPr>
      <w:r>
        <w:rPr>
          <w:rFonts w:ascii="Times New Roman" w:hAnsi="Times New Roman"/>
          <w:noProof/>
          <w:color w:val="000000"/>
          <w:sz w:val="24"/>
        </w:rPr>
        <w:t xml:space="preserve">Graphique 1 </w:t>
      </w:r>
    </w:p>
    <w:p>
      <w:pPr>
        <w:spacing w:before="120" w:after="120" w:line="240" w:lineRule="auto"/>
        <w:ind w:left="-480"/>
        <w:jc w:val="both"/>
        <w:rPr>
          <w:noProof/>
        </w:rPr>
      </w:pPr>
    </w:p>
    <w:p>
      <w:pPr>
        <w:spacing w:before="120" w:after="120" w:line="240" w:lineRule="auto"/>
        <w:ind w:right="71"/>
        <w:jc w:val="both"/>
        <w:rPr>
          <w:rFonts w:ascii="Times New Roman" w:eastAsia="Times New Roman" w:hAnsi="Times New Roman"/>
          <w:noProof/>
          <w:sz w:val="24"/>
        </w:rPr>
      </w:pPr>
      <w:r>
        <w:rPr>
          <w:noProof/>
          <w:lang w:val="en-US" w:eastAsia="en-US" w:bidi="ar-SA"/>
        </w:rPr>
        <w:drawing>
          <wp:inline distT="0" distB="0" distL="0" distR="0">
            <wp:extent cx="5597289" cy="3649334"/>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01203" cy="3651886"/>
                    </a:xfrm>
                    <a:prstGeom prst="rect">
                      <a:avLst/>
                    </a:prstGeom>
                    <a:noFill/>
                    <a:ln>
                      <a:noFill/>
                    </a:ln>
                  </pic:spPr>
                </pic:pic>
              </a:graphicData>
            </a:graphic>
          </wp:inline>
        </w:drawing>
      </w:r>
    </w:p>
    <w:p>
      <w:pPr>
        <w:spacing w:before="120" w:after="120" w:line="240" w:lineRule="auto"/>
        <w:ind w:left="850" w:right="71"/>
        <w:jc w:val="both"/>
        <w:rPr>
          <w:rFonts w:ascii="Times New Roman" w:eastAsia="Times New Roman" w:hAnsi="Times New Roman"/>
          <w:noProof/>
          <w:sz w:val="24"/>
        </w:rPr>
      </w:pPr>
    </w:p>
    <w:p>
      <w:pPr>
        <w:spacing w:before="120" w:after="120" w:line="240" w:lineRule="auto"/>
        <w:ind w:left="850" w:right="71"/>
        <w:jc w:val="both"/>
        <w:rPr>
          <w:rFonts w:ascii="Times New Roman" w:eastAsia="Times New Roman" w:hAnsi="Times New Roman"/>
          <w:noProof/>
          <w:sz w:val="24"/>
        </w:rPr>
      </w:pPr>
      <w:r>
        <w:rPr>
          <w:noProof/>
        </w:rPr>
        <w:br w:type="page"/>
      </w:r>
      <w:r>
        <w:rPr>
          <w:rFonts w:ascii="Times New Roman" w:hAnsi="Times New Roman"/>
          <w:noProof/>
          <w:sz w:val="24"/>
        </w:rPr>
        <w:t xml:space="preserve">La ventilation, par État membre et par période de déclaration, des montants payés par la Commission au cours de l’exercice budgétaire 2017 est présentée dans les tableaux 9 a et 9 b. </w:t>
      </w:r>
    </w:p>
    <w:p>
      <w:pPr>
        <w:keepNext/>
        <w:keepLines/>
        <w:spacing w:before="120" w:after="120" w:line="240" w:lineRule="auto"/>
        <w:ind w:left="850"/>
        <w:jc w:val="both"/>
        <w:rPr>
          <w:rFonts w:ascii="Times New Roman" w:eastAsia="Times New Roman" w:hAnsi="Times New Roman"/>
          <w:noProof/>
          <w:sz w:val="24"/>
        </w:rPr>
      </w:pPr>
      <w:bookmarkStart w:id="80" w:name="OLE_LINK14"/>
      <w:r>
        <w:rPr>
          <w:rFonts w:ascii="Times New Roman" w:hAnsi="Times New Roman"/>
          <w:noProof/>
          <w:sz w:val="24"/>
        </w:rPr>
        <w:t>Tableau 9 a: Feader 2007-2013</w:t>
      </w:r>
    </w:p>
    <w:tbl>
      <w:tblPr>
        <w:tblW w:w="5780" w:type="dxa"/>
        <w:tblInd w:w="937" w:type="dxa"/>
        <w:tblLook w:val="04A0" w:firstRow="1" w:lastRow="0" w:firstColumn="1" w:lastColumn="0" w:noHBand="0" w:noVBand="1"/>
      </w:tblPr>
      <w:tblGrid>
        <w:gridCol w:w="1140"/>
        <w:gridCol w:w="1840"/>
        <w:gridCol w:w="1400"/>
        <w:gridCol w:w="1400"/>
      </w:tblGrid>
      <w:tr>
        <w:trPr>
          <w:trHeight w:val="270"/>
        </w:trPr>
        <w:tc>
          <w:tcPr>
            <w:tcW w:w="5780"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Paiements effectivement réalisés entre le 1.1.2017 et le 31.12.2017</w:t>
            </w:r>
          </w:p>
        </w:tc>
      </w:tr>
      <w:tr>
        <w:trPr>
          <w:trHeight w:val="270"/>
        </w:trPr>
        <w:tc>
          <w:tcPr>
            <w:tcW w:w="5780"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Feader 2007-2013 - poste budgétaire 05.040501 </w:t>
            </w:r>
            <w:r>
              <w:rPr>
                <w:noProof/>
              </w:rPr>
              <w:tab/>
            </w:r>
            <w:r>
              <w:rPr>
                <w:noProof/>
              </w:rPr>
              <w:tab/>
            </w:r>
            <w:r>
              <w:rPr>
                <w:rFonts w:ascii="Times New Roman" w:hAnsi="Times New Roman"/>
                <w:b/>
                <w:noProof/>
                <w:sz w:val="20"/>
              </w:rPr>
              <w:t>(en EUR)</w:t>
            </w:r>
          </w:p>
        </w:tc>
      </w:tr>
      <w:tr>
        <w:trPr>
          <w:trHeight w:val="975"/>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1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color w:val="000000" w:themeColor="text1"/>
                <w:sz w:val="18"/>
                <w:szCs w:val="18"/>
              </w:rPr>
            </w:pPr>
            <w:r>
              <w:rPr>
                <w:rFonts w:ascii="Times New Roman" w:hAnsi="Times New Roman"/>
                <w:b/>
                <w:noProof/>
                <w:color w:val="000000" w:themeColor="text1"/>
                <w:sz w:val="18"/>
              </w:rPr>
              <w:t>Paiements positifs, principalement à la suite des arrêts de la Cour de justice</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Clôture</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1 644 120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1 644 120</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2 607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2 607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4 843 628</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4 843 628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708 137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708 137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8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FF0000"/>
                <w:sz w:val="18"/>
                <w:szCs w:val="18"/>
              </w:rPr>
            </w:pPr>
            <w:r>
              <w:rPr>
                <w:rFonts w:ascii="Times New Roman" w:hAnsi="Times New Roman"/>
                <w:noProof/>
                <w:color w:val="FF0000"/>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24 776</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24 776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35 897 249</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35 897 249</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1 214</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1 214</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color w:val="000000" w:themeColor="text1"/>
                <w:sz w:val="18"/>
                <w:szCs w:val="18"/>
              </w:rPr>
            </w:pPr>
            <w:r>
              <w:rPr>
                <w:rFonts w:ascii="Times New Roman" w:hAnsi="Times New Roman"/>
                <w:noProof/>
                <w:color w:val="000000" w:themeColor="text1"/>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8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 </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8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43 121 731</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43 121 731</w:t>
            </w:r>
          </w:p>
        </w:tc>
      </w:tr>
    </w:tbl>
    <w:p>
      <w:pPr>
        <w:keepNext/>
        <w:keepLines/>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4"/>
        </w:rPr>
      </w:pPr>
      <w:r>
        <w:rPr>
          <w:noProof/>
        </w:rPr>
        <w:br w:type="page"/>
      </w:r>
      <w:r>
        <w:rPr>
          <w:rFonts w:ascii="Times New Roman" w:hAnsi="Times New Roman"/>
          <w:noProof/>
          <w:sz w:val="24"/>
        </w:rPr>
        <w:t>Tableau 9 b: Feader 2014-2020</w:t>
      </w:r>
    </w:p>
    <w:tbl>
      <w:tblPr>
        <w:tblW w:w="9700" w:type="dxa"/>
        <w:tblInd w:w="93" w:type="dxa"/>
        <w:tblLook w:val="04A0" w:firstRow="1" w:lastRow="0" w:firstColumn="1" w:lastColumn="0" w:noHBand="0" w:noVBand="1"/>
      </w:tblPr>
      <w:tblGrid>
        <w:gridCol w:w="1300"/>
        <w:gridCol w:w="1240"/>
        <w:gridCol w:w="1540"/>
        <w:gridCol w:w="1320"/>
        <w:gridCol w:w="1380"/>
        <w:gridCol w:w="1540"/>
        <w:gridCol w:w="1380"/>
      </w:tblGrid>
      <w:tr>
        <w:trPr>
          <w:trHeight w:val="270"/>
        </w:trPr>
        <w:tc>
          <w:tcPr>
            <w:tcW w:w="9700" w:type="dxa"/>
            <w:gridSpan w:val="7"/>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 xml:space="preserve">Paiements effectivement réalisés entre le 1.1.2017 et le 31.12.2017 </w:t>
            </w:r>
          </w:p>
        </w:tc>
      </w:tr>
      <w:tr>
        <w:trPr>
          <w:trHeight w:val="285"/>
        </w:trPr>
        <w:tc>
          <w:tcPr>
            <w:tcW w:w="8320" w:type="dxa"/>
            <w:gridSpan w:val="6"/>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Feader 2014-2020 - poste budgétaire 05.046001</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i/>
                <w:iCs/>
                <w:noProof/>
                <w:sz w:val="20"/>
                <w:szCs w:val="20"/>
              </w:rPr>
            </w:pPr>
            <w:r>
              <w:rPr>
                <w:rFonts w:ascii="Times New Roman" w:hAnsi="Times New Roman"/>
                <w:b/>
                <w:i/>
                <w:noProof/>
                <w:sz w:val="20"/>
              </w:rPr>
              <w:t>(en EUR)</w:t>
            </w:r>
          </w:p>
        </w:tc>
      </w:tr>
      <w:tr>
        <w:trPr>
          <w:trHeight w:val="495"/>
        </w:trPr>
        <w:tc>
          <w:tcPr>
            <w:tcW w:w="13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12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Antérieurs au T4 2016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T4 2016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T1 2017</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T2 2017</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 T3 2017</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284 034 513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34 306 827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118 368 156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41 760 912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478 470 408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5 925 045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2 756 556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19 997 126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8 452 989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37 131 717</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BG</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19 664 658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39 513 021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81 321 944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54 014 439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194 514 062</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CY</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7 106 491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2 030 516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1 212 301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4 224 143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14 573 450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CZ</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40 792 524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95 902 134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86 375 959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36 281 185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259 351 803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474 591 531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206 265 375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158 977 107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111 118 692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950 952 706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27 313 513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20 805 180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31 119 758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20 639 549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99 878 000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17 338 409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52 578 670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12 925 139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16 571 073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99 413 291</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ES</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288 516 817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126 055 741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121 249 143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166 811 391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702 633 093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FI</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127 783 822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18 656 891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53 803 633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118 963 308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319 207 655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FR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801 033 393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64 649 703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69 174 381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818 850 517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1 753 707 994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GR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338 972 961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39 884 776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45 877 268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283 310 929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708 045 934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HR</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12 404 315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35 760 815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79 650 699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22 357 649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150 173 479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HU</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54 311 309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2 482 437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105 315 539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34 483 224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196 592 509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104 218 851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24 253 168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17 117 853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108 982 160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254 572 032</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IT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215 647 575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189 232 281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211 715 839</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173 676 812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790 272 508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84 849 526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68 844 173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55 926 201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44 354 105</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253 974 006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LU</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2 759 059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4 188 850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637 753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1 277 912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8 863 575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LV</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63 038 107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44 521 391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22 859 330</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32 078 140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162 496 969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1 654 062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305 557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88 103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123 251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2 170 973</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NL</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11 845 693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32 549 017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10 590 136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2 628 968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57 613 814</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PL</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148 421 690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132 318 221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208 784 253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84 080 426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573 604 590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PT</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309 074 601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87 906 633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77 268 204</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49 983 739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524 233 177</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RO</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26 332 371</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265 094 574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340 526 570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313 662 587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623 552 613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1 569 168 715</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31 826 689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34 272 890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23 227 732</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14 948 891</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104 276 200</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SI</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27 374 475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12 498 310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31 421 808</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8 959 016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80 253 608</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51 127 107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44 801 397</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38 534 466</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33 400 226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167 863 196</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UK</w:t>
            </w:r>
          </w:p>
        </w:tc>
        <w:tc>
          <w:tcPr>
            <w:tcW w:w="12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43 923</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124 709 926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166 295 483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101 908 247</w:t>
            </w:r>
          </w:p>
        </w:tc>
        <w:tc>
          <w:tcPr>
            <w:tcW w:w="154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144 817 050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537 774 629</w:t>
            </w:r>
          </w:p>
        </w:tc>
      </w:tr>
      <w:tr>
        <w:trPr>
          <w:trHeight w:val="270"/>
        </w:trPr>
        <w:tc>
          <w:tcPr>
            <w:tcW w:w="130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2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26 376 295</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3 941 431 236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1 924 162 584</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2 099 110 666</w:t>
            </w:r>
          </w:p>
        </w:tc>
        <w:tc>
          <w:tcPr>
            <w:tcW w:w="15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3 060 703 310</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11 051 784 091</w:t>
            </w:r>
          </w:p>
        </w:tc>
      </w:tr>
    </w:tbl>
    <w:p>
      <w:pPr>
        <w:spacing w:before="120" w:after="120" w:line="240" w:lineRule="auto"/>
        <w:ind w:left="850"/>
        <w:jc w:val="both"/>
        <w:rPr>
          <w:rFonts w:ascii="Times New Roman" w:eastAsia="Times New Roman" w:hAnsi="Times New Roman"/>
          <w:noProof/>
          <w:sz w:val="24"/>
        </w:rPr>
      </w:pPr>
    </w:p>
    <w:bookmarkEnd w:id="80"/>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tableau 10 présente, pour chaque État membre, une comparaison des paiements au titre du Feader 2014-2020 effectués respectivement en 2017 et en 2016. Les paiements ont considérablement augmenté (de 42 %) par rapport à l’année 2016 (11,1 milliards d’EUR contre 7,8 milliards d’EUR). Les chiffres de 2016 incluent la dernière tranche du préfinancement versé pour les programmes de la période 2014-2020.</w:t>
      </w:r>
    </w:p>
    <w:p>
      <w:pPr>
        <w:spacing w:before="120" w:after="120" w:line="240" w:lineRule="auto"/>
        <w:ind w:left="850"/>
        <w:jc w:val="both"/>
        <w:rPr>
          <w:rFonts w:ascii="Times New Roman" w:eastAsia="Times New Roman" w:hAnsi="Times New Roman"/>
          <w:noProof/>
          <w:sz w:val="24"/>
        </w:rPr>
      </w:pPr>
      <w:bookmarkStart w:id="81" w:name="OLE_LINK15"/>
    </w:p>
    <w:p>
      <w:pPr>
        <w:spacing w:before="120" w:after="120" w:line="240" w:lineRule="auto"/>
        <w:ind w:left="850"/>
        <w:jc w:val="both"/>
        <w:rPr>
          <w:rFonts w:ascii="Times New Roman" w:eastAsia="Times New Roman" w:hAnsi="Times New Roman"/>
          <w:noProof/>
          <w:sz w:val="24"/>
        </w:rPr>
        <w:sectPr>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bookmarkEnd w:id="81"/>
    <w:p>
      <w:pPr>
        <w:spacing w:after="0" w:line="240" w:lineRule="auto"/>
        <w:ind w:left="850"/>
        <w:jc w:val="both"/>
        <w:rPr>
          <w:rFonts w:ascii="Times New Roman" w:eastAsia="Times New Roman" w:hAnsi="Times New Roman"/>
          <w:noProof/>
          <w:sz w:val="24"/>
        </w:rPr>
      </w:pPr>
      <w:r>
        <w:rPr>
          <w:rFonts w:ascii="Times New Roman" w:hAnsi="Times New Roman"/>
          <w:noProof/>
          <w:sz w:val="24"/>
        </w:rPr>
        <w:t>Tableau 10</w:t>
      </w:r>
    </w:p>
    <w:tbl>
      <w:tblPr>
        <w:tblW w:w="12342" w:type="dxa"/>
        <w:tblInd w:w="93" w:type="dxa"/>
        <w:tblLook w:val="04A0" w:firstRow="1" w:lastRow="0" w:firstColumn="1" w:lastColumn="0" w:noHBand="0" w:noVBand="1"/>
      </w:tblPr>
      <w:tblGrid>
        <w:gridCol w:w="1022"/>
        <w:gridCol w:w="1688"/>
        <w:gridCol w:w="1436"/>
        <w:gridCol w:w="1280"/>
        <w:gridCol w:w="1688"/>
        <w:gridCol w:w="1436"/>
        <w:gridCol w:w="1388"/>
        <w:gridCol w:w="1380"/>
        <w:gridCol w:w="1300"/>
      </w:tblGrid>
      <w:tr>
        <w:trPr>
          <w:trHeight w:val="255"/>
        </w:trPr>
        <w:tc>
          <w:tcPr>
            <w:tcW w:w="9662"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Paiements effectués en faveur des États membres - comparaison entre 2017 et 2016 - </w:t>
            </w:r>
            <w:r>
              <w:rPr>
                <w:rFonts w:ascii="Times New Roman" w:hAnsi="Times New Roman"/>
                <w:b/>
                <w:noProof/>
                <w:sz w:val="18"/>
                <w:u w:val="single"/>
              </w:rPr>
              <w:t>Feader 2014-2020</w:t>
            </w:r>
          </w:p>
        </w:tc>
        <w:tc>
          <w:tcPr>
            <w:tcW w:w="1380"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rPr>
            </w:pPr>
            <w:r>
              <w:rPr>
                <w:rFonts w:ascii="Times New Roman" w:hAnsi="Times New Roman"/>
                <w:b/>
                <w:i/>
                <w:noProof/>
                <w:sz w:val="18"/>
              </w:rPr>
              <w:t>(en EUR)</w:t>
            </w:r>
          </w:p>
        </w:tc>
        <w:tc>
          <w:tcPr>
            <w:tcW w:w="1300"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rPr>
            </w:pPr>
            <w:r>
              <w:rPr>
                <w:rFonts w:ascii="Times New Roman" w:hAnsi="Times New Roman"/>
                <w:noProof/>
                <w:sz w:val="18"/>
              </w:rPr>
              <w:t> </w:t>
            </w:r>
          </w:p>
        </w:tc>
      </w:tr>
      <w:tr>
        <w:trPr>
          <w:trHeight w:val="270"/>
        </w:trPr>
        <w:tc>
          <w:tcPr>
            <w:tcW w:w="9662"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rPr>
            </w:pPr>
          </w:p>
        </w:tc>
        <w:tc>
          <w:tcPr>
            <w:tcW w:w="1380"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rPr>
            </w:pPr>
          </w:p>
        </w:tc>
        <w:tc>
          <w:tcPr>
            <w:tcW w:w="1300"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rPr>
            </w:pPr>
          </w:p>
        </w:tc>
      </w:tr>
      <w:tr>
        <w:trPr>
          <w:trHeight w:val="270"/>
        </w:trPr>
        <w:tc>
          <w:tcPr>
            <w:tcW w:w="1022"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EM</w:t>
            </w:r>
          </w:p>
        </w:tc>
        <w:tc>
          <w:tcPr>
            <w:tcW w:w="4266"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2016</w:t>
            </w:r>
          </w:p>
        </w:tc>
        <w:tc>
          <w:tcPr>
            <w:tcW w:w="4374"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2017</w:t>
            </w:r>
          </w:p>
        </w:tc>
        <w:tc>
          <w:tcPr>
            <w:tcW w:w="2680"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Différence entre 2017 et 2016</w:t>
            </w:r>
          </w:p>
        </w:tc>
      </w:tr>
      <w:tr>
        <w:trPr>
          <w:trHeight w:val="270"/>
        </w:trPr>
        <w:tc>
          <w:tcPr>
            <w:tcW w:w="1022"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rPr>
            </w:pPr>
          </w:p>
        </w:tc>
        <w:tc>
          <w:tcPr>
            <w:tcW w:w="1688"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29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688" w:type="dxa"/>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Paiements intermédiaires</w:t>
            </w:r>
          </w:p>
        </w:tc>
        <w:tc>
          <w:tcPr>
            <w:tcW w:w="129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Préfinancement</w:t>
            </w:r>
          </w:p>
        </w:tc>
        <w:tc>
          <w:tcPr>
            <w:tcW w:w="1388"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3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EUR)</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(en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AT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394 576 581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39 375 520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433 952 101</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478 470 408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478 470 408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44 518 307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10,26 %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39 503 051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6 477 978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45 981 029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37 131 717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37 131 717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-8 849 312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-19,25 %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BG</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129 060 043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23 667 170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152 727 213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194 514 062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194 514 062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41 786 849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27,36 %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CY</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7 177 699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1 322 444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8 500 142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14 573 450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14 573 450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6 073 308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71,45 %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CZ</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181 882 819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23 056 740</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204 939 559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259 351 803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259 351 803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54 412 243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26,55 %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647 841 345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93 607 201</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741 448 545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950 952 706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950 952 706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209 504 160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28,26 %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DK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74 929 013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14 976 097</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89 905 110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99 878 000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99 878 000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9 972 890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11,09 %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87 901 431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8 233 416</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96 134 846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99 413 291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99 413 291</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3 278 445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3,41 %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ES</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378 590 289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82 973 888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461 564 178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702 633 093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702 633 093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241 068 915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52,23 %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FI</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327 182 929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23 804 083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350 987 012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319 207 655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319 207 655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-31 779 358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-9,05 %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FR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524 557 370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113 848 442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638 405 812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1 753 707 994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1 753 707 994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1 115 302 182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174,70 %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GR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227 838 949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47 182 918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275 021 867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708 045 934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708 045 934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433 024 067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157,45 %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HR</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131 044 159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20 262 225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151 306 384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150 173 479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150 173 479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-1 132 905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-0,75 %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HU</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208 468 125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34 306 645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242 774 769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196 592 509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196 592 509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-46 182 260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-19,02 %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253 822 792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21 905 922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275 728 714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254 572 032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254 572 032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-21 156 682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-7,67 %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IT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419 548 741</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104 443 808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523 992 549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790 272 508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790 272 508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266 279 959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50,82 %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173 957 330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16 130 882</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190 088 212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253 974 006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253 974 006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63 885 794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33,61 %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LU</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6 355 840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1 005 746</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7 361 586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8 863 575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8 863 575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1 501 989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20,40 %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LV</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108 833 038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10 756 038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119 589 076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162 496 969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162 496 969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42 907 893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35,88 %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MT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589 457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973 269</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1 562 726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2 170 973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2 170 973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608 248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38,92 %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NL</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34 449 926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10 812 454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45 262 379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57 613 814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57 613 814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12 351 435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27,29 %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PL</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362 852 034</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88 961 088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451 813 122</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573 604 590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573 604 590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121 791 467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26,96 %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PT</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536 945 153</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40 601 404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577 546 557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524 233 177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524 233 177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-53 313 380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-9,23 %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RO</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524 017 099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81 279 964</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605 297 063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1 569 168 715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1 569 168 715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963 871 652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159,24 %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SE</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191 405 372</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17 455 653</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208 861 025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104 276 200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104 276 200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-104 584 824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-50,07 %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SI</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77 260 537</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8 378 498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85 639 035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80 253 608</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80 253 608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-5 385 427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-6,29 %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SK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105 682 050</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15 885 298</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121 567 349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167 863 196</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167 863 196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46 295 847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38,08 %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noProof/>
                <w:color w:val="000000"/>
                <w:sz w:val="18"/>
              </w:rPr>
              <w:t>UK</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653 010 765</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48 906 195</w:t>
            </w:r>
          </w:p>
        </w:tc>
        <w:tc>
          <w:tcPr>
            <w:tcW w:w="1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701 916 960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537 774 629</w:t>
            </w:r>
          </w:p>
        </w:tc>
        <w:tc>
          <w:tcPr>
            <w:tcW w:w="129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0</w:t>
            </w:r>
          </w:p>
        </w:tc>
        <w:tc>
          <w:tcPr>
            <w:tcW w:w="13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537 774 629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-164 142 331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-23,38 %</w:t>
            </w:r>
          </w:p>
        </w:tc>
      </w:tr>
      <w:tr>
        <w:trPr>
          <w:trHeight w:val="270"/>
        </w:trPr>
        <w:tc>
          <w:tcPr>
            <w:tcW w:w="1022"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Total</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6 809 283 936</w:t>
            </w:r>
          </w:p>
        </w:tc>
        <w:tc>
          <w:tcPr>
            <w:tcW w:w="129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1 000 590 984</w:t>
            </w:r>
          </w:p>
        </w:tc>
        <w:tc>
          <w:tcPr>
            <w:tcW w:w="1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7 809 874 920</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11 051 784 091</w:t>
            </w:r>
          </w:p>
        </w:tc>
        <w:tc>
          <w:tcPr>
            <w:tcW w:w="129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0</w:t>
            </w:r>
          </w:p>
        </w:tc>
        <w:tc>
          <w:tcPr>
            <w:tcW w:w="13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11 051 784 091</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3 241 909 172</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rPr>
            </w:pPr>
            <w:r>
              <w:rPr>
                <w:rFonts w:ascii="Times New Roman" w:hAnsi="Times New Roman"/>
                <w:b/>
                <w:noProof/>
                <w:sz w:val="18"/>
              </w:rPr>
              <w:t>41,51 %</w:t>
            </w:r>
          </w:p>
        </w:tc>
      </w:tr>
    </w:tbl>
    <w:p>
      <w:pPr>
        <w:spacing w:after="0" w:line="240" w:lineRule="auto"/>
        <w:ind w:left="850"/>
        <w:jc w:val="both"/>
        <w:rPr>
          <w:rFonts w:ascii="Times New Roman" w:eastAsia="Times New Roman" w:hAnsi="Times New Roman"/>
          <w:noProof/>
          <w:sz w:val="24"/>
        </w:rPr>
        <w:sectPr>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480" w:right="1134" w:bottom="840" w:left="1134" w:header="360" w:footer="0" w:gutter="0"/>
          <w:cols w:space="708"/>
          <w:docGrid w:linePitch="360"/>
        </w:sectPr>
      </w:pP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82" w:name="_Toc331167076"/>
      <w:bookmarkStart w:id="83" w:name="_Toc393127484"/>
      <w:bookmarkStart w:id="84" w:name="_Toc518305016"/>
      <w:bookmarkStart w:id="85" w:name="_Toc521662611"/>
      <w:r>
        <w:rPr>
          <w:rFonts w:ascii="Times New Roman" w:hAnsi="Times New Roman"/>
          <w:i/>
          <w:noProof/>
          <w:sz w:val="24"/>
        </w:rPr>
        <w:t>3.2.2.</w:t>
      </w:r>
      <w:r>
        <w:rPr>
          <w:noProof/>
        </w:rPr>
        <w:tab/>
      </w:r>
      <w:r>
        <w:rPr>
          <w:rFonts w:ascii="Times New Roman" w:hAnsi="Times New Roman"/>
          <w:i/>
          <w:noProof/>
          <w:sz w:val="24"/>
        </w:rPr>
        <w:t>Assistance technique</w:t>
      </w:r>
      <w:bookmarkEnd w:id="82"/>
      <w:bookmarkEnd w:id="83"/>
      <w:bookmarkEnd w:id="84"/>
      <w:bookmarkEnd w:id="85"/>
      <w:r>
        <w:rPr>
          <w:rFonts w:ascii="Times New Roman" w:hAnsi="Times New Roman"/>
          <w:i/>
          <w:noProof/>
          <w:sz w:val="24"/>
        </w:rPr>
        <w:t xml:space="preserve">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Pour la période de programmation 2014-2020, le montant des crédits de paiement pour l’assistance technique opérationnelle s’élevait à 19,0 millions d’EUR. Une partie de ces crédits (3,0 millions d’EUR) a fait l’objet de virements pour couvrir les besoins de paiement liés aux programmes de développement rural au titre du Feader 2014-2020.</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tableau 11 ci-après présente les paiements regroupés en fonction des principales activités. La majeure partie de ces montants concerne le réseau européen de développement rural.</w:t>
      </w:r>
    </w:p>
    <w:p>
      <w:pPr>
        <w:spacing w:before="120" w:after="120" w:line="240" w:lineRule="auto"/>
        <w:ind w:left="850"/>
        <w:jc w:val="both"/>
        <w:rPr>
          <w:rFonts w:ascii="Times New Roman" w:eastAsia="Times New Roman" w:hAnsi="Times New Roman"/>
          <w:noProof/>
          <w:sz w:val="24"/>
        </w:rPr>
      </w:pPr>
      <w:bookmarkStart w:id="86" w:name="OLE_LINK17"/>
      <w:r>
        <w:rPr>
          <w:rFonts w:ascii="Times New Roman" w:hAnsi="Times New Roman"/>
          <w:noProof/>
          <w:sz w:val="24"/>
        </w:rPr>
        <w:t>Tableau 11</w:t>
      </w:r>
    </w:p>
    <w:tbl>
      <w:tblPr>
        <w:tblW w:w="7061" w:type="dxa"/>
        <w:tblInd w:w="1327" w:type="dxa"/>
        <w:tblLook w:val="04A0" w:firstRow="1" w:lastRow="0" w:firstColumn="1" w:lastColumn="0" w:noHBand="0" w:noVBand="1"/>
      </w:tblPr>
      <w:tblGrid>
        <w:gridCol w:w="5175"/>
        <w:gridCol w:w="1886"/>
      </w:tblGrid>
      <w:tr>
        <w:trPr>
          <w:trHeight w:val="315"/>
        </w:trPr>
        <w:tc>
          <w:tcPr>
            <w:tcW w:w="706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rPr>
            </w:pPr>
            <w:r>
              <w:rPr>
                <w:rFonts w:ascii="Times New Roman" w:hAnsi="Times New Roman"/>
                <w:b/>
                <w:i/>
                <w:noProof/>
              </w:rPr>
              <w:t>Assistance technique - Exécution des crédits de paiement</w:t>
            </w:r>
          </w:p>
        </w:tc>
      </w:tr>
      <w:tr>
        <w:trPr>
          <w:trHeight w:val="315"/>
        </w:trPr>
        <w:tc>
          <w:tcPr>
            <w:tcW w:w="517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Poste budgétaire: 05.046002</w:t>
            </w:r>
          </w:p>
        </w:tc>
        <w:tc>
          <w:tcPr>
            <w:tcW w:w="188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rPr>
            </w:pPr>
            <w:r>
              <w:rPr>
                <w:rFonts w:ascii="Times New Roman" w:hAnsi="Times New Roman"/>
                <w:i/>
                <w:noProof/>
                <w:sz w:val="20"/>
              </w:rPr>
              <w:t xml:space="preserve"> (en EUR) </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Description</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 xml:space="preserve">Montant payé </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Réseau européen de développement rural</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4 057 011</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Partenariat d’innovation européen</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2 734 982</w:t>
            </w:r>
          </w:p>
        </w:tc>
      </w:tr>
      <w:tr>
        <w:trPr>
          <w:trHeight w:val="353"/>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rPr>
              <w:t>Communication institutionnelle</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2 600 000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Technologies de l’information*</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2 258 270</w:t>
            </w:r>
          </w:p>
        </w:tc>
      </w:tr>
      <w:tr>
        <w:trPr>
          <w:trHeight w:val="418"/>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Réseau européen d’évaluation</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1 375 984</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Audit et contrôles</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649 115</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Plateforme d’assistance technique pour les instruments financiers</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320 000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Corps européen de solidarité</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296 041</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rPr>
              <w:t>Base de données sur l’agriculture biologique</w:t>
            </w:r>
          </w:p>
        </w:tc>
        <w:tc>
          <w:tcPr>
            <w:tcW w:w="1886"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rPr>
              <w:t>248 533</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noProof/>
                <w:sz w:val="20"/>
              </w:rPr>
              <w:t>Total</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14 539 936</w:t>
            </w:r>
          </w:p>
        </w:tc>
      </w:tr>
    </w:tbl>
    <w:bookmarkEnd w:id="86"/>
    <w:p>
      <w:pPr>
        <w:spacing w:before="120" w:after="120" w:line="240" w:lineRule="auto"/>
        <w:ind w:left="850"/>
        <w:jc w:val="both"/>
        <w:rPr>
          <w:rFonts w:ascii="Times New Roman" w:eastAsia="Times New Roman" w:hAnsi="Times New Roman"/>
          <w:noProof/>
          <w:color w:val="000000"/>
          <w:sz w:val="20"/>
          <w:szCs w:val="20"/>
        </w:rPr>
      </w:pPr>
      <w:r>
        <w:rPr>
          <w:rFonts w:ascii="Times New Roman" w:hAnsi="Times New Roman"/>
          <w:noProof/>
          <w:color w:val="000000"/>
          <w:sz w:val="20"/>
        </w:rPr>
        <w:t xml:space="preserve"> </w:t>
      </w:r>
      <w:r>
        <w:rPr>
          <w:noProof/>
        </w:rPr>
        <w:tab/>
      </w:r>
      <w:r>
        <w:rPr>
          <w:rFonts w:ascii="Times New Roman" w:hAnsi="Times New Roman"/>
          <w:noProof/>
          <w:sz w:val="20"/>
        </w:rPr>
        <w:t xml:space="preserve">  * Y compris les bureaux de compétences en matière de haut débit</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87" w:name="_Toc331167077"/>
      <w:bookmarkStart w:id="88" w:name="_Toc393127485"/>
      <w:bookmarkStart w:id="89" w:name="_Toc518305017"/>
      <w:bookmarkStart w:id="90" w:name="_Toc521662612"/>
      <w:r>
        <w:rPr>
          <w:rFonts w:ascii="Times New Roman" w:hAnsi="Times New Roman"/>
          <w:b/>
          <w:noProof/>
          <w:sz w:val="24"/>
        </w:rPr>
        <w:t>3.3.</w:t>
      </w:r>
      <w:r>
        <w:rPr>
          <w:noProof/>
        </w:rPr>
        <w:tab/>
      </w:r>
      <w:r>
        <w:rPr>
          <w:rFonts w:ascii="Times New Roman" w:hAnsi="Times New Roman"/>
          <w:b/>
          <w:noProof/>
          <w:sz w:val="24"/>
        </w:rPr>
        <w:t>Analyse des dépenses déclarées par mesure</w:t>
      </w:r>
      <w:bookmarkEnd w:id="87"/>
      <w:bookmarkEnd w:id="88"/>
      <w:bookmarkEnd w:id="89"/>
      <w:bookmarkEnd w:id="90"/>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Le tableau 12 présente les demandes de paiement déclarées en 2017, par État membre et par mesure de développement rural (entre le 4</w:t>
      </w:r>
      <w:r>
        <w:rPr>
          <w:rFonts w:ascii="Times New Roman" w:hAnsi="Times New Roman"/>
          <w:noProof/>
          <w:sz w:val="24"/>
          <w:vertAlign w:val="superscript"/>
        </w:rPr>
        <w:t>e</w:t>
      </w:r>
      <w:r>
        <w:rPr>
          <w:rFonts w:ascii="Times New Roman" w:hAnsi="Times New Roman"/>
          <w:noProof/>
          <w:sz w:val="24"/>
        </w:rPr>
        <w:t xml:space="preserve"> trimestre 2016 et le 3</w:t>
      </w:r>
      <w:r>
        <w:rPr>
          <w:rFonts w:ascii="Times New Roman" w:hAnsi="Times New Roman"/>
          <w:noProof/>
          <w:sz w:val="24"/>
          <w:vertAlign w:val="superscript"/>
        </w:rPr>
        <w:t>e</w:t>
      </w:r>
      <w:r>
        <w:rPr>
          <w:rFonts w:ascii="Times New Roman" w:hAnsi="Times New Roman"/>
          <w:noProof/>
          <w:sz w:val="24"/>
        </w:rPr>
        <w:t xml:space="preserve"> trimestre 2017), les dépenses déclarées cumulées depuis le début de la période de programmation, ainsi que les plans de financement des programmes du Feader 2014-2020. </w:t>
      </w:r>
    </w:p>
    <w:p>
      <w:pPr>
        <w:spacing w:before="120" w:after="120" w:line="240" w:lineRule="auto"/>
        <w:ind w:left="850" w:right="71"/>
        <w:jc w:val="both"/>
        <w:rPr>
          <w:rFonts w:ascii="Times New Roman" w:eastAsia="Times New Roman" w:hAnsi="Times New Roman"/>
          <w:noProof/>
          <w:sz w:val="24"/>
        </w:rPr>
      </w:pPr>
      <w:r>
        <w:rPr>
          <w:rFonts w:ascii="Times New Roman" w:hAnsi="Times New Roman"/>
          <w:noProof/>
          <w:sz w:val="24"/>
        </w:rPr>
        <w:t xml:space="preserve">En 2017, les dépenses en faveur du Feader 2014-2020 sont restées concentrées principalement sur la mesure 13 (paiements en faveur des zones soumises à des contraintes naturelles ou à d’autres contraintes spécifiques) et la mesure 10 (agroenvironnement-climat). </w:t>
      </w:r>
    </w:p>
    <w:p>
      <w:pPr>
        <w:spacing w:before="120" w:after="0" w:line="240" w:lineRule="auto"/>
        <w:jc w:val="both"/>
        <w:rPr>
          <w:rFonts w:ascii="Times New Roman" w:eastAsia="Times New Roman" w:hAnsi="Times New Roman"/>
          <w:noProof/>
          <w:sz w:val="24"/>
        </w:rPr>
      </w:pPr>
      <w:r>
        <w:rPr>
          <w:noProof/>
        </w:rPr>
        <w:br w:type="page"/>
      </w:r>
      <w:bookmarkStart w:id="91" w:name="OLE_LINK18"/>
      <w:r>
        <w:rPr>
          <w:rFonts w:ascii="Times New Roman" w:hAnsi="Times New Roman"/>
          <w:noProof/>
          <w:sz w:val="24"/>
        </w:rPr>
        <w:t xml:space="preserve">Tableau </w:t>
      </w:r>
      <w:bookmarkStart w:id="92" w:name="_Toc331167078"/>
      <w:bookmarkEnd w:id="91"/>
      <w:r>
        <w:rPr>
          <w:rFonts w:ascii="Times New Roman" w:hAnsi="Times New Roman"/>
          <w:noProof/>
          <w:sz w:val="24"/>
        </w:rPr>
        <w:t>12</w:t>
      </w:r>
    </w:p>
    <w:p>
      <w:pPr>
        <w:spacing w:before="120" w:after="0" w:line="240" w:lineRule="auto"/>
        <w:jc w:val="both"/>
        <w:rPr>
          <w:rFonts w:ascii="Times New Roman" w:eastAsia="Times New Roman" w:hAnsi="Times New Roman"/>
          <w:noProof/>
          <w:sz w:val="24"/>
        </w:rPr>
      </w:pPr>
    </w:p>
    <w:tbl>
      <w:tblPr>
        <w:tblW w:w="9588" w:type="dxa"/>
        <w:tblInd w:w="93" w:type="dxa"/>
        <w:tblLook w:val="04A0" w:firstRow="1" w:lastRow="0" w:firstColumn="1" w:lastColumn="0" w:noHBand="0" w:noVBand="1"/>
      </w:tblPr>
      <w:tblGrid>
        <w:gridCol w:w="1296"/>
        <w:gridCol w:w="2799"/>
        <w:gridCol w:w="840"/>
        <w:gridCol w:w="1080"/>
        <w:gridCol w:w="960"/>
        <w:gridCol w:w="813"/>
        <w:gridCol w:w="960"/>
        <w:gridCol w:w="840"/>
      </w:tblGrid>
      <w:tr>
        <w:trPr>
          <w:trHeight w:val="255"/>
        </w:trPr>
        <w:tc>
          <w:tcPr>
            <w:tcW w:w="9588"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Dépenses du Feader déclarées pour 2017 (T4 2016-T3 2017) et total des dépenses cumulées (T4 2014-T3 2017) </w:t>
            </w:r>
          </w:p>
        </w:tc>
      </w:tr>
      <w:tr>
        <w:trPr>
          <w:trHeight w:val="270"/>
        </w:trPr>
        <w:tc>
          <w:tcPr>
            <w:tcW w:w="9588"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par rapport aux plans de financement - </w:t>
            </w:r>
            <w:r>
              <w:rPr>
                <w:rFonts w:ascii="Times New Roman" w:hAnsi="Times New Roman"/>
                <w:b/>
                <w:noProof/>
                <w:sz w:val="18"/>
                <w:u w:val="single"/>
              </w:rPr>
              <w:t>Feader 2014-2020</w:t>
            </w:r>
          </w:p>
        </w:tc>
      </w:tr>
      <w:tr>
        <w:trPr>
          <w:trHeight w:val="420"/>
        </w:trPr>
        <w:tc>
          <w:tcPr>
            <w:tcW w:w="409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pour 2017 (T4 2016-T3 2017)</w:t>
            </w:r>
          </w:p>
        </w:tc>
        <w:tc>
          <w:tcPr>
            <w:tcW w:w="1773"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Dépenses déclarées cumulées (T4 2014-T3 2017)</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Plans de financement 2014-2020</w:t>
            </w:r>
          </w:p>
        </w:tc>
      </w:tr>
      <w:tr>
        <w:trPr>
          <w:trHeight w:val="270"/>
        </w:trPr>
        <w:tc>
          <w:tcPr>
            <w:tcW w:w="4095"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Mesure relevant du Feader</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millions d’EUR)</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millions d’EUR)</w:t>
            </w:r>
          </w:p>
        </w:tc>
        <w:tc>
          <w:tcPr>
            <w:tcW w:w="813"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 (en millions d’EUR)</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noProof/>
                <w:sz w:val="16"/>
              </w:rPr>
              <w:t>(%)</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Transfert de connaissances et actions d’information</w:t>
            </w:r>
          </w:p>
        </w:tc>
        <w:tc>
          <w:tcPr>
            <w:tcW w:w="84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51,4</w:t>
            </w:r>
          </w:p>
        </w:tc>
        <w:tc>
          <w:tcPr>
            <w:tcW w:w="1080"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73,3</w:t>
            </w:r>
          </w:p>
        </w:tc>
        <w:tc>
          <w:tcPr>
            <w:tcW w:w="813"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1 102,7</w:t>
            </w:r>
          </w:p>
        </w:tc>
        <w:tc>
          <w:tcPr>
            <w:tcW w:w="840"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02</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Services de conseil, services d’aide à la gestion agricole et services de remplacement sur l’exploitation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27,3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763,4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0,8 %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Systèmes de qualité applicables aux produits agricoles et aux denrées alimentaires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18,3</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28,8</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379,9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04</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Investissements physiques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1 625,5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14,7 %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2 811,7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13,3 %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22 621,2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22,8 %</w:t>
            </w:r>
          </w:p>
        </w:tc>
      </w:tr>
      <w:tr>
        <w:trPr>
          <w:trHeight w:val="67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05</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Reconstitution du potentiel de production agricole endommagé par des catastrophes naturelles et des événements catastrophiques et mise en place de mesures de prévention appropriées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58,5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111,6</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894,1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06</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Développement des exploitations agricoles et des entreprises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861,5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7,8 %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1 277,6</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7 234,7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7,3 %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07</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Services de base et rénovation des villages dans les zones rurales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568,5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688,9</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6 679,5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08</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Investissements dans le développement des zones forestières et amélioration de la viabilité des forêts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341,7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670,2</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4 532,6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4,6 %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09</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Mise en place de groupements et d’organisations de producteurs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33,4</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413,1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10</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Agroenvironnement – climat</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2 031,8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5 125,3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24,2 %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16 504,1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16,6 %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Agriculture biologique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939,8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1 739,5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8,2 %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6 631,8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6,7 %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12</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Paiements au titre de Natura 2000 et de la directive-cadre sur l’eau</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69,6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165,5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0,8 %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576,2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 xml:space="preserve">Paiements en faveur des zones soumises à des contraintes naturelles ou à d’autres contraintes spécifiques </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3 314,4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6 532,7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30,8 %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16 013,6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16,1 %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14</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Bien-être des animaux</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287,8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519,3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1 509,4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15</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Services forestiers, environnementaux et climatiques et conservation des forêts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20,2</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16</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Coopération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38,8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60,7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0,3 %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1 749,0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17</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Gestion des risques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166,6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182,3</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1 671,7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18</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Financement des paiements directs nationaux complémentaires pour la Croatie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0,2 %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108,5</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0,5 %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111,9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0,1 %</w:t>
            </w:r>
          </w:p>
        </w:tc>
      </w:tr>
      <w:tr>
        <w:trPr>
          <w:trHeight w:val="450"/>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19</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Soutien au développement local dans le cadre de Leader — développement local mené par les acteurs locaux (DLAL)</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2,6 %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417,0</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6 931,2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7,0 %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20</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Assistance technique des États membres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208,0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291,7</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2 125,4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2,1 %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113</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Retraite anticipée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97,4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0,9 %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295,1</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1,4 %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631,8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0,6 %</w:t>
            </w:r>
          </w:p>
        </w:tc>
      </w:tr>
      <w:tr>
        <w:trPr>
          <w:trHeight w:val="255"/>
        </w:trPr>
        <w:tc>
          <w:tcPr>
            <w:tcW w:w="1296"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131</w:t>
            </w:r>
          </w:p>
        </w:tc>
        <w:tc>
          <w:tcPr>
            <w:tcW w:w="2799"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Respect des normes fondées sur la législation communautaire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13"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29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Mesure 341</w:t>
            </w:r>
          </w:p>
        </w:tc>
        <w:tc>
          <w:tcPr>
            <w:tcW w:w="2799"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noProof/>
                <w:sz w:val="16"/>
                <w:szCs w:val="16"/>
              </w:rPr>
            </w:pPr>
            <w:r>
              <w:rPr>
                <w:rFonts w:ascii="Times New Roman" w:hAnsi="Times New Roman"/>
                <w:noProof/>
                <w:sz w:val="16"/>
              </w:rPr>
              <w:t>Acquisition de compétences, animation et mise en œuvre</w:t>
            </w:r>
          </w:p>
        </w:tc>
        <w:tc>
          <w:tcPr>
            <w:tcW w:w="84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w:t>
            </w:r>
          </w:p>
        </w:tc>
        <w:tc>
          <w:tcPr>
            <w:tcW w:w="1080"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0,4</w:t>
            </w:r>
          </w:p>
        </w:tc>
        <w:tc>
          <w:tcPr>
            <w:tcW w:w="813"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0,6</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rPr>
            </w:pPr>
            <w:r>
              <w:rPr>
                <w:rFonts w:ascii="Times New Roman" w:hAnsi="Times New Roman"/>
                <w:noProof/>
                <w:sz w:val="16"/>
              </w:rPr>
              <w:t>0,0 %</w:t>
            </w:r>
          </w:p>
        </w:tc>
      </w:tr>
      <w:tr>
        <w:trPr>
          <w:trHeight w:val="270"/>
        </w:trPr>
        <w:tc>
          <w:tcPr>
            <w:tcW w:w="1296"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rPr>
            </w:pPr>
            <w:r>
              <w:rPr>
                <w:rFonts w:ascii="Times New Roman" w:hAnsi="Times New Roman"/>
                <w:b/>
                <w:noProof/>
                <w:sz w:val="16"/>
              </w:rPr>
              <w:t>Total général</w:t>
            </w:r>
          </w:p>
        </w:tc>
        <w:tc>
          <w:tcPr>
            <w:tcW w:w="2799"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rPr>
            </w:pPr>
            <w:r>
              <w:rPr>
                <w:rFonts w:ascii="Arial" w:hAnsi="Arial"/>
                <w:noProof/>
                <w:sz w:val="20"/>
              </w:rPr>
              <w:t> </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11 033,6</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21 180,9</w:t>
            </w:r>
          </w:p>
        </w:tc>
        <w:tc>
          <w:tcPr>
            <w:tcW w:w="81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99 343,3</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rPr>
            </w:pPr>
            <w:r>
              <w:rPr>
                <w:rFonts w:ascii="Times New Roman" w:hAnsi="Times New Roman"/>
                <w:b/>
                <w:noProof/>
                <w:sz w:val="16"/>
              </w:rPr>
              <w:t>100,0 %</w:t>
            </w:r>
          </w:p>
        </w:tc>
      </w:tr>
    </w:tbl>
    <w:p>
      <w:pPr>
        <w:spacing w:before="120" w:after="0" w:line="240" w:lineRule="auto"/>
        <w:jc w:val="both"/>
        <w:rPr>
          <w:rFonts w:ascii="Times New Roman" w:eastAsia="Times New Roman" w:hAnsi="Times New Roman"/>
          <w:noProof/>
          <w:sz w:val="24"/>
        </w:rPr>
      </w:pPr>
    </w:p>
    <w:p>
      <w:pPr>
        <w:spacing w:before="120" w:after="120" w:line="240" w:lineRule="auto"/>
        <w:ind w:left="850"/>
        <w:jc w:val="both"/>
        <w:rPr>
          <w:rFonts w:ascii="Times New Roman" w:eastAsia="Times New Roman" w:hAnsi="Times New Roman"/>
          <w:noProof/>
          <w:sz w:val="20"/>
          <w:szCs w:val="20"/>
        </w:rPr>
      </w:pPr>
      <w:r>
        <w:rPr>
          <w:rFonts w:ascii="Times New Roman" w:hAnsi="Times New Roman"/>
          <w:noProof/>
          <w:sz w:val="20"/>
        </w:rPr>
        <w:t>* Les États membres déclarent leurs dépenses chaque trimestre. Toutefois, pour l’année n, les déclarations du T4 sont déposées en janvier de l’année n+1. En conséquence, les remboursements correspondants versés par la Commission aux États membres au cours de l’année n portent sur la période comprise entre le T4 de l’année n-1 et le T3 de l’année n.</w:t>
      </w:r>
    </w:p>
    <w:p>
      <w:pPr>
        <w:keepNext/>
        <w:tabs>
          <w:tab w:val="left" w:pos="850"/>
        </w:tabs>
        <w:spacing w:before="240" w:after="120" w:line="240" w:lineRule="auto"/>
        <w:ind w:left="850" w:hanging="850"/>
        <w:jc w:val="both"/>
        <w:outlineLvl w:val="1"/>
        <w:rPr>
          <w:rFonts w:ascii="Times New Roman" w:eastAsia="Times New Roman" w:hAnsi="Times New Roman"/>
          <w:b/>
          <w:noProof/>
          <w:sz w:val="24"/>
        </w:rPr>
      </w:pPr>
      <w:bookmarkStart w:id="93" w:name="_Toc393127486"/>
      <w:bookmarkStart w:id="94" w:name="_Toc518305018"/>
      <w:bookmarkStart w:id="95" w:name="_Toc521662613"/>
      <w:r>
        <w:rPr>
          <w:rFonts w:ascii="Times New Roman" w:hAnsi="Times New Roman"/>
          <w:b/>
          <w:noProof/>
          <w:sz w:val="24"/>
        </w:rPr>
        <w:t>3.4.</w:t>
      </w:r>
      <w:r>
        <w:rPr>
          <w:noProof/>
        </w:rPr>
        <w:tab/>
      </w:r>
      <w:r>
        <w:rPr>
          <w:rFonts w:ascii="Times New Roman" w:hAnsi="Times New Roman"/>
          <w:b/>
          <w:noProof/>
          <w:sz w:val="24"/>
        </w:rPr>
        <w:t>Exécution des programmes du Feader</w:t>
      </w:r>
      <w:bookmarkEnd w:id="93"/>
      <w:bookmarkEnd w:id="94"/>
      <w:bookmarkEnd w:id="95"/>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96" w:name="_Toc518305019"/>
      <w:bookmarkStart w:id="97" w:name="_Toc521662614"/>
      <w:bookmarkEnd w:id="92"/>
      <w:r>
        <w:rPr>
          <w:rFonts w:ascii="Times New Roman" w:hAnsi="Times New Roman"/>
          <w:i/>
          <w:noProof/>
          <w:sz w:val="24"/>
        </w:rPr>
        <w:t>3.4.1.</w:t>
      </w:r>
      <w:r>
        <w:rPr>
          <w:noProof/>
        </w:rPr>
        <w:tab/>
      </w:r>
      <w:r>
        <w:rPr>
          <w:rFonts w:ascii="Times New Roman" w:hAnsi="Times New Roman"/>
          <w:i/>
          <w:noProof/>
          <w:sz w:val="24"/>
        </w:rPr>
        <w:t>Période de programmation 2007-2013</w:t>
      </w:r>
      <w:bookmarkEnd w:id="96"/>
      <w:bookmarkEnd w:id="97"/>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 xml:space="preserve">Le graphique n° 2 présente le taux d’absorption des programmes de développement rural 2007-2013, par État membre, c’est-à-dire les paiements effectués entre le début de la période de programmation et le 31 décembre 2017, y compris les paiements de clôture pour les programmes ayant déjà été clôturés à cette date, par rapport à la dotation totale pour la période 2007-2013. </w:t>
      </w:r>
    </w:p>
    <w:p>
      <w:pPr>
        <w:spacing w:before="120" w:after="120" w:line="240" w:lineRule="auto"/>
        <w:ind w:left="850"/>
        <w:jc w:val="both"/>
        <w:rPr>
          <w:rFonts w:ascii="Times New Roman" w:eastAsia="Times New Roman" w:hAnsi="Times New Roman"/>
          <w:noProof/>
          <w:sz w:val="24"/>
        </w:rPr>
      </w:pPr>
      <w:r>
        <w:rPr>
          <w:rFonts w:ascii="Times New Roman" w:hAnsi="Times New Roman"/>
          <w:noProof/>
          <w:sz w:val="24"/>
        </w:rPr>
        <w:t>À la fin de 2017, l’application de la règle n+2 avait donné lieu à des dégagements d’un montant total de 1 867 millions d’EUR.</w:t>
      </w:r>
    </w:p>
    <w:p>
      <w:pPr>
        <w:keepNext/>
        <w:tabs>
          <w:tab w:val="left" w:pos="850"/>
        </w:tabs>
        <w:spacing w:before="240" w:after="120" w:line="240" w:lineRule="auto"/>
        <w:ind w:left="850" w:hanging="850"/>
        <w:jc w:val="both"/>
        <w:outlineLvl w:val="2"/>
        <w:rPr>
          <w:rFonts w:ascii="Times New Roman" w:eastAsia="Times New Roman" w:hAnsi="Times New Roman"/>
          <w:i/>
          <w:noProof/>
          <w:sz w:val="24"/>
        </w:rPr>
      </w:pPr>
      <w:bookmarkStart w:id="98" w:name="_Toc518305020"/>
      <w:bookmarkStart w:id="99" w:name="_Toc521662615"/>
      <w:r>
        <w:rPr>
          <w:rFonts w:ascii="Times New Roman" w:hAnsi="Times New Roman"/>
          <w:i/>
          <w:noProof/>
          <w:sz w:val="24"/>
        </w:rPr>
        <w:t>3.4.2.</w:t>
      </w:r>
      <w:r>
        <w:rPr>
          <w:noProof/>
        </w:rPr>
        <w:tab/>
      </w:r>
      <w:r>
        <w:rPr>
          <w:rFonts w:ascii="Times New Roman" w:hAnsi="Times New Roman"/>
          <w:i/>
          <w:noProof/>
          <w:sz w:val="24"/>
        </w:rPr>
        <w:t>Période de programmation 2014-2020</w:t>
      </w:r>
      <w:bookmarkEnd w:id="98"/>
      <w:bookmarkEnd w:id="99"/>
    </w:p>
    <w:p>
      <w:pPr>
        <w:spacing w:before="120" w:after="120" w:line="240" w:lineRule="auto"/>
        <w:ind w:left="840"/>
        <w:jc w:val="both"/>
        <w:rPr>
          <w:rFonts w:ascii="Times New Roman" w:eastAsia="Times New Roman" w:hAnsi="Times New Roman"/>
          <w:noProof/>
          <w:sz w:val="24"/>
        </w:rPr>
      </w:pPr>
      <w:r>
        <w:rPr>
          <w:rFonts w:ascii="Times New Roman" w:hAnsi="Times New Roman"/>
          <w:noProof/>
          <w:sz w:val="24"/>
        </w:rPr>
        <w:t>Le graphique n° 3 présente le taux d’absorption des programmes de développement rural 2014-2020, par État membre, c’est-à-dire les paiements effectués depuis le début de la période de programmation, y compris les paiements effectués pour le 4</w:t>
      </w:r>
      <w:r>
        <w:rPr>
          <w:rFonts w:ascii="Times New Roman" w:hAnsi="Times New Roman"/>
          <w:noProof/>
          <w:sz w:val="24"/>
          <w:vertAlign w:val="superscript"/>
        </w:rPr>
        <w:t>e</w:t>
      </w:r>
      <w:r>
        <w:rPr>
          <w:rFonts w:ascii="Times New Roman" w:hAnsi="Times New Roman"/>
          <w:noProof/>
          <w:sz w:val="24"/>
        </w:rPr>
        <w:t> trimestre de 2017 remboursés au cours de l’exercice 2018, par rapport à la dotation totale pour la période 2014-2020.</w:t>
      </w:r>
    </w:p>
    <w:p>
      <w:pPr>
        <w:spacing w:before="120" w:after="120" w:line="240" w:lineRule="auto"/>
        <w:ind w:left="840"/>
        <w:jc w:val="both"/>
        <w:rPr>
          <w:rFonts w:ascii="Times New Roman" w:eastAsia="Times New Roman" w:hAnsi="Times New Roman"/>
          <w:noProof/>
          <w:sz w:val="24"/>
        </w:rPr>
        <w:sectPr>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r>
        <w:rPr>
          <w:rFonts w:ascii="Times New Roman" w:hAnsi="Times New Roman"/>
          <w:noProof/>
          <w:sz w:val="24"/>
        </w:rPr>
        <w:t xml:space="preserve"> </w:t>
      </w:r>
    </w:p>
    <w:p>
      <w:pPr>
        <w:spacing w:before="120" w:after="120" w:line="240" w:lineRule="auto"/>
        <w:jc w:val="both"/>
        <w:rPr>
          <w:noProof/>
        </w:rPr>
      </w:pPr>
      <w:r>
        <w:rPr>
          <w:noProof/>
          <w:lang w:val="en-US" w:eastAsia="en-US" w:bidi="ar-SA"/>
        </w:rPr>
        <w:drawing>
          <wp:inline distT="0" distB="0" distL="0" distR="0">
            <wp:extent cx="8892540" cy="490095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2540" cy="4900956"/>
                    </a:xfrm>
                    <a:prstGeom prst="rect">
                      <a:avLst/>
                    </a:prstGeom>
                    <a:noFill/>
                    <a:ln>
                      <a:noFill/>
                    </a:ln>
                  </pic:spPr>
                </pic:pic>
              </a:graphicData>
            </a:graphic>
          </wp:inline>
        </w:drawing>
      </w:r>
    </w:p>
    <w:p>
      <w:pPr>
        <w:spacing w:before="120" w:after="120" w:line="240" w:lineRule="auto"/>
        <w:jc w:val="both"/>
        <w:rPr>
          <w:noProof/>
        </w:rPr>
      </w:pPr>
    </w:p>
    <w:p>
      <w:pPr>
        <w:spacing w:before="120" w:after="120" w:line="240" w:lineRule="auto"/>
        <w:jc w:val="both"/>
        <w:rPr>
          <w:noProof/>
        </w:rPr>
      </w:pPr>
      <w:r>
        <w:rPr>
          <w:noProof/>
          <w:lang w:val="en-US" w:eastAsia="en-US" w:bidi="ar-SA"/>
        </w:rPr>
        <w:drawing>
          <wp:inline distT="0" distB="0" distL="0" distR="0">
            <wp:extent cx="8752107" cy="53913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752398" cy="5391576"/>
                    </a:xfrm>
                    <a:prstGeom prst="rect">
                      <a:avLst/>
                    </a:prstGeom>
                    <a:noFill/>
                    <a:ln>
                      <a:noFill/>
                    </a:ln>
                  </pic:spPr>
                </pic:pic>
              </a:graphicData>
            </a:graphic>
          </wp:inline>
        </w:drawing>
      </w:r>
    </w:p>
    <w:sectPr>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rPr>
        <w:noProof/>
      </w:rPr>
      <w:fldChar w:fldCharType="end"/>
    </w:r>
  </w:p>
  <w:p>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09989C04-C8D8-4D11-8D06-BC07049CB75C"/>
    <w:docVar w:name="LW_COVERPAGE_TYPE" w:val="1"/>
    <w:docVar w:name="LW_CROSSREFERENCE" w:val="&lt;UNUSED&gt;"/>
    <w:docVar w:name="LW_DocType" w:val="NORMAL"/>
    <w:docVar w:name="LW_EMISSION" w:val="17.9.2018"/>
    <w:docVar w:name="LW_EMISSION_ISODATE" w:val="2018-09-1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ZIÈME RAPPORT FINANCIER DE LA COMMISSION AU PARLEMENT EUROPÉEN ET AU CONSEIL_x000d__x000d__x000b_sur le FONDS EUROPÉEN AGRICOLE POUR LE DÉVELOPPEMENT RURAL (Feader)_x000d__x000d__x000b_EXERCICE 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Text1"/>
    <w:pPr>
      <w:numPr>
        <w:numId w:val="16"/>
      </w:numPr>
      <w:spacing w:before="0" w:after="240"/>
    </w:pPr>
    <w:rPr>
      <w:szCs w:val="20"/>
      <w:lang w:eastAsia="en-US" w:bidi="ar-SA"/>
    </w:rPr>
  </w:style>
  <w:style w:type="paragraph" w:customStyle="1" w:styleId="ListDash1">
    <w:name w:val="List Dash 1"/>
    <w:basedOn w:val="Text1"/>
    <w:pPr>
      <w:numPr>
        <w:numId w:val="21"/>
      </w:numPr>
      <w:spacing w:before="0" w:after="240"/>
    </w:pPr>
    <w:rPr>
      <w:szCs w:val="20"/>
      <w:lang w:eastAsia="en-US" w:bidi="ar-SA"/>
    </w:rPr>
  </w:style>
  <w:style w:type="paragraph" w:customStyle="1" w:styleId="ListDash2">
    <w:name w:val="List Dash 2"/>
    <w:basedOn w:val="Text2"/>
    <w:pPr>
      <w:numPr>
        <w:numId w:val="22"/>
      </w:numPr>
      <w:spacing w:before="0" w:after="240"/>
    </w:pPr>
    <w:rPr>
      <w:szCs w:val="20"/>
      <w:lang w:eastAsia="en-US" w:bidi="ar-SA"/>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lang w:eastAsia="en-US" w:bidi="ar-SA"/>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bidi="ar-SA"/>
    </w:rPr>
  </w:style>
  <w:style w:type="paragraph" w:styleId="ListNumber3">
    <w:name w:val="List Number 3"/>
    <w:basedOn w:val="Text3"/>
    <w:pPr>
      <w:numPr>
        <w:numId w:val="28"/>
      </w:numPr>
      <w:spacing w:before="0" w:after="240"/>
    </w:pPr>
    <w:rPr>
      <w:szCs w:val="20"/>
      <w:lang w:eastAsia="en-US" w:bidi="ar-SA"/>
    </w:rPr>
  </w:style>
  <w:style w:type="paragraph" w:styleId="ListNumber4">
    <w:name w:val="List Number 4"/>
    <w:basedOn w:val="Text4"/>
    <w:pPr>
      <w:numPr>
        <w:numId w:val="29"/>
      </w:numPr>
      <w:spacing w:before="0" w:after="240"/>
    </w:pPr>
    <w:rPr>
      <w:szCs w:val="20"/>
      <w:lang w:eastAsia="en-US" w:bidi="ar-SA"/>
    </w:rPr>
  </w:style>
  <w:style w:type="paragraph" w:customStyle="1" w:styleId="ListNumber1">
    <w:name w:val="List Number 1"/>
    <w:basedOn w:val="Text1"/>
    <w:pPr>
      <w:numPr>
        <w:numId w:val="26"/>
      </w:numPr>
      <w:spacing w:before="0" w:after="240"/>
    </w:pPr>
    <w:rPr>
      <w:szCs w:val="20"/>
      <w:lang w:eastAsia="en-US" w:bidi="ar-SA"/>
    </w:rPr>
  </w:style>
  <w:style w:type="paragraph" w:customStyle="1" w:styleId="ListNumber1Level2">
    <w:name w:val="List Number 1 (Level 2)"/>
    <w:basedOn w:val="Text1"/>
    <w:pPr>
      <w:numPr>
        <w:ilvl w:val="1"/>
        <w:numId w:val="26"/>
      </w:numPr>
      <w:spacing w:before="0" w:after="240"/>
    </w:pPr>
    <w:rPr>
      <w:szCs w:val="20"/>
      <w:lang w:eastAsia="en-US" w:bidi="ar-SA"/>
    </w:rPr>
  </w:style>
  <w:style w:type="paragraph" w:customStyle="1" w:styleId="ListNumber2Level2">
    <w:name w:val="List Number 2 (Level 2)"/>
    <w:basedOn w:val="Text2"/>
    <w:pPr>
      <w:numPr>
        <w:ilvl w:val="1"/>
        <w:numId w:val="27"/>
      </w:numPr>
      <w:spacing w:before="0" w:after="240"/>
    </w:pPr>
    <w:rPr>
      <w:szCs w:val="20"/>
      <w:lang w:eastAsia="en-US" w:bidi="ar-SA"/>
    </w:rPr>
  </w:style>
  <w:style w:type="paragraph" w:customStyle="1" w:styleId="ListNumber3Level2">
    <w:name w:val="List Number 3 (Level 2)"/>
    <w:basedOn w:val="Text3"/>
    <w:pPr>
      <w:numPr>
        <w:ilvl w:val="1"/>
        <w:numId w:val="28"/>
      </w:numPr>
      <w:spacing w:before="0" w:after="240"/>
    </w:pPr>
    <w:rPr>
      <w:szCs w:val="20"/>
      <w:lang w:eastAsia="en-US" w:bidi="ar-SA"/>
    </w:rPr>
  </w:style>
  <w:style w:type="paragraph" w:customStyle="1" w:styleId="ListNumber4Level2">
    <w:name w:val="List Number 4 (Level 2)"/>
    <w:basedOn w:val="Text4"/>
    <w:pPr>
      <w:numPr>
        <w:ilvl w:val="1"/>
        <w:numId w:val="29"/>
      </w:numPr>
      <w:spacing w:before="0" w:after="240"/>
    </w:pPr>
    <w:rPr>
      <w:szCs w:val="20"/>
      <w:lang w:eastAsia="en-US" w:bidi="ar-SA"/>
    </w:rPr>
  </w:style>
  <w:style w:type="paragraph" w:customStyle="1" w:styleId="ListNumber1Level3">
    <w:name w:val="List Number 1 (Level 3)"/>
    <w:basedOn w:val="Text1"/>
    <w:pPr>
      <w:numPr>
        <w:ilvl w:val="2"/>
        <w:numId w:val="26"/>
      </w:numPr>
      <w:spacing w:before="0" w:after="240"/>
    </w:pPr>
    <w:rPr>
      <w:szCs w:val="20"/>
      <w:lang w:eastAsia="en-US" w:bidi="ar-SA"/>
    </w:rPr>
  </w:style>
  <w:style w:type="paragraph" w:customStyle="1" w:styleId="ListNumber2Level3">
    <w:name w:val="List Number 2 (Level 3)"/>
    <w:basedOn w:val="Text2"/>
    <w:pPr>
      <w:numPr>
        <w:ilvl w:val="2"/>
        <w:numId w:val="27"/>
      </w:numPr>
      <w:spacing w:before="0" w:after="240"/>
    </w:pPr>
    <w:rPr>
      <w:szCs w:val="20"/>
      <w:lang w:eastAsia="en-US" w:bidi="ar-SA"/>
    </w:rPr>
  </w:style>
  <w:style w:type="paragraph" w:customStyle="1" w:styleId="ListNumber3Level3">
    <w:name w:val="List Number 3 (Level 3)"/>
    <w:basedOn w:val="Text3"/>
    <w:pPr>
      <w:numPr>
        <w:ilvl w:val="2"/>
        <w:numId w:val="28"/>
      </w:numPr>
      <w:spacing w:before="0" w:after="240"/>
    </w:pPr>
    <w:rPr>
      <w:szCs w:val="20"/>
      <w:lang w:eastAsia="en-US" w:bidi="ar-SA"/>
    </w:rPr>
  </w:style>
  <w:style w:type="paragraph" w:customStyle="1" w:styleId="ListNumber4Level3">
    <w:name w:val="List Number 4 (Level 3)"/>
    <w:basedOn w:val="Text4"/>
    <w:pPr>
      <w:numPr>
        <w:ilvl w:val="2"/>
        <w:numId w:val="29"/>
      </w:numPr>
      <w:spacing w:before="0" w:after="240"/>
    </w:pPr>
    <w:rPr>
      <w:szCs w:val="20"/>
      <w:lang w:eastAsia="en-US" w:bidi="ar-SA"/>
    </w:rPr>
  </w:style>
  <w:style w:type="paragraph" w:customStyle="1" w:styleId="ListNumber1Level4">
    <w:name w:val="List Number 1 (Level 4)"/>
    <w:basedOn w:val="Text1"/>
    <w:pPr>
      <w:numPr>
        <w:ilvl w:val="3"/>
        <w:numId w:val="26"/>
      </w:numPr>
      <w:spacing w:before="0" w:after="240"/>
    </w:pPr>
    <w:rPr>
      <w:szCs w:val="20"/>
      <w:lang w:eastAsia="en-US" w:bidi="ar-SA"/>
    </w:rPr>
  </w:style>
  <w:style w:type="paragraph" w:customStyle="1" w:styleId="ListNumber2Level4">
    <w:name w:val="List Number 2 (Level 4)"/>
    <w:basedOn w:val="Text2"/>
    <w:pPr>
      <w:numPr>
        <w:ilvl w:val="3"/>
        <w:numId w:val="27"/>
      </w:numPr>
      <w:spacing w:before="0" w:after="240"/>
    </w:pPr>
    <w:rPr>
      <w:szCs w:val="20"/>
      <w:lang w:eastAsia="en-US" w:bidi="ar-SA"/>
    </w:rPr>
  </w:style>
  <w:style w:type="paragraph" w:customStyle="1" w:styleId="ListNumber3Level4">
    <w:name w:val="List Number 3 (Level 4)"/>
    <w:basedOn w:val="Text3"/>
    <w:pPr>
      <w:numPr>
        <w:ilvl w:val="3"/>
        <w:numId w:val="28"/>
      </w:numPr>
      <w:spacing w:before="0" w:after="240"/>
    </w:pPr>
    <w:rPr>
      <w:szCs w:val="20"/>
      <w:lang w:eastAsia="en-US" w:bidi="ar-SA"/>
    </w:rPr>
  </w:style>
  <w:style w:type="paragraph" w:customStyle="1" w:styleId="ListNumber4Level4">
    <w:name w:val="List Number 4 (Level 4)"/>
    <w:basedOn w:val="Text4"/>
    <w:pPr>
      <w:numPr>
        <w:ilvl w:val="3"/>
        <w:numId w:val="29"/>
      </w:numPr>
      <w:spacing w:before="0" w:after="240"/>
    </w:pPr>
    <w:rPr>
      <w:szCs w:val="20"/>
      <w:lang w:eastAsia="en-US" w:bidi="ar-SA"/>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Text2"/>
    <w:pPr>
      <w:numPr>
        <w:numId w:val="17"/>
      </w:numPr>
      <w:spacing w:before="0" w:after="240"/>
    </w:pPr>
    <w:rPr>
      <w:szCs w:val="20"/>
      <w:lang w:eastAsia="en-US" w:bidi="ar-SA"/>
    </w:rPr>
  </w:style>
  <w:style w:type="paragraph" w:styleId="ListBullet3">
    <w:name w:val="List Bullet 3"/>
    <w:basedOn w:val="Text3"/>
    <w:pPr>
      <w:numPr>
        <w:numId w:val="18"/>
      </w:numPr>
      <w:spacing w:before="0" w:after="240"/>
    </w:pPr>
    <w:rPr>
      <w:szCs w:val="20"/>
      <w:lang w:eastAsia="en-US" w:bidi="ar-SA"/>
    </w:rPr>
  </w:style>
  <w:style w:type="paragraph" w:styleId="ListBullet4">
    <w:name w:val="List Bullet 4"/>
    <w:basedOn w:val="Text4"/>
    <w:pPr>
      <w:numPr>
        <w:numId w:val="19"/>
      </w:numPr>
      <w:spacing w:before="0" w:after="240"/>
    </w:pPr>
    <w:rPr>
      <w:szCs w:val="20"/>
      <w:lang w:eastAsia="en-US" w:bidi="ar-SA"/>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Text3"/>
    <w:pPr>
      <w:numPr>
        <w:numId w:val="23"/>
      </w:numPr>
      <w:spacing w:before="0" w:after="240"/>
    </w:pPr>
    <w:rPr>
      <w:szCs w:val="20"/>
      <w:lang w:eastAsia="en-US" w:bidi="ar-SA"/>
    </w:rPr>
  </w:style>
  <w:style w:type="paragraph" w:customStyle="1" w:styleId="ListDash4">
    <w:name w:val="List Dash 4"/>
    <w:basedOn w:val="Text4"/>
    <w:pPr>
      <w:numPr>
        <w:numId w:val="24"/>
      </w:numPr>
      <w:spacing w:before="0" w:after="240"/>
    </w:pPr>
    <w:rPr>
      <w:szCs w:val="20"/>
      <w:lang w:eastAsia="en-US" w:bidi="ar-SA"/>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862">
      <w:bodyDiv w:val="1"/>
      <w:marLeft w:val="0"/>
      <w:marRight w:val="0"/>
      <w:marTop w:val="0"/>
      <w:marBottom w:val="0"/>
      <w:divBdr>
        <w:top w:val="none" w:sz="0" w:space="0" w:color="auto"/>
        <w:left w:val="none" w:sz="0" w:space="0" w:color="auto"/>
        <w:bottom w:val="none" w:sz="0" w:space="0" w:color="auto"/>
        <w:right w:val="none" w:sz="0" w:space="0" w:color="auto"/>
      </w:divBdr>
    </w:div>
    <w:div w:id="20404791">
      <w:bodyDiv w:val="1"/>
      <w:marLeft w:val="0"/>
      <w:marRight w:val="0"/>
      <w:marTop w:val="0"/>
      <w:marBottom w:val="0"/>
      <w:divBdr>
        <w:top w:val="none" w:sz="0" w:space="0" w:color="auto"/>
        <w:left w:val="none" w:sz="0" w:space="0" w:color="auto"/>
        <w:bottom w:val="none" w:sz="0" w:space="0" w:color="auto"/>
        <w:right w:val="none" w:sz="0" w:space="0" w:color="auto"/>
      </w:divBdr>
    </w:div>
    <w:div w:id="48503476">
      <w:bodyDiv w:val="1"/>
      <w:marLeft w:val="0"/>
      <w:marRight w:val="0"/>
      <w:marTop w:val="0"/>
      <w:marBottom w:val="0"/>
      <w:divBdr>
        <w:top w:val="none" w:sz="0" w:space="0" w:color="auto"/>
        <w:left w:val="none" w:sz="0" w:space="0" w:color="auto"/>
        <w:bottom w:val="none" w:sz="0" w:space="0" w:color="auto"/>
        <w:right w:val="none" w:sz="0" w:space="0" w:color="auto"/>
      </w:divBdr>
    </w:div>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79524618">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117531499">
      <w:bodyDiv w:val="1"/>
      <w:marLeft w:val="0"/>
      <w:marRight w:val="0"/>
      <w:marTop w:val="0"/>
      <w:marBottom w:val="0"/>
      <w:divBdr>
        <w:top w:val="none" w:sz="0" w:space="0" w:color="auto"/>
        <w:left w:val="none" w:sz="0" w:space="0" w:color="auto"/>
        <w:bottom w:val="none" w:sz="0" w:space="0" w:color="auto"/>
        <w:right w:val="none" w:sz="0" w:space="0" w:color="auto"/>
      </w:divBdr>
    </w:div>
    <w:div w:id="165752188">
      <w:bodyDiv w:val="1"/>
      <w:marLeft w:val="0"/>
      <w:marRight w:val="0"/>
      <w:marTop w:val="0"/>
      <w:marBottom w:val="0"/>
      <w:divBdr>
        <w:top w:val="none" w:sz="0" w:space="0" w:color="auto"/>
        <w:left w:val="none" w:sz="0" w:space="0" w:color="auto"/>
        <w:bottom w:val="none" w:sz="0" w:space="0" w:color="auto"/>
        <w:right w:val="none" w:sz="0" w:space="0" w:color="auto"/>
      </w:divBdr>
    </w:div>
    <w:div w:id="196701086">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51743226">
      <w:bodyDiv w:val="1"/>
      <w:marLeft w:val="0"/>
      <w:marRight w:val="0"/>
      <w:marTop w:val="0"/>
      <w:marBottom w:val="0"/>
      <w:divBdr>
        <w:top w:val="none" w:sz="0" w:space="0" w:color="auto"/>
        <w:left w:val="none" w:sz="0" w:space="0" w:color="auto"/>
        <w:bottom w:val="none" w:sz="0" w:space="0" w:color="auto"/>
        <w:right w:val="none" w:sz="0" w:space="0" w:color="auto"/>
      </w:divBdr>
    </w:div>
    <w:div w:id="285431364">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369762378">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580794129">
      <w:bodyDiv w:val="1"/>
      <w:marLeft w:val="0"/>
      <w:marRight w:val="0"/>
      <w:marTop w:val="0"/>
      <w:marBottom w:val="0"/>
      <w:divBdr>
        <w:top w:val="none" w:sz="0" w:space="0" w:color="auto"/>
        <w:left w:val="none" w:sz="0" w:space="0" w:color="auto"/>
        <w:bottom w:val="none" w:sz="0" w:space="0" w:color="auto"/>
        <w:right w:val="none" w:sz="0" w:space="0" w:color="auto"/>
      </w:divBdr>
    </w:div>
    <w:div w:id="61001802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37111333">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904880461">
      <w:bodyDiv w:val="1"/>
      <w:marLeft w:val="0"/>
      <w:marRight w:val="0"/>
      <w:marTop w:val="0"/>
      <w:marBottom w:val="0"/>
      <w:divBdr>
        <w:top w:val="none" w:sz="0" w:space="0" w:color="auto"/>
        <w:left w:val="none" w:sz="0" w:space="0" w:color="auto"/>
        <w:bottom w:val="none" w:sz="0" w:space="0" w:color="auto"/>
        <w:right w:val="none" w:sz="0" w:space="0" w:color="auto"/>
      </w:divBdr>
    </w:div>
    <w:div w:id="1008021674">
      <w:bodyDiv w:val="1"/>
      <w:marLeft w:val="0"/>
      <w:marRight w:val="0"/>
      <w:marTop w:val="0"/>
      <w:marBottom w:val="0"/>
      <w:divBdr>
        <w:top w:val="none" w:sz="0" w:space="0" w:color="auto"/>
        <w:left w:val="none" w:sz="0" w:space="0" w:color="auto"/>
        <w:bottom w:val="none" w:sz="0" w:space="0" w:color="auto"/>
        <w:right w:val="none" w:sz="0" w:space="0" w:color="auto"/>
      </w:divBdr>
    </w:div>
    <w:div w:id="1024332129">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4875639">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231162155">
      <w:bodyDiv w:val="1"/>
      <w:marLeft w:val="0"/>
      <w:marRight w:val="0"/>
      <w:marTop w:val="0"/>
      <w:marBottom w:val="0"/>
      <w:divBdr>
        <w:top w:val="none" w:sz="0" w:space="0" w:color="auto"/>
        <w:left w:val="none" w:sz="0" w:space="0" w:color="auto"/>
        <w:bottom w:val="none" w:sz="0" w:space="0" w:color="auto"/>
        <w:right w:val="none" w:sz="0" w:space="0" w:color="auto"/>
      </w:divBdr>
    </w:div>
    <w:div w:id="1308122633">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31592549">
      <w:bodyDiv w:val="1"/>
      <w:marLeft w:val="0"/>
      <w:marRight w:val="0"/>
      <w:marTop w:val="0"/>
      <w:marBottom w:val="0"/>
      <w:divBdr>
        <w:top w:val="none" w:sz="0" w:space="0" w:color="auto"/>
        <w:left w:val="none" w:sz="0" w:space="0" w:color="auto"/>
        <w:bottom w:val="none" w:sz="0" w:space="0" w:color="auto"/>
        <w:right w:val="none" w:sz="0" w:space="0" w:color="auto"/>
      </w:divBdr>
    </w:div>
    <w:div w:id="1342201723">
      <w:bodyDiv w:val="1"/>
      <w:marLeft w:val="0"/>
      <w:marRight w:val="0"/>
      <w:marTop w:val="0"/>
      <w:marBottom w:val="0"/>
      <w:divBdr>
        <w:top w:val="none" w:sz="0" w:space="0" w:color="auto"/>
        <w:left w:val="none" w:sz="0" w:space="0" w:color="auto"/>
        <w:bottom w:val="none" w:sz="0" w:space="0" w:color="auto"/>
        <w:right w:val="none" w:sz="0" w:space="0" w:color="auto"/>
      </w:divBdr>
    </w:div>
    <w:div w:id="1345981416">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384598710">
      <w:bodyDiv w:val="1"/>
      <w:marLeft w:val="0"/>
      <w:marRight w:val="0"/>
      <w:marTop w:val="0"/>
      <w:marBottom w:val="0"/>
      <w:divBdr>
        <w:top w:val="none" w:sz="0" w:space="0" w:color="auto"/>
        <w:left w:val="none" w:sz="0" w:space="0" w:color="auto"/>
        <w:bottom w:val="none" w:sz="0" w:space="0" w:color="auto"/>
        <w:right w:val="none" w:sz="0" w:space="0" w:color="auto"/>
      </w:divBdr>
    </w:div>
    <w:div w:id="1400979876">
      <w:bodyDiv w:val="1"/>
      <w:marLeft w:val="0"/>
      <w:marRight w:val="0"/>
      <w:marTop w:val="0"/>
      <w:marBottom w:val="0"/>
      <w:divBdr>
        <w:top w:val="none" w:sz="0" w:space="0" w:color="auto"/>
        <w:left w:val="none" w:sz="0" w:space="0" w:color="auto"/>
        <w:bottom w:val="none" w:sz="0" w:space="0" w:color="auto"/>
        <w:right w:val="none" w:sz="0" w:space="0" w:color="auto"/>
      </w:divBdr>
    </w:div>
    <w:div w:id="1402170609">
      <w:bodyDiv w:val="1"/>
      <w:marLeft w:val="0"/>
      <w:marRight w:val="0"/>
      <w:marTop w:val="0"/>
      <w:marBottom w:val="0"/>
      <w:divBdr>
        <w:top w:val="none" w:sz="0" w:space="0" w:color="auto"/>
        <w:left w:val="none" w:sz="0" w:space="0" w:color="auto"/>
        <w:bottom w:val="none" w:sz="0" w:space="0" w:color="auto"/>
        <w:right w:val="none" w:sz="0" w:space="0" w:color="auto"/>
      </w:divBdr>
    </w:div>
    <w:div w:id="141022675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565525382">
      <w:bodyDiv w:val="1"/>
      <w:marLeft w:val="0"/>
      <w:marRight w:val="0"/>
      <w:marTop w:val="0"/>
      <w:marBottom w:val="0"/>
      <w:divBdr>
        <w:top w:val="none" w:sz="0" w:space="0" w:color="auto"/>
        <w:left w:val="none" w:sz="0" w:space="0" w:color="auto"/>
        <w:bottom w:val="none" w:sz="0" w:space="0" w:color="auto"/>
        <w:right w:val="none" w:sz="0" w:space="0" w:color="auto"/>
      </w:divBdr>
    </w:div>
    <w:div w:id="1592930674">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682929643">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02919670">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07762175">
      <w:bodyDiv w:val="1"/>
      <w:marLeft w:val="0"/>
      <w:marRight w:val="0"/>
      <w:marTop w:val="0"/>
      <w:marBottom w:val="0"/>
      <w:divBdr>
        <w:top w:val="none" w:sz="0" w:space="0" w:color="auto"/>
        <w:left w:val="none" w:sz="0" w:space="0" w:color="auto"/>
        <w:bottom w:val="none" w:sz="0" w:space="0" w:color="auto"/>
        <w:right w:val="none" w:sz="0" w:space="0" w:color="auto"/>
      </w:divBdr>
    </w:div>
    <w:div w:id="191381496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17746250">
      <w:bodyDiv w:val="1"/>
      <w:marLeft w:val="0"/>
      <w:marRight w:val="0"/>
      <w:marTop w:val="0"/>
      <w:marBottom w:val="0"/>
      <w:divBdr>
        <w:top w:val="none" w:sz="0" w:space="0" w:color="auto"/>
        <w:left w:val="none" w:sz="0" w:space="0" w:color="auto"/>
        <w:bottom w:val="none" w:sz="0" w:space="0" w:color="auto"/>
        <w:right w:val="none" w:sz="0" w:space="0" w:color="auto"/>
      </w:divBdr>
    </w:div>
    <w:div w:id="1929995712">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1961571958">
      <w:bodyDiv w:val="1"/>
      <w:marLeft w:val="0"/>
      <w:marRight w:val="0"/>
      <w:marTop w:val="0"/>
      <w:marBottom w:val="0"/>
      <w:divBdr>
        <w:top w:val="none" w:sz="0" w:space="0" w:color="auto"/>
        <w:left w:val="none" w:sz="0" w:space="0" w:color="auto"/>
        <w:bottom w:val="none" w:sz="0" w:space="0" w:color="auto"/>
        <w:right w:val="none" w:sz="0" w:space="0" w:color="auto"/>
      </w:divBdr>
    </w:div>
    <w:div w:id="1991248446">
      <w:bodyDiv w:val="1"/>
      <w:marLeft w:val="0"/>
      <w:marRight w:val="0"/>
      <w:marTop w:val="0"/>
      <w:marBottom w:val="0"/>
      <w:divBdr>
        <w:top w:val="none" w:sz="0" w:space="0" w:color="auto"/>
        <w:left w:val="none" w:sz="0" w:space="0" w:color="auto"/>
        <w:bottom w:val="none" w:sz="0" w:space="0" w:color="auto"/>
        <w:right w:val="none" w:sz="0" w:space="0" w:color="auto"/>
      </w:divBdr>
    </w:div>
    <w:div w:id="204166073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 w:id="2083721024">
      <w:bodyDiv w:val="1"/>
      <w:marLeft w:val="0"/>
      <w:marRight w:val="0"/>
      <w:marTop w:val="0"/>
      <w:marBottom w:val="0"/>
      <w:divBdr>
        <w:top w:val="none" w:sz="0" w:space="0" w:color="auto"/>
        <w:left w:val="none" w:sz="0" w:space="0" w:color="auto"/>
        <w:bottom w:val="none" w:sz="0" w:space="0" w:color="auto"/>
        <w:right w:val="none" w:sz="0" w:space="0" w:color="auto"/>
      </w:divBdr>
    </w:div>
    <w:div w:id="2110929728">
      <w:bodyDiv w:val="1"/>
      <w:marLeft w:val="0"/>
      <w:marRight w:val="0"/>
      <w:marTop w:val="0"/>
      <w:marBottom w:val="0"/>
      <w:divBdr>
        <w:top w:val="none" w:sz="0" w:space="0" w:color="auto"/>
        <w:left w:val="none" w:sz="0" w:space="0" w:color="auto"/>
        <w:bottom w:val="none" w:sz="0" w:space="0" w:color="auto"/>
        <w:right w:val="none" w:sz="0" w:space="0" w:color="auto"/>
      </w:divBdr>
    </w:div>
    <w:div w:id="21436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4.emf"/><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3A99-314E-4329-A016-E0A80993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5411</Words>
  <Characters>23976</Characters>
  <Application>Microsoft Office Word</Application>
  <DocSecurity>0</DocSecurity>
  <Lines>1598</Lines>
  <Paragraphs>1469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27918</CharactersWithSpaces>
  <SharedDoc>false</SharedDoc>
  <HLinks>
    <vt:vector size="138" baseType="variant">
      <vt:variant>
        <vt:i4>1376313</vt:i4>
      </vt:variant>
      <vt:variant>
        <vt:i4>134</vt:i4>
      </vt:variant>
      <vt:variant>
        <vt:i4>0</vt:i4>
      </vt:variant>
      <vt:variant>
        <vt:i4>5</vt:i4>
      </vt:variant>
      <vt:variant>
        <vt:lpwstr/>
      </vt:variant>
      <vt:variant>
        <vt:lpwstr>_Toc485997148</vt:lpwstr>
      </vt:variant>
      <vt:variant>
        <vt:i4>1376313</vt:i4>
      </vt:variant>
      <vt:variant>
        <vt:i4>128</vt:i4>
      </vt:variant>
      <vt:variant>
        <vt:i4>0</vt:i4>
      </vt:variant>
      <vt:variant>
        <vt:i4>5</vt:i4>
      </vt:variant>
      <vt:variant>
        <vt:lpwstr/>
      </vt:variant>
      <vt:variant>
        <vt:lpwstr>_Toc485997147</vt:lpwstr>
      </vt:variant>
      <vt:variant>
        <vt:i4>1376313</vt:i4>
      </vt:variant>
      <vt:variant>
        <vt:i4>122</vt:i4>
      </vt:variant>
      <vt:variant>
        <vt:i4>0</vt:i4>
      </vt:variant>
      <vt:variant>
        <vt:i4>5</vt:i4>
      </vt:variant>
      <vt:variant>
        <vt:lpwstr/>
      </vt:variant>
      <vt:variant>
        <vt:lpwstr>_Toc485997146</vt:lpwstr>
      </vt:variant>
      <vt:variant>
        <vt:i4>1376313</vt:i4>
      </vt:variant>
      <vt:variant>
        <vt:i4>116</vt:i4>
      </vt:variant>
      <vt:variant>
        <vt:i4>0</vt:i4>
      </vt:variant>
      <vt:variant>
        <vt:i4>5</vt:i4>
      </vt:variant>
      <vt:variant>
        <vt:lpwstr/>
      </vt:variant>
      <vt:variant>
        <vt:lpwstr>_Toc485997145</vt:lpwstr>
      </vt:variant>
      <vt:variant>
        <vt:i4>1376313</vt:i4>
      </vt:variant>
      <vt:variant>
        <vt:i4>110</vt:i4>
      </vt:variant>
      <vt:variant>
        <vt:i4>0</vt:i4>
      </vt:variant>
      <vt:variant>
        <vt:i4>5</vt:i4>
      </vt:variant>
      <vt:variant>
        <vt:lpwstr/>
      </vt:variant>
      <vt:variant>
        <vt:lpwstr>_Toc485997144</vt:lpwstr>
      </vt:variant>
      <vt:variant>
        <vt:i4>1376313</vt:i4>
      </vt:variant>
      <vt:variant>
        <vt:i4>104</vt:i4>
      </vt:variant>
      <vt:variant>
        <vt:i4>0</vt:i4>
      </vt:variant>
      <vt:variant>
        <vt:i4>5</vt:i4>
      </vt:variant>
      <vt:variant>
        <vt:lpwstr/>
      </vt:variant>
      <vt:variant>
        <vt:lpwstr>_Toc485997143</vt:lpwstr>
      </vt:variant>
      <vt:variant>
        <vt:i4>1376313</vt:i4>
      </vt:variant>
      <vt:variant>
        <vt:i4>98</vt:i4>
      </vt:variant>
      <vt:variant>
        <vt:i4>0</vt:i4>
      </vt:variant>
      <vt:variant>
        <vt:i4>5</vt:i4>
      </vt:variant>
      <vt:variant>
        <vt:lpwstr/>
      </vt:variant>
      <vt:variant>
        <vt:lpwstr>_Toc485997142</vt:lpwstr>
      </vt:variant>
      <vt:variant>
        <vt:i4>1376313</vt:i4>
      </vt:variant>
      <vt:variant>
        <vt:i4>92</vt:i4>
      </vt:variant>
      <vt:variant>
        <vt:i4>0</vt:i4>
      </vt:variant>
      <vt:variant>
        <vt:i4>5</vt:i4>
      </vt:variant>
      <vt:variant>
        <vt:lpwstr/>
      </vt:variant>
      <vt:variant>
        <vt:lpwstr>_Toc485997141</vt:lpwstr>
      </vt:variant>
      <vt:variant>
        <vt:i4>1376313</vt:i4>
      </vt:variant>
      <vt:variant>
        <vt:i4>86</vt:i4>
      </vt:variant>
      <vt:variant>
        <vt:i4>0</vt:i4>
      </vt:variant>
      <vt:variant>
        <vt:i4>5</vt:i4>
      </vt:variant>
      <vt:variant>
        <vt:lpwstr/>
      </vt:variant>
      <vt:variant>
        <vt:lpwstr>_Toc485997140</vt:lpwstr>
      </vt:variant>
      <vt:variant>
        <vt:i4>1179705</vt:i4>
      </vt:variant>
      <vt:variant>
        <vt:i4>80</vt:i4>
      </vt:variant>
      <vt:variant>
        <vt:i4>0</vt:i4>
      </vt:variant>
      <vt:variant>
        <vt:i4>5</vt:i4>
      </vt:variant>
      <vt:variant>
        <vt:lpwstr/>
      </vt:variant>
      <vt:variant>
        <vt:lpwstr>_Toc485997139</vt:lpwstr>
      </vt:variant>
      <vt:variant>
        <vt:i4>1179705</vt:i4>
      </vt:variant>
      <vt:variant>
        <vt:i4>74</vt:i4>
      </vt:variant>
      <vt:variant>
        <vt:i4>0</vt:i4>
      </vt:variant>
      <vt:variant>
        <vt:i4>5</vt:i4>
      </vt:variant>
      <vt:variant>
        <vt:lpwstr/>
      </vt:variant>
      <vt:variant>
        <vt:lpwstr>_Toc485997138</vt:lpwstr>
      </vt:variant>
      <vt:variant>
        <vt:i4>1179705</vt:i4>
      </vt:variant>
      <vt:variant>
        <vt:i4>68</vt:i4>
      </vt:variant>
      <vt:variant>
        <vt:i4>0</vt:i4>
      </vt:variant>
      <vt:variant>
        <vt:i4>5</vt:i4>
      </vt:variant>
      <vt:variant>
        <vt:lpwstr/>
      </vt:variant>
      <vt:variant>
        <vt:lpwstr>_Toc485997137</vt:lpwstr>
      </vt:variant>
      <vt:variant>
        <vt:i4>1179705</vt:i4>
      </vt:variant>
      <vt:variant>
        <vt:i4>62</vt:i4>
      </vt:variant>
      <vt:variant>
        <vt:i4>0</vt:i4>
      </vt:variant>
      <vt:variant>
        <vt:i4>5</vt:i4>
      </vt:variant>
      <vt:variant>
        <vt:lpwstr/>
      </vt:variant>
      <vt:variant>
        <vt:lpwstr>_Toc485997136</vt:lpwstr>
      </vt:variant>
      <vt:variant>
        <vt:i4>1179705</vt:i4>
      </vt:variant>
      <vt:variant>
        <vt:i4>56</vt:i4>
      </vt:variant>
      <vt:variant>
        <vt:i4>0</vt:i4>
      </vt:variant>
      <vt:variant>
        <vt:i4>5</vt:i4>
      </vt:variant>
      <vt:variant>
        <vt:lpwstr/>
      </vt:variant>
      <vt:variant>
        <vt:lpwstr>_Toc485997135</vt:lpwstr>
      </vt:variant>
      <vt:variant>
        <vt:i4>1179705</vt:i4>
      </vt:variant>
      <vt:variant>
        <vt:i4>50</vt:i4>
      </vt:variant>
      <vt:variant>
        <vt:i4>0</vt:i4>
      </vt:variant>
      <vt:variant>
        <vt:i4>5</vt:i4>
      </vt:variant>
      <vt:variant>
        <vt:lpwstr/>
      </vt:variant>
      <vt:variant>
        <vt:lpwstr>_Toc485997134</vt:lpwstr>
      </vt:variant>
      <vt:variant>
        <vt:i4>1179705</vt:i4>
      </vt:variant>
      <vt:variant>
        <vt:i4>44</vt:i4>
      </vt:variant>
      <vt:variant>
        <vt:i4>0</vt:i4>
      </vt:variant>
      <vt:variant>
        <vt:i4>5</vt:i4>
      </vt:variant>
      <vt:variant>
        <vt:lpwstr/>
      </vt:variant>
      <vt:variant>
        <vt:lpwstr>_Toc485997133</vt:lpwstr>
      </vt:variant>
      <vt:variant>
        <vt:i4>1179705</vt:i4>
      </vt:variant>
      <vt:variant>
        <vt:i4>38</vt:i4>
      </vt:variant>
      <vt:variant>
        <vt:i4>0</vt:i4>
      </vt:variant>
      <vt:variant>
        <vt:i4>5</vt:i4>
      </vt:variant>
      <vt:variant>
        <vt:lpwstr/>
      </vt:variant>
      <vt:variant>
        <vt:lpwstr>_Toc485997132</vt:lpwstr>
      </vt:variant>
      <vt:variant>
        <vt:i4>1179705</vt:i4>
      </vt:variant>
      <vt:variant>
        <vt:i4>32</vt:i4>
      </vt:variant>
      <vt:variant>
        <vt:i4>0</vt:i4>
      </vt:variant>
      <vt:variant>
        <vt:i4>5</vt:i4>
      </vt:variant>
      <vt:variant>
        <vt:lpwstr/>
      </vt:variant>
      <vt:variant>
        <vt:lpwstr>_Toc485997131</vt:lpwstr>
      </vt:variant>
      <vt:variant>
        <vt:i4>1179705</vt:i4>
      </vt:variant>
      <vt:variant>
        <vt:i4>26</vt:i4>
      </vt:variant>
      <vt:variant>
        <vt:i4>0</vt:i4>
      </vt:variant>
      <vt:variant>
        <vt:i4>5</vt:i4>
      </vt:variant>
      <vt:variant>
        <vt:lpwstr/>
      </vt:variant>
      <vt:variant>
        <vt:lpwstr>_Toc485997130</vt:lpwstr>
      </vt:variant>
      <vt:variant>
        <vt:i4>1245241</vt:i4>
      </vt:variant>
      <vt:variant>
        <vt:i4>20</vt:i4>
      </vt:variant>
      <vt:variant>
        <vt:i4>0</vt:i4>
      </vt:variant>
      <vt:variant>
        <vt:i4>5</vt:i4>
      </vt:variant>
      <vt:variant>
        <vt:lpwstr/>
      </vt:variant>
      <vt:variant>
        <vt:lpwstr>_Toc485997129</vt:lpwstr>
      </vt:variant>
      <vt:variant>
        <vt:i4>1245241</vt:i4>
      </vt:variant>
      <vt:variant>
        <vt:i4>14</vt:i4>
      </vt:variant>
      <vt:variant>
        <vt:i4>0</vt:i4>
      </vt:variant>
      <vt:variant>
        <vt:i4>5</vt:i4>
      </vt:variant>
      <vt:variant>
        <vt:lpwstr/>
      </vt:variant>
      <vt:variant>
        <vt:lpwstr>_Toc485997128</vt:lpwstr>
      </vt:variant>
      <vt:variant>
        <vt:i4>1245241</vt:i4>
      </vt:variant>
      <vt:variant>
        <vt:i4>8</vt:i4>
      </vt:variant>
      <vt:variant>
        <vt:i4>0</vt:i4>
      </vt:variant>
      <vt:variant>
        <vt:i4>5</vt:i4>
      </vt:variant>
      <vt:variant>
        <vt:lpwstr/>
      </vt:variant>
      <vt:variant>
        <vt:lpwstr>_Toc485997127</vt:lpwstr>
      </vt:variant>
      <vt:variant>
        <vt:i4>1245241</vt:i4>
      </vt:variant>
      <vt:variant>
        <vt:i4>2</vt:i4>
      </vt:variant>
      <vt:variant>
        <vt:i4>0</vt:i4>
      </vt:variant>
      <vt:variant>
        <vt:i4>5</vt:i4>
      </vt:variant>
      <vt:variant>
        <vt:lpwstr/>
      </vt:variant>
      <vt:variant>
        <vt:lpwstr>_Toc485997126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2018-07-11T16:29:00Z</cp:lastPrinted>
  <dcterms:created xsi:type="dcterms:W3CDTF">2018-07-11T16:30:00Z</dcterms:created>
  <dcterms:modified xsi:type="dcterms:W3CDTF">2018-09-10T09:40:00Z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ELDocType">
    <vt:lpwstr>REP.DOT</vt:lpwstr>
  </property>
  <property fmtid="{D5CDD505-2E9C-101B-9397-08002B2CF9AE}" pid="5" name="Created using">
    <vt:lpwstr>LW 6.0.1, Build 20180503</vt:lpwstr>
  </property>
  <property fmtid="{D5CDD505-2E9C-101B-9397-08002B2CF9AE}" pid="6" name="Last edited using">
    <vt:lpwstr>LW 6.0.1, Build 20180503</vt:lpwstr>
  </property>
  <property fmtid="{D5CDD505-2E9C-101B-9397-08002B2CF9AE}" pid="7" name="DocStatus">
    <vt:lpwstr>Green</vt:lpwstr>
  </property>
  <property fmtid="{D5CDD505-2E9C-101B-9397-08002B2CF9AE}" pid="8" name="Level of sensitivity">
    <vt:lpwstr>Standard treatment</vt:lpwstr>
  </property>
</Properties>
</file>