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D53341C-8FA8-4A0F-8D4A-33E3B3BF80D8" style="width:450.35pt;height:420.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Calibri"/>
          <w:noProof/>
        </w:rPr>
      </w:pPr>
      <w:r>
        <w:rPr>
          <w:noProof/>
        </w:rPr>
        <w:t>Демокрацията е една от основните ценности, на които се гради Европейският съюз. За да се гарантира функционирането на представителна демокрация на европейско равнище, в Договорите се определя, че гражданите на Европейския съюз се представляват пряко в Европейския парламент.</w:t>
      </w:r>
    </w:p>
    <w:p>
      <w:pPr>
        <w:rPr>
          <w:rFonts w:eastAsia="Calibri"/>
          <w:noProof/>
        </w:rPr>
      </w:pPr>
      <w:r>
        <w:rPr>
          <w:noProof/>
        </w:rPr>
        <w:t>Политическите партии имат съществена роля в една представителна демокрация, като създават пряка връзка между гражданите и политическата система, повишавайки по този начин легитимността на системата. Съгласно член 10 от Договора за Европейския съюз „политическите партии на европейско равнище допринасят за формирането на европейско политическо съзнание и за изразяването на волята на гражданите на Съюза“. В член 12, параграф 2 от Хартата на основните права на Европейския съюз е изразен същият принцип.</w:t>
      </w:r>
    </w:p>
    <w:p>
      <w:pPr>
        <w:rPr>
          <w:noProof/>
          <w:szCs w:val="24"/>
        </w:rPr>
      </w:pPr>
      <w:r>
        <w:rPr>
          <w:noProof/>
        </w:rPr>
        <w:t>През февруари 2018 г. Комисията представи Препоръка за засилване на европейския характер и ефикасността на провеждането на изборите за Европейски парламент през 2019 г.</w:t>
      </w:r>
      <w:r>
        <w:rPr>
          <w:rStyle w:val="FootnoteReference"/>
          <w:noProof/>
        </w:rPr>
        <w:footnoteReference w:id="2"/>
      </w:r>
      <w:r>
        <w:rPr>
          <w:noProof/>
        </w:rPr>
        <w:t>, отправена към държавите членки и към европейските и националните политически партии. В нея европейските политически партии и националните партии се призовават да повишат прозрачността по отношение на съответната си принадлежност и връзки и да спомогнат за повишаването на осведомеността на гражданите по разискваните въпроси на равнището на Съюза и относно това какви действия възнамеряват да предприемат във връзка с тях през предстоящия законодателен мандат.</w:t>
      </w:r>
    </w:p>
    <w:p>
      <w:pPr>
        <w:rPr>
          <w:rFonts w:eastAsia="Calibri"/>
          <w:noProof/>
        </w:rPr>
      </w:pPr>
      <w:r>
        <w:rPr>
          <w:noProof/>
        </w:rPr>
        <w:t>В ЕС защитата на данните е основно право, като с Общия регламент относно защитата на данните</w:t>
      </w:r>
      <w:r>
        <w:rPr>
          <w:rStyle w:val="FootnoteReference"/>
          <w:noProof/>
        </w:rPr>
        <w:footnoteReference w:id="3"/>
      </w:r>
      <w:r>
        <w:rPr>
          <w:noProof/>
        </w:rPr>
        <w:t xml:space="preserve"> се определят строги правила за защита на това основно право. По-специално личните данни трябва да се обработват законосъобразно и добросъвестно. </w:t>
      </w:r>
    </w:p>
    <w:p>
      <w:pPr>
        <w:rPr>
          <w:rFonts w:eastAsia="Calibri"/>
          <w:noProof/>
        </w:rPr>
      </w:pPr>
      <w:r>
        <w:rPr>
          <w:noProof/>
        </w:rPr>
        <w:t>Онлайн комуникацията има потенциала да направи взаимодействието между политическите дейци и европейските граждани по-тясно и непосредствено. Същевременно тя води до повишен риск от незаконосъобразно обработване на лични данни на гражданите в контекста на избори. Редица неотдавнашни събития показват, че злоупотребите с правилата за защита на данните могат да повлияят на демократичния дебат и свободните избори, включително изборите за Европейски парламент.</w:t>
      </w:r>
    </w:p>
    <w:p>
      <w:pPr>
        <w:rPr>
          <w:noProof/>
          <w:u w:color="000000"/>
          <w:bdr w:val="nil"/>
        </w:rPr>
      </w:pPr>
      <w:r>
        <w:rPr>
          <w:noProof/>
        </w:rPr>
        <w:t>През 2018 г. случаят Facebook/ Cambridge Analytica, свързан с твърдения за незаконосъобразно обработване на лични данни на потребители на Facebook, придобити от дружеството Cambridge Analytica, породи сериозни опасения относно последиците от нарушенията на защитата на данните върху изборните процеси. Във връзка с този конкретен случай се водят разследвания,</w:t>
      </w:r>
      <w:r>
        <w:rPr>
          <w:i/>
          <w:noProof/>
          <w:u w:color="000000"/>
          <w:bdr w:val="nil"/>
        </w:rPr>
        <w:t xml:space="preserve"> </w:t>
      </w:r>
      <w:r>
        <w:rPr>
          <w:noProof/>
        </w:rPr>
        <w:t xml:space="preserve">наред с другото, от Службата на комисаря по информацията на Обединеното кралство, която е надзорният орган по защита на данните, ръководещ европейското разследване в сътрудничество с други европейски надзорни органи по защита на данните. Комисията поддържа тесни връзки с надзорните органи по защита на данните и следи отблизо този процес. Федералната търговска комисия на САЩ също разследва случая. </w:t>
      </w:r>
      <w:r>
        <w:rPr>
          <w:noProof/>
        </w:rPr>
        <w:lastRenderedPageBreak/>
        <w:t xml:space="preserve">В Европейския парламент се проведоха няколко изслушвания по случая и последиците от него за личните данни на физическите лица в Съюза. </w:t>
      </w:r>
    </w:p>
    <w:p>
      <w:pPr>
        <w:rPr>
          <w:noProof/>
          <w:szCs w:val="24"/>
        </w:rPr>
      </w:pPr>
      <w:r>
        <w:rPr>
          <w:noProof/>
        </w:rPr>
        <w:t>Регламент № 1141/2014 на Европейския парламент и на Съвета от 22 октомври 2014 г. относно статута и финансирането на европейските политически партии и на европейските политически фондации</w:t>
      </w:r>
      <w:r>
        <w:rPr>
          <w:rStyle w:val="FootnoteReference"/>
          <w:noProof/>
        </w:rPr>
        <w:footnoteReference w:id="4"/>
      </w:r>
      <w:r>
        <w:rPr>
          <w:noProof/>
        </w:rPr>
        <w:t xml:space="preserve"> беше приет, за да се повишат видимостта, признаването, ефективността, прозрачността и отчетността на европейските политически партии и свързаните с тях политически фондации. В контекста на посочения регламент на европейските политически партии и фондации, които отговарят на определени условия, беше предложена възможността да станат европейски правни субекти, като се регистрират на европейско равнище, получавайки по този начин достъп до европейска финансова подкрепа. Сред условията е те да зачитат, както в програмата си, така и при дейността си, ценностите, на които се основава Съюзът, предвидени в член 2 от Договора за Европейския съюз, а именно да зачитат човешкото достойнство, свободата, демокрацията, равенството, правовата държава и правата на лицата, които принадлежат към малцинства. Беше създаден независим орган за европейските политически партии и фондации (наричан по-нататък „Органът“), натоварен с регистрирането, наблюдението и при необходимост налагането на санкции на европейските политически партии и фондации, включително разглеждането на случаи, при които има твърдения, че тези субекти не спазват посочените основни европейски ценности. </w:t>
      </w:r>
    </w:p>
    <w:p>
      <w:pPr>
        <w:rPr>
          <w:rFonts w:eastAsia="Calibri"/>
          <w:noProof/>
        </w:rPr>
      </w:pPr>
      <w:r>
        <w:rPr>
          <w:noProof/>
        </w:rPr>
        <w:t>Съществуващите правила обаче не позволяват ефективното предотвратяване и санкциониране на злоупотребите с правилата за защита на данните, които могат да повлияят на демократичните дебати и на свободните избори.</w:t>
      </w:r>
    </w:p>
    <w:p>
      <w:pPr>
        <w:pBdr>
          <w:top w:val="nil"/>
          <w:left w:val="nil"/>
          <w:bottom w:val="nil"/>
          <w:right w:val="nil"/>
          <w:between w:val="nil"/>
          <w:bar w:val="nil"/>
        </w:pBdr>
        <w:spacing w:before="0" w:after="240"/>
        <w:rPr>
          <w:noProof/>
        </w:rPr>
      </w:pPr>
      <w:r>
        <w:rPr>
          <w:noProof/>
        </w:rPr>
        <w:t xml:space="preserve">За да се гарантира, че изборите за Европейски парламент се провеждат съгласно надеждни демократични правила и при пълно зачитане на европейските ценности на демокрацията, правовата държава и зачитането на основните права, Комисията предлага Регламент № 1141/2014 да бъде изменен целесъобразно. Целта е да се даде възможност да се налагат санкции на европейските политически партии или фондации, които използват нарушения на правилата за защита на данните, за да оказват умишлено влияние или за да правят умишлени опити да повлияят на резултатите от изборите за Европейски парламент. </w:t>
      </w:r>
    </w:p>
    <w:p>
      <w:pPr>
        <w:pBdr>
          <w:top w:val="nil"/>
          <w:left w:val="nil"/>
          <w:bottom w:val="nil"/>
          <w:right w:val="nil"/>
          <w:between w:val="nil"/>
          <w:bar w:val="nil"/>
        </w:pBdr>
        <w:spacing w:before="0" w:after="240"/>
        <w:rPr>
          <w:noProof/>
          <w:szCs w:val="24"/>
        </w:rPr>
      </w:pPr>
      <w:r>
        <w:rPr>
          <w:noProof/>
        </w:rPr>
        <w:t>Предложението ще позволи също така на Органа да работи безпрепятствено и ефективно,като му се осигурят необходимите служители, а на неговия директор се предоставят функциите на орган по назначаването. Това следва да позволи на Органа да изпълнява пълноценно и независимо своите задачи, включително новите задачи, предвидени в настоящото предложение. Успоредно с това, за да отговори на призивите на Органа за увеличаване на броя на неговите служители и с оглед на ключовата му роля в периода непосредствено преди изборите за Европейски парламент, Комисията има готовност незабавно да предостави поисканите от Органа допълнителни 6 служители чрез командироване, което ще приключи след влизането в сила на договореностите с постоянен характер за служителите.</w:t>
      </w:r>
    </w:p>
    <w:p>
      <w:pPr>
        <w:rPr>
          <w:rFonts w:eastAsia="Calibri"/>
          <w:noProof/>
        </w:rPr>
      </w:pPr>
      <w:r>
        <w:rPr>
          <w:noProof/>
        </w:rPr>
        <w:t>Процедурата за изборите за Европейски парламент във всяка държава членка е уредена от нейните национални разпоредби. Политическите партии са от ключово значение за представителната демокрация, тъй като създават пряка връзка между гражданите и политическата система. Националните и регионалните политически партии предлагат кандидати и организират предизборни кампании. Националните органи отговарят за наблюдението на изборите на национално равнище. Европейските политически партии организират допълнителни кампании на европейско равнище, включително тези за водещите кандидати за длъжността на председател на Европейската комисия.</w:t>
      </w:r>
    </w:p>
    <w:p>
      <w:pPr>
        <w:rPr>
          <w:rFonts w:eastAsia="Calibri"/>
          <w:noProof/>
        </w:rPr>
      </w:pPr>
      <w:r>
        <w:rPr>
          <w:noProof/>
        </w:rPr>
        <w:lastRenderedPageBreak/>
        <w:t>Регламентът за изменение, заедно с Насоките на Комисията за прилагането на правото на Съюза в областта на защитата на данните в контекста на избори</w:t>
      </w:r>
      <w:r>
        <w:rPr>
          <w:rStyle w:val="FootnoteReference"/>
          <w:noProof/>
        </w:rPr>
        <w:footnoteReference w:id="5"/>
      </w:r>
      <w:r>
        <w:rPr>
          <w:noProof/>
        </w:rPr>
        <w:t>, Препоръката на Комисията относно мрежите за изборно сътрудничество, прозрачността онлайн, защитата от инциденти в сферата на киберсигурността и борбата с кампаниите за дезинформация в контекста на изборите за Европейски парламент</w:t>
      </w:r>
      <w:r>
        <w:rPr>
          <w:rStyle w:val="FootnoteReference"/>
          <w:noProof/>
        </w:rPr>
        <w:footnoteReference w:id="6"/>
      </w:r>
      <w:r>
        <w:rPr>
          <w:noProof/>
        </w:rPr>
        <w:t xml:space="preserve"> и Съобщението на Комисията за гарантиране на свободни и честни европейски избори</w:t>
      </w:r>
      <w:r>
        <w:rPr>
          <w:rStyle w:val="FootnoteReference"/>
          <w:noProof/>
        </w:rPr>
        <w:footnoteReference w:id="7"/>
      </w:r>
      <w:r>
        <w:rPr>
          <w:noProof/>
        </w:rPr>
        <w:t>, приети в същия ден, е част от пакет от мерки за сигурност. С него Европейската комисия ще допринесе за срещата на лидерите на ЕС в Залцбург на 19—20 септември 2018 г.</w:t>
      </w:r>
    </w:p>
    <w:p>
      <w:pPr>
        <w:rPr>
          <w:rFonts w:eastAsia="Calibri"/>
          <w:noProof/>
        </w:rPr>
      </w:pPr>
      <w:r>
        <w:rPr>
          <w:noProof/>
        </w:rPr>
        <w:t xml:space="preserve">С Препоръката се насърчават надзорните органи по защита на данните в съответствие с приложимото право на Съюза и националното право да информират незабавно и по собствена инициатива Органа за европейските политически партии и европейските политически фондации за своите решения, в които посочват, че дадена европейска политическа партия, европейска политическа фондация или друго физическо или юридическо лице е нарушило приложимите правила за защита на личните данни. Тази информация следва да бъде предоставена, когато от това решение произтича, че нарушението е свързано с политически дейности на европейска политическа партия или европейска политическа фондация в контекста на изборите за Европейски парламент, или когато са налице други разумни основания да се смята, че това е така. С Препоръката също така държавите членки се насърчават да налагат целесъобразни санкции на политическите партии и фондациите на национално и регионално равнище в случаи на нарушения на правилата за защита на личните данни, които се използват с цел оказване на влияние или опити за оказване на влияние върху изборите за Европейски парламент.  </w:t>
      </w:r>
    </w:p>
    <w:p>
      <w:pPr>
        <w:rPr>
          <w:noProof/>
          <w:u w:color="000000"/>
          <w:bdr w:val="nil"/>
        </w:rPr>
      </w:pPr>
      <w:r>
        <w:rPr>
          <w:noProof/>
        </w:rPr>
        <w:t xml:space="preserve">Целенасочените промени в Регламент № 1141/2014 следва да бъдат въведени преди изборите за Европейски парламент през 2019 г. </w:t>
      </w:r>
    </w:p>
    <w:p>
      <w:pPr>
        <w:pStyle w:val="ManualHeading2"/>
        <w:rPr>
          <w:rFonts w:eastAsia="Arial Unicode MS"/>
          <w:noProof/>
          <w:color w:val="000000"/>
          <w:u w:color="000000"/>
          <w:bdr w:val="nil"/>
        </w:rPr>
      </w:pPr>
      <w:r>
        <w:rPr>
          <w:noProof/>
          <w:color w:val="000000"/>
          <w:u w:color="000000"/>
          <w:bdr w:val="nil"/>
        </w:rPr>
        <w:t>•</w:t>
      </w:r>
      <w:r>
        <w:rPr>
          <w:noProof/>
        </w:rPr>
        <w:tab/>
        <w:t xml:space="preserve">Съгласуваност с други политики на Съюза </w:t>
      </w:r>
    </w:p>
    <w:p>
      <w:pPr>
        <w:rPr>
          <w:noProof/>
        </w:rPr>
      </w:pPr>
      <w:r>
        <w:rPr>
          <w:noProof/>
        </w:rPr>
        <w:t>Общият регламент относно защитата на данните</w:t>
      </w:r>
      <w:r>
        <w:rPr>
          <w:rStyle w:val="FootnoteReference"/>
          <w:noProof/>
        </w:rPr>
        <w:footnoteReference w:id="8"/>
      </w:r>
      <w:r>
        <w:rPr>
          <w:noProof/>
        </w:rPr>
        <w:t xml:space="preserve"> се прилага във всички държави — членки на ЕС от 25 май 2018 г. В него са определени високи стандарти за защита на данните, които са съобразени с условията на цифровата икономика, като организациите, обработващи данни, включително европейските политически партии и европейските политически фондации, се задължават да третират личните данни с по-голяма отчетност и по-отговорно. </w:t>
      </w:r>
    </w:p>
    <w:p>
      <w:pPr>
        <w:rPr>
          <w:noProof/>
        </w:rPr>
      </w:pPr>
      <w:r>
        <w:rPr>
          <w:noProof/>
        </w:rPr>
        <w:t>В Препоръката от 14 февруари 2018 г. за засилване на европейския характер и ефикасността на провеждането на изборите за Европейски парламент през 2019 г.</w:t>
      </w:r>
      <w:r>
        <w:rPr>
          <w:rStyle w:val="FootnoteReference"/>
          <w:noProof/>
        </w:rPr>
        <w:footnoteReference w:id="9"/>
      </w:r>
      <w:r>
        <w:rPr>
          <w:noProof/>
        </w:rPr>
        <w:t xml:space="preserve"> Комисията призова компетентните национални органи да установят най-добрите практики за идентифицирането, ограничаването и управлението на рисковете за изборния процес, произтичащи от кибератаки и дезинформация. През април 2018 г. Комисията организира среща с избирателните комисии на държавите членки с цел обсъждане, обмен на най-добри практики и повишаване на осведомеността сред националните органи по въпросите на сигурността, кампаниите за дезинформация и прилагането на правилата за провеждане на избори онлайн.</w:t>
      </w:r>
    </w:p>
    <w:p>
      <w:pPr>
        <w:pBdr>
          <w:top w:val="nil"/>
          <w:left w:val="nil"/>
          <w:bottom w:val="nil"/>
          <w:right w:val="nil"/>
          <w:between w:val="nil"/>
          <w:bar w:val="nil"/>
        </w:pBdr>
        <w:spacing w:before="0" w:after="240"/>
        <w:rPr>
          <w:noProof/>
          <w:highlight w:val="green"/>
        </w:rPr>
      </w:pPr>
      <w:r>
        <w:rPr>
          <w:noProof/>
        </w:rPr>
        <w:lastRenderedPageBreak/>
        <w:t>През април 2018 г. Комисията публикува съобщение, озаглавено „Европейски подход за борба с дезинформацията, разпространявана онлайн“</w:t>
      </w:r>
      <w:r>
        <w:rPr>
          <w:rStyle w:val="FootnoteReference"/>
          <w:noProof/>
        </w:rPr>
        <w:footnoteReference w:id="10"/>
      </w:r>
      <w:r>
        <w:rPr>
          <w:noProof/>
        </w:rPr>
        <w:t xml:space="preserve">, в което се определят ролите и отговорностите на съответните заинтересовани страни и се установява набор от действия, включително за засилване на стратегическите ответни комуникационни мерки спрямо дезинформацията. </w:t>
      </w:r>
    </w:p>
    <w:p>
      <w:pPr>
        <w:rPr>
          <w:noProof/>
          <w:szCs w:val="24"/>
        </w:rPr>
      </w:pPr>
      <w:r>
        <w:rPr>
          <w:noProof/>
        </w:rPr>
        <w:t>Настоящото предложение е в съответствие с предложението на Комисията за Регламент относно зачитането на личния живот и защитата на личните данни в електронните съобщения (Регламент за неприкосновеността на личния живот и електронните съобщения)</w:t>
      </w:r>
      <w:r>
        <w:rPr>
          <w:rStyle w:val="FootnoteReference"/>
          <w:noProof/>
        </w:rPr>
        <w:footnoteReference w:id="11"/>
      </w:r>
      <w:r>
        <w:rPr>
          <w:noProof/>
        </w:rPr>
        <w:t>, с което се прави преглед на действащата Директива за правото на неприкосновеност на личния живот и електронни комуникации</w:t>
      </w:r>
      <w:r>
        <w:rPr>
          <w:rStyle w:val="FootnoteReference"/>
          <w:noProof/>
        </w:rPr>
        <w:footnoteReference w:id="12"/>
      </w:r>
      <w:r>
        <w:rPr>
          <w:noProof/>
        </w:rPr>
        <w:t xml:space="preserve"> и с което ще се повиши прозрачността и ще се разшири обхватът на защитата отвъд традиционните далекосъобщителни оператори, за да бъдат включени електронните съобщителни услуги чрез интернет, и което следва да бъде своевременно прието от съзаконодателите. </w:t>
      </w:r>
    </w:p>
    <w:p>
      <w:pPr>
        <w:pBdr>
          <w:top w:val="nil"/>
          <w:left w:val="nil"/>
          <w:bottom w:val="nil"/>
          <w:right w:val="nil"/>
          <w:between w:val="nil"/>
          <w:bar w:val="nil"/>
        </w:pBdr>
        <w:spacing w:before="0" w:after="240"/>
        <w:rPr>
          <w:noProof/>
        </w:rPr>
      </w:pP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autoSpaceDE w:val="0"/>
        <w:autoSpaceDN w:val="0"/>
        <w:adjustRightInd w:val="0"/>
        <w:spacing w:after="0"/>
        <w:rPr>
          <w:bCs/>
          <w:noProof/>
          <w:szCs w:val="24"/>
        </w:rPr>
      </w:pPr>
      <w:r>
        <w:rPr>
          <w:noProof/>
        </w:rPr>
        <w:t>Предложението се основава на член 224 от Договора за функционирането на Европейския съюз, в който се посочва, че „</w:t>
      </w:r>
      <w:r>
        <w:rPr>
          <w:i/>
          <w:noProof/>
        </w:rPr>
        <w:t>Европейският парламент и Съветът, като действат в съответствие с обикновената законодателна процедура, определят чрез регламенти правилата за политическите партии на европейско равнище, посочени в член 10, параграф 4 от Договора за Европейския съюз и в частност правилата за тяхното финансиране</w:t>
      </w:r>
      <w:r>
        <w:rPr>
          <w:noProof/>
        </w:rPr>
        <w:t>“, както и член 106а от Договора за създаване на Европейската общност за атомна енергия</w:t>
      </w:r>
      <w:r>
        <w:rPr>
          <w:rStyle w:val="FootnoteReference"/>
          <w:noProof/>
        </w:rPr>
        <w:footnoteReference w:id="13"/>
      </w:r>
      <w:r>
        <w:rPr>
          <w:noProof/>
        </w:rPr>
        <w:t>.</w:t>
      </w:r>
    </w:p>
    <w:p>
      <w:pPr>
        <w:pStyle w:val="ManualHeading2"/>
        <w:rPr>
          <w:rFonts w:eastAsia="Arial Unicode MS"/>
          <w:noProof/>
          <w:u w:color="000000"/>
          <w:bdr w:val="nil"/>
        </w:rPr>
      </w:pPr>
      <w:r>
        <w:rPr>
          <w:noProof/>
        </w:rPr>
        <w:t>•</w:t>
      </w:r>
      <w:r>
        <w:rPr>
          <w:noProof/>
        </w:rPr>
        <w:tab/>
        <w:t>Субсидиарност</w:t>
      </w:r>
    </w:p>
    <w:p>
      <w:pPr>
        <w:autoSpaceDE w:val="0"/>
        <w:autoSpaceDN w:val="0"/>
        <w:adjustRightInd w:val="0"/>
        <w:spacing w:after="0"/>
        <w:rPr>
          <w:bCs/>
          <w:noProof/>
          <w:szCs w:val="24"/>
        </w:rPr>
      </w:pPr>
      <w:r>
        <w:rPr>
          <w:noProof/>
        </w:rPr>
        <w:t>Тъй като действащият регламент предвижда система на равнище ЕС, включваща специална европейска правосубектност за партиите и фондациите и финансиране от бюджета на ЕС, недостатъците в тази система могат да бъдат отстранени само чрез законодателен акт на ЕС. Следователно предприемането на самостоятелни действия от страна на държавите членки не е подходящ вариант.</w:t>
      </w:r>
    </w:p>
    <w:p>
      <w:pPr>
        <w:autoSpaceDE w:val="0"/>
        <w:autoSpaceDN w:val="0"/>
        <w:adjustRightInd w:val="0"/>
        <w:spacing w:after="0"/>
        <w:rPr>
          <w:bCs/>
          <w:noProof/>
          <w:szCs w:val="24"/>
        </w:rPr>
      </w:pPr>
      <w:r>
        <w:rPr>
          <w:noProof/>
        </w:rPr>
        <w:t>Ето защо предложените целеви промени са изцяло съобразени с принципа на субсидиарност. Единствено на равнище ЕС могат да бъдат установени правила, които уреждат статута и финансирането на европейските политически партии и европейските политически фондации. При определянето на възможните мерки за реформа Комисията предприе нужните стъпки, за да отрази принципите, залегнали в Протокол № 2 към Договорите.</w:t>
      </w:r>
    </w:p>
    <w:p>
      <w:pPr>
        <w:pStyle w:val="ManualHeading2"/>
        <w:rPr>
          <w:rFonts w:eastAsia="Arial Unicode MS"/>
          <w:noProof/>
          <w:u w:color="000000"/>
          <w:bdr w:val="nil"/>
        </w:rPr>
      </w:pPr>
      <w:r>
        <w:rPr>
          <w:noProof/>
        </w:rPr>
        <w:t>•</w:t>
      </w:r>
      <w:r>
        <w:rPr>
          <w:noProof/>
        </w:rPr>
        <w:tab/>
        <w:t>Пропорционалност</w:t>
      </w:r>
    </w:p>
    <w:p>
      <w:pPr>
        <w:autoSpaceDE w:val="0"/>
        <w:autoSpaceDN w:val="0"/>
        <w:adjustRightInd w:val="0"/>
        <w:spacing w:after="0"/>
        <w:rPr>
          <w:bCs/>
          <w:noProof/>
          <w:szCs w:val="24"/>
        </w:rPr>
      </w:pPr>
      <w:r>
        <w:rPr>
          <w:noProof/>
        </w:rPr>
        <w:t xml:space="preserve">Както е разяснено в раздел 5, предложените целенасочени мерки не надхвърлят необходимото за постигане на дългосрочната цел да се развият и укрепят европейската демокрация и легитимността на институциите на ЕС. </w:t>
      </w:r>
    </w:p>
    <w:p>
      <w:pPr>
        <w:autoSpaceDE w:val="0"/>
        <w:autoSpaceDN w:val="0"/>
        <w:adjustRightInd w:val="0"/>
        <w:spacing w:after="0"/>
        <w:rPr>
          <w:bCs/>
          <w:noProof/>
          <w:szCs w:val="24"/>
        </w:rPr>
      </w:pPr>
      <w:r>
        <w:rPr>
          <w:noProof/>
        </w:rPr>
        <w:lastRenderedPageBreak/>
        <w:t xml:space="preserve">Предложението е съобразено с принципа на пропорционалност. Предложените санкции се основават на режима, установен с Регламент № 1141/2014, с който се налагат пропорционални санкции. Предложените мерки гарантират, че едно и също поведение не се наказва двукратно: нарушенията на правилата за защита на данните ще бъдат наказвани от компетентните надзорни органи по защита на данните, създадени с Общия регламент относно защитата на данните. Поведението, санкционирано с настоящото предложение, е възползването от нарушения на правилата за защита на данните с цел умишлено оказване на влияние или умишлени опити за оказване на влияние върху изборите за Европейски парламент. Органът няма да налага санкции за нарушения на правилата за защита на данните като такива.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Съществуващ регламент може да бъде изменен само с регламент.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u w:color="000000"/>
          <w:bdr w:val="nil"/>
        </w:rPr>
      </w:pPr>
      <w:r>
        <w:rPr>
          <w:noProof/>
        </w:rPr>
        <w:t xml:space="preserve">При изготвянето на настоящото предложение Комисията взе предвид призивите, изразени по време на дебатите и изслушванията в Европейския парламент във връзка със случая Facebook/Cambridge Analytica, </w:t>
      </w:r>
      <w:r>
        <w:rPr>
          <w:noProof/>
          <w:color w:val="000000"/>
          <w:u w:color="000000"/>
          <w:bdr w:val="nil"/>
        </w:rPr>
        <w:t xml:space="preserve">свързан с твърдения за използване на данни на потребители на Facebook от Cambridge Analytica и последиците от това за защитата на личните данни на физическите лица в Съюза (изслушвания от 4 юни 2018 г., 25 юни 2018 г. и 2 юли 2018 г.). </w:t>
      </w:r>
    </w:p>
    <w:p>
      <w:pPr>
        <w:pBdr>
          <w:top w:val="nil"/>
          <w:left w:val="nil"/>
          <w:bottom w:val="nil"/>
          <w:right w:val="nil"/>
          <w:between w:val="nil"/>
          <w:bar w:val="nil"/>
        </w:pBdr>
        <w:spacing w:before="0" w:after="240"/>
        <w:rPr>
          <w:noProof/>
        </w:rPr>
      </w:pPr>
      <w:r>
        <w:rPr>
          <w:noProof/>
        </w:rPr>
        <w:t xml:space="preserve">Тези дебати и изслушвания показаха, че използването на подвеждащи и манипулативни техники за микротаргетиране, упражнявани върху конкретни индивиди с цел оказване на нечестно влияние върху резултатите от изборите, е тясно свързано с въпроса за незаконното предаване и обработване на лични данни. Правилата на ЕС вече осигуряват ефективна защита на личните данни. </w:t>
      </w:r>
    </w:p>
    <w:p>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предложение не е придружено от специална оценка на въздействието. Не се очаква предложението да има значително икономическо и социално въздействие или да се отрази съществено върху околната среда. Предложените промени се основават на съществуващите режими за проверка и санкции, установени с Регламент № 1141/2014.</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bCs/>
          <w:noProof/>
          <w:szCs w:val="24"/>
        </w:rPr>
      </w:pPr>
      <w:r>
        <w:rPr>
          <w:noProof/>
        </w:rPr>
        <w:t>Член 2 от Договора за Европейския съюз (ДЕС) предвижда, че „</w:t>
      </w:r>
      <w:r>
        <w:rPr>
          <w:i/>
          <w:noProof/>
        </w:rPr>
        <w:t>Съюзът се основава на ценностите на зачитане на човешкото достойнство, на свободата, демокрацията, равенството, правовата държава, както и на зачитането на правата на човека, включително правата на лицата, които принадлежат към малцинства</w:t>
      </w:r>
      <w:r>
        <w:rPr>
          <w:noProof/>
        </w:rPr>
        <w:t>.</w:t>
      </w:r>
      <w:r>
        <w:rPr>
          <w:i/>
          <w:noProof/>
        </w:rPr>
        <w:t xml:space="preserve"> Тези ценности са общи за държавите членки в общество, чиито характеристики са плурализмът, недискриминацията, толерантността, справедливостта, солидарността и равенството между жените и мъжете.</w:t>
      </w:r>
      <w:r>
        <w:rPr>
          <w:noProof/>
        </w:rPr>
        <w:t>“</w:t>
      </w:r>
    </w:p>
    <w:p>
      <w:pPr>
        <w:pBdr>
          <w:top w:val="nil"/>
          <w:left w:val="nil"/>
          <w:bottom w:val="nil"/>
          <w:right w:val="nil"/>
          <w:between w:val="nil"/>
          <w:bar w:val="nil"/>
        </w:pBdr>
        <w:spacing w:before="0" w:after="240"/>
        <w:rPr>
          <w:bCs/>
          <w:i/>
          <w:noProof/>
          <w:szCs w:val="24"/>
        </w:rPr>
      </w:pPr>
      <w:r>
        <w:rPr>
          <w:noProof/>
        </w:rPr>
        <w:t>В член 10, параграфи 1 и 2 от ДЕС се предвижда, че „</w:t>
      </w:r>
      <w:r>
        <w:rPr>
          <w:i/>
          <w:noProof/>
        </w:rPr>
        <w:t>[ф]ункционирането на Съюза се основава на представителната демокрация</w:t>
      </w:r>
      <w:r>
        <w:rPr>
          <w:noProof/>
        </w:rPr>
        <w:t>“ и че „</w:t>
      </w:r>
      <w:r>
        <w:rPr>
          <w:i/>
          <w:noProof/>
        </w:rPr>
        <w:t>[в] рамките на Съюза гражданите се представляват пряко в Европейския парламент</w:t>
      </w:r>
      <w:r>
        <w:rPr>
          <w:noProof/>
        </w:rPr>
        <w:t>“. В параграф 4 от същата разпоредба е посочено, че „</w:t>
      </w:r>
      <w:r>
        <w:rPr>
          <w:i/>
          <w:noProof/>
        </w:rPr>
        <w:t>политическите партии на европейско равнище допринасят за формирането на европейско политическо съзнание и за изразяването на волята на гражданите на Съюза</w:t>
      </w:r>
      <w:r>
        <w:rPr>
          <w:noProof/>
        </w:rPr>
        <w:t xml:space="preserve">“. В членове 11 и12 от Хартата на основните права на ЕС се утвърждава правото на </w:t>
      </w:r>
      <w:r>
        <w:rPr>
          <w:noProof/>
        </w:rPr>
        <w:lastRenderedPageBreak/>
        <w:t>свобода на изразяване и на сдружаване. Член 7 от Хартата на основните права на Европейския съюз гласи, че „</w:t>
      </w:r>
      <w:r>
        <w:rPr>
          <w:i/>
          <w:noProof/>
        </w:rPr>
        <w:t>[в]секи има право на зачитане на неговия личен и семеен живот, на неговото жилище и тайната на неговите съобщения.</w:t>
      </w:r>
      <w:r>
        <w:rPr>
          <w:noProof/>
        </w:rPr>
        <w:t>“. Съгласно член 8 от Хартата на основните права на Европейския съюз „</w:t>
      </w:r>
      <w:r>
        <w:rPr>
          <w:i/>
          <w:noProof/>
        </w:rPr>
        <w:t>1. [в]секи има право на защита на неговите лични данни</w:t>
      </w:r>
      <w:r>
        <w:rPr>
          <w:noProof/>
        </w:rPr>
        <w:t>.</w:t>
      </w:r>
      <w:r>
        <w:rPr>
          <w:i/>
          <w:noProof/>
        </w:rPr>
        <w:t xml:space="preserve"> 2. Тези данни трябва да бъдат обработвани добросъвестно, за точно определени цели и въз основа на съгласието на заинтересованото лице или по силата на друго предвидено от закона легитимно основание. Всеки има право на достъп до събраните данни, отнасящи се до него, както и правото да изиска поправянето им. 3. Спазването на тези правила подлежи на контрол от независим орган.“</w:t>
      </w:r>
    </w:p>
    <w:p>
      <w:pPr>
        <w:pBdr>
          <w:top w:val="nil"/>
          <w:left w:val="nil"/>
          <w:bottom w:val="nil"/>
          <w:right w:val="nil"/>
          <w:between w:val="nil"/>
          <w:bar w:val="nil"/>
        </w:pBdr>
        <w:spacing w:before="0" w:after="240"/>
        <w:rPr>
          <w:rFonts w:eastAsia="Arial Unicode MS"/>
          <w:noProof/>
        </w:rPr>
      </w:pPr>
      <w:r>
        <w:rPr>
          <w:noProof/>
        </w:rPr>
        <w:t>Измененията, въвеждани с настоящото предложение, се стремят да постигнат целите на тези разпоредби и следователно са съвместими с основните права, гарантирани от членове 7, 8 и 12 от Хартата, и ги привеждат в действие.</w:t>
      </w:r>
    </w:p>
    <w:p>
      <w:pPr>
        <w:pStyle w:val="ManualHeading1"/>
        <w:rPr>
          <w:noProof/>
        </w:rPr>
      </w:pPr>
      <w:r>
        <w:rPr>
          <w:noProof/>
        </w:rPr>
        <w:t>4.</w:t>
      </w:r>
      <w:r>
        <w:rPr>
          <w:noProof/>
        </w:rPr>
        <w:tab/>
        <w:t>ОТРАЖЕНИЕ ВЪРХУ БЮДЖЕТА</w:t>
      </w:r>
    </w:p>
    <w:p>
      <w:pPr>
        <w:spacing w:before="0" w:after="0"/>
        <w:rPr>
          <w:noProof/>
        </w:rPr>
      </w:pPr>
      <w:r>
        <w:rPr>
          <w:noProof/>
        </w:rPr>
        <w:t>С оглед на ефективността на настоящото предложение и тъй като с него се добавят задачи за Органа, е необходимо да има договорености с по-постоянен характер за служителите на Органа. Бюджетното отражение е описано подробно в законодателната финансова обосновка, приложена към настоящото предложение. Договореностите с по-постоянен характер за служителите следва да бъдат постигнати чрез преразпределение на съществуващите ресурси и ще изискват промяна в щатните планове на допринасящите институции. Ето защо тези елементи следва да бъдат включени в предстоящото писмо за внасяне на корекции в проектобюджета за 2019 г. Като се има предвид числеността на Органа, не е необходим отделен щатен план, но е необходимо да се добави бележка под линия в раздел I — Европейски парламент, поясняваща числеността и естеството на персонала.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spacing w:before="0" w:after="0"/>
        <w:rPr>
          <w:bCs/>
          <w:noProof/>
          <w:szCs w:val="24"/>
        </w:rPr>
      </w:pPr>
      <w:r>
        <w:rPr>
          <w:noProof/>
        </w:rPr>
        <w:t>За да се санкционират финансово европейските политически партии или фондации, които използват нарушения на правилата за защита на данните, за да оказват умишлено влияние или за да правят умишлени опити да повлияят на резултатите от изборите за Европейски парламент, Комисията предлага следните целенасочени промени в регламента:</w:t>
      </w:r>
    </w:p>
    <w:p>
      <w:pPr>
        <w:spacing w:before="0" w:after="0"/>
        <w:rPr>
          <w:bCs/>
          <w:noProof/>
          <w:szCs w:val="24"/>
        </w:rPr>
      </w:pPr>
    </w:p>
    <w:p>
      <w:pPr>
        <w:pBdr>
          <w:top w:val="nil"/>
          <w:left w:val="nil"/>
          <w:bottom w:val="nil"/>
          <w:right w:val="nil"/>
          <w:between w:val="nil"/>
          <w:bar w:val="nil"/>
        </w:pBdr>
        <w:spacing w:before="0" w:after="240"/>
        <w:rPr>
          <w:bCs/>
          <w:noProof/>
          <w:szCs w:val="24"/>
        </w:rPr>
      </w:pPr>
      <w:r>
        <w:rPr>
          <w:noProof/>
        </w:rPr>
        <w:t xml:space="preserve">Предлага се създаването на процедура за проверка, свързана с нарушения на правилата за защита на личните данни, която ще задължи Органът да поиска становище от комитета, съставен от независими изтъкнати личности, малко след като даден компетентен надзорен орган по защита на данните издаде решение. Становището на комитета, което трябва да се представи в кратък срок, определен от Органа, ще съдържа оценка на това дали такова нарушение е било използвано, за да се окаже умишлено влияние или за да се направи умишлен опит да се повлияе на резултатите от изборите за Европейски парламент. Задействането на тази нова процедура не възпрепятства задействането на процедурата за проверка на спазването на условията и изискванията за регистрация, определена в член 10 от Регламента, която се прилага в случаи на явни и сериозни нарушения на ценностите, на които се основава Съюзът, от страна на европейски политически партии или фондации. Новата процедура ще бъде въведена с вмъкването на нов член 10а.   </w:t>
      </w:r>
    </w:p>
    <w:p>
      <w:pPr>
        <w:rPr>
          <w:noProof/>
        </w:rPr>
      </w:pPr>
      <w:r>
        <w:rPr>
          <w:noProof/>
        </w:rPr>
        <w:t xml:space="preserve">За да се гарантира, че тази процедура може да бъде задействана във всеки момент, включително непосредствено преди датата на изборите за Европейски парламент, се предлага да се поясни — чрез изменение на член 10, параграф 3, трета алинея — че </w:t>
      </w:r>
      <w:r>
        <w:rPr>
          <w:noProof/>
        </w:rPr>
        <w:lastRenderedPageBreak/>
        <w:t>сроковете на процедурата за проверка на спазването на условията и изискванията за регистрация, определени в член 10, не се прилагат за новата процедура.</w:t>
      </w:r>
    </w:p>
    <w:p>
      <w:pPr>
        <w:pBdr>
          <w:top w:val="nil"/>
          <w:left w:val="nil"/>
          <w:bottom w:val="nil"/>
          <w:right w:val="nil"/>
          <w:between w:val="nil"/>
          <w:bar w:val="nil"/>
        </w:pBdr>
        <w:spacing w:before="0" w:after="240"/>
        <w:rPr>
          <w:b/>
          <w:bCs/>
          <w:noProof/>
          <w:szCs w:val="24"/>
        </w:rPr>
      </w:pPr>
      <w:r>
        <w:rPr>
          <w:noProof/>
        </w:rPr>
        <w:t xml:space="preserve">Член 11 относно комитета, съставен от независими изтъкнати личности, ще бъде изменен, за да се посочи изрично становището относно оказването на влияние върху резултатите от изборите за Европейски парламент. </w:t>
      </w:r>
    </w:p>
    <w:p>
      <w:pPr>
        <w:pBdr>
          <w:top w:val="nil"/>
          <w:left w:val="nil"/>
          <w:bottom w:val="nil"/>
          <w:right w:val="nil"/>
          <w:between w:val="nil"/>
          <w:bar w:val="nil"/>
        </w:pBdr>
        <w:spacing w:before="0" w:after="240"/>
        <w:rPr>
          <w:bCs/>
          <w:noProof/>
          <w:szCs w:val="24"/>
        </w:rPr>
      </w:pPr>
      <w:r>
        <w:rPr>
          <w:noProof/>
        </w:rPr>
        <w:t xml:space="preserve">В член 27 ще бъде добавено ново основание за налагането на финансови санкции, когато със становището на комитета, съставен от независими изтъкнати личности, се установи, че дадена европейска политическа партия или европейска политическа фондация е оказала умишлено влияние или е направила умишлен опит да повлияе на резултатите от изборите за Европейски парламент, възползвайки се от нарушение на приложимите правила за защита на личните данни. </w:t>
      </w:r>
    </w:p>
    <w:p>
      <w:pPr>
        <w:pBdr>
          <w:top w:val="nil"/>
          <w:left w:val="nil"/>
          <w:bottom w:val="nil"/>
          <w:right w:val="nil"/>
          <w:between w:val="nil"/>
          <w:bar w:val="nil"/>
        </w:pBdr>
        <w:spacing w:before="0" w:after="240"/>
        <w:rPr>
          <w:bCs/>
          <w:noProof/>
          <w:szCs w:val="24"/>
        </w:rPr>
      </w:pPr>
      <w:r>
        <w:rPr>
          <w:noProof/>
        </w:rPr>
        <w:t xml:space="preserve">Това ново основание ще бъде добавено към списъка с нарушенията, които лишават дадена европейска политическа партия или фондация от възможността да кандидатства за финансиране от общия бюджет на Европейския съюз през годината, в която е била наложена санкцията. Това ще бъде направено чрез изменение на член 18. </w:t>
      </w:r>
    </w:p>
    <w:p>
      <w:pPr>
        <w:pBdr>
          <w:top w:val="nil"/>
          <w:left w:val="nil"/>
          <w:bottom w:val="nil"/>
          <w:right w:val="nil"/>
          <w:between w:val="nil"/>
          <w:bar w:val="nil"/>
        </w:pBdr>
        <w:spacing w:before="0" w:after="240"/>
        <w:rPr>
          <w:bCs/>
          <w:noProof/>
          <w:szCs w:val="24"/>
        </w:rPr>
      </w:pPr>
      <w:r>
        <w:rPr>
          <w:noProof/>
        </w:rPr>
        <w:t xml:space="preserve">Тъй като новата процедура за проверка се задейства с решение на компетентен надзорен орган по защита на данните, се предлага да се предвиди възможност за преразглеждане на санкцията, ако решението на компетентния орган по защита на данните бъде отменено или когато успешно е упражнено право на защита срещу това решение, като се добави нов параграф в член 27. </w:t>
      </w:r>
    </w:p>
    <w:p>
      <w:pPr>
        <w:pBdr>
          <w:top w:val="nil"/>
          <w:left w:val="nil"/>
          <w:bottom w:val="nil"/>
          <w:right w:val="nil"/>
          <w:between w:val="nil"/>
          <w:bar w:val="nil"/>
        </w:pBdr>
        <w:spacing w:before="0" w:after="240"/>
        <w:rPr>
          <w:bCs/>
          <w:noProof/>
          <w:szCs w:val="24"/>
        </w:rPr>
      </w:pPr>
      <w:r>
        <w:rPr>
          <w:noProof/>
        </w:rPr>
        <w:t>И накрая, за да може Органът да работи независимо и ефективно, Комисията предлага той да разполага с постоянен персонал, както и на неговия директор да бъдат предоставени правомощията на орган по назначаването, като се измени член 6, параграф 5.</w:t>
      </w:r>
    </w:p>
    <w:p>
      <w:pPr>
        <w:spacing w:before="0" w:after="200" w:line="276" w:lineRule="auto"/>
        <w:jc w:val="left"/>
        <w:rPr>
          <w:bCs/>
          <w:noProof/>
          <w:szCs w:val="24"/>
        </w:rPr>
      </w:pPr>
      <w:r>
        <w:rPr>
          <w:noProof/>
        </w:rPr>
        <w:br w:type="page"/>
      </w:r>
    </w:p>
    <w:p>
      <w:pPr>
        <w:spacing w:before="0" w:after="200" w:line="276" w:lineRule="auto"/>
        <w:jc w:val="left"/>
        <w:rPr>
          <w:bCs/>
          <w:noProof/>
          <w:szCs w:val="24"/>
        </w:rPr>
      </w:pPr>
    </w:p>
    <w:p>
      <w:pPr>
        <w:pStyle w:val="Rfrenceinterinstitutionnelle"/>
        <w:rPr>
          <w:noProof/>
        </w:rPr>
      </w:pPr>
      <w:r>
        <w:rPr>
          <w:noProof/>
        </w:rPr>
        <w:t>2018/0336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Евратом) № 1141/2014 по отношение на процедура за проверка, свързана с нарушения на правилата за защита на личните данни в контекста на изборите за Европейски парламент</w:t>
      </w:r>
      <w:r>
        <w:rPr>
          <w:noProof/>
        </w:rPr>
        <w:br/>
      </w:r>
      <w:r>
        <w:rPr>
          <w:noProof/>
        </w:rPr>
        <w:br/>
      </w:r>
      <w:r>
        <w:rPr>
          <w:i/>
          <w:noProof/>
        </w:rPr>
        <w:t>Принос на Европейската комисия за срещата на лидерите в</w:t>
      </w:r>
      <w:r>
        <w:rPr>
          <w:noProof/>
        </w:rPr>
        <w:br/>
      </w:r>
      <w:r>
        <w:rPr>
          <w:i/>
          <w:noProof/>
        </w:rPr>
        <w:t>Залцбург на 19—20 септември 2018 г.</w:t>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224 от него,</w:t>
      </w:r>
    </w:p>
    <w:p>
      <w:pPr>
        <w:rPr>
          <w:noProof/>
        </w:rPr>
      </w:pPr>
      <w:r>
        <w:rPr>
          <w:noProof/>
        </w:rPr>
        <w:t>като взеха предвид Договора за създаване на Европейската общност за атомна енергия, и по-специално член 106а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4"/>
      </w:r>
      <w:r>
        <w:rPr>
          <w:noProof/>
        </w:rPr>
        <w:t xml:space="preserve">, </w:t>
      </w:r>
    </w:p>
    <w:p>
      <w:pPr>
        <w:rPr>
          <w:i/>
          <w:noProof/>
        </w:rPr>
      </w:pPr>
      <w:r>
        <w:rPr>
          <w:noProof/>
        </w:rPr>
        <w:t>като взеха предвид становището на Комитета на регионите</w:t>
      </w:r>
      <w:r>
        <w:rPr>
          <w:rStyle w:val="FootnoteReference"/>
          <w:noProof/>
        </w:rPr>
        <w:footnoteReference w:id="15"/>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Регламент (ЕС, Евратом) № 1141/2014</w:t>
      </w:r>
      <w:r>
        <w:rPr>
          <w:rStyle w:val="FootnoteReference"/>
          <w:noProof/>
        </w:rPr>
        <w:footnoteReference w:id="16"/>
      </w:r>
      <w:r>
        <w:rPr>
          <w:noProof/>
        </w:rPr>
        <w:t xml:space="preserve"> се установява специфичен европейски правен статут за европейските политически партии и политически фондации и се предвижда финансирането им от общия бюджет на Европейския съюз, и се създава също така Орган за европейските политически партии и европейските политически фондации („Органът“).</w:t>
      </w:r>
    </w:p>
    <w:p>
      <w:pPr>
        <w:pStyle w:val="ManualConsidrant"/>
        <w:rPr>
          <w:noProof/>
          <w:szCs w:val="24"/>
        </w:rPr>
      </w:pPr>
      <w:r>
        <w:t>(2)</w:t>
      </w:r>
      <w:r>
        <w:tab/>
      </w:r>
      <w:r>
        <w:rPr>
          <w:noProof/>
        </w:rPr>
        <w:t>За да може Органът да изпълнява пълноценно и независимо своите задачи, включително новите задачи, предвидени в настоящия регламент, е необходимо той да има постоянни служители и на неговия директор да се предоставят правомощията на орган по назначаването.</w:t>
      </w:r>
    </w:p>
    <w:p>
      <w:pPr>
        <w:pStyle w:val="ManualConsidrant"/>
        <w:rPr>
          <w:noProof/>
        </w:rPr>
      </w:pPr>
      <w:r>
        <w:t>(3)</w:t>
      </w:r>
      <w:r>
        <w:tab/>
      </w:r>
      <w:r>
        <w:rPr>
          <w:noProof/>
        </w:rPr>
        <w:t xml:space="preserve">Неотдавнашните събития разкриха потенциалните рискове за изборните процеси и демокрацията, които могат да възникнат в резултат на незаконосъобразното използване на лични данни. Ето защо е необходимо да се защити неприкосновеността </w:t>
      </w:r>
      <w:r>
        <w:rPr>
          <w:noProof/>
        </w:rPr>
        <w:lastRenderedPageBreak/>
        <w:t xml:space="preserve">на европейския демократичен процес, като се предвидят финансови санкции в случаите, когато европейските политически партии и европейските политически фондации се възползват от нарушения на правилата за защита на данните, за да повлияят на резултатите от изборите за Европейски парламент. </w:t>
      </w:r>
    </w:p>
    <w:p>
      <w:pPr>
        <w:pStyle w:val="ManualConsidrant"/>
        <w:rPr>
          <w:noProof/>
        </w:rPr>
      </w:pPr>
      <w:r>
        <w:t>(4)</w:t>
      </w:r>
      <w:r>
        <w:tab/>
      </w:r>
      <w:r>
        <w:rPr>
          <w:noProof/>
        </w:rPr>
        <w:t xml:space="preserve">За тази цел следва да се установи процедура за проверка, чрез която Органът трябва при определени обстоятелства да поиска от комитета, съставен от независими изтъкнати личности, да прецени дали дадена европейска политическа партия или европейска политическа фондация е оказала умишлено влияние или е направила умишлен опит да повлияе на резултатите от изборите за Европейски парламент, възползвайки се от нарушение на приложимите правила за защита на личните данни. Когато комитетът установи, че това е така, Органът следва да наложи санкции в съответствие с ефективната, пропорционална и възпираща система от санкции, установена с Регламент (ЕС, Евратом) № 1141/2014.  </w:t>
      </w:r>
    </w:p>
    <w:p>
      <w:pPr>
        <w:pStyle w:val="ManualConsidrant"/>
        <w:rPr>
          <w:noProof/>
        </w:rPr>
      </w:pPr>
      <w:r>
        <w:t>(5)</w:t>
      </w:r>
      <w:r>
        <w:tab/>
      </w:r>
      <w:r>
        <w:rPr>
          <w:noProof/>
        </w:rPr>
        <w:t>Новата процедура следва да съществува успоредно с вече съществуващите процедури, използвани за проверка на спазването на условията за регистрация, както и в случаи на явни и сериозни нарушения на ценностите, на които се основава Съюзът. Сроковете за проверка на спазването на условията и изискванията за регистрация, определени в член 10 от Регламент (ЕС, Евратом) № 1141/2014, обаче не следва да се прилагат за новата процедура.</w:t>
      </w:r>
    </w:p>
    <w:p>
      <w:pPr>
        <w:pStyle w:val="ManualConsidrant"/>
        <w:rPr>
          <w:noProof/>
        </w:rPr>
      </w:pPr>
      <w:r>
        <w:t>(6)</w:t>
      </w:r>
      <w:r>
        <w:tab/>
      </w:r>
      <w:r>
        <w:rPr>
          <w:noProof/>
        </w:rPr>
        <w:t xml:space="preserve">Тъй като новата процедура се задейства с решение на компетентен надзорен орган по защита на данните, следва да бъде възможно съответната европейска политическа партия или европейска политическа фондация да поиска санкцията да бъде преразгледана, ако решението на надзорния орган бъде отменено или ако успешно бъде упражнено право на защита срещу това решение. </w:t>
      </w:r>
    </w:p>
    <w:p>
      <w:pPr>
        <w:pStyle w:val="ManualConsidrant"/>
        <w:rPr>
          <w:noProof/>
        </w:rPr>
      </w:pPr>
      <w:r>
        <w:t>(7)</w:t>
      </w:r>
      <w:r>
        <w:tab/>
      </w:r>
      <w:r>
        <w:rPr>
          <w:noProof/>
        </w:rPr>
        <w:t xml:space="preserve">За да се гарантира, че изборите за Европейски парламент през 2019 г. се провеждат съгласно надеждни демократични правила и при пълно зачитане на европейските ценности на демокрация, правова държава и зачитане на основните права, е важно предложената процедура за проверка да влезе в сила своевременно и да е приложима възможно най-скоро. За да се постигне това, предложените изменения на Регламент (ЕС, Евратом) № 1141/2014, въведени с настоящия регламент, следва да влязат в сила в деня на публикуването му в </w:t>
      </w:r>
      <w:r>
        <w:rPr>
          <w:i/>
          <w:noProof/>
        </w:rPr>
        <w:t>Официален вестник на Европейския съюз</w:t>
      </w:r>
      <w:r>
        <w:rPr>
          <w:noProof/>
        </w:rPr>
        <w:t xml:space="preserve">.  </w:t>
      </w:r>
    </w:p>
    <w:p>
      <w:pPr>
        <w:pStyle w:val="ManualConsidrant"/>
        <w:rPr>
          <w:noProof/>
        </w:rPr>
      </w:pPr>
      <w:r>
        <w:t>(8)</w:t>
      </w:r>
      <w:r>
        <w:tab/>
      </w:r>
      <w:r>
        <w:rPr>
          <w:noProof/>
        </w:rPr>
        <w:t>Поради това Регламент (ЕС, Евратом) № 1141/2014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Евратом) № 1141/2014 се изменя, както следва:</w:t>
      </w:r>
    </w:p>
    <w:p>
      <w:pPr>
        <w:rPr>
          <w:noProof/>
        </w:rPr>
      </w:pPr>
    </w:p>
    <w:p>
      <w:pPr>
        <w:pStyle w:val="Point0number"/>
        <w:numPr>
          <w:ilvl w:val="0"/>
          <w:numId w:val="30"/>
        </w:numPr>
        <w:rPr>
          <w:noProof/>
        </w:rPr>
      </w:pPr>
      <w:r>
        <w:rPr>
          <w:noProof/>
        </w:rPr>
        <w:t>Член 6, параграф 5 се заменя със следното:</w:t>
      </w:r>
    </w:p>
    <w:p>
      <w:pPr>
        <w:pStyle w:val="Text1"/>
        <w:rPr>
          <w:noProof/>
        </w:rPr>
      </w:pPr>
      <w:r>
        <w:rPr>
          <w:noProof/>
        </w:rPr>
        <w:t>„Директорът на Органа се подпомага от служители, спрямо които той упражнява правомощията, предоставени му по силата на Правилника за длъжностните лица като орган по назначаването, и тези, предоставени му по силата на Условията за работа на другите служители на Съюза като орган, оправомощен да сключва трудови договори с други служители („правомощия на органа по назначаването“)</w:t>
      </w:r>
      <w:r>
        <w:rPr>
          <w:rStyle w:val="FootnoteReference"/>
          <w:noProof/>
        </w:rPr>
        <w:footnoteReference w:id="17"/>
      </w:r>
      <w:r>
        <w:rPr>
          <w:noProof/>
        </w:rPr>
        <w:t xml:space="preserve">; Органът </w:t>
      </w:r>
      <w:r>
        <w:rPr>
          <w:noProof/>
        </w:rPr>
        <w:lastRenderedPageBreak/>
        <w:t>може да използва във всички области на своята работа други командировани национални експерти или други служители, които не са наети от Органа.</w:t>
      </w:r>
    </w:p>
    <w:p>
      <w:pPr>
        <w:pStyle w:val="Text1"/>
        <w:rPr>
          <w:noProof/>
        </w:rPr>
      </w:pPr>
      <w:r>
        <w:rPr>
          <w:noProof/>
        </w:rPr>
        <w:t>Спрямо служителите на Органа се прилагат Правилникът за длъжностните лица и Условията за работа на другите служители, както и правилата, договорени между институциите на Съюза, чрез които се прилагат този Правилник за длъжностните лица и Условията за работа на другите служители.“</w:t>
      </w:r>
    </w:p>
    <w:p>
      <w:pPr>
        <w:pStyle w:val="Point0number"/>
        <w:rPr>
          <w:noProof/>
        </w:rPr>
      </w:pPr>
      <w:r>
        <w:rPr>
          <w:noProof/>
        </w:rPr>
        <w:t>В член 10, параграф 3, в края на третата алинея се добавя следното изречение:</w:t>
      </w:r>
    </w:p>
    <w:p>
      <w:pPr>
        <w:pStyle w:val="Text1"/>
        <w:rPr>
          <w:noProof/>
        </w:rPr>
      </w:pPr>
      <w:r>
        <w:rPr>
          <w:noProof/>
        </w:rPr>
        <w:t>„Този срок не се прилага по отношение на процедурата, посочена в член 10а.“;</w:t>
      </w:r>
    </w:p>
    <w:p>
      <w:pPr>
        <w:pStyle w:val="Point0number"/>
        <w:rPr>
          <w:noProof/>
        </w:rPr>
      </w:pPr>
      <w:r>
        <w:rPr>
          <w:noProof/>
        </w:rPr>
        <w:t>Вмъква се следният член 10a:</w:t>
      </w:r>
    </w:p>
    <w:p>
      <w:pPr>
        <w:jc w:val="center"/>
        <w:rPr>
          <w:noProof/>
        </w:rPr>
      </w:pPr>
      <w:r>
        <w:rPr>
          <w:noProof/>
        </w:rPr>
        <w:t>„Член 10a</w:t>
      </w:r>
    </w:p>
    <w:p>
      <w:pPr>
        <w:ind w:left="720"/>
        <w:jc w:val="center"/>
        <w:rPr>
          <w:b/>
          <w:noProof/>
        </w:rPr>
      </w:pPr>
      <w:r>
        <w:rPr>
          <w:b/>
          <w:noProof/>
        </w:rPr>
        <w:t xml:space="preserve">Процедура за проверка, свързана с нарушения на правилата за защита на личните данни </w:t>
      </w:r>
    </w:p>
    <w:p>
      <w:pPr>
        <w:ind w:left="720"/>
        <w:rPr>
          <w:noProof/>
        </w:rPr>
      </w:pPr>
      <w:r>
        <w:rPr>
          <w:noProof/>
        </w:rPr>
        <w:t>Ако Органът узнае за решение на надзорен орган по смисъла на член 4, точка 21 от Регламент (ЕС) 2016/679 на Европейския парламент и на Съвета</w:t>
      </w:r>
      <w:r>
        <w:rPr>
          <w:rStyle w:val="FootnoteReference"/>
          <w:noProof/>
        </w:rPr>
        <w:footnoteReference w:id="18"/>
      </w:r>
      <w:r>
        <w:rPr>
          <w:noProof/>
        </w:rPr>
        <w:t>, с което се установява, че дадено физическо или юридическо лице е нарушило приложимите правила за защита на личните данни и ако от това решение става ясно — или когато са налице други разумни основания да се смята, че това е така — че нарушението е свързано с политически дейности на европейска политическа партия или европейска политическа фондация в контекста на изборите за Европейски парламент, Органът отнася въпроса до комитета, съставен от независими изтъкнати личности, създаден по силата на член 11. Комитетът дава становище дали въпросната европейска политическа партия или европейска политическа фондация умишлено е оказала влияние или е направила умишлен опит да повлияе на резултата от изборите за Европейски парламент, като се е възползвала от това нарушение. Органът изисква становището да бъде представено без ненужно забавяне и не по-късно от 1 месец след решението на надзорния орган. Комитетът дава своето становище в рамките на кратък разумен срок, определен от Органа.</w:t>
      </w:r>
    </w:p>
    <w:p>
      <w:pPr>
        <w:ind w:left="720"/>
        <w:rPr>
          <w:noProof/>
        </w:rPr>
      </w:pPr>
      <w:r>
        <w:rPr>
          <w:noProof/>
        </w:rPr>
        <w:t>Процедурата, посочена в настоящия член, не засяга процедурата по член 10.“;</w:t>
      </w:r>
    </w:p>
    <w:p>
      <w:pPr>
        <w:pStyle w:val="Point0number"/>
        <w:rPr>
          <w:noProof/>
        </w:rPr>
      </w:pPr>
      <w:r>
        <w:rPr>
          <w:noProof/>
        </w:rPr>
        <w:t>В член 11, параграф 3, първа алинея, второто изречение се заменя със следното:</w:t>
      </w:r>
    </w:p>
    <w:p>
      <w:pPr>
        <w:ind w:left="720"/>
        <w:rPr>
          <w:noProof/>
        </w:rPr>
      </w:pPr>
      <w:r>
        <w:rPr>
          <w:noProof/>
        </w:rPr>
        <w:t>„По искане на Органа комитетът дава становище за това дали европейска политическа партия или европейска политическа фондация умишлено е оказала влияние или е направила умишлен опит да повлияе на резултата от изборите за Европейски парламент, възползвайки се от нарушение на приложимите правила за защита на личните данни. И в двата случая комитетът може да изиска всички съответни документи и доказателства от Органа, Европейския парламент, съответната европейска политическа партия или европейска политическа фондация, други политически партии, политически фондации или други заинтересовани страни и може да поиска да изслуша техни представители. В случаите на становища за това дали европейска политическа партия или европейска политическа фондация умишлено е оказала влияние или е направила умишлен опит да повлияе на резултата от изборите за Европейски парламент, възползвайки се от нарушение на приложимите правила за защита на личните данни, надзорните органи, посочени в член 10а, сътрудничат на комитета в съответствие с приложимото право.“</w:t>
      </w:r>
    </w:p>
    <w:p>
      <w:pPr>
        <w:pStyle w:val="Point0number"/>
        <w:rPr>
          <w:noProof/>
        </w:rPr>
      </w:pPr>
      <w:r>
        <w:rPr>
          <w:noProof/>
        </w:rPr>
        <w:lastRenderedPageBreak/>
        <w:t>В член 18, параграф 2 думите „и член 27, параграф 2, буква а), подточки v) и vi)“ се заменят с думите „и член 27, параграф 2, буква а), подточки v), vi) и vii)“;</w:t>
      </w:r>
    </w:p>
    <w:p>
      <w:pPr>
        <w:pStyle w:val="Point0number"/>
        <w:rPr>
          <w:noProof/>
        </w:rPr>
      </w:pPr>
      <w:r>
        <w:rPr>
          <w:noProof/>
        </w:rPr>
        <w:t>Член 27 се изменя, както следва:</w:t>
      </w:r>
    </w:p>
    <w:p>
      <w:pPr>
        <w:pStyle w:val="Point0"/>
        <w:rPr>
          <w:noProof/>
        </w:rPr>
      </w:pPr>
      <w:r>
        <w:rPr>
          <w:noProof/>
        </w:rPr>
        <w:t>а)</w:t>
      </w:r>
      <w:r>
        <w:rPr>
          <w:noProof/>
        </w:rPr>
        <w:tab/>
        <w:t>в параграф 2, буква а) се добавя следната подточка vii):</w:t>
      </w:r>
    </w:p>
    <w:p>
      <w:pPr>
        <w:ind w:left="720"/>
        <w:rPr>
          <w:noProof/>
        </w:rPr>
      </w:pPr>
      <w:r>
        <w:rPr>
          <w:noProof/>
        </w:rPr>
        <w:t>„vii) ако в съответствие с член 10а комитетът даде становище, с което се установява, че дадена европейска политическа партия или европейска политическа фондация умишлено е оказала влияние или е направила умишлен опит да повлияе на резултата от изборите за Европейски парламент, възползвайки се от нарушение на приложимите правила за защита на личните данни.“;</w:t>
      </w:r>
    </w:p>
    <w:p>
      <w:pPr>
        <w:pStyle w:val="Point0"/>
        <w:rPr>
          <w:noProof/>
        </w:rPr>
      </w:pPr>
      <w:r>
        <w:rPr>
          <w:noProof/>
        </w:rPr>
        <w:t>б)</w:t>
      </w:r>
      <w:r>
        <w:rPr>
          <w:noProof/>
        </w:rPr>
        <w:tab/>
        <w:t>добавя се следният параграф 7:</w:t>
      </w:r>
    </w:p>
    <w:p>
      <w:pPr>
        <w:ind w:left="720"/>
        <w:rPr>
          <w:noProof/>
        </w:rPr>
      </w:pPr>
      <w:r>
        <w:rPr>
          <w:noProof/>
        </w:rPr>
        <w:t>„7. Когато решение на надзорния орган, посочен в член 10а, е отменено или когато успешно е упражнено право на защита срещу това решение, по искане на съответната европейска политическа партия или европейска политическа фондация Органът преразглежда всяка санкция, наложена по силата на параграф 2, буква а), подточка vii).“</w:t>
      </w:r>
    </w:p>
    <w:p>
      <w:pPr>
        <w:pStyle w:val="Titrearticle"/>
        <w:rPr>
          <w:noProof/>
        </w:rPr>
      </w:pPr>
      <w:r>
        <w:rPr>
          <w:noProof/>
        </w:rPr>
        <w:t>Член 2</w:t>
      </w:r>
    </w:p>
    <w:p>
      <w:pPr>
        <w:rPr>
          <w:i/>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footerReference w:type="default" r:id="rId16"/>
          <w:footerReference w:type="first" r:id="rId17"/>
          <w:pgSz w:w="11907" w:h="16839" w:code="9"/>
          <w:pgMar w:top="794" w:right="907" w:bottom="851" w:left="1361" w:header="510" w:footer="454" w:gutter="0"/>
          <w:pgNumType w:start="1"/>
          <w:cols w:space="720"/>
          <w:docGrid w:linePitch="326"/>
        </w:sectPr>
      </w:pPr>
    </w:p>
    <w:p>
      <w:pPr>
        <w:pStyle w:val="Fichefinanciretitre"/>
        <w:rPr>
          <w:noProof/>
        </w:rPr>
      </w:pPr>
      <w:bookmarkStart w:id="1" w:name="_Toc514938659"/>
      <w:bookmarkStart w:id="2" w:name="_Toc524270782"/>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Съгласуваност с текущата многогодишна финансова рамка</w:t>
      </w:r>
    </w:p>
    <w:p>
      <w:pPr>
        <w:pStyle w:val="ManualHeading3"/>
        <w:rPr>
          <w:noProof/>
        </w:rPr>
      </w:pPr>
      <w:r>
        <w:rPr>
          <w:noProof/>
        </w:rPr>
        <w:tab/>
        <w:t>3.2.5.</w:t>
      </w:r>
      <w:r>
        <w:rPr>
          <w:noProof/>
        </w:rPr>
        <w:tab/>
        <w:t xml:space="preserve">Финансов принос от трети страни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bCs/>
          <w:noProof/>
          <w:szCs w:val="24"/>
        </w:rPr>
      </w:pPr>
      <w:r>
        <w:t>1.</w:t>
      </w:r>
      <w:r>
        <w:tab/>
      </w:r>
      <w:r>
        <w:rPr>
          <w:noProof/>
        </w:rPr>
        <w:t>РАМКА НА ПРЕДЛОЖЕНИЕТО/ИНИЦИАТИВАТА</w:t>
      </w:r>
      <w:bookmarkEnd w:id="1"/>
      <w:bookmarkEnd w:id="2"/>
      <w:r>
        <w:rPr>
          <w:noProof/>
        </w:rPr>
        <w:t xml:space="preserve"> </w:t>
      </w:r>
    </w:p>
    <w:p>
      <w:pPr>
        <w:pStyle w:val="ManualHeading2"/>
        <w:rPr>
          <w:bCs/>
          <w:noProof/>
          <w:szCs w:val="24"/>
        </w:rPr>
      </w:pPr>
      <w:bookmarkStart w:id="3" w:name="_Toc514938660"/>
      <w:bookmarkStart w:id="4" w:name="_Toc524270783"/>
      <w:r>
        <w:t>1.1.</w:t>
      </w:r>
      <w:r>
        <w:tab/>
      </w:r>
      <w:r>
        <w:rPr>
          <w:noProof/>
        </w:rPr>
        <w:t>Наименование на предложението/инициативата</w:t>
      </w:r>
      <w:bookmarkEnd w:id="3"/>
      <w:bookmarkEnd w:id="4"/>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изменение на Регламент (ЕС, Евратом) № 1141/2014 по отношение на процедура за проверка, свързана с нарушения на правилата за защита на личните данни в контекста на изборите за Европейски парламент</w:t>
      </w:r>
    </w:p>
    <w:p>
      <w:pPr>
        <w:pStyle w:val="ManualHeading2"/>
        <w:rPr>
          <w:bCs/>
          <w:noProof/>
          <w:szCs w:val="24"/>
        </w:rPr>
      </w:pPr>
      <w:bookmarkStart w:id="5" w:name="_Toc514938661"/>
      <w:bookmarkStart w:id="6" w:name="_Toc524270784"/>
      <w:r>
        <w:t>1.2.</w:t>
      </w:r>
      <w:r>
        <w:tab/>
      </w:r>
      <w:r>
        <w:rPr>
          <w:noProof/>
        </w:rPr>
        <w:t>Съответни области на политиката</w:t>
      </w:r>
      <w:bookmarkEnd w:id="5"/>
      <w:bookmarkEnd w:id="6"/>
    </w:p>
    <w:p>
      <w:pPr>
        <w:pStyle w:val="Text1"/>
        <w:pBdr>
          <w:top w:val="single" w:sz="4" w:space="1" w:color="auto"/>
          <w:left w:val="single" w:sz="4" w:space="4" w:color="auto"/>
          <w:bottom w:val="single" w:sz="4" w:space="1" w:color="auto"/>
          <w:right w:val="single" w:sz="4" w:space="4" w:color="auto"/>
        </w:pBdr>
        <w:rPr>
          <w:noProof/>
        </w:rPr>
      </w:pPr>
      <w:r>
        <w:rPr>
          <w:noProof/>
        </w:rPr>
        <w:t>Основни права</w:t>
      </w:r>
    </w:p>
    <w:p>
      <w:pPr>
        <w:pStyle w:val="ManualHeading2"/>
        <w:rPr>
          <w:bCs/>
          <w:noProof/>
          <w:szCs w:val="24"/>
        </w:rPr>
      </w:pPr>
      <w:bookmarkStart w:id="7" w:name="_Toc514938662"/>
      <w:bookmarkStart w:id="8" w:name="_Toc524270785"/>
      <w:r>
        <w:t>1.3.</w:t>
      </w:r>
      <w:r>
        <w:tab/>
      </w:r>
      <w:r>
        <w:rPr>
          <w:noProof/>
        </w:rPr>
        <w:t>Предложението е във връзка с:</w:t>
      </w:r>
      <w:bookmarkEnd w:id="7"/>
      <w:bookmarkEnd w:id="8"/>
      <w:r>
        <w:rPr>
          <w:noProof/>
        </w:rPr>
        <w:t xml:space="preserve"> </w:t>
      </w:r>
    </w:p>
    <w:p>
      <w:pPr>
        <w:pStyle w:val="Text1"/>
        <w:rPr>
          <w:b/>
          <w:noProof/>
        </w:rPr>
      </w:pPr>
      <w:r>
        <w:rPr>
          <w:noProof/>
        </w:rPr>
        <w:sym w:font="Wingdings" w:char="F0A8"/>
      </w:r>
      <w:r>
        <w:rPr>
          <w:b/>
          <w:i/>
          <w:noProof/>
        </w:rPr>
        <w:t xml:space="preserve"> </w:t>
      </w:r>
      <w:r>
        <w:rPr>
          <w:b/>
          <w:noProof/>
        </w:rPr>
        <w:t xml:space="preserve">ново действие </w:t>
      </w:r>
    </w:p>
    <w:p>
      <w:pPr>
        <w:pStyle w:val="Text1"/>
        <w:rPr>
          <w:noProof/>
          <w:sz w:val="22"/>
        </w:rPr>
      </w:pPr>
      <w:r>
        <w:rPr>
          <w:noProof/>
        </w:rPr>
        <w:sym w:font="Wingdings" w:char="F0A8"/>
      </w:r>
      <w:r>
        <w:rPr>
          <w:i/>
          <w:noProof/>
        </w:rPr>
        <w:t xml:space="preserve"> </w:t>
      </w:r>
      <w:r>
        <w:rPr>
          <w:b/>
          <w:noProof/>
        </w:rPr>
        <w:t>ново действие след пилотен проект/подготвително действие</w:t>
      </w:r>
      <w:r>
        <w:rPr>
          <w:rStyle w:val="FootnoteReference"/>
          <w:b/>
          <w:noProof/>
        </w:rPr>
        <w:footnoteReference w:id="19"/>
      </w:r>
      <w:r>
        <w:rPr>
          <w:noProof/>
          <w:sz w:val="22"/>
        </w:rPr>
        <w:t xml:space="preserve"> </w:t>
      </w:r>
    </w:p>
    <w:p>
      <w:pPr>
        <w:pStyle w:val="Text1"/>
        <w:rPr>
          <w:noProof/>
        </w:rPr>
      </w:pPr>
      <w:r>
        <w:rPr>
          <w:noProof/>
        </w:rPr>
        <w:t>Х</w:t>
      </w:r>
      <w:r>
        <w:rPr>
          <w:i/>
          <w:noProof/>
        </w:rPr>
        <w:t xml:space="preserve"> </w:t>
      </w:r>
      <w:r>
        <w:rPr>
          <w:b/>
          <w:noProof/>
        </w:rPr>
        <w:t>продължаване на съществуващо действие</w:t>
      </w:r>
      <w:r>
        <w:rPr>
          <w:noProof/>
        </w:rPr>
        <w:t xml:space="preserve"> </w:t>
      </w:r>
    </w:p>
    <w:p>
      <w:pPr>
        <w:pStyle w:val="Text1"/>
        <w:rPr>
          <w:noProof/>
        </w:rPr>
      </w:pPr>
      <w:r>
        <w:rPr>
          <w:noProof/>
        </w:rPr>
        <w:sym w:font="Wingdings" w:char="F0A8"/>
      </w:r>
      <w:r>
        <w:rPr>
          <w:i/>
          <w:noProof/>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bookmarkStart w:id="9" w:name="_Toc514938663"/>
      <w:bookmarkStart w:id="10" w:name="_Toc524270786"/>
      <w:r>
        <w:t>1.4.</w:t>
      </w:r>
      <w:r>
        <w:tab/>
      </w:r>
      <w:r>
        <w:rPr>
          <w:noProof/>
        </w:rPr>
        <w:t>Цел(и)</w:t>
      </w:r>
      <w:bookmarkEnd w:id="9"/>
      <w:bookmarkEnd w:id="10"/>
    </w:p>
    <w:p>
      <w:pPr>
        <w:pStyle w:val="ManualHeading3"/>
        <w:rPr>
          <w:bCs/>
          <w:noProof/>
          <w:szCs w:val="24"/>
        </w:rPr>
      </w:pPr>
      <w:bookmarkStart w:id="11" w:name="_Toc514938664"/>
      <w:bookmarkStart w:id="12" w:name="_Toc524270787"/>
      <w:r>
        <w:t>1.4.1.</w:t>
      </w:r>
      <w:r>
        <w:tab/>
      </w:r>
      <w:r>
        <w:rPr>
          <w:noProof/>
        </w:rPr>
        <w:t>Обща(и) цел(и)</w:t>
      </w:r>
      <w:bookmarkEnd w:id="11"/>
      <w:bookmarkEnd w:id="12"/>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Неотдавнашните събития разкриха потенциалните рискове за изборните процеси и демокрацията, които могат да възникнат в резултат на незаконосъобразното използване на лични данни. Ето защо е необходимо да се защити неприкосновеността на европейския демократичен процес, като се предвидят финансови санкции в случаите, когато европейските политически партии и европейските политически фондации се възползват от нарушения на правилата за защита на данните, за да повлияят на резултатите от изборите за Европейски парламент.</w:t>
      </w:r>
    </w:p>
    <w:p>
      <w:pPr>
        <w:pStyle w:val="ManualHeading3"/>
        <w:rPr>
          <w:bCs/>
          <w:noProof/>
          <w:szCs w:val="24"/>
        </w:rPr>
      </w:pPr>
      <w:bookmarkStart w:id="13" w:name="_Toc514938665"/>
      <w:bookmarkStart w:id="14" w:name="_Toc524270788"/>
      <w:r>
        <w:t>1.4.2.</w:t>
      </w:r>
      <w:r>
        <w:tab/>
      </w:r>
      <w:r>
        <w:rPr>
          <w:noProof/>
        </w:rPr>
        <w:t>Конкретна(и) цел(и)</w:t>
      </w:r>
      <w:bookmarkEnd w:id="13"/>
      <w:bookmarkEnd w:id="1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Следва да се установи процедура за проверка, чрез която Органът, създаден с член 6 от Регламент (ЕС, Евратом) № 1141/2014 („Органът“) трябва при определени обстоятелства да поиска от комитета, съставен от независими изтъкнати личности, да прецени дали дадена европейска политическа партия или европейска политическа фондация е оказала умишлено влияние или е направила умишлен опит да повлияе на резултатите от изборите за Европейски парламент, възползвайки се от нарушение на приложимите правила за защита на личните данни. Когато комитетът установи, че това е така, Органът следва да наложи санкции в съответствие с ефективната, пропорционална и възпираща система от санкции, установена с Регламент (ЕС, Евратом) № 1141/2014.</w:t>
      </w:r>
    </w:p>
    <w:p>
      <w:pPr>
        <w:pStyle w:val="Text1"/>
        <w:pBdr>
          <w:top w:val="single" w:sz="4" w:space="1" w:color="auto"/>
          <w:left w:val="single" w:sz="4" w:space="4" w:color="auto"/>
          <w:bottom w:val="single" w:sz="4" w:space="1" w:color="auto"/>
          <w:right w:val="single" w:sz="4" w:space="4" w:color="auto"/>
        </w:pBdr>
        <w:rPr>
          <w:noProof/>
          <w:u w:val="single"/>
        </w:rPr>
      </w:pPr>
      <w:r>
        <w:rPr>
          <w:noProof/>
        </w:rPr>
        <w:t xml:space="preserve">Необходимо е Органът да разполага с достатъчно ресурси, за да изпълнява задачите си пълноценно — както тези, предвидени в съществуващия Регламент (ЕС, Евратом) № 1141/2014, така и новите задачи, предвидени в настоящото предложение за изменение. Това изисква наличието на постоянен персонал и укрепването на човешките ресурси, с които Органът разполага понастоящем. </w:t>
      </w:r>
    </w:p>
    <w:p>
      <w:pPr>
        <w:pStyle w:val="ManualHeading3"/>
        <w:rPr>
          <w:noProof/>
          <w:szCs w:val="24"/>
        </w:rPr>
      </w:pPr>
      <w:bookmarkStart w:id="15" w:name="_Toc524270789"/>
      <w:r>
        <w:t>1.4.3.</w:t>
      </w:r>
      <w:r>
        <w:tab/>
      </w:r>
      <w:r>
        <w:rPr>
          <w:noProof/>
        </w:rPr>
        <w:t>.</w:t>
      </w:r>
      <w:bookmarkStart w:id="16" w:name="_Toc514938666"/>
      <w:r>
        <w:rPr>
          <w:noProof/>
        </w:rPr>
        <w:t>Очаквани резултат(и) и отражение</w:t>
      </w:r>
      <w:bookmarkEnd w:id="15"/>
      <w:bookmarkEnd w:id="16"/>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Целта на предложението е то да има възпиращ ефект върху европейските политически партии и фондации, така че да не се възползват от резултатите от нарушения на правилата за защита на данните, за да оказват умишлено влияние върху резултатите от изборите за Европейски парламент, като се предвиждат финансови санкции за такова неправомерно поведение. </w:t>
      </w:r>
    </w:p>
    <w:p>
      <w:pPr>
        <w:pStyle w:val="ManualHeading3"/>
        <w:rPr>
          <w:bCs/>
          <w:noProof/>
          <w:szCs w:val="24"/>
        </w:rPr>
      </w:pPr>
      <w:bookmarkStart w:id="17" w:name="_Toc514938667"/>
      <w:bookmarkStart w:id="18" w:name="_Toc524270790"/>
      <w:r>
        <w:t>1.4.4.</w:t>
      </w:r>
      <w:r>
        <w:tab/>
      </w:r>
      <w:r>
        <w:rPr>
          <w:noProof/>
        </w:rPr>
        <w:t>Показатели за изпълнението</w:t>
      </w:r>
      <w:bookmarkEnd w:id="17"/>
      <w:bookmarkEnd w:id="18"/>
      <w:r>
        <w:rPr>
          <w:noProof/>
        </w:rPr>
        <w:t xml:space="preserve"> </w:t>
      </w:r>
    </w:p>
    <w:p>
      <w:pPr>
        <w:pStyle w:val="Text1"/>
        <w:rPr>
          <w:i/>
          <w:noProof/>
          <w:sz w:val="20"/>
        </w:rPr>
      </w:pPr>
      <w:r>
        <w:rPr>
          <w:i/>
          <w:noProof/>
          <w:sz w:val="20"/>
        </w:rPr>
        <w:t>Посочете показателите за проследяване на напредъка и на постиженията.</w:t>
      </w:r>
    </w:p>
    <w:p>
      <w:pPr>
        <w:pStyle w:val="Text1"/>
        <w:pBdr>
          <w:top w:val="single" w:sz="4" w:space="1" w:color="auto"/>
          <w:left w:val="single" w:sz="4" w:space="1" w:color="auto"/>
          <w:bottom w:val="single" w:sz="4" w:space="1" w:color="auto"/>
          <w:right w:val="single" w:sz="4" w:space="1" w:color="auto"/>
        </w:pBdr>
        <w:rPr>
          <w:noProof/>
        </w:rPr>
      </w:pPr>
      <w:r>
        <w:rPr>
          <w:noProof/>
        </w:rPr>
        <w:t>Следва да се налагат своевременни санкции на всяка европейска политическа партия или фондация, за която се установи, че се е възползвала от нарушения на правилата за защита на данните, за да окаже умишлено влияние върху резултатите от изборите за Европейски парламент.</w:t>
      </w:r>
    </w:p>
    <w:p>
      <w:pPr>
        <w:pStyle w:val="ManualHeading2"/>
        <w:rPr>
          <w:bCs/>
          <w:noProof/>
          <w:szCs w:val="24"/>
        </w:rPr>
      </w:pPr>
      <w:bookmarkStart w:id="19" w:name="_Toc514938668"/>
      <w:bookmarkStart w:id="20" w:name="_Toc524270791"/>
      <w:r>
        <w:t>1.5.</w:t>
      </w:r>
      <w:r>
        <w:tab/>
      </w:r>
      <w:r>
        <w:rPr>
          <w:noProof/>
        </w:rPr>
        <w:t>Мотиви за предложението/инициативата</w:t>
      </w:r>
      <w:bookmarkEnd w:id="19"/>
      <w:bookmarkEnd w:id="20"/>
      <w:r>
        <w:rPr>
          <w:noProof/>
        </w:rPr>
        <w:t xml:space="preserve"> </w:t>
      </w:r>
    </w:p>
    <w:p>
      <w:pPr>
        <w:pStyle w:val="ManualHeading3"/>
        <w:rPr>
          <w:noProof/>
        </w:rPr>
      </w:pPr>
      <w:bookmarkStart w:id="21" w:name="_Toc514938669"/>
      <w:bookmarkStart w:id="22" w:name="_Toc524270792"/>
      <w:r>
        <w:t>1.5.1.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 xml:space="preserve">Горепосоченият режим на санкции следва да бъде въведен достатъчно време преди изборите за Европейски парламент през 2019 г., за да има възпиращ ефект спрямо описаните неправомерни действия. За да бъде този режим оперативен и за да се гарантира, че Органът разполага с необходимите ресурси, така че да може да изпълнява ефективно всички свои задачи, следва да се предоставят възможно най-скоро допълнителни човешки ресурси, на първо място чрез преразпределението на служителите, които работят по тези задачи опреди създаването на Органа.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да може работата на Органа да бъде улеснена и по-независима, на неговия директор следва да се делегират правомощията на орган по назначаването по силата на Правилника за длъжностните лица и Условията за работа на другите служители [Регламент (ЕИО, Евратом, ЕОВС) № 259/68 на Съвета от 29 февруари 1968 г. относно Правилника за длъжностните лица на Европейските общности и Условията за работа на другите служители на Европейските общности и относно постановяване на специални мерки, временно приложими за длъжностни лица на Комисията ((ОВ L 56, 4.3.1968 г., стр. 1)].  </w:t>
      </w:r>
    </w:p>
    <w:p>
      <w:pPr>
        <w:pStyle w:val="ManualHeading3"/>
        <w:rPr>
          <w:bCs/>
          <w:noProof/>
          <w:szCs w:val="24"/>
        </w:rPr>
      </w:pPr>
      <w:bookmarkStart w:id="23" w:name="_Toc514938670"/>
      <w:bookmarkStart w:id="24" w:name="_Toc524270793"/>
      <w:r>
        <w:t>1.5.2.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 xml:space="preserve">Настоящото предложение се отнася до системата на европейските политически партии и европейските политически фондации, създадена на европейско равнище. Съгласно Регламент (ЕС, Евратом) № 1141/2014 това са органи с европейска юридическа правосубектност. Органът също има правосубектност съгласно правото на Съюза. Ето защо целите, описани по-горе, могат да бъдат постигнати само чрез действия на равнището на Съюза.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ще е постигнало целите си, ако а) предложеният режим на санкции възпира европейските политически партии или фондации от неправомерното използване на резултатите от нарушения на правилата за защита на личните данни или б) ако всяко такова действие е надлежно санкционирано.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Органът следва да бъде в състояние да поеме изцяло всички свои задължения, по-специално в периода преди и след изборите за Европейски парламент през 2019 г. </w:t>
      </w:r>
    </w:p>
    <w:p>
      <w:pPr>
        <w:pStyle w:val="ManualHeading3"/>
        <w:rPr>
          <w:noProof/>
        </w:rPr>
      </w:pPr>
      <w:bookmarkStart w:id="25" w:name="_Toc514938671"/>
      <w:bookmarkStart w:id="26" w:name="_Toc524270794"/>
      <w:r>
        <w:t>1.5.3.</w:t>
      </w:r>
      <w:r>
        <w:tab/>
      </w:r>
      <w:r>
        <w:rPr>
          <w:noProof/>
        </w:rPr>
        <w:t>Изводи от подобен опит в миналото</w:t>
      </w:r>
      <w:bookmarkEnd w:id="25"/>
      <w:bookmarkEnd w:id="26"/>
    </w:p>
    <w:p>
      <w:pPr>
        <w:pStyle w:val="Text1"/>
        <w:pBdr>
          <w:top w:val="single" w:sz="4" w:space="1" w:color="auto"/>
          <w:left w:val="single" w:sz="4" w:space="4" w:color="auto"/>
          <w:bottom w:val="single" w:sz="4" w:space="1" w:color="auto"/>
          <w:right w:val="single" w:sz="4" w:space="4" w:color="auto"/>
        </w:pBdr>
        <w:rPr>
          <w:noProof/>
        </w:rPr>
      </w:pPr>
      <w:r>
        <w:rPr>
          <w:noProof/>
        </w:rPr>
        <w:t xml:space="preserve">В първия годишен доклад на Органа за 2017 г. се посочва, че „Органът за европейските политически партии и фондации в момента се състои от двама служители на пълно работно време и директора. По-точно през ноември 2016 г. Европейският парламент командирова един административен асистент в подкрепа на директора при създаването на Органа и процеса на регистрация на европейските политически партии и фондации. През юни 2017 г. към Органа се присъедини един правен съветник, за да предоставя съвети по процедурни, материалноправни и финансови въпроси. На този етап целият персонал на Органа се осигурява от Европейския парламент. Настоящият брой на служителите не е достатъчен, за да може Органът да изпълнява пълноценно задачите, възложени му с Регламент (ЕС, Евратом) № 1141/2014. Освен това липсата на персонал би могла да засегне независимостта и непрекъснатостта на работата на Органа.“ </w:t>
      </w:r>
    </w:p>
    <w:p>
      <w:pPr>
        <w:pStyle w:val="ManualHeading3"/>
        <w:rPr>
          <w:noProof/>
        </w:rPr>
      </w:pPr>
      <w:bookmarkStart w:id="27" w:name="_Toc514938672"/>
      <w:bookmarkStart w:id="28" w:name="_Toc524270795"/>
      <w:r>
        <w:t>1.5.4.</w:t>
      </w:r>
      <w:r>
        <w:tab/>
      </w:r>
      <w:r>
        <w:rPr>
          <w:noProof/>
        </w:rPr>
        <w:t>Съгласуваност с многогодишната финансова рамка и евентуални синергии с други подходящи инструменти</w:t>
      </w:r>
      <w:bookmarkEnd w:id="27"/>
      <w:bookmarkEnd w:id="28"/>
    </w:p>
    <w:p>
      <w:pPr>
        <w:pStyle w:val="Text1"/>
        <w:pBdr>
          <w:top w:val="single" w:sz="4" w:space="1" w:color="auto"/>
          <w:left w:val="single" w:sz="4" w:space="4" w:color="auto"/>
          <w:bottom w:val="single" w:sz="4" w:space="1" w:color="auto"/>
          <w:right w:val="single" w:sz="4" w:space="4" w:color="auto"/>
        </w:pBdr>
        <w:rPr>
          <w:noProof/>
        </w:rPr>
      </w:pPr>
      <w:r>
        <w:rPr>
          <w:noProof/>
        </w:rPr>
        <w:t xml:space="preserve">Настоящото предложение няма да доведе до промени в максималния размер на административните разходи за институциите на Съюза, предвиден в многогодишната финансова рамка.  </w:t>
      </w:r>
    </w:p>
    <w:p>
      <w:pPr>
        <w:pStyle w:val="ManualHeading3"/>
        <w:rPr>
          <w:noProof/>
        </w:rPr>
      </w:pPr>
      <w:bookmarkStart w:id="29" w:name="_Toc514938673"/>
      <w:bookmarkStart w:id="30" w:name="_Toc524270796"/>
      <w:r>
        <w:t>1.5.5.</w:t>
      </w:r>
      <w:r>
        <w:tab/>
      </w:r>
      <w:r>
        <w:rPr>
          <w:noProof/>
        </w:rPr>
        <w:t>Оценка на различните налични варианти за финансиране, включително възможностите за преразпределяне на ресурси</w:t>
      </w:r>
      <w:bookmarkEnd w:id="29"/>
      <w:bookmarkEnd w:id="30"/>
    </w:p>
    <w:p>
      <w:pPr>
        <w:pStyle w:val="Text1"/>
        <w:pBdr>
          <w:top w:val="single" w:sz="4" w:space="1" w:color="auto"/>
          <w:left w:val="single" w:sz="4" w:space="4" w:color="auto"/>
          <w:bottom w:val="single" w:sz="4" w:space="1" w:color="auto"/>
          <w:right w:val="single" w:sz="4" w:space="4" w:color="auto"/>
        </w:pBdr>
        <w:rPr>
          <w:noProof/>
        </w:rPr>
      </w:pPr>
      <w:r>
        <w:rPr>
          <w:noProof/>
        </w:rPr>
        <w:t>Предложеното увеличение на персонала на Органа ще бъде осъществено преди всичко чрез преразпределянето на наличните ресурси.</w:t>
      </w:r>
    </w:p>
    <w:p>
      <w:pPr>
        <w:pStyle w:val="Text1"/>
        <w:rPr>
          <w:noProof/>
        </w:rPr>
      </w:pPr>
    </w:p>
    <w:p>
      <w:pPr>
        <w:pStyle w:val="ManualHeading2"/>
        <w:rPr>
          <w:bCs/>
          <w:noProof/>
          <w:szCs w:val="24"/>
        </w:rPr>
      </w:pPr>
      <w:bookmarkStart w:id="31" w:name="_Toc514938674"/>
      <w:bookmarkStart w:id="32" w:name="_Toc524270797"/>
      <w:r>
        <w:t>1.6.</w:t>
      </w:r>
      <w:r>
        <w:tab/>
      </w:r>
      <w:r>
        <w:rPr>
          <w:noProof/>
        </w:rPr>
        <w:t>Срок на действие и финансово отражение</w:t>
      </w:r>
      <w:bookmarkEnd w:id="31"/>
      <w:bookmarkEnd w:id="32"/>
    </w:p>
    <w:p>
      <w:pPr>
        <w:pStyle w:val="Text1"/>
        <w:rPr>
          <w:noProof/>
        </w:rPr>
      </w:pPr>
      <w:r>
        <w:rPr>
          <w:noProof/>
        </w:rPr>
        <w:sym w:font="Wingdings" w:char="F0A8"/>
      </w:r>
      <w:r>
        <w:rPr>
          <w:noProof/>
        </w:rPr>
        <w:t>Предложение/инициатива</w:t>
      </w:r>
      <w:r>
        <w:rPr>
          <w:b/>
          <w:i/>
          <w:noProof/>
        </w:rPr>
        <w:t xml:space="preserve"> </w:t>
      </w:r>
      <w:r>
        <w:rPr>
          <w:b/>
          <w:noProof/>
        </w:rPr>
        <w:t xml:space="preserve">с ограничен срок на действие </w:t>
      </w:r>
    </w:p>
    <w:p>
      <w:pPr>
        <w:pStyle w:val="ListDash2"/>
        <w:rPr>
          <w:noProof/>
        </w:rPr>
      </w:pPr>
      <w:r>
        <w:rPr>
          <w:noProof/>
        </w:rPr>
        <w:sym w:font="Wingdings" w:char="F0A8"/>
      </w:r>
      <w:r>
        <w:rPr>
          <w:noProof/>
        </w:rPr>
        <w:tab/>
        <w:t xml:space="preserve"> Предложение/инициатива в сила от [ДД/ММ]ГГГГ до [ДД/ММ]ГГГГ </w:t>
      </w:r>
    </w:p>
    <w:p>
      <w:pPr>
        <w:pStyle w:val="ListDash2"/>
        <w:rPr>
          <w:noProof/>
        </w:rPr>
      </w:pPr>
      <w:r>
        <w:rPr>
          <w:noProof/>
        </w:rPr>
        <w:sym w:font="Wingdings" w:char="F0A8"/>
      </w:r>
      <w:r>
        <w:rPr>
          <w:noProof/>
        </w:rPr>
        <w:tab/>
        <w:t>Финансово отражение от ГГГГ до ГГГГ</w:t>
      </w:r>
    </w:p>
    <w:p>
      <w:pPr>
        <w:pStyle w:val="Text1"/>
        <w:rPr>
          <w:noProof/>
        </w:rPr>
      </w:pPr>
      <w:r>
        <w:rPr>
          <w:b/>
          <w:noProof/>
        </w:rPr>
        <w:t>X 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bookmarkStart w:id="33" w:name="_Toc514938675"/>
      <w:bookmarkStart w:id="34" w:name="_Toc524270798"/>
      <w:r>
        <w:t>1.7.</w:t>
      </w:r>
      <w:r>
        <w:tab/>
      </w:r>
      <w:r>
        <w:rPr>
          <w:noProof/>
        </w:rPr>
        <w:t>Планирани методи на управление</w:t>
      </w:r>
      <w:r>
        <w:rPr>
          <w:rStyle w:val="FootnoteReference"/>
          <w:noProof/>
        </w:rPr>
        <w:footnoteReference w:id="20"/>
      </w:r>
      <w:bookmarkEnd w:id="33"/>
      <w:bookmarkEnd w:id="34"/>
      <w:r>
        <w:rPr>
          <w:rStyle w:val="FootnoteReference"/>
          <w:noProof/>
        </w:rPr>
        <w:t xml:space="preserve"> </w:t>
      </w:r>
    </w:p>
    <w:p>
      <w:pPr>
        <w:pStyle w:val="Text1"/>
        <w:rPr>
          <w:noProof/>
        </w:rPr>
      </w:pPr>
      <w:r>
        <w:rPr>
          <w:b/>
          <w:noProof/>
        </w:rPr>
        <w:t>X Пряко управление</w:t>
      </w:r>
      <w:r>
        <w:rPr>
          <w:noProof/>
        </w:rPr>
        <w:t xml:space="preserve"> от Европейския парламент чрез Органа</w:t>
      </w:r>
    </w:p>
    <w:p>
      <w:pPr>
        <w:pStyle w:val="ListDash2"/>
        <w:rPr>
          <w:noProof/>
        </w:rPr>
      </w:pPr>
      <w:r>
        <w:rPr>
          <w:noProof/>
        </w:rPr>
        <w:sym w:font="Wingdings" w:char="F0A8"/>
      </w:r>
      <w:r>
        <w:rPr>
          <w:noProof/>
        </w:rPr>
        <w:tab/>
        <w:t xml:space="preserve">изпълнителни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Text1"/>
        <w:rPr>
          <w:noProof/>
        </w:rPr>
      </w:pPr>
      <w:r>
        <w:rPr>
          <w:noProof/>
        </w:rPr>
        <w:sym w:font="Wingdings" w:char="F0A8"/>
      </w:r>
      <w:r>
        <w:rPr>
          <w:noProof/>
        </w:rPr>
        <w:t xml:space="preserve"> международни организации и техните агенции (да се уточни);</w:t>
      </w:r>
    </w:p>
    <w:p>
      <w:pPr>
        <w:pStyle w:val="Text1"/>
        <w:rPr>
          <w:noProof/>
        </w:rPr>
      </w:pPr>
      <w:r>
        <w:rPr>
          <w:noProof/>
        </w:rPr>
        <w:sym w:font="Wingdings" w:char="F0A8"/>
      </w:r>
      <w:r>
        <w:rPr>
          <w:noProof/>
        </w:rPr>
        <w:t xml:space="preserve"> ЕИБ и Европейския инвестиционен фонд;</w:t>
      </w:r>
    </w:p>
    <w:p>
      <w:pPr>
        <w:pStyle w:val="Text1"/>
        <w:rPr>
          <w:noProof/>
        </w:rPr>
      </w:pPr>
      <w:r>
        <w:rPr>
          <w:noProof/>
        </w:rPr>
        <w:sym w:font="Wingdings" w:char="F0A8"/>
      </w:r>
      <w:r>
        <w:rPr>
          <w:noProof/>
        </w:rPr>
        <w:t xml:space="preserve"> органите, посочени в членове 70 и 71 от Финансовия регламент;</w:t>
      </w:r>
    </w:p>
    <w:p>
      <w:pPr>
        <w:pStyle w:val="Text1"/>
        <w:rPr>
          <w:noProof/>
        </w:rPr>
      </w:pPr>
      <w:r>
        <w:rPr>
          <w:noProof/>
        </w:rPr>
        <w:sym w:font="Wingdings" w:char="F0A8"/>
      </w:r>
      <w:r>
        <w:rPr>
          <w:noProof/>
        </w:rPr>
        <w:t xml:space="preserve"> публичноправни органи;</w:t>
      </w:r>
    </w:p>
    <w:p>
      <w:pPr>
        <w:pStyle w:val="Text1"/>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ext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r>
        <w:rPr>
          <w:noProof/>
        </w:rPr>
        <w:t>Органът се финансира от конкретен бюджетен дял (дял 5) на Европейския парламент. Броят и съставът на персонала се посочват в забележките към бюджета на конкретния дял. Задълженията на разпоредителя с бюджетни кредити на Европейския парламент се делегират на директора на Органа в съответствие с член 6, параграф 7 от Регламент (ЕС, Евратом) № 1141/2014.</w:t>
      </w:r>
    </w:p>
    <w:p>
      <w:pPr>
        <w:rPr>
          <w:noProof/>
        </w:rPr>
      </w:pPr>
      <w:r>
        <w:rPr>
          <w:noProof/>
        </w:rPr>
        <w:t xml:space="preserve"> </w:t>
      </w:r>
    </w:p>
    <w:p>
      <w:pPr>
        <w:rPr>
          <w:noProof/>
        </w:rPr>
        <w:sectPr>
          <w:pgSz w:w="11907" w:h="16839" w:code="9"/>
          <w:pgMar w:top="794" w:right="907" w:bottom="851" w:left="1361" w:header="510" w:footer="454" w:gutter="0"/>
          <w:cols w:space="720"/>
          <w:docGrid w:linePitch="326"/>
        </w:sectPr>
      </w:pPr>
    </w:p>
    <w:p>
      <w:pPr>
        <w:pStyle w:val="ManualHeading1"/>
        <w:rPr>
          <w:bCs/>
          <w:noProof/>
          <w:szCs w:val="24"/>
        </w:rPr>
      </w:pPr>
      <w:bookmarkStart w:id="35" w:name="_Toc514938676"/>
      <w:bookmarkStart w:id="36" w:name="_Toc524270799"/>
      <w:r>
        <w:t>2.</w:t>
      </w:r>
      <w:r>
        <w:tab/>
      </w:r>
      <w:r>
        <w:rPr>
          <w:noProof/>
        </w:rPr>
        <w:t>МЕРКИ ЗА УПРАВЛЕНИЕ</w:t>
      </w:r>
      <w:bookmarkEnd w:id="35"/>
      <w:bookmarkEnd w:id="36"/>
      <w:r>
        <w:rPr>
          <w:noProof/>
        </w:rPr>
        <w:t xml:space="preserve"> </w:t>
      </w:r>
    </w:p>
    <w:p>
      <w:pPr>
        <w:pStyle w:val="ManualHeading2"/>
        <w:rPr>
          <w:bCs/>
          <w:noProof/>
          <w:szCs w:val="24"/>
        </w:rPr>
      </w:pPr>
      <w:bookmarkStart w:id="37" w:name="_Toc514938677"/>
      <w:bookmarkStart w:id="38" w:name="_Toc524270800"/>
      <w:r>
        <w:t>2.1.</w:t>
      </w:r>
      <w:r>
        <w:tab/>
      </w:r>
      <w:r>
        <w:rPr>
          <w:noProof/>
        </w:rPr>
        <w:t>Правила за мониторинг и докладване</w:t>
      </w:r>
      <w:bookmarkEnd w:id="37"/>
      <w:bookmarkEnd w:id="38"/>
      <w:r>
        <w:rPr>
          <w:noProof/>
        </w:rPr>
        <w:t xml:space="preserve">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Органът ще продължи да издава годишен доклад за дейността си съгласно член 10 от Регламент (ЕС, Евратом) № 1141/2014. Европейският парламент ще докладва за съответните финансови операции в контекста на годишния цикъл на счетоводно отчитане на Съюза.</w:t>
      </w:r>
    </w:p>
    <w:p>
      <w:pPr>
        <w:pStyle w:val="ManualHeading2"/>
        <w:rPr>
          <w:bCs/>
          <w:noProof/>
          <w:szCs w:val="24"/>
        </w:rPr>
      </w:pPr>
      <w:bookmarkStart w:id="39" w:name="_Toc514938678"/>
      <w:bookmarkStart w:id="40" w:name="_Toc524270801"/>
      <w:r>
        <w:t>2.2.</w:t>
      </w:r>
      <w:r>
        <w:tab/>
      </w:r>
      <w:r>
        <w:rPr>
          <w:noProof/>
        </w:rPr>
        <w:t>Системи за управление и контрол</w:t>
      </w:r>
      <w:bookmarkEnd w:id="39"/>
      <w:bookmarkEnd w:id="40"/>
      <w:r>
        <w:rPr>
          <w:noProof/>
        </w:rPr>
        <w:t xml:space="preserve"> </w:t>
      </w:r>
    </w:p>
    <w:p>
      <w:pPr>
        <w:pStyle w:val="ManualHeading3"/>
        <w:rPr>
          <w:noProof/>
        </w:rPr>
      </w:pPr>
      <w:bookmarkStart w:id="41" w:name="_Toc514938679"/>
      <w:bookmarkStart w:id="42" w:name="_Toc524270802"/>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41"/>
      <w:bookmarkEnd w:id="42"/>
    </w:p>
    <w:p>
      <w:pPr>
        <w:pStyle w:val="Text1"/>
        <w:pBdr>
          <w:top w:val="single" w:sz="4" w:space="1" w:color="auto"/>
          <w:left w:val="single" w:sz="4" w:space="4" w:color="auto"/>
          <w:bottom w:val="single" w:sz="4" w:space="1" w:color="auto"/>
          <w:right w:val="single" w:sz="4" w:space="4" w:color="auto"/>
        </w:pBdr>
        <w:rPr>
          <w:noProof/>
        </w:rPr>
      </w:pPr>
      <w:r>
        <w:rPr>
          <w:noProof/>
        </w:rPr>
        <w:t xml:space="preserve">С оглед на специфичната структура на Органа (независим орган, чийто бюджет обаче е част от бюджета на Европейския парламент) предложените мерки са единствените логични от гледна точка на изискванията, посочени по-горе. </w:t>
      </w:r>
    </w:p>
    <w:p>
      <w:pPr>
        <w:pStyle w:val="ManualHeading3"/>
        <w:rPr>
          <w:noProof/>
        </w:rPr>
      </w:pPr>
      <w:bookmarkStart w:id="43" w:name="_Toc514938680"/>
      <w:bookmarkStart w:id="44" w:name="_Toc524270803"/>
      <w:r>
        <w:t>2.2.2.</w:t>
      </w:r>
      <w:r>
        <w:tab/>
      </w:r>
      <w:r>
        <w:rPr>
          <w:noProof/>
        </w:rPr>
        <w:t>Информация относно установените рискове и системите за вътрешен контрол, създадени с цел намаляването им</w:t>
      </w:r>
      <w:bookmarkEnd w:id="43"/>
      <w:bookmarkEnd w:id="44"/>
    </w:p>
    <w:p>
      <w:pPr>
        <w:pStyle w:val="Text1"/>
        <w:pBdr>
          <w:top w:val="single" w:sz="4" w:space="1" w:color="auto"/>
          <w:left w:val="single" w:sz="4" w:space="4" w:color="auto"/>
          <w:bottom w:val="single" w:sz="4" w:space="1" w:color="auto"/>
          <w:right w:val="single" w:sz="4" w:space="4" w:color="auto"/>
        </w:pBdr>
        <w:rPr>
          <w:noProof/>
        </w:rPr>
      </w:pPr>
      <w:r>
        <w:rPr>
          <w:noProof/>
        </w:rPr>
        <w:t xml:space="preserve">Финансовите рискове са същите като за всяка друга част от административните разходи на институциите на Съюза, като в този случай те попадат в обхвата на съществуващата система за вътрешен контрол на Европейския парламент. </w:t>
      </w:r>
    </w:p>
    <w:p>
      <w:pPr>
        <w:pStyle w:val="ManualHeading3"/>
        <w:rPr>
          <w:noProof/>
        </w:rPr>
      </w:pPr>
      <w:bookmarkStart w:id="45" w:name="_Toc514938681"/>
      <w:bookmarkStart w:id="46" w:name="_Toc524270804"/>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45"/>
      <w:bookmarkEnd w:id="4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Не се предлага нова система за вътрешен контрол, а допълнителната тежест на тези промени върху системата за вътрешен контрол на Европейския парламент е незначителна. </w:t>
      </w:r>
    </w:p>
    <w:p>
      <w:pPr>
        <w:spacing w:before="0" w:after="200" w:line="276" w:lineRule="auto"/>
        <w:jc w:val="left"/>
        <w:rPr>
          <w:rFonts w:eastAsiaTheme="majorEastAsia"/>
          <w:b/>
          <w:bCs/>
          <w:noProof/>
          <w:szCs w:val="26"/>
        </w:rPr>
      </w:pPr>
      <w:bookmarkStart w:id="47" w:name="_Toc514938682"/>
      <w:r>
        <w:rPr>
          <w:noProof/>
        </w:rPr>
        <w:br w:type="page"/>
      </w:r>
    </w:p>
    <w:p>
      <w:pPr>
        <w:pStyle w:val="ManualHeading2"/>
        <w:rPr>
          <w:bCs/>
          <w:noProof/>
          <w:szCs w:val="24"/>
        </w:rPr>
      </w:pPr>
      <w:bookmarkStart w:id="48" w:name="_Toc524270805"/>
      <w:r>
        <w:t>2.3.</w:t>
      </w:r>
      <w:r>
        <w:tab/>
      </w:r>
      <w:r>
        <w:rPr>
          <w:noProof/>
        </w:rPr>
        <w:t>Мерки за предотвратяване на измами и нередности</w:t>
      </w:r>
      <w:bookmarkEnd w:id="47"/>
      <w:bookmarkEnd w:id="48"/>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Съществуващите разпоредби на Европейския парламент за неговите административни разходи ще се прилагат към посочените тук. </w:t>
      </w:r>
    </w:p>
    <w:p>
      <w:pPr>
        <w:pStyle w:val="ManualHeading1"/>
        <w:rPr>
          <w:bCs/>
          <w:noProof/>
          <w:szCs w:val="24"/>
        </w:rPr>
      </w:pPr>
      <w:bookmarkStart w:id="49" w:name="_Toc514938683"/>
      <w:bookmarkStart w:id="50" w:name="_Toc524270806"/>
      <w:r>
        <w:t>3.</w:t>
      </w:r>
      <w:r>
        <w:tab/>
      </w:r>
      <w:r>
        <w:rPr>
          <w:noProof/>
        </w:rPr>
        <w:t>ОЧАКВАНО ФИНАНСОВО ОТРАЖЕНИЕ НА ПРЕДЛОЖЕНИЕТО/ИНИЦИАТИВАТА</w:t>
      </w:r>
      <w:bookmarkEnd w:id="49"/>
      <w:bookmarkEnd w:id="50"/>
      <w:r>
        <w:rPr>
          <w:noProof/>
        </w:rPr>
        <w:t xml:space="preserve"> </w:t>
      </w:r>
    </w:p>
    <w:p>
      <w:pPr>
        <w:pStyle w:val="ManualHeading2"/>
        <w:rPr>
          <w:bCs/>
          <w:noProof/>
          <w:szCs w:val="24"/>
        </w:rPr>
      </w:pPr>
      <w:bookmarkStart w:id="51" w:name="_Toc514938684"/>
      <w:bookmarkStart w:id="52" w:name="_Toc524270807"/>
      <w:r>
        <w:t>3.1.</w:t>
      </w:r>
      <w:r>
        <w:tab/>
      </w:r>
      <w:r>
        <w:rPr>
          <w:noProof/>
        </w:rPr>
        <w:t>Съответни функции от многогодишната финансова рамка и разходни бюджетни редове</w:t>
      </w:r>
      <w:bookmarkEnd w:id="51"/>
      <w:bookmarkEnd w:id="52"/>
      <w:r>
        <w:rPr>
          <w:noProof/>
        </w:rPr>
        <w:t xml:space="preserve">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sz w:val="22"/>
              </w:rPr>
              <w:br/>
            </w:r>
            <w:r>
              <w:rPr>
                <w:noProof/>
                <w:sz w:val="18"/>
              </w:rPr>
              <w:t>разхода</w:t>
            </w:r>
          </w:p>
        </w:tc>
        <w:tc>
          <w:tcPr>
            <w:tcW w:w="4556"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rPr>
                <w:noProof/>
                <w:sz w:val="18"/>
              </w:rPr>
            </w:pPr>
          </w:p>
        </w:tc>
        <w:tc>
          <w:tcPr>
            <w:tcW w:w="396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rPr>
              <w:t>Многогод./едногод</w:t>
            </w:r>
            <w:r>
              <w:rPr>
                <w:rStyle w:val="FootnoteReference"/>
                <w:noProof/>
                <w:sz w:val="18"/>
              </w:rPr>
              <w:footnoteReference w:id="21"/>
            </w:r>
            <w:r>
              <w:rPr>
                <w:noProof/>
              </w:rPr>
              <w:t>.</w:t>
            </w:r>
          </w:p>
        </w:tc>
        <w:tc>
          <w:tcPr>
            <w:tcW w:w="956" w:type="dxa"/>
            <w:vAlign w:val="center"/>
          </w:tcPr>
          <w:p>
            <w:pPr>
              <w:jc w:val="center"/>
              <w:rPr>
                <w:noProof/>
              </w:rPr>
            </w:pPr>
            <w:r>
              <w:rPr>
                <w:noProof/>
                <w:sz w:val="18"/>
              </w:rPr>
              <w:t>от държави от ЕАСТ</w:t>
            </w:r>
            <w:r>
              <w:rPr>
                <w:rStyle w:val="FootnoteReference"/>
                <w:noProof/>
                <w:sz w:val="18"/>
              </w:rPr>
              <w:footnoteReference w:id="22"/>
            </w:r>
          </w:p>
        </w:tc>
        <w:tc>
          <w:tcPr>
            <w:tcW w:w="1080" w:type="dxa"/>
            <w:vAlign w:val="center"/>
          </w:tcPr>
          <w:p>
            <w:pPr>
              <w:jc w:val="center"/>
              <w:rPr>
                <w:noProof/>
                <w:sz w:val="18"/>
              </w:rPr>
            </w:pPr>
            <w:r>
              <w:rPr>
                <w:noProof/>
                <w:sz w:val="18"/>
              </w:rPr>
              <w:t>от държави кандидатки</w:t>
            </w:r>
            <w:r>
              <w:rPr>
                <w:rStyle w:val="FootnoteReference"/>
                <w:noProof/>
                <w:sz w:val="18"/>
              </w:rPr>
              <w:footnoteReference w:id="23"/>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sz w:val="16"/>
                <w:szCs w:val="16"/>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5</w:t>
            </w:r>
          </w:p>
        </w:tc>
        <w:tc>
          <w:tcPr>
            <w:tcW w:w="3960" w:type="dxa"/>
            <w:vAlign w:val="center"/>
          </w:tcPr>
          <w:p>
            <w:pPr>
              <w:spacing w:after="60"/>
              <w:rPr>
                <w:noProof/>
              </w:rPr>
            </w:pPr>
            <w:r>
              <w:rPr>
                <w:noProof/>
              </w:rPr>
              <w:t>Раздел I — Европейски парламент</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20"/>
              </w:rPr>
            </w:pPr>
            <w:r>
              <w:rPr>
                <w:noProof/>
                <w:sz w:val="20"/>
              </w:rPr>
              <w:t>НЕ</w:t>
            </w:r>
          </w:p>
        </w:tc>
        <w:tc>
          <w:tcPr>
            <w:tcW w:w="1080" w:type="dxa"/>
            <w:vAlign w:val="center"/>
          </w:tcPr>
          <w:p>
            <w:pPr>
              <w:jc w:val="center"/>
              <w:rPr>
                <w:noProof/>
                <w:sz w:val="20"/>
              </w:rPr>
            </w:pPr>
            <w:r>
              <w:rPr>
                <w:noProof/>
                <w:sz w:val="20"/>
              </w:rPr>
              <w:t>НЕ</w:t>
            </w:r>
          </w:p>
        </w:tc>
        <w:tc>
          <w:tcPr>
            <w:tcW w:w="956" w:type="dxa"/>
            <w:vAlign w:val="center"/>
          </w:tcPr>
          <w:p>
            <w:pPr>
              <w:jc w:val="center"/>
              <w:rPr>
                <w:noProof/>
                <w:sz w:val="20"/>
              </w:rPr>
            </w:pPr>
            <w:r>
              <w:rPr>
                <w:noProof/>
                <w:sz w:val="20"/>
              </w:rPr>
              <w:t>НЕ</w:t>
            </w:r>
          </w:p>
        </w:tc>
        <w:tc>
          <w:tcPr>
            <w:tcW w:w="1564" w:type="dxa"/>
            <w:vAlign w:val="center"/>
          </w:tcPr>
          <w:p>
            <w:pPr>
              <w:jc w:val="center"/>
              <w:rPr>
                <w:noProof/>
                <w:sz w:val="20"/>
              </w:rPr>
            </w:pPr>
            <w:r>
              <w:rPr>
                <w:noProof/>
                <w:sz w:val="20"/>
              </w:rPr>
              <w:t>НЕ</w:t>
            </w:r>
          </w:p>
        </w:tc>
      </w:tr>
    </w:tbl>
    <w:p>
      <w:pPr>
        <w:rPr>
          <w:noProof/>
        </w:rPr>
        <w:sectPr>
          <w:pgSz w:w="11907" w:h="16839" w:code="9"/>
          <w:pgMar w:top="794" w:right="907" w:bottom="851" w:left="1361" w:header="510" w:footer="454" w:gutter="0"/>
          <w:cols w:space="720"/>
          <w:docGrid w:linePitch="326"/>
        </w:sectPr>
      </w:pPr>
    </w:p>
    <w:p>
      <w:pPr>
        <w:pStyle w:val="ManualHeading2"/>
        <w:rPr>
          <w:bCs/>
          <w:noProof/>
          <w:szCs w:val="24"/>
        </w:rPr>
      </w:pPr>
      <w:bookmarkStart w:id="53" w:name="_Toc514938685"/>
      <w:bookmarkStart w:id="54" w:name="_Toc524270808"/>
      <w:r>
        <w:t>3.2.</w:t>
      </w:r>
      <w:r>
        <w:tab/>
      </w:r>
      <w:r>
        <w:rPr>
          <w:noProof/>
        </w:rPr>
        <w:t>Очаквано отражение върху разходите</w:t>
      </w:r>
      <w:bookmarkEnd w:id="53"/>
      <w:bookmarkEnd w:id="54"/>
      <w:r>
        <w:rPr>
          <w:noProof/>
        </w:rPr>
        <w:t xml:space="preserve"> </w:t>
      </w:r>
    </w:p>
    <w:p>
      <w:pPr>
        <w:pStyle w:val="ManualHeading3"/>
        <w:rPr>
          <w:bCs/>
          <w:noProof/>
          <w:szCs w:val="24"/>
        </w:rPr>
      </w:pPr>
      <w:bookmarkStart w:id="55" w:name="_Toc514938686"/>
      <w:bookmarkStart w:id="56" w:name="_Toc524270809"/>
      <w:r>
        <w:t>3.2.1.</w:t>
      </w:r>
      <w:r>
        <w:tab/>
      </w:r>
      <w:r>
        <w:rPr>
          <w:noProof/>
        </w:rPr>
        <w:t>Обобщение на очакваното отражение върху разходите</w:t>
      </w:r>
      <w:bookmarkEnd w:id="55"/>
      <w:bookmarkEnd w:id="56"/>
      <w:r>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spacing w:before="0" w:after="0"/>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 xml:space="preserve">Европейски парламент </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Европейски парламент</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 xml:space="preserve"> 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bl>
    <w:p>
      <w:pPr>
        <w:spacing w:after="0"/>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24"/>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 xml:space="preserve"> 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b/>
                <w:noProof/>
                <w:sz w:val="20"/>
              </w:rPr>
            </w:pPr>
            <w:r>
              <w:rPr>
                <w:b/>
                <w:noProof/>
                <w:sz w:val="20"/>
              </w:rPr>
              <w:t>1,43</w:t>
            </w:r>
          </w:p>
        </w:tc>
        <w:tc>
          <w:tcPr>
            <w:tcW w:w="1777" w:type="dxa"/>
            <w:vAlign w:val="center"/>
          </w:tcPr>
          <w:p>
            <w:pPr>
              <w:spacing w:before="60" w:after="60"/>
              <w:jc w:val="right"/>
              <w:rPr>
                <w:b/>
                <w:noProof/>
                <w:sz w:val="20"/>
              </w:rPr>
            </w:pPr>
            <w:r>
              <w:rPr>
                <w:b/>
                <w:noProof/>
                <w:sz w:val="20"/>
              </w:rPr>
              <w:t>10,01</w:t>
            </w:r>
          </w:p>
        </w:tc>
      </w:tr>
      <w:tr>
        <w:tc>
          <w:tcPr>
            <w:tcW w:w="3960" w:type="dxa"/>
            <w:vMerge/>
            <w:vAlign w:val="center"/>
          </w:tcPr>
          <w:p>
            <w:pPr>
              <w:rPr>
                <w:b/>
                <w:noProof/>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b/>
                <w:noProof/>
                <w:sz w:val="20"/>
              </w:rPr>
            </w:pPr>
            <w:r>
              <w:rPr>
                <w:b/>
                <w:noProof/>
                <w:sz w:val="20"/>
              </w:rPr>
              <w:t>1,43</w:t>
            </w:r>
          </w:p>
        </w:tc>
        <w:tc>
          <w:tcPr>
            <w:tcW w:w="1777" w:type="dxa"/>
            <w:vAlign w:val="center"/>
          </w:tcPr>
          <w:p>
            <w:pPr>
              <w:spacing w:before="60" w:after="60"/>
              <w:jc w:val="right"/>
              <w:rPr>
                <w:b/>
                <w:noProof/>
                <w:sz w:val="20"/>
              </w:rPr>
            </w:pPr>
            <w:r>
              <w:rPr>
                <w:b/>
                <w:noProof/>
                <w:sz w:val="20"/>
              </w:rPr>
              <w:t>10,01</w:t>
            </w:r>
          </w:p>
        </w:tc>
      </w:tr>
    </w:tbl>
    <w:p>
      <w:pPr>
        <w:rPr>
          <w:noProof/>
        </w:rPr>
        <w:sectPr>
          <w:headerReference w:type="default" r:id="rId18"/>
          <w:footerReference w:type="default" r:id="rId19"/>
          <w:headerReference w:type="first" r:id="rId20"/>
          <w:footerReference w:type="first" r:id="rId21"/>
          <w:pgSz w:w="16839" w:h="11907" w:orient="landscape" w:code="9"/>
          <w:pgMar w:top="1134" w:right="1077" w:bottom="902" w:left="1247" w:header="709" w:footer="510" w:gutter="0"/>
          <w:cols w:space="720"/>
          <w:docGrid w:linePitch="326"/>
        </w:sectPr>
      </w:pPr>
    </w:p>
    <w:p>
      <w:pPr>
        <w:pStyle w:val="ManualHeading3"/>
        <w:rPr>
          <w:bCs/>
          <w:noProof/>
          <w:szCs w:val="24"/>
        </w:rPr>
      </w:pPr>
      <w:bookmarkStart w:id="57" w:name="_Toc514938687"/>
      <w:bookmarkStart w:id="58" w:name="_Toc524270810"/>
      <w:r>
        <w:t>3.2.2.</w:t>
      </w:r>
      <w:r>
        <w:tab/>
      </w:r>
      <w:r>
        <w:rPr>
          <w:noProof/>
        </w:rPr>
        <w:t>Очаквано отражение върху бюджетните кредити [за структурата]</w:t>
      </w:r>
      <w:bookmarkEnd w:id="57"/>
      <w:bookmarkEnd w:id="58"/>
      <w:r>
        <w:rPr>
          <w:noProof/>
        </w:rPr>
        <w:t xml:space="preserve"> </w:t>
      </w:r>
    </w:p>
    <w:p>
      <w:pPr>
        <w:pStyle w:val="ListDash1"/>
        <w:rPr>
          <w:noProof/>
        </w:rPr>
      </w:pPr>
      <w:r>
        <w:rPr>
          <w:noProof/>
        </w:rPr>
        <w:t>Х</w:t>
      </w:r>
      <w:r>
        <w:rPr>
          <w:noProof/>
        </w:rPr>
        <w:tab/>
        <w:t xml:space="preserve">Предложението/инициативата не налага използване на бюджетни кредити за оперативни разходи </w:t>
      </w:r>
    </w:p>
    <w:p>
      <w:pPr>
        <w:pStyle w:val="ListDash1"/>
        <w:rPr>
          <w:noProof/>
          <w:spacing w:val="-4"/>
        </w:rPr>
      </w:pPr>
      <w:r>
        <w:rPr>
          <w:noProof/>
          <w:spacing w:val="-4"/>
        </w:rPr>
        <w:sym w:font="Wingdings" w:char="F0A8"/>
      </w:r>
      <w:r>
        <w:rPr>
          <w:noProof/>
          <w:spacing w:val="-4"/>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Да се посочат целите и резултатите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Година</w:t>
            </w:r>
            <w:r>
              <w:rPr>
                <w:noProof/>
                <w:sz w:val="22"/>
              </w:rPr>
              <w:br/>
            </w:r>
            <w:r>
              <w:rPr>
                <w:b/>
                <w:noProof/>
                <w:sz w:val="18"/>
              </w:rPr>
              <w:t>N</w:t>
            </w:r>
          </w:p>
        </w:tc>
        <w:tc>
          <w:tcPr>
            <w:tcW w:w="1260" w:type="dxa"/>
            <w:gridSpan w:val="2"/>
            <w:vAlign w:val="center"/>
          </w:tcPr>
          <w:p>
            <w:pPr>
              <w:ind w:right="-29"/>
              <w:jc w:val="center"/>
              <w:rPr>
                <w:noProof/>
                <w:sz w:val="18"/>
              </w:rPr>
            </w:pPr>
            <w:r>
              <w:rPr>
                <w:noProof/>
                <w:sz w:val="18"/>
              </w:rPr>
              <w:t>Година</w:t>
            </w:r>
            <w:r>
              <w:rPr>
                <w:noProof/>
                <w:sz w:val="22"/>
              </w:rPr>
              <w:br/>
            </w:r>
            <w:r>
              <w:rPr>
                <w:b/>
                <w:noProof/>
                <w:sz w:val="18"/>
              </w:rPr>
              <w:t>N+1</w:t>
            </w:r>
          </w:p>
        </w:tc>
        <w:tc>
          <w:tcPr>
            <w:tcW w:w="1440" w:type="dxa"/>
            <w:gridSpan w:val="2"/>
            <w:vAlign w:val="center"/>
          </w:tcPr>
          <w:p>
            <w:pPr>
              <w:ind w:right="-29"/>
              <w:jc w:val="center"/>
              <w:rPr>
                <w:noProof/>
                <w:sz w:val="18"/>
              </w:rPr>
            </w:pPr>
            <w:r>
              <w:rPr>
                <w:noProof/>
                <w:sz w:val="18"/>
              </w:rPr>
              <w:t>Година</w:t>
            </w:r>
            <w:r>
              <w:rPr>
                <w:noProof/>
                <w:sz w:val="22"/>
              </w:rPr>
              <w:br/>
            </w:r>
            <w:r>
              <w:rPr>
                <w:b/>
                <w:noProof/>
                <w:sz w:val="18"/>
              </w:rPr>
              <w:t>N+2</w:t>
            </w:r>
          </w:p>
        </w:tc>
        <w:tc>
          <w:tcPr>
            <w:tcW w:w="1620" w:type="dxa"/>
            <w:gridSpan w:val="3"/>
            <w:vAlign w:val="center"/>
          </w:tcPr>
          <w:p>
            <w:pPr>
              <w:ind w:right="-29"/>
              <w:jc w:val="center"/>
              <w:rPr>
                <w:noProof/>
                <w:sz w:val="18"/>
              </w:rPr>
            </w:pPr>
            <w:r>
              <w:rPr>
                <w:noProof/>
                <w:sz w:val="18"/>
              </w:rPr>
              <w:t>Година</w:t>
            </w:r>
            <w:r>
              <w:rPr>
                <w:noProof/>
                <w:sz w:val="22"/>
              </w:rPr>
              <w:br/>
            </w:r>
            <w:r>
              <w:rPr>
                <w:b/>
                <w:noProof/>
                <w:sz w:val="18"/>
              </w:rPr>
              <w:t>N+3</w:t>
            </w:r>
          </w:p>
        </w:tc>
        <w:tc>
          <w:tcPr>
            <w:tcW w:w="3600" w:type="dxa"/>
            <w:gridSpan w:val="6"/>
            <w:vAlign w:val="center"/>
          </w:tcPr>
          <w:p>
            <w:pPr>
              <w:jc w:val="center"/>
              <w:rPr>
                <w:b/>
                <w:noProof/>
                <w:spacing w:val="-10"/>
                <w:sz w:val="18"/>
              </w:rPr>
            </w:pPr>
            <w:r>
              <w:rPr>
                <w:noProof/>
                <w:spacing w:val="-10"/>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rPr>
            </w:pPr>
            <w:r>
              <w:rPr>
                <w:b/>
                <w:noProof/>
                <w:sz w:val="18"/>
              </w:rPr>
              <w:t>ОБЩО</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РЕЗУЛТАТИ</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Вид</w:t>
            </w:r>
            <w:r>
              <w:rPr>
                <w:rStyle w:val="FootnoteReference"/>
                <w:noProof/>
                <w:sz w:val="18"/>
              </w:rPr>
              <w:footnoteReference w:id="25"/>
            </w:r>
          </w:p>
        </w:tc>
        <w:tc>
          <w:tcPr>
            <w:tcW w:w="701" w:type="dxa"/>
            <w:vAlign w:val="center"/>
          </w:tcPr>
          <w:p>
            <w:pPr>
              <w:jc w:val="center"/>
              <w:rPr>
                <w:noProof/>
                <w:spacing w:val="-16"/>
              </w:rPr>
            </w:pPr>
            <w:r>
              <w:rPr>
                <w:noProof/>
                <w:spacing w:val="-16"/>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648" w:type="dxa"/>
            <w:tcBorders>
              <w:left w:val="dashSmallGap" w:sz="4" w:space="0" w:color="auto"/>
            </w:tcBorders>
            <w:shd w:val="pct10" w:color="auto" w:fill="auto"/>
            <w:vAlign w:val="center"/>
          </w:tcPr>
          <w:p>
            <w:pPr>
              <w:jc w:val="center"/>
              <w:rPr>
                <w:noProof/>
                <w:sz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rPr>
            </w:pPr>
            <w:r>
              <w:rPr>
                <w:noProof/>
                <w:sz w:val="18"/>
              </w:rPr>
              <w:t>Общо №</w:t>
            </w:r>
          </w:p>
        </w:tc>
        <w:tc>
          <w:tcPr>
            <w:tcW w:w="900" w:type="dxa"/>
            <w:tcBorders>
              <w:left w:val="dashSmallGap" w:sz="4" w:space="0" w:color="auto"/>
            </w:tcBorders>
            <w:shd w:val="pct10" w:color="auto" w:fill="auto"/>
            <w:vAlign w:val="center"/>
          </w:tcPr>
          <w:p>
            <w:pPr>
              <w:jc w:val="center"/>
              <w:rPr>
                <w:noProof/>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rPr>
            </w:pPr>
            <w:r>
              <w:rPr>
                <w:noProof/>
                <w:sz w:val="18"/>
              </w:rPr>
              <w:t>КОНКРЕТНА ЦЕЛ № 1</w:t>
            </w:r>
            <w:r>
              <w:rPr>
                <w:rStyle w:val="FootnoteReference"/>
                <w:noProof/>
                <w:sz w:val="18"/>
              </w:rPr>
              <w:footnoteReference w:id="26"/>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2"/>
          <w:footerReference w:type="default" r:id="rId23"/>
          <w:headerReference w:type="first" r:id="rId24"/>
          <w:footerReference w:type="first" r:id="rId25"/>
          <w:pgSz w:w="15840" w:h="12240" w:orient="landscape"/>
          <w:pgMar w:top="1418" w:right="902" w:bottom="902" w:left="567" w:header="709" w:footer="709" w:gutter="0"/>
          <w:cols w:space="720"/>
          <w:docGrid w:linePitch="326"/>
        </w:sectPr>
      </w:pPr>
    </w:p>
    <w:p>
      <w:pPr>
        <w:pStyle w:val="ManualHeading3"/>
        <w:rPr>
          <w:noProof/>
        </w:rPr>
      </w:pPr>
      <w:bookmarkStart w:id="59" w:name="_Toc514938688"/>
      <w:bookmarkStart w:id="60" w:name="_Toc524270811"/>
      <w:r>
        <w:t>3.2.3.</w:t>
      </w:r>
      <w:r>
        <w:tab/>
      </w:r>
      <w:r>
        <w:rPr>
          <w:noProof/>
        </w:rPr>
        <w:t>Очаквано отражение върху човешките ресурси на Органа</w:t>
      </w:r>
      <w:bookmarkEnd w:id="59"/>
      <w:bookmarkEnd w:id="60"/>
      <w:r>
        <w:rPr>
          <w:noProof/>
        </w:rPr>
        <w:t xml:space="preserve"> </w:t>
      </w:r>
    </w:p>
    <w:p>
      <w:pPr>
        <w:pStyle w:val="Text1"/>
        <w:rPr>
          <w:noProof/>
        </w:rPr>
      </w:pPr>
      <w:r>
        <w:rPr>
          <w:noProof/>
        </w:rPr>
        <w:t xml:space="preserve">Описаните по-долу ресурси са същите, като посочените в точка 3.2.1 по-горе; те са повторени тук, за да е ясно, че всички въпросни ресурси са за Органа. </w:t>
      </w:r>
    </w:p>
    <w:p>
      <w:pPr>
        <w:pStyle w:val="ManualHeading4"/>
        <w:rPr>
          <w:bCs/>
          <w:noProof/>
          <w:szCs w:val="24"/>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Х</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 xml:space="preserve">N </w:t>
            </w:r>
            <w:r>
              <w:rPr>
                <w:rStyle w:val="FootnoteReference"/>
                <w:b/>
                <w:noProof/>
                <w:sz w:val="20"/>
              </w:rPr>
              <w:footnoteReference w:id="27"/>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N+1</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N+2</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N+3</w:t>
            </w:r>
          </w:p>
        </w:tc>
        <w:tc>
          <w:tcPr>
            <w:tcW w:w="3240" w:type="dxa"/>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jc w:val="center"/>
              <w:rPr>
                <w:b/>
                <w:noProof/>
                <w:sz w:val="20"/>
              </w:rPr>
            </w:pPr>
            <w:r>
              <w:rPr>
                <w:b/>
                <w:noProof/>
                <w:sz w:val="20"/>
              </w:rPr>
              <w:t>ОБЩО</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Длъжностни лица/срочно наети служители (степени AD)</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Длъжностни лица/срочно наети служители (степени AST)</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Договорно нает персонал</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10,01</w:t>
            </w:r>
          </w:p>
        </w:tc>
      </w:tr>
    </w:tbl>
    <w:p>
      <w:pPr>
        <w:rPr>
          <w:noProof/>
          <w:u w:val="single"/>
        </w:rPr>
      </w:pPr>
    </w:p>
    <w:p>
      <w:pPr>
        <w:rPr>
          <w:noProof/>
          <w:sz w:val="20"/>
        </w:rPr>
      </w:pPr>
      <w:r>
        <w:rPr>
          <w:noProof/>
          <w:sz w:val="20"/>
        </w:rPr>
        <w:t>Изисквания по отношение на персонала (ЕПРВ):</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 xml:space="preserve">N </w:t>
            </w:r>
            <w:r>
              <w:rPr>
                <w:rStyle w:val="FootnoteReference"/>
                <w:b/>
                <w:noProof/>
                <w:sz w:val="20"/>
              </w:rPr>
              <w:footnoteReference w:id="28"/>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N+1</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N+2</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N+3</w:t>
            </w:r>
          </w:p>
        </w:tc>
        <w:tc>
          <w:tcPr>
            <w:tcW w:w="3240"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jc w:val="center"/>
              <w:rPr>
                <w:b/>
                <w:noProof/>
                <w:sz w:val="20"/>
              </w:rPr>
            </w:pPr>
            <w:r>
              <w:rPr>
                <w:b/>
                <w:noProof/>
                <w:sz w:val="20"/>
              </w:rPr>
              <w:t>ОБЩО</w:t>
            </w:r>
          </w:p>
        </w:tc>
      </w:tr>
      <w:tr>
        <w:trPr>
          <w:trHeight w:val="585"/>
        </w:trPr>
        <w:tc>
          <w:tcPr>
            <w:tcW w:w="1980" w:type="dxa"/>
            <w:shd w:val="clear" w:color="auto" w:fill="D9D9D9" w:themeFill="background1" w:themeFillShade="D9"/>
            <w:vAlign w:val="center"/>
          </w:tcPr>
          <w:p>
            <w:pPr>
              <w:spacing w:before="60" w:after="60"/>
              <w:jc w:val="center"/>
              <w:rPr>
                <w:noProof/>
              </w:rPr>
            </w:pPr>
            <w:r>
              <w:rPr>
                <w:noProof/>
                <w:sz w:val="18"/>
              </w:rPr>
              <w:t>Длъжностни лица/срочно наети служители (степени AD)</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b/>
                <w:noProof/>
                <w:sz w:val="20"/>
              </w:rPr>
            </w:pPr>
            <w:r>
              <w:rPr>
                <w:b/>
                <w:noProof/>
                <w:sz w:val="20"/>
              </w:rPr>
              <w:t>5</w:t>
            </w:r>
          </w:p>
        </w:tc>
        <w:tc>
          <w:tcPr>
            <w:tcW w:w="1080" w:type="dxa"/>
            <w:vAlign w:val="center"/>
          </w:tcPr>
          <w:p>
            <w:pPr>
              <w:spacing w:before="60" w:after="60"/>
              <w:jc w:val="right"/>
              <w:rPr>
                <w:b/>
                <w:noProof/>
                <w:sz w:val="20"/>
              </w:rPr>
            </w:pPr>
            <w:r>
              <w:rPr>
                <w:b/>
                <w:noProof/>
                <w:sz w:val="20"/>
              </w:rPr>
              <w:t>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Длъжностни лица/срочно наети служители (степени AST)</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b/>
                <w:noProof/>
                <w:sz w:val="20"/>
              </w:rPr>
            </w:pPr>
            <w:r>
              <w:rPr>
                <w:b/>
                <w:noProof/>
                <w:sz w:val="20"/>
              </w:rPr>
              <w:t>5</w:t>
            </w:r>
          </w:p>
        </w:tc>
        <w:tc>
          <w:tcPr>
            <w:tcW w:w="1080" w:type="dxa"/>
            <w:vAlign w:val="center"/>
          </w:tcPr>
          <w:p>
            <w:pPr>
              <w:spacing w:before="60" w:after="60"/>
              <w:jc w:val="right"/>
              <w:rPr>
                <w:b/>
                <w:noProof/>
                <w:sz w:val="20"/>
              </w:rPr>
            </w:pPr>
            <w:r>
              <w:rPr>
                <w:b/>
                <w:noProof/>
                <w:sz w:val="20"/>
              </w:rPr>
              <w:t>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Договорно нает персонал</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70</w:t>
            </w:r>
          </w:p>
        </w:tc>
      </w:tr>
    </w:tbl>
    <w:p>
      <w:pPr>
        <w:pStyle w:val="Text1"/>
        <w:rPr>
          <w:b/>
          <w:noProof/>
          <w:sz w:val="22"/>
        </w:rPr>
      </w:pPr>
      <w:r>
        <w:rPr>
          <w:b/>
          <w:noProof/>
          <w:sz w:val="22"/>
        </w:rPr>
        <w:t>Нуждите от човешки ресурси ще бъдат покрити от персонала на институциите, на който вече е възложено управлението на дейността и/или който е преразпределен в рамките на институцията, при необходимост заедно с всички допълнителни отпуснати ресурси, които могат да бъдат предоставени на управляващата институция в рамките на годишната бюджетна процедура и като се имат предвид бюджетните ограничения.</w:t>
      </w:r>
    </w:p>
    <w:p>
      <w:pPr>
        <w:rPr>
          <w:noProof/>
        </w:rPr>
      </w:pPr>
    </w:p>
    <w:p>
      <w:pPr>
        <w:pStyle w:val="ManualHeading3"/>
        <w:rPr>
          <w:bCs/>
          <w:noProof/>
          <w:szCs w:val="24"/>
        </w:rPr>
      </w:pPr>
      <w:bookmarkStart w:id="61" w:name="_Toc514938689"/>
      <w:bookmarkStart w:id="62" w:name="_Toc524270812"/>
      <w:r>
        <w:t>3.2.4.</w:t>
      </w:r>
      <w:r>
        <w:tab/>
      </w:r>
      <w:r>
        <w:rPr>
          <w:noProof/>
        </w:rPr>
        <w:t>Съгласуваност с текущата многогодишна финансова рамка</w:t>
      </w:r>
      <w:bookmarkEnd w:id="61"/>
      <w:bookmarkEnd w:id="62"/>
      <w:r>
        <w:rPr>
          <w:noProof/>
        </w:rPr>
        <w:t xml:space="preserve"> </w:t>
      </w:r>
    </w:p>
    <w:p>
      <w:pPr>
        <w:pStyle w:val="ListDash1"/>
        <w:rPr>
          <w:noProof/>
        </w:rPr>
      </w:pPr>
      <w:r>
        <w:rPr>
          <w:noProof/>
        </w:rPr>
        <w:t>X</w:t>
      </w:r>
      <w:r>
        <w:rPr>
          <w:noProof/>
        </w:rPr>
        <w:tab/>
        <w:t>Предложението/инициативата е съгласувано с текущата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29"/>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и бюджетни редове и съответстващите суми.</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ManualHeading3"/>
        <w:rPr>
          <w:bCs/>
          <w:noProof/>
          <w:szCs w:val="24"/>
        </w:rPr>
      </w:pPr>
      <w:bookmarkStart w:id="63" w:name="_Toc514938690"/>
      <w:bookmarkStart w:id="64" w:name="_Toc524270813"/>
      <w:r>
        <w:t>3.2.5.</w:t>
      </w:r>
      <w:r>
        <w:tab/>
      </w:r>
      <w:r>
        <w:rPr>
          <w:noProof/>
        </w:rPr>
        <w:t>Финансов принос от трети страни</w:t>
      </w:r>
      <w:bookmarkEnd w:id="63"/>
      <w:bookmarkEnd w:id="64"/>
      <w:r>
        <w:rPr>
          <w:noProof/>
        </w:rPr>
        <w:t xml:space="preserve"> </w:t>
      </w:r>
    </w:p>
    <w:p>
      <w:pPr>
        <w:pStyle w:val="ListDash1"/>
        <w:rPr>
          <w:noProof/>
        </w:rPr>
      </w:pPr>
      <w:r>
        <w:rPr>
          <w:noProof/>
        </w:rPr>
        <w:t xml:space="preserve">Предложението/инициативата не предвижда съфинансиране от трети страни. </w:t>
      </w:r>
    </w:p>
    <w:p>
      <w:pPr>
        <w:pStyle w:val="ManualHeading2"/>
        <w:rPr>
          <w:bCs/>
          <w:noProof/>
          <w:szCs w:val="24"/>
        </w:rPr>
      </w:pPr>
      <w:r>
        <w:rPr>
          <w:noProof/>
        </w:rPr>
        <w:br w:type="page"/>
      </w:r>
      <w:bookmarkStart w:id="65" w:name="_Toc514938691"/>
      <w:bookmarkStart w:id="66" w:name="_Toc524270814"/>
      <w:r>
        <w:t>3.3.</w:t>
      </w:r>
      <w:r>
        <w:tab/>
      </w:r>
      <w:r>
        <w:rPr>
          <w:noProof/>
        </w:rPr>
        <w:t>Очаквано отражение върху приходите</w:t>
      </w:r>
      <w:bookmarkEnd w:id="65"/>
      <w:bookmarkEnd w:id="66"/>
      <w:r>
        <w:rPr>
          <w:noProof/>
        </w:rPr>
        <w:t xml:space="preserve"> </w:t>
      </w:r>
    </w:p>
    <w:p>
      <w:pPr>
        <w:pStyle w:val="ListDash1"/>
        <w:rPr>
          <w:noProof/>
        </w:rPr>
      </w:pPr>
      <w:r>
        <w:rPr>
          <w:noProof/>
        </w:rPr>
        <w:t>Х</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s>
        <w:rPr>
          <w:noProof/>
        </w:rPr>
      </w:pPr>
      <w:r>
        <w:rPr>
          <w:noProof/>
        </w:rPr>
        <w:sym w:font="Wingdings" w:char="F0A8"/>
      </w:r>
      <w:r>
        <w:rPr>
          <w:noProof/>
        </w:rPr>
        <w:tab/>
        <w:t xml:space="preserve">върху собствените ресурси </w:t>
      </w:r>
    </w:p>
    <w:p>
      <w:pPr>
        <w:pStyle w:val="ListNumberLevel3"/>
        <w:tabs>
          <w:tab w:val="clear" w:pos="2126"/>
        </w:tabs>
        <w:rPr>
          <w:noProof/>
        </w:rPr>
      </w:pPr>
      <w:r>
        <w:rPr>
          <w:noProof/>
        </w:rPr>
        <w:sym w:font="Wingdings" w:char="F0A8"/>
      </w:r>
      <w:r>
        <w:rPr>
          <w:noProof/>
        </w:rPr>
        <w:tab/>
        <w:t xml:space="preserve">върху разните приходи </w:t>
      </w:r>
    </w:p>
    <w:p>
      <w:pPr>
        <w:pStyle w:val="ListNumberLevel3"/>
        <w:tabs>
          <w:tab w:val="clear" w:pos="2126"/>
        </w:tabs>
        <w:rPr>
          <w:noProof/>
        </w:rPr>
      </w:pPr>
      <w:r>
        <w:rPr>
          <w:noProof/>
        </w:rPr>
        <w:sym w:font="Wingdings" w:char="F0A8"/>
      </w:r>
      <w:r>
        <w:rPr>
          <w:noProof/>
        </w:rPr>
        <w:tab/>
        <w:t xml:space="preserve">моля, посочете дали приходите са записани по разходни бюджетни редове. </w:t>
      </w:r>
    </w:p>
    <w:p>
      <w:pPr>
        <w:jc w:val="right"/>
        <w:rPr>
          <w:i/>
          <w:noProof/>
        </w:rPr>
      </w:pPr>
      <w:r>
        <w:rPr>
          <w:noProof/>
        </w:rPr>
        <w:t>млн. евро (до 3-тия знак след десетичната запетая)</w:t>
      </w:r>
    </w:p>
    <w:tbl>
      <w:tblPr>
        <w:tblW w:w="101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276"/>
        <w:gridCol w:w="1080"/>
        <w:gridCol w:w="900"/>
        <w:gridCol w:w="900"/>
        <w:gridCol w:w="1080"/>
        <w:gridCol w:w="1080"/>
        <w:gridCol w:w="1080"/>
        <w:gridCol w:w="1080"/>
      </w:tblGrid>
      <w:tr>
        <w:trPr>
          <w:trHeight w:val="388"/>
        </w:trPr>
        <w:tc>
          <w:tcPr>
            <w:tcW w:w="1719"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30"/>
            </w:r>
          </w:p>
        </w:tc>
      </w:tr>
      <w:tr>
        <w:trPr>
          <w:trHeight w:val="388"/>
        </w:trPr>
        <w:tc>
          <w:tcPr>
            <w:tcW w:w="1719"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1719"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r>
        <w:rPr>
          <w:noProof/>
        </w:rPr>
        <w:t>[…]</w:t>
      </w:r>
    </w:p>
    <w:sectPr>
      <w:headerReference w:type="default" r:id="rId26"/>
      <w:footerReference w:type="default" r:id="rId27"/>
      <w:headerReference w:type="first" r:id="rId28"/>
      <w:footerReference w:type="first" r:id="rId29"/>
      <w:pgSz w:w="11907" w:h="16839"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Препоръка (ЕС) 2018/234 на Комисията от 14 февруари 2018 г. за засилване на европейския характер и ефикасността на провеждането на изборите за Европейски парламент през 2019 г. (ОВ L 45, 17.2.2018 г., стр. 40).</w:t>
      </w:r>
    </w:p>
  </w:footnote>
  <w:footnote w:id="3">
    <w:p>
      <w:pPr>
        <w:pStyle w:val="FootnoteText"/>
      </w:pPr>
      <w:r>
        <w:rPr>
          <w:rStyle w:val="FootnoteReference"/>
        </w:rPr>
        <w:footnoteRef/>
      </w:r>
      <w:r>
        <w:tab/>
        <w:t xml:space="preserve">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 </w:t>
      </w:r>
    </w:p>
  </w:footnote>
  <w:footnote w:id="4">
    <w:p>
      <w:pPr>
        <w:pStyle w:val="FootnoteText"/>
        <w:rPr>
          <w:lang w:val="pt-PT"/>
        </w:rPr>
      </w:pPr>
      <w:r>
        <w:rPr>
          <w:rStyle w:val="FootnoteReference"/>
        </w:rPr>
        <w:footnoteRef/>
      </w:r>
      <w:r>
        <w:rPr>
          <w:lang w:val="pt-PT"/>
        </w:rPr>
        <w:tab/>
      </w:r>
      <w:r>
        <w:t>ОВ</w:t>
      </w:r>
      <w:r>
        <w:rPr>
          <w:lang w:val="pt-PT"/>
        </w:rPr>
        <w:t xml:space="preserve"> L 317, 4.11.2014 </w:t>
      </w:r>
      <w:r>
        <w:t>г</w:t>
      </w:r>
      <w:r>
        <w:rPr>
          <w:lang w:val="pt-PT"/>
        </w:rPr>
        <w:t xml:space="preserve">., </w:t>
      </w:r>
      <w:r>
        <w:t>стр</w:t>
      </w:r>
      <w:r>
        <w:rPr>
          <w:lang w:val="pt-PT"/>
        </w:rPr>
        <w:t>. 1.</w:t>
      </w:r>
    </w:p>
  </w:footnote>
  <w:footnote w:id="5">
    <w:p>
      <w:pPr>
        <w:pStyle w:val="FootnoteText"/>
        <w:rPr>
          <w:lang w:val="pt-PT"/>
        </w:rPr>
      </w:pPr>
      <w:r>
        <w:rPr>
          <w:rStyle w:val="FootnoteReference"/>
        </w:rPr>
        <w:footnoteRef/>
      </w:r>
      <w:r>
        <w:rPr>
          <w:lang w:val="pt-PT"/>
        </w:rPr>
        <w:tab/>
        <w:t xml:space="preserve">COM (2018) 638. </w:t>
      </w:r>
    </w:p>
  </w:footnote>
  <w:footnote w:id="6">
    <w:p>
      <w:pPr>
        <w:pStyle w:val="FootnoteText"/>
        <w:rPr>
          <w:lang w:val="pt-PT"/>
        </w:rPr>
      </w:pPr>
      <w:r>
        <w:rPr>
          <w:rStyle w:val="FootnoteReference"/>
        </w:rPr>
        <w:footnoteRef/>
      </w:r>
      <w:r>
        <w:rPr>
          <w:lang w:val="pt-PT"/>
        </w:rPr>
        <w:tab/>
        <w:t>C (2018) 5949.</w:t>
      </w:r>
    </w:p>
  </w:footnote>
  <w:footnote w:id="7">
    <w:p>
      <w:pPr>
        <w:pStyle w:val="FootnoteText"/>
        <w:rPr>
          <w:lang w:val="pt-PT"/>
        </w:rPr>
      </w:pPr>
      <w:r>
        <w:rPr>
          <w:rStyle w:val="FootnoteReference"/>
        </w:rPr>
        <w:footnoteRef/>
      </w:r>
      <w:r>
        <w:rPr>
          <w:lang w:val="pt-PT"/>
        </w:rPr>
        <w:tab/>
        <w:t>COM (2018) 637.</w:t>
      </w:r>
    </w:p>
  </w:footnote>
  <w:footnote w:id="8">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xml:space="preserve"> 95/46/E</w:t>
      </w:r>
      <w:r>
        <w:t>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 (</w:t>
      </w:r>
      <w:r>
        <w:t>ОВ</w:t>
      </w:r>
      <w:r>
        <w:rPr>
          <w:lang w:val="pt-PT"/>
        </w:rPr>
        <w:t xml:space="preserve"> L 119, 4.5.2016 </w:t>
      </w:r>
      <w:r>
        <w:t>г</w:t>
      </w:r>
      <w:r>
        <w:rPr>
          <w:lang w:val="pt-PT"/>
        </w:rPr>
        <w:t xml:space="preserve">., </w:t>
      </w:r>
      <w:r>
        <w:t>стр</w:t>
      </w:r>
      <w:r>
        <w:rPr>
          <w:lang w:val="pt-PT"/>
        </w:rPr>
        <w:t xml:space="preserve">. 1). </w:t>
      </w:r>
    </w:p>
  </w:footnote>
  <w:footnote w:id="9">
    <w:p>
      <w:pPr>
        <w:pStyle w:val="FootnoteText"/>
        <w:rPr>
          <w:lang w:val="pt-PT"/>
        </w:rPr>
      </w:pPr>
      <w:r>
        <w:rPr>
          <w:rStyle w:val="FootnoteReference"/>
        </w:rPr>
        <w:footnoteRef/>
      </w:r>
      <w:r>
        <w:rPr>
          <w:lang w:val="pt-PT"/>
        </w:rPr>
        <w:tab/>
      </w:r>
      <w:r>
        <w:t>Препоръка</w:t>
      </w:r>
      <w:r>
        <w:rPr>
          <w:lang w:val="pt-PT"/>
        </w:rPr>
        <w:t xml:space="preserve"> (</w:t>
      </w:r>
      <w:r>
        <w:t>ЕС</w:t>
      </w:r>
      <w:r>
        <w:rPr>
          <w:lang w:val="pt-PT"/>
        </w:rPr>
        <w:t xml:space="preserve">) 2018/234 </w:t>
      </w:r>
      <w:r>
        <w:t>на</w:t>
      </w:r>
      <w:r>
        <w:rPr>
          <w:lang w:val="pt-PT"/>
        </w:rPr>
        <w:t xml:space="preserve"> </w:t>
      </w:r>
      <w:r>
        <w:t>Комисията</w:t>
      </w:r>
      <w:r>
        <w:rPr>
          <w:lang w:val="pt-PT"/>
        </w:rPr>
        <w:t xml:space="preserve"> </w:t>
      </w:r>
      <w:r>
        <w:t>от</w:t>
      </w:r>
      <w:r>
        <w:rPr>
          <w:lang w:val="pt-PT"/>
        </w:rPr>
        <w:t xml:space="preserve"> 14 </w:t>
      </w:r>
      <w:r>
        <w:t>февруари</w:t>
      </w:r>
      <w:r>
        <w:rPr>
          <w:lang w:val="pt-PT"/>
        </w:rPr>
        <w:t xml:space="preserve"> 2018 </w:t>
      </w:r>
      <w:r>
        <w:t>г</w:t>
      </w:r>
      <w:r>
        <w:rPr>
          <w:lang w:val="pt-PT"/>
        </w:rPr>
        <w:t xml:space="preserve">. </w:t>
      </w:r>
      <w:r>
        <w:t>за</w:t>
      </w:r>
      <w:r>
        <w:rPr>
          <w:lang w:val="pt-PT"/>
        </w:rPr>
        <w:t xml:space="preserve"> </w:t>
      </w:r>
      <w:r>
        <w:t>засилване</w:t>
      </w:r>
      <w:r>
        <w:rPr>
          <w:lang w:val="pt-PT"/>
        </w:rPr>
        <w:t xml:space="preserve"> </w:t>
      </w:r>
      <w:r>
        <w:t>на</w:t>
      </w:r>
      <w:r>
        <w:rPr>
          <w:lang w:val="pt-PT"/>
        </w:rPr>
        <w:t xml:space="preserve"> </w:t>
      </w:r>
      <w:r>
        <w:t>европейския</w:t>
      </w:r>
      <w:r>
        <w:rPr>
          <w:lang w:val="pt-PT"/>
        </w:rPr>
        <w:t xml:space="preserve"> </w:t>
      </w:r>
      <w:r>
        <w:t>характер</w:t>
      </w:r>
      <w:r>
        <w:rPr>
          <w:lang w:val="pt-PT"/>
        </w:rPr>
        <w:t xml:space="preserve"> </w:t>
      </w:r>
      <w:r>
        <w:t>и</w:t>
      </w:r>
      <w:r>
        <w:rPr>
          <w:lang w:val="pt-PT"/>
        </w:rPr>
        <w:t xml:space="preserve"> </w:t>
      </w:r>
      <w:r>
        <w:t>ефикасността</w:t>
      </w:r>
      <w:r>
        <w:rPr>
          <w:lang w:val="pt-PT"/>
        </w:rPr>
        <w:t xml:space="preserve"> </w:t>
      </w:r>
      <w:r>
        <w:t>на</w:t>
      </w:r>
      <w:r>
        <w:rPr>
          <w:lang w:val="pt-PT"/>
        </w:rPr>
        <w:t xml:space="preserve"> </w:t>
      </w:r>
      <w:r>
        <w:t>провеждането</w:t>
      </w:r>
      <w:r>
        <w:rPr>
          <w:lang w:val="pt-PT"/>
        </w:rPr>
        <w:t xml:space="preserve"> </w:t>
      </w:r>
      <w:r>
        <w:t>на</w:t>
      </w:r>
      <w:r>
        <w:rPr>
          <w:lang w:val="pt-PT"/>
        </w:rPr>
        <w:t xml:space="preserve"> </w:t>
      </w:r>
      <w:r>
        <w:t>изборите</w:t>
      </w:r>
      <w:r>
        <w:rPr>
          <w:lang w:val="pt-PT"/>
        </w:rPr>
        <w:t xml:space="preserve"> </w:t>
      </w:r>
      <w:r>
        <w:t>за</w:t>
      </w:r>
      <w:r>
        <w:rPr>
          <w:lang w:val="pt-PT"/>
        </w:rPr>
        <w:t xml:space="preserve"> </w:t>
      </w:r>
      <w:r>
        <w:t>Европейски</w:t>
      </w:r>
      <w:r>
        <w:rPr>
          <w:lang w:val="pt-PT"/>
        </w:rPr>
        <w:t xml:space="preserve"> </w:t>
      </w:r>
      <w:r>
        <w:t>парламент</w:t>
      </w:r>
      <w:r>
        <w:rPr>
          <w:lang w:val="pt-PT"/>
        </w:rPr>
        <w:t xml:space="preserve"> </w:t>
      </w:r>
      <w:r>
        <w:t>през</w:t>
      </w:r>
      <w:r>
        <w:rPr>
          <w:lang w:val="pt-PT"/>
        </w:rPr>
        <w:t xml:space="preserve"> 2019 </w:t>
      </w:r>
      <w:r>
        <w:t>г</w:t>
      </w:r>
      <w:r>
        <w:rPr>
          <w:lang w:val="pt-PT"/>
        </w:rPr>
        <w:t>. (</w:t>
      </w:r>
      <w:r>
        <w:t>ОВ</w:t>
      </w:r>
      <w:r>
        <w:rPr>
          <w:lang w:val="pt-PT"/>
        </w:rPr>
        <w:t xml:space="preserve"> L 45, 17.2.2018 </w:t>
      </w:r>
      <w:r>
        <w:t>г</w:t>
      </w:r>
      <w:r>
        <w:rPr>
          <w:lang w:val="pt-PT"/>
        </w:rPr>
        <w:t xml:space="preserve">., </w:t>
      </w:r>
      <w:r>
        <w:t>стр</w:t>
      </w:r>
      <w:r>
        <w:rPr>
          <w:lang w:val="pt-PT"/>
        </w:rPr>
        <w:t>. 40.)</w:t>
      </w:r>
    </w:p>
  </w:footnote>
  <w:footnote w:id="10">
    <w:p>
      <w:pPr>
        <w:pStyle w:val="FootnoteText"/>
        <w:rPr>
          <w:lang w:val="pt-PT"/>
        </w:rPr>
      </w:pPr>
      <w:r>
        <w:rPr>
          <w:rStyle w:val="FootnoteReference"/>
        </w:rPr>
        <w:footnoteRef/>
      </w:r>
      <w:r>
        <w:rPr>
          <w:lang w:val="pt-PT"/>
        </w:rPr>
        <w:tab/>
        <w:t xml:space="preserve">COM(2018) 236 final. </w:t>
      </w:r>
    </w:p>
  </w:footnote>
  <w:footnote w:id="11">
    <w:p>
      <w:pPr>
        <w:pStyle w:val="FootnoteText"/>
        <w:rPr>
          <w:lang w:val="pt-PT"/>
        </w:rPr>
      </w:pPr>
      <w:r>
        <w:rPr>
          <w:rStyle w:val="FootnoteReference"/>
        </w:rPr>
        <w:footnoteRef/>
      </w:r>
      <w:r>
        <w:rPr>
          <w:lang w:val="pt-PT"/>
        </w:rPr>
        <w:tab/>
        <w:t>COM (2017) 10 final.</w:t>
      </w:r>
    </w:p>
  </w:footnote>
  <w:footnote w:id="12">
    <w:p>
      <w:pPr>
        <w:pStyle w:val="FootnoteText"/>
        <w:ind w:left="0" w:firstLine="0"/>
        <w:rPr>
          <w:lang w:val="pt-PT"/>
        </w:rPr>
      </w:pPr>
      <w:r>
        <w:rPr>
          <w:rStyle w:val="FootnoteReference"/>
        </w:rPr>
        <w:footnoteRef/>
      </w:r>
      <w:r>
        <w:rPr>
          <w:lang w:val="pt-PT"/>
        </w:rPr>
        <w:tab/>
      </w:r>
      <w:r>
        <w:t>Директива</w:t>
      </w:r>
      <w:r>
        <w:rPr>
          <w:lang w:val="pt-PT"/>
        </w:rPr>
        <w:t xml:space="preserve"> 2002/58/</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12 </w:t>
      </w:r>
      <w:r>
        <w:t>юли</w:t>
      </w:r>
      <w:r>
        <w:rPr>
          <w:lang w:val="pt-PT"/>
        </w:rPr>
        <w:t xml:space="preserve"> 2002 </w:t>
      </w:r>
      <w:r>
        <w:t>г</w:t>
      </w:r>
      <w:r>
        <w:rPr>
          <w:lang w:val="pt-PT"/>
        </w:rPr>
        <w:t xml:space="preserve">. </w:t>
      </w:r>
      <w:r>
        <w:t>относно</w:t>
      </w:r>
      <w:r>
        <w:rPr>
          <w:lang w:val="pt-PT"/>
        </w:rPr>
        <w:t xml:space="preserve"> </w:t>
      </w:r>
      <w:r>
        <w:t>обработката</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защита</w:t>
      </w:r>
      <w:r>
        <w:rPr>
          <w:lang w:val="pt-PT"/>
        </w:rPr>
        <w:t xml:space="preserve"> </w:t>
      </w:r>
      <w:r>
        <w:t>на</w:t>
      </w:r>
      <w:r>
        <w:rPr>
          <w:lang w:val="pt-PT"/>
        </w:rPr>
        <w:t xml:space="preserve"> </w:t>
      </w:r>
      <w:r>
        <w:t>правото</w:t>
      </w:r>
      <w:r>
        <w:rPr>
          <w:lang w:val="pt-PT"/>
        </w:rPr>
        <w:t xml:space="preserve"> </w:t>
      </w:r>
      <w:r>
        <w:t>на</w:t>
      </w:r>
      <w:r>
        <w:rPr>
          <w:lang w:val="pt-PT"/>
        </w:rPr>
        <w:t xml:space="preserve"> </w:t>
      </w:r>
      <w:r>
        <w:t>неприкосновеност</w:t>
      </w:r>
      <w:r>
        <w:rPr>
          <w:lang w:val="pt-PT"/>
        </w:rPr>
        <w:t xml:space="preserve"> </w:t>
      </w:r>
      <w:r>
        <w:t>на</w:t>
      </w:r>
      <w:r>
        <w:rPr>
          <w:lang w:val="pt-PT"/>
        </w:rPr>
        <w:t xml:space="preserve"> </w:t>
      </w:r>
      <w:r>
        <w:t>личния</w:t>
      </w:r>
      <w:r>
        <w:rPr>
          <w:lang w:val="pt-PT"/>
        </w:rPr>
        <w:t xml:space="preserve"> </w:t>
      </w:r>
      <w:r>
        <w:t>живот</w:t>
      </w:r>
      <w:r>
        <w:rPr>
          <w:lang w:val="pt-PT"/>
        </w:rPr>
        <w:t xml:space="preserve"> </w:t>
      </w:r>
      <w:r>
        <w:t>в</w:t>
      </w:r>
      <w:r>
        <w:rPr>
          <w:lang w:val="pt-PT"/>
        </w:rPr>
        <w:t xml:space="preserve"> </w:t>
      </w:r>
      <w:r>
        <w:t>сектора</w:t>
      </w:r>
      <w:r>
        <w:rPr>
          <w:lang w:val="pt-PT"/>
        </w:rPr>
        <w:t xml:space="preserve"> </w:t>
      </w:r>
      <w:r>
        <w:t>на</w:t>
      </w:r>
      <w:r>
        <w:rPr>
          <w:lang w:val="pt-PT"/>
        </w:rPr>
        <w:t xml:space="preserve"> </w:t>
      </w:r>
      <w:r>
        <w:t>електронните</w:t>
      </w:r>
      <w:r>
        <w:rPr>
          <w:lang w:val="pt-PT"/>
        </w:rPr>
        <w:t xml:space="preserve"> </w:t>
      </w:r>
      <w:r>
        <w:t>комуникации</w:t>
      </w:r>
      <w:r>
        <w:rPr>
          <w:lang w:val="pt-PT"/>
        </w:rPr>
        <w:t xml:space="preserve"> (</w:t>
      </w:r>
      <w:r>
        <w:t>Директива</w:t>
      </w:r>
      <w:r>
        <w:rPr>
          <w:lang w:val="pt-PT"/>
        </w:rPr>
        <w:t xml:space="preserve"> </w:t>
      </w:r>
      <w:r>
        <w:t>за</w:t>
      </w:r>
      <w:r>
        <w:rPr>
          <w:lang w:val="pt-PT"/>
        </w:rPr>
        <w:t xml:space="preserve"> </w:t>
      </w:r>
      <w:r>
        <w:t>правото</w:t>
      </w:r>
      <w:r>
        <w:rPr>
          <w:lang w:val="pt-PT"/>
        </w:rPr>
        <w:t xml:space="preserve"> </w:t>
      </w:r>
      <w:r>
        <w:t>на</w:t>
      </w:r>
      <w:r>
        <w:rPr>
          <w:lang w:val="pt-PT"/>
        </w:rPr>
        <w:t xml:space="preserve"> </w:t>
      </w:r>
      <w:r>
        <w:t>неприкосновеност</w:t>
      </w:r>
      <w:r>
        <w:rPr>
          <w:lang w:val="pt-PT"/>
        </w:rPr>
        <w:t xml:space="preserve"> </w:t>
      </w:r>
      <w:r>
        <w:t>на</w:t>
      </w:r>
      <w:r>
        <w:rPr>
          <w:lang w:val="pt-PT"/>
        </w:rPr>
        <w:t xml:space="preserve"> </w:t>
      </w:r>
      <w:r>
        <w:t>личния</w:t>
      </w:r>
      <w:r>
        <w:rPr>
          <w:lang w:val="pt-PT"/>
        </w:rPr>
        <w:t xml:space="preserve"> </w:t>
      </w:r>
      <w:r>
        <w:t>живот</w:t>
      </w:r>
      <w:r>
        <w:rPr>
          <w:lang w:val="pt-PT"/>
        </w:rPr>
        <w:t xml:space="preserve"> </w:t>
      </w:r>
      <w:r>
        <w:t>и</w:t>
      </w:r>
      <w:r>
        <w:rPr>
          <w:lang w:val="pt-PT"/>
        </w:rPr>
        <w:t xml:space="preserve"> </w:t>
      </w:r>
      <w:r>
        <w:t>електронни</w:t>
      </w:r>
      <w:r>
        <w:rPr>
          <w:lang w:val="pt-PT"/>
        </w:rPr>
        <w:t xml:space="preserve"> </w:t>
      </w:r>
      <w:r>
        <w:t>комуникации</w:t>
      </w:r>
      <w:r>
        <w:rPr>
          <w:lang w:val="pt-PT"/>
        </w:rPr>
        <w:t>)(</w:t>
      </w:r>
      <w:r>
        <w:t>ОВ</w:t>
      </w:r>
      <w:r>
        <w:rPr>
          <w:lang w:val="pt-PT"/>
        </w:rPr>
        <w:t xml:space="preserve"> L 201, 31.7.2002 </w:t>
      </w:r>
      <w:r>
        <w:t>г</w:t>
      </w:r>
      <w:r>
        <w:rPr>
          <w:lang w:val="pt-PT"/>
        </w:rPr>
        <w:t xml:space="preserve">., </w:t>
      </w:r>
      <w:r>
        <w:t>стр</w:t>
      </w:r>
      <w:r>
        <w:rPr>
          <w:lang w:val="pt-PT"/>
        </w:rPr>
        <w:t>. 37)</w:t>
      </w:r>
      <w:r>
        <w:rPr>
          <w:rStyle w:val="Strong"/>
          <w:b w:val="0"/>
          <w:lang w:val="pt-PT"/>
        </w:rPr>
        <w:t>.</w:t>
      </w:r>
    </w:p>
  </w:footnote>
  <w:footnote w:id="13">
    <w:p>
      <w:pPr>
        <w:pStyle w:val="FootnoteText"/>
        <w:ind w:left="142" w:hanging="142"/>
        <w:jc w:val="left"/>
        <w:rPr>
          <w:lang w:val="pt-PT"/>
        </w:rPr>
      </w:pPr>
      <w:r>
        <w:rPr>
          <w:rStyle w:val="FootnoteReference"/>
        </w:rPr>
        <w:footnoteRef/>
      </w:r>
      <w:r>
        <w:rPr>
          <w:lang w:val="pt-PT"/>
        </w:rPr>
        <w:tab/>
      </w:r>
      <w:hyperlink r:id="rId1">
        <w:r>
          <w:rPr>
            <w:rStyle w:val="Hyperlink"/>
            <w:lang w:val="pt-PT"/>
          </w:rPr>
          <w:t>https://europa.eu/european-union/sites/europaeu/files/docs/body/consolidated_version_of_the_treaty_establishing_the_european_atomic_energy_community_bg.pdf</w:t>
        </w:r>
      </w:hyperlink>
      <w:r>
        <w:rPr>
          <w:lang w:val="pt-PT"/>
        </w:rPr>
        <w:t xml:space="preserve"> </w:t>
      </w:r>
    </w:p>
  </w:footnote>
  <w:footnote w:id="14">
    <w:p>
      <w:pPr>
        <w:pStyle w:val="FootnoteText"/>
        <w:rPr>
          <w:lang w:val="pt-PT"/>
        </w:rPr>
      </w:pPr>
      <w:r>
        <w:rPr>
          <w:rStyle w:val="FootnoteReference"/>
        </w:rPr>
        <w:footnoteRef/>
      </w:r>
      <w:r>
        <w:rPr>
          <w:lang w:val="pt-PT"/>
        </w:rPr>
        <w:tab/>
      </w:r>
      <w:r>
        <w:t>ОВ</w:t>
      </w:r>
      <w:r>
        <w:rPr>
          <w:lang w:val="pt-PT"/>
        </w:rPr>
        <w:t xml:space="preserve"> C ,  </w:t>
      </w:r>
      <w:r>
        <w:t>г</w:t>
      </w:r>
      <w:r>
        <w:rPr>
          <w:lang w:val="pt-PT"/>
        </w:rPr>
        <w:t xml:space="preserve">., </w:t>
      </w:r>
      <w:r>
        <w:t>стр</w:t>
      </w:r>
      <w:r>
        <w:rPr>
          <w:lang w:val="pt-PT"/>
        </w:rPr>
        <w:t>. .</w:t>
      </w:r>
    </w:p>
  </w:footnote>
  <w:footnote w:id="15">
    <w:p>
      <w:pPr>
        <w:pStyle w:val="FootnoteText"/>
        <w:rPr>
          <w:lang w:val="pt-PT"/>
        </w:rPr>
      </w:pPr>
      <w:r>
        <w:rPr>
          <w:rStyle w:val="FootnoteReference"/>
        </w:rPr>
        <w:footnoteRef/>
      </w:r>
      <w:r>
        <w:rPr>
          <w:lang w:val="pt-PT"/>
        </w:rPr>
        <w:tab/>
      </w:r>
      <w:r>
        <w:t>ОВ</w:t>
      </w:r>
      <w:r>
        <w:rPr>
          <w:lang w:val="pt-PT"/>
        </w:rPr>
        <w:t xml:space="preserve"> C ,  </w:t>
      </w:r>
      <w:r>
        <w:t>г</w:t>
      </w:r>
      <w:r>
        <w:rPr>
          <w:lang w:val="pt-PT"/>
        </w:rPr>
        <w:t xml:space="preserve">., </w:t>
      </w:r>
      <w:r>
        <w:t>стр</w:t>
      </w:r>
      <w:r>
        <w:rPr>
          <w:lang w:val="pt-PT"/>
        </w:rPr>
        <w:t>. .</w:t>
      </w:r>
    </w:p>
  </w:footnote>
  <w:footnote w:id="16">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w:t>
      </w:r>
      <w:r>
        <w:t>Евратом</w:t>
      </w:r>
      <w:r>
        <w:rPr>
          <w:lang w:val="pt-PT"/>
        </w:rPr>
        <w:t xml:space="preserve">) № 1141/2014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22 </w:t>
      </w:r>
      <w:r>
        <w:t>октомври</w:t>
      </w:r>
      <w:r>
        <w:rPr>
          <w:lang w:val="pt-PT"/>
        </w:rPr>
        <w:t xml:space="preserve"> 2014 </w:t>
      </w:r>
      <w:r>
        <w:t>г</w:t>
      </w:r>
      <w:r>
        <w:rPr>
          <w:lang w:val="pt-PT"/>
        </w:rPr>
        <w:t xml:space="preserve">. </w:t>
      </w:r>
      <w:r>
        <w:t>относно</w:t>
      </w:r>
      <w:r>
        <w:rPr>
          <w:lang w:val="pt-PT"/>
        </w:rPr>
        <w:t xml:space="preserve"> </w:t>
      </w:r>
      <w:r>
        <w:t>статута</w:t>
      </w:r>
      <w:r>
        <w:rPr>
          <w:lang w:val="pt-PT"/>
        </w:rPr>
        <w:t xml:space="preserve"> </w:t>
      </w:r>
      <w:r>
        <w:t>и</w:t>
      </w:r>
      <w:r>
        <w:rPr>
          <w:lang w:val="pt-PT"/>
        </w:rPr>
        <w:t xml:space="preserve"> </w:t>
      </w:r>
      <w:r>
        <w:t>финансирането</w:t>
      </w:r>
      <w:r>
        <w:rPr>
          <w:lang w:val="pt-PT"/>
        </w:rPr>
        <w:t xml:space="preserve"> </w:t>
      </w:r>
      <w:r>
        <w:t>на</w:t>
      </w:r>
      <w:r>
        <w:rPr>
          <w:lang w:val="pt-PT"/>
        </w:rPr>
        <w:t xml:space="preserve"> </w:t>
      </w:r>
      <w:r>
        <w:t>европейските</w:t>
      </w:r>
      <w:r>
        <w:rPr>
          <w:lang w:val="pt-PT"/>
        </w:rPr>
        <w:t xml:space="preserve"> </w:t>
      </w:r>
      <w:r>
        <w:t>политически</w:t>
      </w:r>
      <w:r>
        <w:rPr>
          <w:lang w:val="pt-PT"/>
        </w:rPr>
        <w:t xml:space="preserve"> </w:t>
      </w:r>
      <w:r>
        <w:t>партии</w:t>
      </w:r>
      <w:r>
        <w:rPr>
          <w:lang w:val="pt-PT"/>
        </w:rPr>
        <w:t xml:space="preserve"> </w:t>
      </w:r>
      <w:r>
        <w:t>и</w:t>
      </w:r>
      <w:r>
        <w:rPr>
          <w:lang w:val="pt-PT"/>
        </w:rPr>
        <w:t xml:space="preserve"> </w:t>
      </w:r>
      <w:r>
        <w:t>на</w:t>
      </w:r>
      <w:r>
        <w:rPr>
          <w:lang w:val="pt-PT"/>
        </w:rPr>
        <w:t xml:space="preserve"> </w:t>
      </w:r>
      <w:r>
        <w:t>европейските</w:t>
      </w:r>
      <w:r>
        <w:rPr>
          <w:lang w:val="pt-PT"/>
        </w:rPr>
        <w:t xml:space="preserve"> </w:t>
      </w:r>
      <w:r>
        <w:t>политически</w:t>
      </w:r>
      <w:r>
        <w:rPr>
          <w:lang w:val="pt-PT"/>
        </w:rPr>
        <w:t xml:space="preserve"> </w:t>
      </w:r>
      <w:r>
        <w:t>фондации</w:t>
      </w:r>
      <w:r>
        <w:rPr>
          <w:lang w:val="pt-PT"/>
        </w:rPr>
        <w:t xml:space="preserve"> (</w:t>
      </w:r>
      <w:r>
        <w:t>ОВ</w:t>
      </w:r>
      <w:r>
        <w:rPr>
          <w:lang w:val="pt-PT"/>
        </w:rPr>
        <w:t xml:space="preserve"> L 317, 4.11.2014 </w:t>
      </w:r>
      <w:r>
        <w:t>г</w:t>
      </w:r>
      <w:r>
        <w:rPr>
          <w:lang w:val="pt-PT"/>
        </w:rPr>
        <w:t xml:space="preserve">., </w:t>
      </w:r>
      <w:r>
        <w:t>стр</w:t>
      </w:r>
      <w:r>
        <w:rPr>
          <w:lang w:val="pt-PT"/>
        </w:rPr>
        <w:t>. 1).</w:t>
      </w:r>
    </w:p>
  </w:footnote>
  <w:footnote w:id="17">
    <w:p>
      <w:pPr>
        <w:pStyle w:val="FootnoteText"/>
        <w:rPr>
          <w:lang w:val="pt-PT"/>
        </w:rPr>
      </w:pPr>
      <w:r>
        <w:rPr>
          <w:rStyle w:val="FootnoteReference"/>
        </w:rPr>
        <w:footnoteRef/>
      </w:r>
      <w:r>
        <w:rPr>
          <w:lang w:val="pt-PT"/>
        </w:rPr>
        <w:tab/>
      </w:r>
      <w:r>
        <w:t>Регламент</w:t>
      </w:r>
      <w:r>
        <w:rPr>
          <w:lang w:val="pt-PT"/>
        </w:rPr>
        <w:t xml:space="preserve"> № 31(</w:t>
      </w:r>
      <w:r>
        <w:t>ЕИО</w:t>
      </w:r>
      <w:r>
        <w:rPr>
          <w:lang w:val="pt-PT"/>
        </w:rPr>
        <w:t>), 11(</w:t>
      </w:r>
      <w:r>
        <w:t>ЕОАЕ</w:t>
      </w:r>
      <w:r>
        <w:rPr>
          <w:lang w:val="pt-PT"/>
        </w:rPr>
        <w:t xml:space="preserve">), </w:t>
      </w:r>
      <w:r>
        <w:t>установяващ</w:t>
      </w:r>
      <w:r>
        <w:rPr>
          <w:lang w:val="pt-PT"/>
        </w:rPr>
        <w:t xml:space="preserve"> </w:t>
      </w:r>
      <w:r>
        <w:t>Правилника</w:t>
      </w:r>
      <w:r>
        <w:rPr>
          <w:lang w:val="pt-PT"/>
        </w:rPr>
        <w:t xml:space="preserve"> </w:t>
      </w:r>
      <w:r>
        <w:t>за</w:t>
      </w:r>
      <w:r>
        <w:rPr>
          <w:lang w:val="pt-PT"/>
        </w:rPr>
        <w:t xml:space="preserve"> </w:t>
      </w:r>
      <w:r>
        <w:t>длъжностните</w:t>
      </w:r>
      <w:r>
        <w:rPr>
          <w:lang w:val="pt-PT"/>
        </w:rPr>
        <w:t xml:space="preserve"> </w:t>
      </w:r>
      <w:r>
        <w:t>лица</w:t>
      </w:r>
      <w:r>
        <w:rPr>
          <w:lang w:val="pt-PT"/>
        </w:rPr>
        <w:t xml:space="preserve"> </w:t>
      </w:r>
      <w:r>
        <w:t>и</w:t>
      </w:r>
      <w:r>
        <w:rPr>
          <w:lang w:val="pt-PT"/>
        </w:rPr>
        <w:t xml:space="preserve"> </w:t>
      </w:r>
      <w:r>
        <w:t>Условията</w:t>
      </w:r>
      <w:r>
        <w:rPr>
          <w:lang w:val="pt-PT"/>
        </w:rPr>
        <w:t xml:space="preserve"> </w:t>
      </w:r>
      <w:r>
        <w:t>за</w:t>
      </w:r>
      <w:r>
        <w:rPr>
          <w:lang w:val="pt-PT"/>
        </w:rPr>
        <w:t xml:space="preserve"> </w:t>
      </w:r>
      <w:r>
        <w:t>работа</w:t>
      </w:r>
      <w:r>
        <w:rPr>
          <w:lang w:val="pt-PT"/>
        </w:rPr>
        <w:t xml:space="preserve"> </w:t>
      </w:r>
      <w:r>
        <w:t>на</w:t>
      </w:r>
      <w:r>
        <w:rPr>
          <w:lang w:val="pt-PT"/>
        </w:rPr>
        <w:t xml:space="preserve"> </w:t>
      </w:r>
      <w:r>
        <w:t>другите</w:t>
      </w:r>
      <w:r>
        <w:rPr>
          <w:lang w:val="pt-PT"/>
        </w:rPr>
        <w:t xml:space="preserve"> </w:t>
      </w:r>
      <w:r>
        <w:t>служители</w:t>
      </w:r>
      <w:r>
        <w:rPr>
          <w:lang w:val="pt-PT"/>
        </w:rPr>
        <w:t xml:space="preserve"> </w:t>
      </w:r>
      <w:r>
        <w:t>на</w:t>
      </w:r>
      <w:r>
        <w:rPr>
          <w:lang w:val="pt-PT"/>
        </w:rPr>
        <w:t xml:space="preserve"> </w:t>
      </w:r>
      <w:r>
        <w:t>Европейската</w:t>
      </w:r>
      <w:r>
        <w:rPr>
          <w:lang w:val="pt-PT"/>
        </w:rPr>
        <w:t xml:space="preserve"> </w:t>
      </w:r>
      <w:r>
        <w:t>икономическа</w:t>
      </w:r>
      <w:r>
        <w:rPr>
          <w:lang w:val="pt-PT"/>
        </w:rPr>
        <w:t xml:space="preserve"> </w:t>
      </w:r>
      <w:r>
        <w:t>общност</w:t>
      </w:r>
      <w:r>
        <w:rPr>
          <w:lang w:val="pt-PT"/>
        </w:rPr>
        <w:t xml:space="preserve"> </w:t>
      </w:r>
      <w:r>
        <w:t>и</w:t>
      </w:r>
      <w:r>
        <w:rPr>
          <w:lang w:val="pt-PT"/>
        </w:rPr>
        <w:t xml:space="preserve"> </w:t>
      </w:r>
      <w:r>
        <w:t>на</w:t>
      </w:r>
      <w:r>
        <w:rPr>
          <w:lang w:val="pt-PT"/>
        </w:rPr>
        <w:t xml:space="preserve"> </w:t>
      </w:r>
      <w:r>
        <w:t>Европейската</w:t>
      </w:r>
      <w:r>
        <w:rPr>
          <w:lang w:val="pt-PT"/>
        </w:rPr>
        <w:t xml:space="preserve"> </w:t>
      </w:r>
      <w:r>
        <w:t>общност</w:t>
      </w:r>
      <w:r>
        <w:rPr>
          <w:lang w:val="pt-PT"/>
        </w:rPr>
        <w:t xml:space="preserve"> </w:t>
      </w:r>
      <w:r>
        <w:t>за</w:t>
      </w:r>
      <w:r>
        <w:rPr>
          <w:lang w:val="pt-PT"/>
        </w:rPr>
        <w:t xml:space="preserve"> </w:t>
      </w:r>
      <w:r>
        <w:t>атомна</w:t>
      </w:r>
      <w:r>
        <w:rPr>
          <w:lang w:val="pt-PT"/>
        </w:rPr>
        <w:t xml:space="preserve"> </w:t>
      </w:r>
      <w:r>
        <w:t>енергия</w:t>
      </w:r>
      <w:r>
        <w:rPr>
          <w:lang w:val="pt-PT"/>
        </w:rPr>
        <w:t xml:space="preserve"> (</w:t>
      </w:r>
      <w:r>
        <w:t>ОВ</w:t>
      </w:r>
      <w:r>
        <w:rPr>
          <w:lang w:val="pt-PT"/>
        </w:rPr>
        <w:t> P 045, 14.6.1962 </w:t>
      </w:r>
      <w:r>
        <w:t>г</w:t>
      </w:r>
      <w:r>
        <w:rPr>
          <w:lang w:val="pt-PT"/>
        </w:rPr>
        <w:t xml:space="preserve">., </w:t>
      </w:r>
      <w:r>
        <w:t>стр</w:t>
      </w:r>
      <w:r>
        <w:rPr>
          <w:lang w:val="pt-PT"/>
        </w:rPr>
        <w:t>. 1385).</w:t>
      </w:r>
    </w:p>
  </w:footnote>
  <w:footnote w:id="18">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xml:space="preserve"> 95/46/E</w:t>
      </w:r>
      <w:r>
        <w:t>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 (</w:t>
      </w:r>
      <w:r>
        <w:t>ОВ</w:t>
      </w:r>
      <w:r>
        <w:rPr>
          <w:lang w:val="pt-PT"/>
        </w:rPr>
        <w:t xml:space="preserve"> L 119, 4.5.2016 </w:t>
      </w:r>
      <w:r>
        <w:t>г</w:t>
      </w:r>
      <w:r>
        <w:rPr>
          <w:lang w:val="pt-PT"/>
        </w:rPr>
        <w:t xml:space="preserve">., </w:t>
      </w:r>
      <w:r>
        <w:t>стр</w:t>
      </w:r>
      <w:r>
        <w:rPr>
          <w:lang w:val="pt-PT"/>
        </w:rPr>
        <w:t>. 1).</w:t>
      </w:r>
    </w:p>
  </w:footnote>
  <w:footnote w:id="19">
    <w:p>
      <w:pPr>
        <w:pStyle w:val="FootnoteText"/>
        <w:rPr>
          <w:szCs w:val="24"/>
          <w:lang w:val="pt-PT"/>
        </w:rPr>
      </w:pPr>
      <w:r>
        <w:rPr>
          <w:rStyle w:val="FootnoteReference"/>
        </w:rPr>
        <w:footnoteRef/>
      </w:r>
      <w:r>
        <w:rPr>
          <w:lang w:val="pt-PT"/>
        </w:rPr>
        <w:tab/>
      </w:r>
      <w:r>
        <w:t>Съгласно</w:t>
      </w:r>
      <w:r>
        <w:rPr>
          <w:lang w:val="pt-PT"/>
        </w:rPr>
        <w:t xml:space="preserve"> </w:t>
      </w:r>
      <w:r>
        <w:t>член</w:t>
      </w:r>
      <w:r>
        <w:rPr>
          <w:lang w:val="pt-PT"/>
        </w:rPr>
        <w:t xml:space="preserve"> 58, </w:t>
      </w:r>
      <w:r>
        <w:t>параграф</w:t>
      </w:r>
      <w:r>
        <w:rPr>
          <w:lang w:val="pt-PT"/>
        </w:rPr>
        <w:t xml:space="preserve"> 2, </w:t>
      </w:r>
      <w:r>
        <w:t>буква</w:t>
      </w:r>
      <w:r>
        <w:rPr>
          <w:lang w:val="pt-PT"/>
        </w:rPr>
        <w:t xml:space="preserve"> </w:t>
      </w:r>
      <w:r>
        <w:t>а</w:t>
      </w:r>
      <w:r>
        <w:rPr>
          <w:lang w:val="pt-PT"/>
        </w:rPr>
        <w:t xml:space="preserve">) </w:t>
      </w:r>
      <w:r>
        <w:t>или</w:t>
      </w:r>
      <w:r>
        <w:rPr>
          <w:lang w:val="pt-PT"/>
        </w:rPr>
        <w:t xml:space="preserve"> </w:t>
      </w:r>
      <w:r>
        <w:t>б</w:t>
      </w:r>
      <w:r>
        <w:rPr>
          <w:lang w:val="pt-PT"/>
        </w:rPr>
        <w:t xml:space="preserve">) </w:t>
      </w:r>
      <w:r>
        <w:t>от</w:t>
      </w:r>
      <w:r>
        <w:rPr>
          <w:lang w:val="pt-PT"/>
        </w:rPr>
        <w:t xml:space="preserve"> </w:t>
      </w:r>
      <w:r>
        <w:t>Финансовия</w:t>
      </w:r>
      <w:r>
        <w:rPr>
          <w:lang w:val="pt-PT"/>
        </w:rPr>
        <w:t xml:space="preserve"> </w:t>
      </w:r>
      <w:r>
        <w:t>регламент</w:t>
      </w:r>
      <w:r>
        <w:rPr>
          <w:lang w:val="pt-PT"/>
        </w:rPr>
        <w:t>.</w:t>
      </w:r>
    </w:p>
  </w:footnote>
  <w:footnote w:id="20">
    <w:p>
      <w:pPr>
        <w:pStyle w:val="FootnoteText"/>
        <w:rPr>
          <w:szCs w:val="24"/>
          <w:lang w:val="pt-PT"/>
        </w:rPr>
      </w:pPr>
      <w:r>
        <w:rPr>
          <w:rStyle w:val="FootnoteReference"/>
        </w:rPr>
        <w:footnoteRef/>
      </w:r>
      <w:r>
        <w:rPr>
          <w:lang w:val="pt-PT"/>
        </w:rPr>
        <w:tab/>
      </w:r>
      <w:r>
        <w:t>Подробности</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методите</w:t>
      </w:r>
      <w:r>
        <w:rPr>
          <w:lang w:val="pt-PT"/>
        </w:rPr>
        <w:t xml:space="preserve"> </w:t>
      </w:r>
      <w:r>
        <w:t>на</w:t>
      </w:r>
      <w:r>
        <w:rPr>
          <w:lang w:val="pt-PT"/>
        </w:rPr>
        <w:t xml:space="preserve"> </w:t>
      </w:r>
      <w:r>
        <w:t>управление</w:t>
      </w:r>
      <w:r>
        <w:rPr>
          <w:lang w:val="pt-PT"/>
        </w:rPr>
        <w:t xml:space="preserve"> </w:t>
      </w:r>
      <w:r>
        <w:t>и</w:t>
      </w:r>
      <w:r>
        <w:rPr>
          <w:lang w:val="pt-PT"/>
        </w:rPr>
        <w:t xml:space="preserve"> </w:t>
      </w:r>
      <w:r>
        <w:t>позоваванията</w:t>
      </w:r>
      <w:r>
        <w:rPr>
          <w:lang w:val="pt-PT"/>
        </w:rPr>
        <w:t xml:space="preserve"> </w:t>
      </w:r>
      <w:r>
        <w:t>на</w:t>
      </w:r>
      <w:r>
        <w:rPr>
          <w:lang w:val="pt-PT"/>
        </w:rPr>
        <w:t xml:space="preserve"> </w:t>
      </w:r>
      <w:r>
        <w:t>Финансовия</w:t>
      </w:r>
      <w:r>
        <w:rPr>
          <w:lang w:val="pt-PT"/>
        </w:rPr>
        <w:t xml:space="preserve"> </w:t>
      </w:r>
      <w:r>
        <w:t>регламент</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на</w:t>
      </w:r>
      <w:r>
        <w:rPr>
          <w:lang w:val="pt-PT"/>
        </w:rPr>
        <w:t xml:space="preserve"> </w:t>
      </w:r>
      <w:r>
        <w:t>уебсайта</w:t>
      </w:r>
      <w:r>
        <w:rPr>
          <w:lang w:val="pt-PT"/>
        </w:rPr>
        <w:t xml:space="preserve"> BudgWeb: </w:t>
      </w:r>
      <w:hyperlink r:id="rId2">
        <w:r>
          <w:rPr>
            <w:rStyle w:val="Hyperlink"/>
            <w:lang w:val="pt-PT"/>
          </w:rPr>
          <w:t>https://myintracomm.ec.europa.eu/budgweb/EN/man/budgmanag/Pages/budgmanag.aspx</w:t>
        </w:r>
      </w:hyperlink>
    </w:p>
  </w:footnote>
  <w:footnote w:id="21">
    <w:p>
      <w:pPr>
        <w:pStyle w:val="FootnoteText"/>
        <w:rPr>
          <w:szCs w:val="24"/>
        </w:rPr>
      </w:pPr>
      <w:r>
        <w:rPr>
          <w:rStyle w:val="FootnoteReference"/>
        </w:rPr>
        <w:footnoteRef/>
      </w:r>
      <w:r>
        <w:rPr>
          <w:lang w:val="pt-PT"/>
        </w:rPr>
        <w:tab/>
      </w:r>
      <w:r>
        <w:t>Многогод</w:t>
      </w:r>
      <w:r>
        <w:rPr>
          <w:lang w:val="pt-PT"/>
        </w:rPr>
        <w:t xml:space="preserve">. = </w:t>
      </w:r>
      <w:r>
        <w:t>многогодишни</w:t>
      </w:r>
      <w:r>
        <w:rPr>
          <w:lang w:val="pt-PT"/>
        </w:rPr>
        <w:t xml:space="preserve"> </w:t>
      </w:r>
      <w:r>
        <w:t>бюджетни</w:t>
      </w:r>
      <w:r>
        <w:rPr>
          <w:lang w:val="pt-PT"/>
        </w:rPr>
        <w:t xml:space="preserve"> </w:t>
      </w:r>
      <w:r>
        <w:t>кредити</w:t>
      </w:r>
      <w:r>
        <w:rPr>
          <w:lang w:val="pt-PT"/>
        </w:rPr>
        <w:t xml:space="preserve"> / </w:t>
      </w:r>
      <w:r>
        <w:t>Едногод</w:t>
      </w:r>
      <w:r>
        <w:rPr>
          <w:lang w:val="pt-PT"/>
        </w:rPr>
        <w:t xml:space="preserve">. </w:t>
      </w:r>
      <w:r>
        <w:t>= едногодишни бюджетни кредити.</w:t>
      </w:r>
    </w:p>
  </w:footnote>
  <w:footnote w:id="22">
    <w:p>
      <w:pPr>
        <w:pStyle w:val="FootnoteText"/>
        <w:rPr>
          <w:szCs w:val="24"/>
        </w:rPr>
      </w:pPr>
      <w:r>
        <w:rPr>
          <w:rStyle w:val="FootnoteReference"/>
        </w:rPr>
        <w:footnoteRef/>
      </w:r>
      <w:r>
        <w:tab/>
        <w:t xml:space="preserve">ЕАСТ: Европейска асоциация за свободна търговия. </w:t>
      </w:r>
    </w:p>
  </w:footnote>
  <w:footnote w:id="23">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24">
    <w:p>
      <w:pPr>
        <w:pStyle w:val="FootnoteText"/>
      </w:pPr>
      <w:r>
        <w:rPr>
          <w:rStyle w:val="FootnoteReference"/>
        </w:rPr>
        <w:footnoteRef/>
      </w:r>
      <w:r>
        <w:tab/>
        <w:t>Година N е годината, през която започва да се осъществява предложението/инициативата. Моля, заменете буквата N с очакваната първа година от изпълнението (например: 2021 г.). Направете същото за следващите години.</w:t>
      </w:r>
    </w:p>
  </w:footnote>
  <w:footnote w:id="25">
    <w:p>
      <w:pPr>
        <w:pStyle w:val="FootnoteText"/>
        <w:rPr>
          <w:szCs w:val="24"/>
        </w:rPr>
      </w:pPr>
      <w:r>
        <w:rPr>
          <w:rStyle w:val="FootnoteReference"/>
        </w:rPr>
        <w:footnoteRef/>
      </w:r>
      <w:r>
        <w:tab/>
      </w:r>
      <w:r>
        <w:rPr>
          <w:spacing w:val="-6"/>
        </w:rPr>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6">
    <w:p>
      <w:pPr>
        <w:pStyle w:val="FootnoteText"/>
        <w:rPr>
          <w:szCs w:val="24"/>
        </w:rPr>
      </w:pPr>
      <w:r>
        <w:rPr>
          <w:rStyle w:val="FootnoteReference"/>
        </w:rPr>
        <w:footnoteRef/>
      </w:r>
      <w:r>
        <w:tab/>
        <w:t>Съгласно описанието в точка 1.4.2. „Конкретна(и) цел(и)....“</w:t>
      </w:r>
    </w:p>
  </w:footnote>
  <w:footnote w:id="27">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r>
        <w:rPr>
          <w:sz w:val="18"/>
        </w:rPr>
        <w:t xml:space="preserve"> Моля, заменете буквата N с очакваната първа година от изпълнението (например: 2021 г.). Направете същото за следващите години.</w:t>
      </w:r>
    </w:p>
  </w:footnote>
  <w:footnote w:id="28">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r>
        <w:rPr>
          <w:sz w:val="18"/>
        </w:rPr>
        <w:t xml:space="preserve"> Моля, заменете буквата N с очакваната първа година от изпълнението (например: 2021 г.). Направете същото за следващите години.</w:t>
      </w:r>
    </w:p>
  </w:footnote>
  <w:footnote w:id="29">
    <w:p>
      <w:pPr>
        <w:pStyle w:val="FootnoteText"/>
        <w:rPr>
          <w:szCs w:val="24"/>
        </w:rPr>
      </w:pPr>
      <w:r>
        <w:rPr>
          <w:rStyle w:val="FootnoteReference"/>
        </w:rPr>
        <w:footnoteRef/>
      </w:r>
      <w:r>
        <w:tab/>
        <w:t>Вж. членове 11 и 17 от Регламент (ЕС, Евратом) № 1311/2013 на Съвета за определяне на многогодишната финансова рамка за годините 2014—2020.</w:t>
      </w:r>
    </w:p>
  </w:footnote>
  <w:footnote w:id="30">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C829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766C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54FB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1A4F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0408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886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4C57BA"/>
    <w:lvl w:ilvl="0">
      <w:start w:val="1"/>
      <w:numFmt w:val="decimal"/>
      <w:pStyle w:val="ListNumber"/>
      <w:lvlText w:val="%1."/>
      <w:lvlJc w:val="left"/>
      <w:pPr>
        <w:tabs>
          <w:tab w:val="num" w:pos="360"/>
        </w:tabs>
        <w:ind w:left="360" w:hanging="360"/>
      </w:pPr>
    </w:lvl>
  </w:abstractNum>
  <w:abstractNum w:abstractNumId="7">
    <w:nsid w:val="FFFFFF89"/>
    <w:multiLevelType w:val="singleLevel"/>
    <w:tmpl w:val="2B443C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4"/>
    <w:lvlOverride w:ilvl="0">
      <w:startOverride w:val="1"/>
    </w:lvlOverride>
  </w:num>
  <w:num w:numId="11">
    <w:abstractNumId w:val="21"/>
  </w:num>
  <w:num w:numId="12">
    <w:abstractNumId w:val="23"/>
  </w:num>
  <w:num w:numId="13">
    <w:abstractNumId w:val="20"/>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22"/>
  </w:num>
  <w:num w:numId="19">
    <w:abstractNumId w:val="11"/>
  </w:num>
  <w:num w:numId="20">
    <w:abstractNumId w:val="13"/>
  </w:num>
  <w:num w:numId="21">
    <w:abstractNumId w:val="9"/>
  </w:num>
  <w:num w:numId="22">
    <w:abstractNumId w:val="21"/>
  </w:num>
  <w:num w:numId="23">
    <w:abstractNumId w:val="8"/>
  </w:num>
  <w:num w:numId="24">
    <w:abstractNumId w:val="14"/>
  </w:num>
  <w:num w:numId="25">
    <w:abstractNumId w:val="17"/>
  </w:num>
  <w:num w:numId="26">
    <w:abstractNumId w:val="18"/>
  </w:num>
  <w:num w:numId="27">
    <w:abstractNumId w:val="10"/>
  </w:num>
  <w:num w:numId="28">
    <w:abstractNumId w:val="15"/>
  </w:num>
  <w:num w:numId="29">
    <w:abstractNumId w:val="2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2"/>
  </w:num>
  <w:num w:numId="33">
    <w:abstractNumId w:val="22"/>
  </w:num>
  <w:num w:numId="34">
    <w:abstractNumId w:val="11"/>
  </w:num>
  <w:num w:numId="35">
    <w:abstractNumId w:val="13"/>
  </w:num>
  <w:num w:numId="36">
    <w:abstractNumId w:val="9"/>
  </w:num>
  <w:num w:numId="37">
    <w:abstractNumId w:val="21"/>
  </w:num>
  <w:num w:numId="38">
    <w:abstractNumId w:val="8"/>
  </w:num>
  <w:num w:numId="39">
    <w:abstractNumId w:val="14"/>
  </w:num>
  <w:num w:numId="40">
    <w:abstractNumId w:val="17"/>
  </w:num>
  <w:num w:numId="41">
    <w:abstractNumId w:val="18"/>
  </w:num>
  <w:num w:numId="42">
    <w:abstractNumId w:val="10"/>
  </w:num>
  <w:num w:numId="43">
    <w:abstractNumId w:val="15"/>
  </w:num>
  <w:num w:numId="44">
    <w:abstractNumId w:val="2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EBA Michalina (SG)">
    <w15:presenceInfo w15:providerId="None" w15:userId="ZIEBA Michalin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ttachedTemplate r:id="rId1"/>
  <w:revisionView w:markup="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7 12:43: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D53341C-8FA8-4A0F-8D4A-33E3B3BF80D8"/>
    <w:docVar w:name="LW_COVERPAGE_TYPE" w:val="1"/>
    <w:docVar w:name="LW_CROSSREFERENCE" w:val="&lt;UNUSED&gt;"/>
    <w:docVar w:name="LW_DocType" w:val="COM"/>
    <w:docVar w:name="LW_EMISSION" w:val="12.9.2018"/>
    <w:docVar w:name="LW_EMISSION_ISODATE" w:val="2018-09-12"/>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36"/>
    <w:docVar w:name="LW_REF.II.NEW.CP_YEAR" w:val="2018"/>
    <w:docVar w:name="LW_REF.INST.NEW" w:val="COM"/>
    <w:docVar w:name="LW_REF.INST.NEW_ADOPTED" w:val="final"/>
    <w:docVar w:name="LW_REF.INST.NEW_TEXT" w:val="(2018)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1045?\u1074?\u1088?\u1072?\u1090?\u1086?\u1084?) \u8470? 1141/2014 \u1087?\u1086? \u1086?\u1090?\u1085?\u1086?\u1096?\u1077?\u1085?\u1080?\u1077? \u1085?\u1072? \u1087?\u1088?\u1086?\u1094?\u1077?\u1076?\u1091?\u1088?\u1072? \u1079?\u1072? \u1087?\u1088?\u1086?\u1074?\u1077?\u1088?\u1082?\u1072?, \u1089?\u1074?\u1098?\u1088?\u1079?\u1072?\u1085?\u1072? \u1089? \u1085?\u1072?\u1088?\u1091?\u1096?\u1077?\u1085?\u1080?\u1103? \u1085?\u1072? \u1087?\u1088?\u1072?\u1074?\u1080?\u1083?\u1072?\u1090?\u1072? \u1079?\u1072? \u1079?\u1072?\u1097?\u1080?\u1090?\u1072? \u1085?\u1072? \u1083?\u1080?\u1095?\u1085?\u1080?\u1090?\u1077? \u1076?\u1072?\u1085?\u1085?\u1080? \u1074? \u1082?\u1086?\u1085?\u1090?\u1077?\u1082?\u1089?\u1090?\u1072? \u1085?\u1072? \u1080?\u1079?\u1073?\u1086?\u1088?\u1080?\u1090?\u1077? \u1079?\u1072? \u1045?\u1074?\u1088?\u1086?\u1087?\u1077?\u1081?\u1089?\u1082?\u1080? \u1087?\u1072?\u1088?\u1083?\u1072?\u1084?\u1077?\u1085?\u1090?_x000b__x000b_&lt;FMT:Italic&gt;\u1055?\u1088?\u1080?\u1085?\u1086?\u1089? \u1085?\u1072? \u1045?\u1074?\u1088?\u1086?\u1087?\u1077?\u1081?\u1089?\u1082?\u1072?\u1090?\u1072? \u1082?\u1086?\u1084?\u1080?\u1089?\u1080?\u1103? \u1079?\u1072? \u1089?\u1088?\u1077?\u1097?\u1072?\u1090?\u1072? \u1085?\u1072? \u1083?\u1080?\u1076?\u1077?\u1088?\u1080?\u1090?\u1077? \u1074?&lt;/FMT&gt;_x000b_&lt;FMT:Italic&gt;\u1047?\u1072?\u1083?\u1094?\u1073?\u1091?\u1088?\u1075? \u1085?\u1072? 19\u8212?20 \u1089?\u1077?\u1087?\u1090?\u1077?\u1084?\u1074?\u1088?\u1080? 2018 \u1075?.&lt;/FMT&gt;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character" w:styleId="Emphasis">
    <w:name w:val="Emphasis"/>
    <w:uiPriority w:val="20"/>
    <w:qFormat/>
    <w:rPr>
      <w:i/>
      <w:iCs/>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after="0" w:line="312" w:lineRule="atLeast"/>
    </w:pPr>
    <w:rPr>
      <w:rFonts w:eastAsia="Times New Roman"/>
      <w:szCs w:val="24"/>
    </w:rPr>
  </w:style>
  <w:style w:type="character" w:styleId="Strong">
    <w:name w:val="Strong"/>
    <w:basedOn w:val="DefaultParagraphFont"/>
    <w:uiPriority w:val="22"/>
    <w:qFormat/>
    <w:rPr>
      <w:b/>
      <w:bCs/>
    </w:rPr>
  </w:style>
  <w:style w:type="paragraph" w:customStyle="1" w:styleId="norm">
    <w:name w:val="norm"/>
    <w:basedOn w:val="Normal"/>
    <w:pPr>
      <w:spacing w:after="0"/>
    </w:pPr>
    <w:rPr>
      <w:rFonts w:eastAsia="Times New Roman"/>
      <w:szCs w:val="24"/>
    </w:rPr>
  </w:style>
  <w:style w:type="paragraph" w:customStyle="1" w:styleId="ListBullet1">
    <w:name w:val="List Bullet 1"/>
    <w:basedOn w:val="Normal"/>
    <w:pPr>
      <w:numPr>
        <w:numId w:val="12"/>
      </w:numPr>
    </w:pPr>
  </w:style>
  <w:style w:type="paragraph" w:customStyle="1" w:styleId="ListDash1">
    <w:name w:val="List Dash 1"/>
    <w:basedOn w:val="Normal"/>
    <w:pPr>
      <w:numPr>
        <w:numId w:val="13"/>
      </w:numPr>
    </w:pPr>
  </w:style>
  <w:style w:type="paragraph" w:customStyle="1" w:styleId="ListDash2">
    <w:name w:val="List Dash 2"/>
    <w:basedOn w:val="Normal"/>
    <w:pPr>
      <w:numPr>
        <w:numId w:val="14"/>
      </w:numPr>
    </w:pPr>
  </w:style>
  <w:style w:type="paragraph" w:customStyle="1" w:styleId="ListNumberLevel2">
    <w:name w:val="List Number (Level 2)"/>
    <w:basedOn w:val="Normal"/>
    <w:pPr>
      <w:tabs>
        <w:tab w:val="num" w:pos="1417"/>
      </w:tabs>
      <w:ind w:left="1417" w:hanging="708"/>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Fichefinancirestandardtitre">
    <w:name w:val="Fiche financière (standard)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character" w:styleId="Emphasis">
    <w:name w:val="Emphasis"/>
    <w:uiPriority w:val="20"/>
    <w:qFormat/>
    <w:rPr>
      <w:i/>
      <w:iCs/>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after="0" w:line="312" w:lineRule="atLeast"/>
    </w:pPr>
    <w:rPr>
      <w:rFonts w:eastAsia="Times New Roman"/>
      <w:szCs w:val="24"/>
    </w:rPr>
  </w:style>
  <w:style w:type="character" w:styleId="Strong">
    <w:name w:val="Strong"/>
    <w:basedOn w:val="DefaultParagraphFont"/>
    <w:uiPriority w:val="22"/>
    <w:qFormat/>
    <w:rPr>
      <w:b/>
      <w:bCs/>
    </w:rPr>
  </w:style>
  <w:style w:type="paragraph" w:customStyle="1" w:styleId="norm">
    <w:name w:val="norm"/>
    <w:basedOn w:val="Normal"/>
    <w:pPr>
      <w:spacing w:after="0"/>
    </w:pPr>
    <w:rPr>
      <w:rFonts w:eastAsia="Times New Roman"/>
      <w:szCs w:val="24"/>
    </w:rPr>
  </w:style>
  <w:style w:type="paragraph" w:customStyle="1" w:styleId="ListBullet1">
    <w:name w:val="List Bullet 1"/>
    <w:basedOn w:val="Normal"/>
    <w:pPr>
      <w:numPr>
        <w:numId w:val="12"/>
      </w:numPr>
    </w:pPr>
  </w:style>
  <w:style w:type="paragraph" w:customStyle="1" w:styleId="ListDash1">
    <w:name w:val="List Dash 1"/>
    <w:basedOn w:val="Normal"/>
    <w:pPr>
      <w:numPr>
        <w:numId w:val="13"/>
      </w:numPr>
    </w:pPr>
  </w:style>
  <w:style w:type="paragraph" w:customStyle="1" w:styleId="ListDash2">
    <w:name w:val="List Dash 2"/>
    <w:basedOn w:val="Normal"/>
    <w:pPr>
      <w:numPr>
        <w:numId w:val="14"/>
      </w:numPr>
    </w:pPr>
  </w:style>
  <w:style w:type="paragraph" w:customStyle="1" w:styleId="ListNumberLevel2">
    <w:name w:val="List Number (Level 2)"/>
    <w:basedOn w:val="Normal"/>
    <w:pPr>
      <w:tabs>
        <w:tab w:val="num" w:pos="1417"/>
      </w:tabs>
      <w:ind w:left="1417" w:hanging="708"/>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Fichefinancirestandardtitre">
    <w:name w:val="Fiche financière (standard)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4139">
      <w:bodyDiv w:val="1"/>
      <w:marLeft w:val="0"/>
      <w:marRight w:val="0"/>
      <w:marTop w:val="0"/>
      <w:marBottom w:val="0"/>
      <w:divBdr>
        <w:top w:val="none" w:sz="0" w:space="0" w:color="auto"/>
        <w:left w:val="none" w:sz="0" w:space="0" w:color="auto"/>
        <w:bottom w:val="none" w:sz="0" w:space="0" w:color="auto"/>
        <w:right w:val="none" w:sz="0" w:space="0" w:color="auto"/>
      </w:divBdr>
      <w:divsChild>
        <w:div w:id="170604281">
          <w:marLeft w:val="0"/>
          <w:marRight w:val="0"/>
          <w:marTop w:val="0"/>
          <w:marBottom w:val="0"/>
          <w:divBdr>
            <w:top w:val="none" w:sz="0" w:space="0" w:color="auto"/>
            <w:left w:val="none" w:sz="0" w:space="0" w:color="auto"/>
            <w:bottom w:val="none" w:sz="0" w:space="0" w:color="auto"/>
            <w:right w:val="none" w:sz="0" w:space="0" w:color="auto"/>
          </w:divBdr>
          <w:divsChild>
            <w:div w:id="880746428">
              <w:marLeft w:val="0"/>
              <w:marRight w:val="0"/>
              <w:marTop w:val="0"/>
              <w:marBottom w:val="0"/>
              <w:divBdr>
                <w:top w:val="none" w:sz="0" w:space="0" w:color="auto"/>
                <w:left w:val="none" w:sz="0" w:space="0" w:color="auto"/>
                <w:bottom w:val="none" w:sz="0" w:space="0" w:color="auto"/>
                <w:right w:val="none" w:sz="0" w:space="0" w:color="auto"/>
              </w:divBdr>
              <w:divsChild>
                <w:div w:id="1358971456">
                  <w:marLeft w:val="0"/>
                  <w:marRight w:val="0"/>
                  <w:marTop w:val="0"/>
                  <w:marBottom w:val="0"/>
                  <w:divBdr>
                    <w:top w:val="none" w:sz="0" w:space="0" w:color="auto"/>
                    <w:left w:val="none" w:sz="0" w:space="0" w:color="auto"/>
                    <w:bottom w:val="none" w:sz="0" w:space="0" w:color="auto"/>
                    <w:right w:val="none" w:sz="0" w:space="0" w:color="auto"/>
                  </w:divBdr>
                  <w:divsChild>
                    <w:div w:id="2000648853">
                      <w:marLeft w:val="1"/>
                      <w:marRight w:val="1"/>
                      <w:marTop w:val="0"/>
                      <w:marBottom w:val="0"/>
                      <w:divBdr>
                        <w:top w:val="none" w:sz="0" w:space="0" w:color="auto"/>
                        <w:left w:val="none" w:sz="0" w:space="0" w:color="auto"/>
                        <w:bottom w:val="none" w:sz="0" w:space="0" w:color="auto"/>
                        <w:right w:val="none" w:sz="0" w:space="0" w:color="auto"/>
                      </w:divBdr>
                      <w:divsChild>
                        <w:div w:id="586841760">
                          <w:marLeft w:val="0"/>
                          <w:marRight w:val="0"/>
                          <w:marTop w:val="0"/>
                          <w:marBottom w:val="0"/>
                          <w:divBdr>
                            <w:top w:val="none" w:sz="0" w:space="0" w:color="auto"/>
                            <w:left w:val="none" w:sz="0" w:space="0" w:color="auto"/>
                            <w:bottom w:val="none" w:sz="0" w:space="0" w:color="auto"/>
                            <w:right w:val="none" w:sz="0" w:space="0" w:color="auto"/>
                          </w:divBdr>
                          <w:divsChild>
                            <w:div w:id="1905294853">
                              <w:marLeft w:val="0"/>
                              <w:marRight w:val="0"/>
                              <w:marTop w:val="0"/>
                              <w:marBottom w:val="360"/>
                              <w:divBdr>
                                <w:top w:val="none" w:sz="0" w:space="0" w:color="auto"/>
                                <w:left w:val="none" w:sz="0" w:space="0" w:color="auto"/>
                                <w:bottom w:val="none" w:sz="0" w:space="0" w:color="auto"/>
                                <w:right w:val="none" w:sz="0" w:space="0" w:color="auto"/>
                              </w:divBdr>
                              <w:divsChild>
                                <w:div w:id="378015364">
                                  <w:marLeft w:val="0"/>
                                  <w:marRight w:val="0"/>
                                  <w:marTop w:val="0"/>
                                  <w:marBottom w:val="0"/>
                                  <w:divBdr>
                                    <w:top w:val="none" w:sz="0" w:space="0" w:color="auto"/>
                                    <w:left w:val="none" w:sz="0" w:space="0" w:color="auto"/>
                                    <w:bottom w:val="none" w:sz="0" w:space="0" w:color="auto"/>
                                    <w:right w:val="none" w:sz="0" w:space="0" w:color="auto"/>
                                  </w:divBdr>
                                  <w:divsChild>
                                    <w:div w:id="305359737">
                                      <w:marLeft w:val="0"/>
                                      <w:marRight w:val="0"/>
                                      <w:marTop w:val="0"/>
                                      <w:marBottom w:val="0"/>
                                      <w:divBdr>
                                        <w:top w:val="none" w:sz="0" w:space="0" w:color="auto"/>
                                        <w:left w:val="none" w:sz="0" w:space="0" w:color="auto"/>
                                        <w:bottom w:val="none" w:sz="0" w:space="0" w:color="auto"/>
                                        <w:right w:val="none" w:sz="0" w:space="0" w:color="auto"/>
                                      </w:divBdr>
                                      <w:divsChild>
                                        <w:div w:id="863641041">
                                          <w:marLeft w:val="0"/>
                                          <w:marRight w:val="0"/>
                                          <w:marTop w:val="0"/>
                                          <w:marBottom w:val="0"/>
                                          <w:divBdr>
                                            <w:top w:val="none" w:sz="0" w:space="0" w:color="auto"/>
                                            <w:left w:val="none" w:sz="0" w:space="0" w:color="auto"/>
                                            <w:bottom w:val="none" w:sz="0" w:space="0" w:color="auto"/>
                                            <w:right w:val="none" w:sz="0" w:space="0" w:color="auto"/>
                                          </w:divBdr>
                                        </w:div>
                                        <w:div w:id="18242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5222">
      <w:bodyDiv w:val="1"/>
      <w:marLeft w:val="0"/>
      <w:marRight w:val="0"/>
      <w:marTop w:val="0"/>
      <w:marBottom w:val="0"/>
      <w:divBdr>
        <w:top w:val="none" w:sz="0" w:space="0" w:color="auto"/>
        <w:left w:val="none" w:sz="0" w:space="0" w:color="auto"/>
        <w:bottom w:val="none" w:sz="0" w:space="0" w:color="auto"/>
        <w:right w:val="none" w:sz="0" w:space="0" w:color="auto"/>
      </w:divBdr>
      <w:divsChild>
        <w:div w:id="765617296">
          <w:marLeft w:val="0"/>
          <w:marRight w:val="0"/>
          <w:marTop w:val="0"/>
          <w:marBottom w:val="0"/>
          <w:divBdr>
            <w:top w:val="none" w:sz="0" w:space="0" w:color="auto"/>
            <w:left w:val="none" w:sz="0" w:space="0" w:color="auto"/>
            <w:bottom w:val="none" w:sz="0" w:space="0" w:color="auto"/>
            <w:right w:val="none" w:sz="0" w:space="0" w:color="auto"/>
          </w:divBdr>
          <w:divsChild>
            <w:div w:id="657807361">
              <w:marLeft w:val="0"/>
              <w:marRight w:val="0"/>
              <w:marTop w:val="0"/>
              <w:marBottom w:val="0"/>
              <w:divBdr>
                <w:top w:val="none" w:sz="0" w:space="0" w:color="auto"/>
                <w:left w:val="none" w:sz="0" w:space="0" w:color="auto"/>
                <w:bottom w:val="none" w:sz="0" w:space="0" w:color="auto"/>
                <w:right w:val="none" w:sz="0" w:space="0" w:color="auto"/>
              </w:divBdr>
              <w:divsChild>
                <w:div w:id="594285200">
                  <w:marLeft w:val="0"/>
                  <w:marRight w:val="0"/>
                  <w:marTop w:val="0"/>
                  <w:marBottom w:val="0"/>
                  <w:divBdr>
                    <w:top w:val="none" w:sz="0" w:space="0" w:color="auto"/>
                    <w:left w:val="none" w:sz="0" w:space="0" w:color="auto"/>
                    <w:bottom w:val="none" w:sz="0" w:space="0" w:color="auto"/>
                    <w:right w:val="none" w:sz="0" w:space="0" w:color="auto"/>
                  </w:divBdr>
                  <w:divsChild>
                    <w:div w:id="682826771">
                      <w:marLeft w:val="1"/>
                      <w:marRight w:val="1"/>
                      <w:marTop w:val="0"/>
                      <w:marBottom w:val="0"/>
                      <w:divBdr>
                        <w:top w:val="none" w:sz="0" w:space="0" w:color="auto"/>
                        <w:left w:val="none" w:sz="0" w:space="0" w:color="auto"/>
                        <w:bottom w:val="none" w:sz="0" w:space="0" w:color="auto"/>
                        <w:right w:val="none" w:sz="0" w:space="0" w:color="auto"/>
                      </w:divBdr>
                      <w:divsChild>
                        <w:div w:id="1368024662">
                          <w:marLeft w:val="0"/>
                          <w:marRight w:val="0"/>
                          <w:marTop w:val="0"/>
                          <w:marBottom w:val="0"/>
                          <w:divBdr>
                            <w:top w:val="none" w:sz="0" w:space="0" w:color="auto"/>
                            <w:left w:val="none" w:sz="0" w:space="0" w:color="auto"/>
                            <w:bottom w:val="none" w:sz="0" w:space="0" w:color="auto"/>
                            <w:right w:val="none" w:sz="0" w:space="0" w:color="auto"/>
                          </w:divBdr>
                          <w:divsChild>
                            <w:div w:id="1047022686">
                              <w:marLeft w:val="0"/>
                              <w:marRight w:val="0"/>
                              <w:marTop w:val="0"/>
                              <w:marBottom w:val="360"/>
                              <w:divBdr>
                                <w:top w:val="none" w:sz="0" w:space="0" w:color="auto"/>
                                <w:left w:val="none" w:sz="0" w:space="0" w:color="auto"/>
                                <w:bottom w:val="none" w:sz="0" w:space="0" w:color="auto"/>
                                <w:right w:val="none" w:sz="0" w:space="0" w:color="auto"/>
                              </w:divBdr>
                              <w:divsChild>
                                <w:div w:id="212928918">
                                  <w:marLeft w:val="0"/>
                                  <w:marRight w:val="0"/>
                                  <w:marTop w:val="0"/>
                                  <w:marBottom w:val="0"/>
                                  <w:divBdr>
                                    <w:top w:val="none" w:sz="0" w:space="0" w:color="auto"/>
                                    <w:left w:val="none" w:sz="0" w:space="0" w:color="auto"/>
                                    <w:bottom w:val="none" w:sz="0" w:space="0" w:color="auto"/>
                                    <w:right w:val="none" w:sz="0" w:space="0" w:color="auto"/>
                                  </w:divBdr>
                                  <w:divsChild>
                                    <w:div w:id="614216841">
                                      <w:marLeft w:val="0"/>
                                      <w:marRight w:val="0"/>
                                      <w:marTop w:val="0"/>
                                      <w:marBottom w:val="0"/>
                                      <w:divBdr>
                                        <w:top w:val="none" w:sz="0" w:space="0" w:color="auto"/>
                                        <w:left w:val="none" w:sz="0" w:space="0" w:color="auto"/>
                                        <w:bottom w:val="none" w:sz="0" w:space="0" w:color="auto"/>
                                        <w:right w:val="none" w:sz="0" w:space="0" w:color="auto"/>
                                      </w:divBdr>
                                      <w:divsChild>
                                        <w:div w:id="812984310">
                                          <w:marLeft w:val="0"/>
                                          <w:marRight w:val="0"/>
                                          <w:marTop w:val="0"/>
                                          <w:marBottom w:val="0"/>
                                          <w:divBdr>
                                            <w:top w:val="none" w:sz="0" w:space="0" w:color="auto"/>
                                            <w:left w:val="none" w:sz="0" w:space="0" w:color="auto"/>
                                            <w:bottom w:val="none" w:sz="0" w:space="0" w:color="auto"/>
                                            <w:right w:val="none" w:sz="0" w:space="0" w:color="auto"/>
                                          </w:divBdr>
                                          <w:divsChild>
                                            <w:div w:id="1263221035">
                                              <w:marLeft w:val="0"/>
                                              <w:marRight w:val="0"/>
                                              <w:marTop w:val="0"/>
                                              <w:marBottom w:val="0"/>
                                              <w:divBdr>
                                                <w:top w:val="none" w:sz="0" w:space="0" w:color="auto"/>
                                                <w:left w:val="none" w:sz="0" w:space="0" w:color="auto"/>
                                                <w:bottom w:val="none" w:sz="0" w:space="0" w:color="auto"/>
                                                <w:right w:val="none" w:sz="0" w:space="0" w:color="auto"/>
                                              </w:divBdr>
                                              <w:divsChild>
                                                <w:div w:id="1024135031">
                                                  <w:marLeft w:val="0"/>
                                                  <w:marRight w:val="0"/>
                                                  <w:marTop w:val="0"/>
                                                  <w:marBottom w:val="0"/>
                                                  <w:divBdr>
                                                    <w:top w:val="none" w:sz="0" w:space="0" w:color="auto"/>
                                                    <w:left w:val="none" w:sz="0" w:space="0" w:color="auto"/>
                                                    <w:bottom w:val="none" w:sz="0" w:space="0" w:color="auto"/>
                                                    <w:right w:val="none" w:sz="0" w:space="0" w:color="auto"/>
                                                  </w:divBdr>
                                                  <w:divsChild>
                                                    <w:div w:id="2922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250721">
      <w:bodyDiv w:val="1"/>
      <w:marLeft w:val="0"/>
      <w:marRight w:val="0"/>
      <w:marTop w:val="0"/>
      <w:marBottom w:val="0"/>
      <w:divBdr>
        <w:top w:val="none" w:sz="0" w:space="0" w:color="auto"/>
        <w:left w:val="none" w:sz="0" w:space="0" w:color="auto"/>
        <w:bottom w:val="none" w:sz="0" w:space="0" w:color="auto"/>
        <w:right w:val="none" w:sz="0" w:space="0" w:color="auto"/>
      </w:divBdr>
    </w:div>
    <w:div w:id="239752497">
      <w:bodyDiv w:val="1"/>
      <w:marLeft w:val="0"/>
      <w:marRight w:val="0"/>
      <w:marTop w:val="0"/>
      <w:marBottom w:val="0"/>
      <w:divBdr>
        <w:top w:val="none" w:sz="0" w:space="0" w:color="auto"/>
        <w:left w:val="none" w:sz="0" w:space="0" w:color="auto"/>
        <w:bottom w:val="none" w:sz="0" w:space="0" w:color="auto"/>
        <w:right w:val="none" w:sz="0" w:space="0" w:color="auto"/>
      </w:divBdr>
    </w:div>
    <w:div w:id="457334782">
      <w:bodyDiv w:val="1"/>
      <w:marLeft w:val="0"/>
      <w:marRight w:val="0"/>
      <w:marTop w:val="0"/>
      <w:marBottom w:val="0"/>
      <w:divBdr>
        <w:top w:val="none" w:sz="0" w:space="0" w:color="auto"/>
        <w:left w:val="none" w:sz="0" w:space="0" w:color="auto"/>
        <w:bottom w:val="none" w:sz="0" w:space="0" w:color="auto"/>
        <w:right w:val="none" w:sz="0" w:space="0" w:color="auto"/>
      </w:divBdr>
    </w:div>
    <w:div w:id="906039964">
      <w:bodyDiv w:val="1"/>
      <w:marLeft w:val="0"/>
      <w:marRight w:val="0"/>
      <w:marTop w:val="0"/>
      <w:marBottom w:val="0"/>
      <w:divBdr>
        <w:top w:val="none" w:sz="0" w:space="0" w:color="auto"/>
        <w:left w:val="none" w:sz="0" w:space="0" w:color="auto"/>
        <w:bottom w:val="none" w:sz="0" w:space="0" w:color="auto"/>
        <w:right w:val="none" w:sz="0" w:space="0" w:color="auto"/>
      </w:divBdr>
      <w:divsChild>
        <w:div w:id="1181893515">
          <w:marLeft w:val="0"/>
          <w:marRight w:val="0"/>
          <w:marTop w:val="0"/>
          <w:marBottom w:val="0"/>
          <w:divBdr>
            <w:top w:val="none" w:sz="0" w:space="0" w:color="auto"/>
            <w:left w:val="none" w:sz="0" w:space="0" w:color="auto"/>
            <w:bottom w:val="none" w:sz="0" w:space="0" w:color="auto"/>
            <w:right w:val="none" w:sz="0" w:space="0" w:color="auto"/>
          </w:divBdr>
          <w:divsChild>
            <w:div w:id="1857423059">
              <w:marLeft w:val="0"/>
              <w:marRight w:val="0"/>
              <w:marTop w:val="0"/>
              <w:marBottom w:val="0"/>
              <w:divBdr>
                <w:top w:val="none" w:sz="0" w:space="0" w:color="auto"/>
                <w:left w:val="none" w:sz="0" w:space="0" w:color="auto"/>
                <w:bottom w:val="none" w:sz="0" w:space="0" w:color="auto"/>
                <w:right w:val="none" w:sz="0" w:space="0" w:color="auto"/>
              </w:divBdr>
              <w:divsChild>
                <w:div w:id="1602570094">
                  <w:marLeft w:val="0"/>
                  <w:marRight w:val="0"/>
                  <w:marTop w:val="0"/>
                  <w:marBottom w:val="0"/>
                  <w:divBdr>
                    <w:top w:val="none" w:sz="0" w:space="0" w:color="auto"/>
                    <w:left w:val="none" w:sz="0" w:space="0" w:color="auto"/>
                    <w:bottom w:val="none" w:sz="0" w:space="0" w:color="auto"/>
                    <w:right w:val="none" w:sz="0" w:space="0" w:color="auto"/>
                  </w:divBdr>
                  <w:divsChild>
                    <w:div w:id="348797094">
                      <w:marLeft w:val="1"/>
                      <w:marRight w:val="1"/>
                      <w:marTop w:val="0"/>
                      <w:marBottom w:val="0"/>
                      <w:divBdr>
                        <w:top w:val="none" w:sz="0" w:space="0" w:color="auto"/>
                        <w:left w:val="none" w:sz="0" w:space="0" w:color="auto"/>
                        <w:bottom w:val="none" w:sz="0" w:space="0" w:color="auto"/>
                        <w:right w:val="none" w:sz="0" w:space="0" w:color="auto"/>
                      </w:divBdr>
                      <w:divsChild>
                        <w:div w:id="1615474655">
                          <w:marLeft w:val="0"/>
                          <w:marRight w:val="0"/>
                          <w:marTop w:val="0"/>
                          <w:marBottom w:val="0"/>
                          <w:divBdr>
                            <w:top w:val="none" w:sz="0" w:space="0" w:color="auto"/>
                            <w:left w:val="none" w:sz="0" w:space="0" w:color="auto"/>
                            <w:bottom w:val="none" w:sz="0" w:space="0" w:color="auto"/>
                            <w:right w:val="none" w:sz="0" w:space="0" w:color="auto"/>
                          </w:divBdr>
                          <w:divsChild>
                            <w:div w:id="6178583">
                              <w:marLeft w:val="0"/>
                              <w:marRight w:val="0"/>
                              <w:marTop w:val="0"/>
                              <w:marBottom w:val="360"/>
                              <w:divBdr>
                                <w:top w:val="none" w:sz="0" w:space="0" w:color="auto"/>
                                <w:left w:val="none" w:sz="0" w:space="0" w:color="auto"/>
                                <w:bottom w:val="none" w:sz="0" w:space="0" w:color="auto"/>
                                <w:right w:val="none" w:sz="0" w:space="0" w:color="auto"/>
                              </w:divBdr>
                              <w:divsChild>
                                <w:div w:id="917447419">
                                  <w:marLeft w:val="0"/>
                                  <w:marRight w:val="0"/>
                                  <w:marTop w:val="0"/>
                                  <w:marBottom w:val="0"/>
                                  <w:divBdr>
                                    <w:top w:val="none" w:sz="0" w:space="0" w:color="auto"/>
                                    <w:left w:val="none" w:sz="0" w:space="0" w:color="auto"/>
                                    <w:bottom w:val="none" w:sz="0" w:space="0" w:color="auto"/>
                                    <w:right w:val="none" w:sz="0" w:space="0" w:color="auto"/>
                                  </w:divBdr>
                                  <w:divsChild>
                                    <w:div w:id="1466895262">
                                      <w:marLeft w:val="0"/>
                                      <w:marRight w:val="0"/>
                                      <w:marTop w:val="0"/>
                                      <w:marBottom w:val="0"/>
                                      <w:divBdr>
                                        <w:top w:val="none" w:sz="0" w:space="0" w:color="auto"/>
                                        <w:left w:val="none" w:sz="0" w:space="0" w:color="auto"/>
                                        <w:bottom w:val="none" w:sz="0" w:space="0" w:color="auto"/>
                                        <w:right w:val="none" w:sz="0" w:space="0" w:color="auto"/>
                                      </w:divBdr>
                                      <w:divsChild>
                                        <w:div w:id="978657614">
                                          <w:marLeft w:val="0"/>
                                          <w:marRight w:val="0"/>
                                          <w:marTop w:val="0"/>
                                          <w:marBottom w:val="0"/>
                                          <w:divBdr>
                                            <w:top w:val="none" w:sz="0" w:space="0" w:color="auto"/>
                                            <w:left w:val="none" w:sz="0" w:space="0" w:color="auto"/>
                                            <w:bottom w:val="none" w:sz="0" w:space="0" w:color="auto"/>
                                            <w:right w:val="none" w:sz="0" w:space="0" w:color="auto"/>
                                          </w:divBdr>
                                        </w:div>
                                        <w:div w:id="10626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566034">
      <w:bodyDiv w:val="1"/>
      <w:marLeft w:val="0"/>
      <w:marRight w:val="0"/>
      <w:marTop w:val="0"/>
      <w:marBottom w:val="0"/>
      <w:divBdr>
        <w:top w:val="none" w:sz="0" w:space="0" w:color="auto"/>
        <w:left w:val="none" w:sz="0" w:space="0" w:color="auto"/>
        <w:bottom w:val="none" w:sz="0" w:space="0" w:color="auto"/>
        <w:right w:val="none" w:sz="0" w:space="0" w:color="auto"/>
      </w:divBdr>
      <w:divsChild>
        <w:div w:id="484471053">
          <w:marLeft w:val="0"/>
          <w:marRight w:val="0"/>
          <w:marTop w:val="0"/>
          <w:marBottom w:val="0"/>
          <w:divBdr>
            <w:top w:val="none" w:sz="0" w:space="0" w:color="auto"/>
            <w:left w:val="none" w:sz="0" w:space="0" w:color="auto"/>
            <w:bottom w:val="none" w:sz="0" w:space="0" w:color="auto"/>
            <w:right w:val="none" w:sz="0" w:space="0" w:color="auto"/>
          </w:divBdr>
          <w:divsChild>
            <w:div w:id="139350986">
              <w:marLeft w:val="0"/>
              <w:marRight w:val="0"/>
              <w:marTop w:val="0"/>
              <w:marBottom w:val="0"/>
              <w:divBdr>
                <w:top w:val="none" w:sz="0" w:space="0" w:color="auto"/>
                <w:left w:val="none" w:sz="0" w:space="0" w:color="auto"/>
                <w:bottom w:val="none" w:sz="0" w:space="0" w:color="auto"/>
                <w:right w:val="none" w:sz="0" w:space="0" w:color="auto"/>
              </w:divBdr>
              <w:divsChild>
                <w:div w:id="1945186091">
                  <w:marLeft w:val="0"/>
                  <w:marRight w:val="0"/>
                  <w:marTop w:val="0"/>
                  <w:marBottom w:val="0"/>
                  <w:divBdr>
                    <w:top w:val="none" w:sz="0" w:space="0" w:color="auto"/>
                    <w:left w:val="none" w:sz="0" w:space="0" w:color="auto"/>
                    <w:bottom w:val="none" w:sz="0" w:space="0" w:color="auto"/>
                    <w:right w:val="none" w:sz="0" w:space="0" w:color="auto"/>
                  </w:divBdr>
                  <w:divsChild>
                    <w:div w:id="1010913008">
                      <w:marLeft w:val="1"/>
                      <w:marRight w:val="1"/>
                      <w:marTop w:val="0"/>
                      <w:marBottom w:val="0"/>
                      <w:divBdr>
                        <w:top w:val="none" w:sz="0" w:space="0" w:color="auto"/>
                        <w:left w:val="none" w:sz="0" w:space="0" w:color="auto"/>
                        <w:bottom w:val="none" w:sz="0" w:space="0" w:color="auto"/>
                        <w:right w:val="none" w:sz="0" w:space="0" w:color="auto"/>
                      </w:divBdr>
                      <w:divsChild>
                        <w:div w:id="1205555010">
                          <w:marLeft w:val="0"/>
                          <w:marRight w:val="0"/>
                          <w:marTop w:val="0"/>
                          <w:marBottom w:val="0"/>
                          <w:divBdr>
                            <w:top w:val="none" w:sz="0" w:space="0" w:color="auto"/>
                            <w:left w:val="none" w:sz="0" w:space="0" w:color="auto"/>
                            <w:bottom w:val="none" w:sz="0" w:space="0" w:color="auto"/>
                            <w:right w:val="none" w:sz="0" w:space="0" w:color="auto"/>
                          </w:divBdr>
                          <w:divsChild>
                            <w:div w:id="1966347664">
                              <w:marLeft w:val="0"/>
                              <w:marRight w:val="0"/>
                              <w:marTop w:val="0"/>
                              <w:marBottom w:val="360"/>
                              <w:divBdr>
                                <w:top w:val="none" w:sz="0" w:space="0" w:color="auto"/>
                                <w:left w:val="none" w:sz="0" w:space="0" w:color="auto"/>
                                <w:bottom w:val="none" w:sz="0" w:space="0" w:color="auto"/>
                                <w:right w:val="none" w:sz="0" w:space="0" w:color="auto"/>
                              </w:divBdr>
                              <w:divsChild>
                                <w:div w:id="286199355">
                                  <w:marLeft w:val="0"/>
                                  <w:marRight w:val="0"/>
                                  <w:marTop w:val="0"/>
                                  <w:marBottom w:val="0"/>
                                  <w:divBdr>
                                    <w:top w:val="none" w:sz="0" w:space="0" w:color="auto"/>
                                    <w:left w:val="none" w:sz="0" w:space="0" w:color="auto"/>
                                    <w:bottom w:val="none" w:sz="0" w:space="0" w:color="auto"/>
                                    <w:right w:val="none" w:sz="0" w:space="0" w:color="auto"/>
                                  </w:divBdr>
                                  <w:divsChild>
                                    <w:div w:id="1758676634">
                                      <w:marLeft w:val="0"/>
                                      <w:marRight w:val="0"/>
                                      <w:marTop w:val="0"/>
                                      <w:marBottom w:val="0"/>
                                      <w:divBdr>
                                        <w:top w:val="none" w:sz="0" w:space="0" w:color="auto"/>
                                        <w:left w:val="none" w:sz="0" w:space="0" w:color="auto"/>
                                        <w:bottom w:val="none" w:sz="0" w:space="0" w:color="auto"/>
                                        <w:right w:val="none" w:sz="0" w:space="0" w:color="auto"/>
                                      </w:divBdr>
                                      <w:divsChild>
                                        <w:div w:id="1539002036">
                                          <w:marLeft w:val="0"/>
                                          <w:marRight w:val="0"/>
                                          <w:marTop w:val="0"/>
                                          <w:marBottom w:val="0"/>
                                          <w:divBdr>
                                            <w:top w:val="none" w:sz="0" w:space="0" w:color="auto"/>
                                            <w:left w:val="none" w:sz="0" w:space="0" w:color="auto"/>
                                            <w:bottom w:val="none" w:sz="0" w:space="0" w:color="auto"/>
                                            <w:right w:val="none" w:sz="0" w:space="0" w:color="auto"/>
                                          </w:divBdr>
                                        </w:div>
                                        <w:div w:id="17059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543413">
      <w:bodyDiv w:val="1"/>
      <w:marLeft w:val="0"/>
      <w:marRight w:val="0"/>
      <w:marTop w:val="0"/>
      <w:marBottom w:val="0"/>
      <w:divBdr>
        <w:top w:val="none" w:sz="0" w:space="0" w:color="auto"/>
        <w:left w:val="none" w:sz="0" w:space="0" w:color="auto"/>
        <w:bottom w:val="none" w:sz="0" w:space="0" w:color="auto"/>
        <w:right w:val="none" w:sz="0" w:space="0" w:color="auto"/>
      </w:divBdr>
    </w:div>
    <w:div w:id="1112551098">
      <w:bodyDiv w:val="1"/>
      <w:marLeft w:val="0"/>
      <w:marRight w:val="0"/>
      <w:marTop w:val="0"/>
      <w:marBottom w:val="0"/>
      <w:divBdr>
        <w:top w:val="none" w:sz="0" w:space="0" w:color="auto"/>
        <w:left w:val="none" w:sz="0" w:space="0" w:color="auto"/>
        <w:bottom w:val="none" w:sz="0" w:space="0" w:color="auto"/>
        <w:right w:val="none" w:sz="0" w:space="0" w:color="auto"/>
      </w:divBdr>
      <w:divsChild>
        <w:div w:id="575214962">
          <w:marLeft w:val="0"/>
          <w:marRight w:val="0"/>
          <w:marTop w:val="0"/>
          <w:marBottom w:val="0"/>
          <w:divBdr>
            <w:top w:val="none" w:sz="0" w:space="0" w:color="auto"/>
            <w:left w:val="none" w:sz="0" w:space="0" w:color="auto"/>
            <w:bottom w:val="none" w:sz="0" w:space="0" w:color="auto"/>
            <w:right w:val="none" w:sz="0" w:space="0" w:color="auto"/>
          </w:divBdr>
          <w:divsChild>
            <w:div w:id="717508174">
              <w:marLeft w:val="0"/>
              <w:marRight w:val="0"/>
              <w:marTop w:val="0"/>
              <w:marBottom w:val="0"/>
              <w:divBdr>
                <w:top w:val="none" w:sz="0" w:space="0" w:color="auto"/>
                <w:left w:val="none" w:sz="0" w:space="0" w:color="auto"/>
                <w:bottom w:val="none" w:sz="0" w:space="0" w:color="auto"/>
                <w:right w:val="none" w:sz="0" w:space="0" w:color="auto"/>
              </w:divBdr>
              <w:divsChild>
                <w:div w:id="457340103">
                  <w:marLeft w:val="0"/>
                  <w:marRight w:val="0"/>
                  <w:marTop w:val="0"/>
                  <w:marBottom w:val="0"/>
                  <w:divBdr>
                    <w:top w:val="none" w:sz="0" w:space="0" w:color="auto"/>
                    <w:left w:val="none" w:sz="0" w:space="0" w:color="auto"/>
                    <w:bottom w:val="none" w:sz="0" w:space="0" w:color="auto"/>
                    <w:right w:val="none" w:sz="0" w:space="0" w:color="auto"/>
                  </w:divBdr>
                  <w:divsChild>
                    <w:div w:id="1453287772">
                      <w:marLeft w:val="1"/>
                      <w:marRight w:val="1"/>
                      <w:marTop w:val="0"/>
                      <w:marBottom w:val="0"/>
                      <w:divBdr>
                        <w:top w:val="none" w:sz="0" w:space="0" w:color="auto"/>
                        <w:left w:val="none" w:sz="0" w:space="0" w:color="auto"/>
                        <w:bottom w:val="none" w:sz="0" w:space="0" w:color="auto"/>
                        <w:right w:val="none" w:sz="0" w:space="0" w:color="auto"/>
                      </w:divBdr>
                      <w:divsChild>
                        <w:div w:id="314264814">
                          <w:marLeft w:val="0"/>
                          <w:marRight w:val="0"/>
                          <w:marTop w:val="0"/>
                          <w:marBottom w:val="0"/>
                          <w:divBdr>
                            <w:top w:val="none" w:sz="0" w:space="0" w:color="auto"/>
                            <w:left w:val="none" w:sz="0" w:space="0" w:color="auto"/>
                            <w:bottom w:val="none" w:sz="0" w:space="0" w:color="auto"/>
                            <w:right w:val="none" w:sz="0" w:space="0" w:color="auto"/>
                          </w:divBdr>
                          <w:divsChild>
                            <w:div w:id="1615215167">
                              <w:marLeft w:val="0"/>
                              <w:marRight w:val="0"/>
                              <w:marTop w:val="0"/>
                              <w:marBottom w:val="360"/>
                              <w:divBdr>
                                <w:top w:val="none" w:sz="0" w:space="0" w:color="auto"/>
                                <w:left w:val="none" w:sz="0" w:space="0" w:color="auto"/>
                                <w:bottom w:val="none" w:sz="0" w:space="0" w:color="auto"/>
                                <w:right w:val="none" w:sz="0" w:space="0" w:color="auto"/>
                              </w:divBdr>
                              <w:divsChild>
                                <w:div w:id="524952688">
                                  <w:marLeft w:val="0"/>
                                  <w:marRight w:val="0"/>
                                  <w:marTop w:val="0"/>
                                  <w:marBottom w:val="0"/>
                                  <w:divBdr>
                                    <w:top w:val="none" w:sz="0" w:space="0" w:color="auto"/>
                                    <w:left w:val="none" w:sz="0" w:space="0" w:color="auto"/>
                                    <w:bottom w:val="none" w:sz="0" w:space="0" w:color="auto"/>
                                    <w:right w:val="none" w:sz="0" w:space="0" w:color="auto"/>
                                  </w:divBdr>
                                  <w:divsChild>
                                    <w:div w:id="1752000515">
                                      <w:marLeft w:val="0"/>
                                      <w:marRight w:val="0"/>
                                      <w:marTop w:val="0"/>
                                      <w:marBottom w:val="0"/>
                                      <w:divBdr>
                                        <w:top w:val="none" w:sz="0" w:space="0" w:color="auto"/>
                                        <w:left w:val="none" w:sz="0" w:space="0" w:color="auto"/>
                                        <w:bottom w:val="none" w:sz="0" w:space="0" w:color="auto"/>
                                        <w:right w:val="none" w:sz="0" w:space="0" w:color="auto"/>
                                      </w:divBdr>
                                      <w:divsChild>
                                        <w:div w:id="1181121915">
                                          <w:marLeft w:val="0"/>
                                          <w:marRight w:val="0"/>
                                          <w:marTop w:val="0"/>
                                          <w:marBottom w:val="0"/>
                                          <w:divBdr>
                                            <w:top w:val="none" w:sz="0" w:space="0" w:color="auto"/>
                                            <w:left w:val="none" w:sz="0" w:space="0" w:color="auto"/>
                                            <w:bottom w:val="none" w:sz="0" w:space="0" w:color="auto"/>
                                            <w:right w:val="none" w:sz="0" w:space="0" w:color="auto"/>
                                          </w:divBdr>
                                        </w:div>
                                        <w:div w:id="19747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445695">
      <w:bodyDiv w:val="1"/>
      <w:marLeft w:val="0"/>
      <w:marRight w:val="0"/>
      <w:marTop w:val="0"/>
      <w:marBottom w:val="0"/>
      <w:divBdr>
        <w:top w:val="none" w:sz="0" w:space="0" w:color="auto"/>
        <w:left w:val="none" w:sz="0" w:space="0" w:color="auto"/>
        <w:bottom w:val="none" w:sz="0" w:space="0" w:color="auto"/>
        <w:right w:val="none" w:sz="0" w:space="0" w:color="auto"/>
      </w:divBdr>
    </w:div>
    <w:div w:id="1662350892">
      <w:bodyDiv w:val="1"/>
      <w:marLeft w:val="0"/>
      <w:marRight w:val="0"/>
      <w:marTop w:val="0"/>
      <w:marBottom w:val="0"/>
      <w:divBdr>
        <w:top w:val="none" w:sz="0" w:space="0" w:color="auto"/>
        <w:left w:val="none" w:sz="0" w:space="0" w:color="auto"/>
        <w:bottom w:val="none" w:sz="0" w:space="0" w:color="auto"/>
        <w:right w:val="none" w:sz="0" w:space="0" w:color="auto"/>
      </w:divBdr>
    </w:div>
    <w:div w:id="1689672597">
      <w:bodyDiv w:val="1"/>
      <w:marLeft w:val="0"/>
      <w:marRight w:val="0"/>
      <w:marTop w:val="0"/>
      <w:marBottom w:val="0"/>
      <w:divBdr>
        <w:top w:val="none" w:sz="0" w:space="0" w:color="auto"/>
        <w:left w:val="none" w:sz="0" w:space="0" w:color="auto"/>
        <w:bottom w:val="none" w:sz="0" w:space="0" w:color="auto"/>
        <w:right w:val="none" w:sz="0" w:space="0" w:color="auto"/>
      </w:divBdr>
    </w:div>
    <w:div w:id="1742021330">
      <w:bodyDiv w:val="1"/>
      <w:marLeft w:val="0"/>
      <w:marRight w:val="0"/>
      <w:marTop w:val="0"/>
      <w:marBottom w:val="0"/>
      <w:divBdr>
        <w:top w:val="none" w:sz="0" w:space="0" w:color="auto"/>
        <w:left w:val="none" w:sz="0" w:space="0" w:color="auto"/>
        <w:bottom w:val="none" w:sz="0" w:space="0" w:color="auto"/>
        <w:right w:val="none" w:sz="0" w:space="0" w:color="auto"/>
      </w:divBdr>
    </w:div>
    <w:div w:id="1856655732">
      <w:bodyDiv w:val="1"/>
      <w:marLeft w:val="0"/>
      <w:marRight w:val="0"/>
      <w:marTop w:val="0"/>
      <w:marBottom w:val="0"/>
      <w:divBdr>
        <w:top w:val="none" w:sz="0" w:space="0" w:color="auto"/>
        <w:left w:val="none" w:sz="0" w:space="0" w:color="auto"/>
        <w:bottom w:val="none" w:sz="0" w:space="0" w:color="auto"/>
        <w:right w:val="none" w:sz="0" w:space="0" w:color="auto"/>
      </w:divBdr>
    </w:div>
    <w:div w:id="21105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europa.eu/european-union/sites/europaeu/files/docs/body/consolidated_version_of_the_treaty_establishing_the_european_atomic_energy_community_b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C51467-D104-40A8-B873-779B8EC3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24</Pages>
  <Words>6831</Words>
  <Characters>40647</Characters>
  <Application>Microsoft Office Word</Application>
  <DocSecurity>0</DocSecurity>
  <Lines>1231</Lines>
  <Paragraphs>510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2018-09-04T11:22:00Z</cp:lastPrinted>
  <dcterms:created xsi:type="dcterms:W3CDTF">2018-09-14T12:27:00Z</dcterms:created>
  <dcterms:modified xsi:type="dcterms:W3CDTF">2018-09-17T10:43:00Z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