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C28935F-6F08-48F0-A1DB-D08EF4802373" style="width:450.7pt;height:437.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bookmarkStart w:id="0" w:name="DISCLAIMER"/>
      <w:bookmarkEnd w:id="0"/>
    </w:p>
    <w:p>
      <w:pPr>
        <w:pStyle w:val="Typedudocument"/>
        <w:rPr>
          <w:noProof/>
        </w:rPr>
      </w:pPr>
      <w:bookmarkStart w:id="1" w:name="_GoBack"/>
      <w:bookmarkEnd w:id="1"/>
      <w:r>
        <w:rPr>
          <w:noProof/>
        </w:rPr>
        <w:lastRenderedPageBreak/>
        <w:t>РЕШЕНИЕ ЗА ИЗПЪЛНЕНИЕ НА КОМИСИЯТА</w:t>
      </w:r>
    </w:p>
    <w:p>
      <w:pPr>
        <w:pStyle w:val="Datedadoption"/>
        <w:rPr>
          <w:noProof/>
        </w:rPr>
      </w:pPr>
      <w:r>
        <w:t>от 18.9.2018 година</w:t>
      </w:r>
    </w:p>
    <w:p>
      <w:pPr>
        <w:pStyle w:val="Titreobjet"/>
        <w:rPr>
          <w:noProof/>
        </w:rPr>
      </w:pPr>
      <w:r>
        <w:rPr>
          <w:noProof/>
        </w:rPr>
        <w:t>за разрешаване на дерогации от Регламент (ЕС) № 1307/2013 на Европейския парламент и на Съвета и от Делегиран регламент (ЕС) № 639/2014 на Комисията по отношение на изпълнението на някои условия, свързани с плащането за екологизиране за референтната 2018 година в Белгия, Дания, Германия, Ирландия, Франция, Латвия, Литва, Нидерландия, Полша, Швеция и Обединеното кралство по отношение на Англия и Шотландия</w:t>
      </w:r>
    </w:p>
    <w:p>
      <w:pPr>
        <w:pStyle w:val="Languesfaisantfoi"/>
        <w:rPr>
          <w:noProof/>
        </w:rPr>
      </w:pPr>
      <w:r>
        <w:rPr>
          <w:noProof/>
        </w:rPr>
        <w:t>(само текстовете на датски, нидерландски, английски, френски, немски, латвийски, литовски, полски и шведски език са автентични)</w:t>
      </w:r>
    </w:p>
    <w:p>
      <w:pPr>
        <w:pStyle w:val="Institutionquiagit"/>
        <w:rPr>
          <w:noProof/>
        </w:rPr>
      </w:pPr>
      <w:r>
        <w:rPr>
          <w:noProof/>
        </w:rPr>
        <w:t>ЕВРОПЕЙСКАТА КОМИСИЯ,</w:t>
      </w:r>
    </w:p>
    <w:p>
      <w:pPr>
        <w:rPr>
          <w:noProof/>
        </w:rPr>
      </w:pPr>
      <w:r>
        <w:rPr>
          <w:noProof/>
        </w:rPr>
        <w:t>като взе предвид Договора за функционирането на Европейския съюз,</w:t>
      </w:r>
    </w:p>
    <w:p>
      <w:pPr>
        <w:rPr>
          <w:noProof/>
        </w:rPr>
      </w:pPr>
      <w:r>
        <w:rPr>
          <w:noProof/>
        </w:rPr>
        <w:t>като взе предвид Регламент (ЕС) № 1307/2013 на Европейския парламент и на Съвета от 17 декември 2013 г.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 73/2009 на Съвета</w:t>
      </w:r>
      <w:r>
        <w:rPr>
          <w:rStyle w:val="FootnoteReference"/>
          <w:noProof/>
        </w:rPr>
        <w:footnoteReference w:id="1"/>
      </w:r>
      <w:r>
        <w:rPr>
          <w:noProof/>
        </w:rPr>
        <w:t>, и по-специално на член 69, параграф 1 от него,</w:t>
      </w:r>
    </w:p>
    <w:p>
      <w:pPr>
        <w:rPr>
          <w:noProof/>
        </w:rPr>
      </w:pPr>
      <w:r>
        <w:rPr>
          <w:noProof/>
        </w:rPr>
        <w:t>като има предвид, че:</w:t>
      </w:r>
    </w:p>
    <w:p>
      <w:pPr>
        <w:pStyle w:val="ManualConsidrant"/>
        <w:rPr>
          <w:noProof/>
        </w:rPr>
      </w:pPr>
      <w:r>
        <w:t>(1)</w:t>
      </w:r>
      <w:r>
        <w:tab/>
      </w:r>
      <w:r>
        <w:rPr>
          <w:noProof/>
        </w:rPr>
        <w:t>В дял III, глава 3 от Регламент (ЕС) № 1307/2013 се предвижда плащане за селскостопански практики, които са благоприятни за климата и околната среда („плащане за екологизиране“). Тези практики включват диверсификация на културите и екологично насочени площи. В глава 3 от Делегиран регламент (EС) № 639/2014 на Комисията</w:t>
      </w:r>
      <w:r>
        <w:rPr>
          <w:rStyle w:val="FootnoteReference"/>
          <w:noProof/>
        </w:rPr>
        <w:footnoteReference w:id="2"/>
      </w:r>
      <w:r>
        <w:rPr>
          <w:noProof/>
        </w:rPr>
        <w:t xml:space="preserve"> са установени допълнителни правила по отношение на тези практики.</w:t>
      </w:r>
    </w:p>
    <w:p>
      <w:pPr>
        <w:pStyle w:val="ManualConsidrant"/>
        <w:rPr>
          <w:noProof/>
        </w:rPr>
      </w:pPr>
      <w:r>
        <w:t>(2)</w:t>
      </w:r>
      <w:r>
        <w:tab/>
      </w:r>
      <w:r>
        <w:rPr>
          <w:noProof/>
        </w:rPr>
        <w:t>Съгласно член 44, параграф 4 от Регламент (ЕС) № 1307/2013 за целите на диверсификацията на културите земята под угар трябва да се счита за отделна култура, различна от треви или други тревни фуражи. Това означава, че земята, която е била използвана за паша или от която е прибрана реколта за производствени цели, не може да се счита за земя под угар.</w:t>
      </w:r>
    </w:p>
    <w:p>
      <w:pPr>
        <w:pStyle w:val="ManualConsidrant"/>
        <w:rPr>
          <w:noProof/>
        </w:rPr>
      </w:pPr>
      <w:r>
        <w:t>(3)</w:t>
      </w:r>
      <w:r>
        <w:tab/>
      </w:r>
      <w:r>
        <w:rPr>
          <w:noProof/>
        </w:rPr>
        <w:t>Съгласно член 45, параграф 2 от Делегиран регламент (ЕС) № 639/2014 земята под угар може да бъде определена като екологично насочена площ за целите на член 46 от Регламент (ЕС) № 1307/2013, при условие че върху нея не се произвежда земеделска продукция.</w:t>
      </w:r>
    </w:p>
    <w:p>
      <w:pPr>
        <w:pStyle w:val="ManualConsidrant"/>
        <w:rPr>
          <w:noProof/>
          <w:color w:val="000000" w:themeColor="text1"/>
        </w:rPr>
      </w:pPr>
      <w:r>
        <w:t>(4)</w:t>
      </w:r>
      <w:r>
        <w:tab/>
      </w:r>
      <w:r>
        <w:rPr>
          <w:noProof/>
        </w:rPr>
        <w:t xml:space="preserve">Съгласно член 45, параграф 9 от Делегиран регламент (ЕС) № 639/2014 междинните култури или зелената покривка могат да бъдат определени като </w:t>
      </w:r>
      <w:r>
        <w:rPr>
          <w:noProof/>
        </w:rPr>
        <w:lastRenderedPageBreak/>
        <w:t>екологично насочена площ за целите на член 46 от Регламент (ЕС) № 1307/2013, при условие че са създадени чрез засяване на смес от видове култури и че са спазени определените в посочения член условия. Държавите членки определят списъка на смесите от видове култури, които трябва да се използват, и периода на национално, регионално, подрегионално равнище или на равнище земеделско стопанство, по време на който трябва да съществуват площи с междинни култури или зелена покривка, декларирани като екологично насочени площи. Този период не трябва да бъде по-кратък от 8 седмици. Освен това площите с междинни култури или зелена покривка не включват площи, засети със зимни култури, които се засяват обикновено през есента с цел получаване на реколта или използване за паша.</w:t>
      </w:r>
    </w:p>
    <w:p>
      <w:pPr>
        <w:pStyle w:val="ManualConsidrant"/>
        <w:rPr>
          <w:noProof/>
        </w:rPr>
      </w:pPr>
      <w:r>
        <w:t>(5)</w:t>
      </w:r>
      <w:r>
        <w:tab/>
      </w:r>
      <w:r>
        <w:rPr>
          <w:noProof/>
        </w:rPr>
        <w:t>Белгия, Дания, Германия, Ирландия, Франция, Латвия, Литва, Нидерландия, Полша, Швеция и Обединеното кралство по отношение на Англия и Шотландия решиха, че земеделските стопани могат да изпълняват задължението за екологично насочена площ чрез площите със земя под угар в съответствие с член 45, параграф 2 от Делегиран регламент (ЕС) № 639/2014 и чрез площите с междинни култури или зелена покривка в съответствие с член 45, параграф 9 от същия регламент.</w:t>
      </w:r>
    </w:p>
    <w:p>
      <w:pPr>
        <w:pStyle w:val="ManualConsidrant"/>
        <w:rPr>
          <w:noProof/>
        </w:rPr>
      </w:pPr>
      <w:r>
        <w:t>(6)</w:t>
      </w:r>
      <w:r>
        <w:tab/>
      </w:r>
      <w:r>
        <w:rPr>
          <w:noProof/>
        </w:rPr>
        <w:t>На 14 август Комисията прие Решение за изпълнение</w:t>
      </w:r>
      <w:r>
        <w:rPr>
          <w:rStyle w:val="FootnoteReference"/>
          <w:noProof/>
        </w:rPr>
        <w:footnoteReference w:id="3"/>
      </w:r>
      <w:r>
        <w:rPr>
          <w:noProof/>
        </w:rPr>
        <w:t>, с което разрешава на Дания, Латвия, Литва, Полша и Швеция, наред с други държави членки, да приложат дерогация от правилата за непроизводство, свързани със земята под угар, използвана от земеделските стопани с цел изпълнeние на задължението за екологично насочени площи или за диверсификация на културите през референтната 2018 година. Целта на тези дерогации беше да се увеличи наличността на фуражни ресурси за добитъка, които бяха намалели вследствие на силната суша, настъпила в посочените държави членки през първата половина на 2018 г.</w:t>
      </w:r>
    </w:p>
    <w:p>
      <w:pPr>
        <w:pStyle w:val="ManualConsidrant"/>
        <w:rPr>
          <w:noProof/>
        </w:rPr>
      </w:pPr>
      <w:r>
        <w:t>(7)</w:t>
      </w:r>
      <w:r>
        <w:tab/>
      </w:r>
      <w:r>
        <w:rPr>
          <w:noProof/>
        </w:rPr>
        <w:t>Кумулативните ефекти от извънредните метеорологични условия, наблюдавани в някои части на Франция през първата половина на 2018 г., включително проливните дъждове, по-специално през март, и необичайно високите температури, довели до суша в периода от май до август, имаха вредни за селскостопанската дейност последици. Тези последици варират от невъзможността да се спазва обичайният селскостопански график, например подготовка на почвата, засяване или прибиране на фуража, до загубата на култури и унищожаването на затревени площи и пасища.</w:t>
      </w:r>
    </w:p>
    <w:p>
      <w:pPr>
        <w:pStyle w:val="ManualConsidrant"/>
        <w:rPr>
          <w:noProof/>
        </w:rPr>
      </w:pPr>
      <w:r>
        <w:t>(8)</w:t>
      </w:r>
      <w:r>
        <w:tab/>
      </w:r>
      <w:r>
        <w:rPr>
          <w:noProof/>
        </w:rPr>
        <w:t xml:space="preserve">Извънредно сухите и горещи метеорологични условия продължиха от края на пролетта и през лятото в някои райони на Белгия, Дания, Германия, Ирландия, Латвия, Литва, Нидерландия, Полша, Швеция и в регионите Англия и Шотландия от Обединеното кралство, оказвайки допълнителен натиск върху добивите и хранителната стойност на растителността, отглеждана като фураж за животни, особено в затревените площи и пасищата. </w:t>
      </w:r>
    </w:p>
    <w:p>
      <w:pPr>
        <w:pStyle w:val="ManualConsidrant"/>
        <w:rPr>
          <w:noProof/>
        </w:rPr>
      </w:pPr>
      <w:r>
        <w:t>(9)</w:t>
      </w:r>
      <w:r>
        <w:tab/>
      </w:r>
      <w:r>
        <w:rPr>
          <w:noProof/>
        </w:rPr>
        <w:t>Тези развития увеличиха още повече риска пред животновъдните отрасли да изпитат недостиг на фураж в момент, когато някои земеделски стопани вече са използвали от фуражните запаси, които обикновено биват складирани, или не са могли да складират такива запаси. Тези развития предизвикаха допълнителна загриженост поради повишаващите се цени в резултат на недостатъчното производство, което излага на риск жизнеспособността на засегнатите стопанства.</w:t>
      </w:r>
    </w:p>
    <w:p>
      <w:pPr>
        <w:pStyle w:val="ManualConsidrant"/>
        <w:rPr>
          <w:noProof/>
        </w:rPr>
      </w:pPr>
      <w:r>
        <w:t>(10)</w:t>
      </w:r>
      <w:r>
        <w:tab/>
      </w:r>
      <w:r>
        <w:rPr>
          <w:noProof/>
        </w:rPr>
        <w:t>Освен това някои земеделски стопани не можаха да засеят междинни култури или зелена покривка в необходимия момент поради екстремните метеорологични условия, в резултат на които състоянието на почвата стана неподходящо за подготвителна работа. Поради това за тях ще бъде трудно да изпълнят своята схема за засаждане на култури, без да се съкрати продължителността на периода, през който трябва да съществуват площите с междинни култури, особено когато стопаните планират да засеят впоследствие зимна култура. След изтичането на този оптимален срок съществува опасност земеделските стопани да бъдат принудени да засеят зимните култури при лоши условия, застрашавайки по този начин бъдещия добив от съответните култури.</w:t>
      </w:r>
    </w:p>
    <w:p>
      <w:pPr>
        <w:pStyle w:val="ManualConsidrant"/>
        <w:rPr>
          <w:noProof/>
        </w:rPr>
      </w:pPr>
      <w:r>
        <w:t>(11)</w:t>
      </w:r>
      <w:r>
        <w:tab/>
      </w:r>
      <w:r>
        <w:rPr>
          <w:noProof/>
        </w:rPr>
        <w:t>По тези причини</w:t>
      </w:r>
      <w:r>
        <w:rPr>
          <w:noProof/>
          <w:color w:val="FF0000"/>
        </w:rPr>
        <w:t xml:space="preserve"> </w:t>
      </w:r>
      <w:r>
        <w:rPr>
          <w:noProof/>
        </w:rPr>
        <w:t xml:space="preserve">Белгия, Дания, Германия, Ирландия, Франция, Латвия, Литва, Нидерландия, Полша, Швеция и Обединеното кралство по отношение на регионите Англия и Шотландия поискаха да им се разреши да приложат дерогация от някои условия, свързани с плащането за екологизиране, за да могат земеделските стопани в засегнатите райони да използват в максимално възможната степен наличните им площи с цел изхранване на животните, включително площите с междинни култури, които са били декларирани с цел изпълнение на изискванията за екологично насочени площи, а в случая с Белгия и Франция — площите със земя под угар, които са били декларирани с цел изпълнение на изискванията за диверсификация на културите или за екологично насочени площи. Исканите дерогации ще предотвратят също така евентуалните смущения в схемата за засаждане на култури за полевъдите, които използват междинни култури или зелена покривка като преходна култура, преди да засеят зимна култура. </w:t>
      </w:r>
    </w:p>
    <w:p>
      <w:pPr>
        <w:pStyle w:val="ManualConsidrant"/>
        <w:rPr>
          <w:noProof/>
        </w:rPr>
      </w:pPr>
      <w:r>
        <w:t>(12)</w:t>
      </w:r>
      <w:r>
        <w:tab/>
      </w:r>
      <w:r>
        <w:rPr>
          <w:noProof/>
        </w:rPr>
        <w:t>С оглед на тежките метеорологични условия през 2018 г. и последиците от тях е целесъобразно да се предвидят дерогации от член 44, параграф 4 от Регламент (ЕС) № 1307/2013 и от член 45, параграфи 2 и 9 от Делегиран регламент (ЕС) № 639/2014.</w:t>
      </w:r>
    </w:p>
    <w:p>
      <w:pPr>
        <w:pStyle w:val="ManualConsidrant"/>
        <w:rPr>
          <w:noProof/>
        </w:rPr>
      </w:pPr>
      <w:r>
        <w:t>(13)</w:t>
      </w:r>
      <w:r>
        <w:tab/>
      </w:r>
      <w:r>
        <w:rPr>
          <w:noProof/>
        </w:rPr>
        <w:t>Въпреки това, за да бъдат спазени изискванията, определени в член 69, параграф 1 от Регламент (ЕС) № 1307/2013, в настоящото решение следва да се предвидят дерогации от задълженията за диверсификация на културите и за екологично насочени площи само в степента и за срока, за които те са строго необходими. По тази причина дерогациите, предвидени в настоящото решение, следва да се прилагат по отношение на земеделските стопани, установени в райони, които са официално признати от компетентните органи на съответните държави членки като засегнати от тази суша, или от проливните дъждове или сушата в случая с Франция, довели до значителен недостиг на фуражни ресурси и до закъснение в засяването на междинни култури или зелена покривка при производителите на полски култури. Следва да се определят и допълнителни условия за насочване на дерогацията.</w:t>
      </w:r>
    </w:p>
    <w:p>
      <w:pPr>
        <w:pStyle w:val="ManualConsidrant"/>
        <w:rPr>
          <w:noProof/>
          <w:color w:val="000000" w:themeColor="text1"/>
        </w:rPr>
      </w:pPr>
      <w:r>
        <w:t>(14)</w:t>
      </w:r>
      <w:r>
        <w:tab/>
      </w:r>
      <w:r>
        <w:rPr>
          <w:noProof/>
        </w:rPr>
        <w:t>Като се имат предвид специфичните характеристики на засегнатите райони, включително съществуващите земеделски системи и земеползването, Белгия, Дания, Германия, Ирландия, Франция, Латвия, Литва, Нидерландия, Полша, Швеция и Обединеното кралство по отношение на регионите Англия и Шотландия следва да имат възможност да решат кои от тези дерогации да се прилагат и в каква степен, при условие че са спазени условията, определени в настоящото решение.</w:t>
      </w:r>
    </w:p>
    <w:p>
      <w:pPr>
        <w:pStyle w:val="ManualConsidrant"/>
        <w:rPr>
          <w:noProof/>
        </w:rPr>
      </w:pPr>
      <w:r>
        <w:t>(15)</w:t>
      </w:r>
      <w:r>
        <w:tab/>
      </w:r>
      <w:r>
        <w:rPr>
          <w:noProof/>
        </w:rPr>
        <w:t>За да се осигури ефективността на дерогациите, разрешени с настоящото решение, Белгия, Дания, Германия, Ирландия, Франция, Латвия, Литва, Нидерландия, Полша, Швеция и Обединеното кралство следва да вземат своите решения в срок от 30 дни от датата на нотифициране на настоящото решение.</w:t>
      </w:r>
    </w:p>
    <w:p>
      <w:pPr>
        <w:pStyle w:val="ManualConsidrant"/>
        <w:rPr>
          <w:noProof/>
        </w:rPr>
      </w:pPr>
      <w:r>
        <w:t>(16)</w:t>
      </w:r>
      <w:r>
        <w:tab/>
      </w:r>
      <w:r>
        <w:rPr>
          <w:noProof/>
        </w:rPr>
        <w:t>За да може Комисията да проследи правилното прилагане на съответните правила и въздействието от тези дерогации, Белгия, Дания, Германия, Ирландия, Франция, Латвия, Литва, Нидерландия, Полша, Швеция и Обединеното кралство следва да уведомят Комисията за своите решения в срок от 14 дни от датата на вземането им. Необходимо е тези държави членки да предоставят информация за прогнозната и действителната площ на съответните райони с оглед да се оцени потенциалното въздействие на дерогациите върху екологичните цели за диверсификация на културите и екологично насочени площи, установени с Регламент (ЕС) № 1307/2013.</w:t>
      </w:r>
    </w:p>
    <w:p>
      <w:pPr>
        <w:pStyle w:val="ManualConsidrant"/>
        <w:rPr>
          <w:noProof/>
        </w:rPr>
      </w:pPr>
      <w:r>
        <w:t>(17)</w:t>
      </w:r>
      <w:r>
        <w:tab/>
      </w:r>
      <w:r>
        <w:rPr>
          <w:noProof/>
        </w:rPr>
        <w:t>Мерките, предвидени в настоящото решение, са в съответствие със становището на Комитета за директните плащания,</w:t>
      </w:r>
    </w:p>
    <w:p>
      <w:pPr>
        <w:pStyle w:val="Formuledadoption"/>
        <w:rPr>
          <w:noProof/>
        </w:rPr>
      </w:pPr>
      <w:r>
        <w:rPr>
          <w:noProof/>
        </w:rPr>
        <w:t xml:space="preserve">ПРИЕ НАСТОЯЩОТО РЕШЕНИЕ: </w:t>
      </w:r>
    </w:p>
    <w:p>
      <w:pPr>
        <w:pStyle w:val="Titrearticle"/>
        <w:rPr>
          <w:noProof/>
        </w:rPr>
      </w:pPr>
      <w:r>
        <w:rPr>
          <w:noProof/>
        </w:rPr>
        <w:t>Член 1</w:t>
      </w:r>
    </w:p>
    <w:p>
      <w:pPr>
        <w:jc w:val="center"/>
        <w:rPr>
          <w:b/>
          <w:noProof/>
        </w:rPr>
      </w:pPr>
      <w:r>
        <w:rPr>
          <w:b/>
          <w:noProof/>
        </w:rPr>
        <w:t xml:space="preserve">Дерогации с цел увеличаване на наличността на фураж за добитъка  </w:t>
      </w:r>
    </w:p>
    <w:p>
      <w:pPr>
        <w:jc w:val="center"/>
        <w:rPr>
          <w:b/>
          <w:noProof/>
        </w:rPr>
      </w:pPr>
    </w:p>
    <w:p>
      <w:pPr>
        <w:rPr>
          <w:noProof/>
        </w:rPr>
      </w:pPr>
      <w:r>
        <w:rPr>
          <w:noProof/>
        </w:rPr>
        <w:t>1. Чрез дерогация от член 44, параграф 4 от Регламент (ЕС) № 1307/2013 за референтната 2018 година Белгия и Франция могат да решат, че земята под угар се счита за отделна култура, дори ако тази земя е била използвана за паша или от нея е прибрана реколта за производствени цели.</w:t>
      </w:r>
    </w:p>
    <w:p>
      <w:pPr>
        <w:rPr>
          <w:noProof/>
        </w:rPr>
      </w:pPr>
      <w:r>
        <w:rPr>
          <w:noProof/>
        </w:rPr>
        <w:t>2. Чрез дерогация от член 45, параграф 2 от Делегиран регламент (ЕС) № 639/2014 за референтната 2018 година Белгия и Франция могат да решат, че земята под угар се счита за екологично насочена площ, дори ако тази земя е била използвана за паша или от нея е прибрана реколта за производствени цели.</w:t>
      </w:r>
    </w:p>
    <w:p>
      <w:pPr>
        <w:rPr>
          <w:noProof/>
        </w:rPr>
      </w:pPr>
      <w:r>
        <w:rPr>
          <w:noProof/>
        </w:rPr>
        <w:t>3. Чрез дерогация от член 45, параграф 9 от Делегиран регламент (ЕС) № 639/2014 за референтната 2018 година Белгия, Дания, Германия, Ирландия, Франция, Латвия, Литва, Нидерландия, Полша, Швеция и Обединеното кралство по отношение на регионите Англия и Шотландия могат да решат всяко от следните:</w:t>
      </w:r>
    </w:p>
    <w:p>
      <w:pPr>
        <w:rPr>
          <w:noProof/>
        </w:rPr>
      </w:pPr>
      <w:r>
        <w:rPr>
          <w:noProof/>
        </w:rPr>
        <w:t>a) че площите с междинни култури или зелена покривка могат да се създават без засяване на смес от видове култури, при условие че засяваните култури са треви или други тревни фуражи;</w:t>
      </w:r>
    </w:p>
    <w:p>
      <w:pPr>
        <w:rPr>
          <w:noProof/>
        </w:rPr>
      </w:pPr>
      <w:r>
        <w:rPr>
          <w:noProof/>
        </w:rPr>
        <w:t>б) че площите с междинни култури или зелена покривка могат да включват площи със зимни култури, които се засяват обикновено през есента с цел получаване на реколта за фураж или за паша.</w:t>
      </w:r>
    </w:p>
    <w:p>
      <w:pPr>
        <w:pStyle w:val="Titrearticle"/>
        <w:rPr>
          <w:noProof/>
        </w:rPr>
      </w:pPr>
      <w:r>
        <w:rPr>
          <w:noProof/>
        </w:rPr>
        <w:t>Член 2</w:t>
      </w:r>
    </w:p>
    <w:p>
      <w:pPr>
        <w:jc w:val="center"/>
        <w:rPr>
          <w:b/>
          <w:noProof/>
        </w:rPr>
      </w:pPr>
      <w:r>
        <w:rPr>
          <w:b/>
          <w:noProof/>
        </w:rPr>
        <w:t>Дерогации с цел избягване на рисковете, свързани с късното засяване на зимни култури</w:t>
      </w:r>
    </w:p>
    <w:p>
      <w:pPr>
        <w:rPr>
          <w:noProof/>
        </w:rPr>
      </w:pPr>
      <w:r>
        <w:rPr>
          <w:noProof/>
        </w:rPr>
        <w:t>Чрез дерогация от член 45, параграф 9, втората алинея от Делегиран регламент (ЕС) № 639/2014 за референтната 2018 година Белгия, Дания, Германия, Ирландия, Франция, Латвия, Литва, Нидерландия, Полша, Швеция и Обединеното кралство по отношение на регионите Англия и Шотландия могат да съкратят минималния задължителен период, през който трябва да съществуват площи с междинни култури или зелена покривка, съгласно предвиденото в посочената разпоредба, при условие че впоследствие бъде засята зимна култура.</w:t>
      </w:r>
    </w:p>
    <w:p>
      <w:pPr>
        <w:pStyle w:val="Titrearticle"/>
        <w:rPr>
          <w:noProof/>
          <w:color w:val="000000" w:themeColor="text1"/>
        </w:rPr>
      </w:pPr>
      <w:r>
        <w:rPr>
          <w:noProof/>
          <w:color w:val="000000" w:themeColor="text1"/>
        </w:rPr>
        <w:t>Член 3</w:t>
      </w:r>
    </w:p>
    <w:p>
      <w:pPr>
        <w:jc w:val="center"/>
        <w:rPr>
          <w:b/>
          <w:noProof/>
          <w:color w:val="000000" w:themeColor="text1"/>
        </w:rPr>
      </w:pPr>
      <w:r>
        <w:rPr>
          <w:b/>
          <w:noProof/>
          <w:color w:val="000000" w:themeColor="text1"/>
        </w:rPr>
        <w:t>Обхват на дерогациите</w:t>
      </w:r>
    </w:p>
    <w:p>
      <w:pPr>
        <w:rPr>
          <w:noProof/>
          <w:color w:val="000000" w:themeColor="text1"/>
        </w:rPr>
      </w:pPr>
      <w:r>
        <w:rPr>
          <w:noProof/>
          <w:color w:val="000000" w:themeColor="text1"/>
        </w:rPr>
        <w:t>1. Решенията, посочени в член 1, се прилагат само по отношение на районите, в които се намира засегнатият добитък и които са официално признати от компетентните органи като засегнати през 2018 година от сушата в случая с Белгия, Дания, Германия, Ирландия, Франция, Латвия, Литва, Нидерландия, Полша, Швеция и Обединеното кралство по отношение на регионите Англия и Шотландия, или от проливните дъждове в случая с Франция.</w:t>
      </w:r>
    </w:p>
    <w:p>
      <w:pPr>
        <w:rPr>
          <w:noProof/>
          <w:color w:val="000000" w:themeColor="text1"/>
        </w:rPr>
      </w:pPr>
      <w:r>
        <w:rPr>
          <w:noProof/>
          <w:color w:val="000000" w:themeColor="text1"/>
        </w:rPr>
        <w:t>2. Решенията, посочени в член 2, се прилагат само по отношение на районите, в които състоянието на почвата е станало неподходящо за подготвителна работа преди засяване в съответния момент, поради което не е могъл да бъде спазен минималният задължителен 8-седмичен период, и които са официално признати от компетентните органи като засегнати през 2018 година от сушата в Белгия, Дания, Германия, Ирландия, Франция, Латвия, Литва, Нидерландия, Полша, Швеция и Обединеното кралство по отношение на Англия и Шотландия, или от проливните дъждове в случая с Франция.</w:t>
      </w:r>
    </w:p>
    <w:p>
      <w:pPr>
        <w:pStyle w:val="Titrearticle"/>
        <w:rPr>
          <w:noProof/>
          <w:color w:val="000000" w:themeColor="text1"/>
        </w:rPr>
      </w:pPr>
      <w:r>
        <w:rPr>
          <w:noProof/>
          <w:color w:val="000000" w:themeColor="text1"/>
        </w:rPr>
        <w:t>Член 4</w:t>
      </w:r>
    </w:p>
    <w:p>
      <w:pPr>
        <w:jc w:val="center"/>
        <w:rPr>
          <w:b/>
          <w:noProof/>
        </w:rPr>
      </w:pPr>
      <w:r>
        <w:rPr>
          <w:b/>
          <w:noProof/>
        </w:rPr>
        <w:t>Срок</w:t>
      </w:r>
    </w:p>
    <w:p>
      <w:pPr>
        <w:rPr>
          <w:noProof/>
        </w:rPr>
      </w:pPr>
      <w:r>
        <w:rPr>
          <w:noProof/>
        </w:rPr>
        <w:t>Решенията, посочени в членове 1 и 2, се вземат в срок от 30 дни след датата на нотифициране на настоящото решение.</w:t>
      </w:r>
    </w:p>
    <w:p>
      <w:pPr>
        <w:pStyle w:val="Titrearticle"/>
        <w:rPr>
          <w:noProof/>
        </w:rPr>
      </w:pPr>
      <w:r>
        <w:rPr>
          <w:noProof/>
        </w:rPr>
        <w:t>Член 5</w:t>
      </w:r>
    </w:p>
    <w:p>
      <w:pPr>
        <w:jc w:val="center"/>
        <w:rPr>
          <w:b/>
          <w:noProof/>
        </w:rPr>
      </w:pPr>
      <w:r>
        <w:rPr>
          <w:b/>
          <w:noProof/>
        </w:rPr>
        <w:t>Уведомяване</w:t>
      </w:r>
    </w:p>
    <w:p>
      <w:pPr>
        <w:rPr>
          <w:noProof/>
        </w:rPr>
      </w:pPr>
      <w:r>
        <w:rPr>
          <w:noProof/>
        </w:rPr>
        <w:t xml:space="preserve">1. В срок от 14 дни от датата на вземане на решенията, посочени в членове 1 и 2, Белгия, Дания, Германия, Ирландия, Франция, Латвия, Литва, Нидерландия, Полша, Швеция и Обединеното кралство уведомяват Комисията за взетите решения и предоставят следната информация: </w:t>
      </w:r>
    </w:p>
    <w:p>
      <w:pPr>
        <w:pStyle w:val="Point0"/>
        <w:rPr>
          <w:noProof/>
          <w:color w:val="000000" w:themeColor="text1"/>
        </w:rPr>
      </w:pPr>
      <w:r>
        <w:rPr>
          <w:noProof/>
          <w:color w:val="000000" w:themeColor="text1"/>
        </w:rPr>
        <w:t xml:space="preserve">а) </w:t>
      </w:r>
      <w:r>
        <w:rPr>
          <w:noProof/>
        </w:rPr>
        <w:tab/>
      </w:r>
      <w:r>
        <w:rPr>
          <w:noProof/>
          <w:color w:val="000000" w:themeColor="text1"/>
        </w:rPr>
        <w:t>районите, официално признати от компетентните им органи като засегнати през 2018 година от сушата в случая с Белгия, Дания, Германия, Ирландия, Франция, Латвия, Литва, Нидерландия, Полша, Швеция и Обединеното кралство, или от проливните дъждове</w:t>
      </w:r>
      <w:r>
        <w:rPr>
          <w:i/>
          <w:noProof/>
        </w:rPr>
        <w:t xml:space="preserve"> </w:t>
      </w:r>
      <w:r>
        <w:rPr>
          <w:noProof/>
          <w:color w:val="000000" w:themeColor="text1"/>
        </w:rPr>
        <w:t>в случая с Франция;</w:t>
      </w:r>
    </w:p>
    <w:p>
      <w:pPr>
        <w:pStyle w:val="Point0"/>
        <w:rPr>
          <w:noProof/>
          <w:color w:val="000000" w:themeColor="text1"/>
        </w:rPr>
      </w:pPr>
      <w:r>
        <w:rPr>
          <w:noProof/>
          <w:color w:val="000000" w:themeColor="text1"/>
        </w:rPr>
        <w:t xml:space="preserve">б) </w:t>
      </w:r>
      <w:r>
        <w:rPr>
          <w:noProof/>
        </w:rPr>
        <w:tab/>
      </w:r>
      <w:r>
        <w:rPr>
          <w:noProof/>
          <w:color w:val="000000" w:themeColor="text1"/>
        </w:rPr>
        <w:t>прогнозната площ на районите, в които могат да се приложат дерогациите, предвидени в членове 1 и 2;</w:t>
      </w:r>
    </w:p>
    <w:p>
      <w:pPr>
        <w:pStyle w:val="Point0"/>
        <w:ind w:left="0" w:firstLine="0"/>
        <w:rPr>
          <w:noProof/>
          <w:color w:val="000000" w:themeColor="text1"/>
        </w:rPr>
      </w:pPr>
      <w:r>
        <w:rPr>
          <w:noProof/>
          <w:color w:val="000000" w:themeColor="text1"/>
        </w:rPr>
        <w:t xml:space="preserve">в) </w:t>
      </w:r>
      <w:r>
        <w:rPr>
          <w:noProof/>
        </w:rPr>
        <w:tab/>
      </w:r>
      <w:r>
        <w:rPr>
          <w:noProof/>
          <w:color w:val="000000" w:themeColor="text1"/>
        </w:rPr>
        <w:t>продължителността на минималния задължителен период, определен съгласно член 2.</w:t>
      </w:r>
    </w:p>
    <w:p>
      <w:pPr>
        <w:rPr>
          <w:noProof/>
          <w:color w:val="000000" w:themeColor="text1"/>
        </w:rPr>
      </w:pPr>
      <w:r>
        <w:rPr>
          <w:noProof/>
          <w:color w:val="000000" w:themeColor="text1"/>
        </w:rPr>
        <w:t xml:space="preserve">2. Най-късно до 15 декември 2018 г. Белгия, Дания, Германия, Ирландия, Франция, Латвия, Литва, Нидерландия, Полша, Швеция и Обединеното кралство уведомяват Комисията за площта на районите, в които са приложени дерогациите, предвидени в членове 1 и 2, и за броя на засегнатите земеделски стопанства в тези райони. </w:t>
      </w:r>
    </w:p>
    <w:p>
      <w:pPr>
        <w:pStyle w:val="Titrearticle"/>
        <w:rPr>
          <w:noProof/>
          <w:color w:val="000000" w:themeColor="text1"/>
        </w:rPr>
      </w:pPr>
      <w:r>
        <w:rPr>
          <w:noProof/>
          <w:color w:val="000000" w:themeColor="text1"/>
        </w:rPr>
        <w:t>Член 6</w:t>
      </w:r>
    </w:p>
    <w:p>
      <w:pPr>
        <w:jc w:val="center"/>
        <w:rPr>
          <w:noProof/>
          <w:color w:val="000000" w:themeColor="text1"/>
        </w:rPr>
      </w:pPr>
      <w:r>
        <w:rPr>
          <w:b/>
          <w:noProof/>
          <w:color w:val="000000" w:themeColor="text1"/>
        </w:rPr>
        <w:t>Адресати</w:t>
      </w:r>
    </w:p>
    <w:p>
      <w:pPr>
        <w:rPr>
          <w:noProof/>
          <w:color w:val="000000" w:themeColor="text1"/>
        </w:rPr>
      </w:pPr>
      <w:r>
        <w:rPr>
          <w:noProof/>
          <w:color w:val="000000" w:themeColor="text1"/>
        </w:rPr>
        <w:t>Адресати на настоящото решение са Кралство Белгия, Кралство Дания, Федерална република Германия, Ирландия, Френската република, Република Латвия, Република Литва, Кралство Нидерландия, Република Полша, Кралство Швеция и Обединеното кралство Великобритания и Северна Ирландия.</w:t>
      </w:r>
    </w:p>
    <w:p>
      <w:pPr>
        <w:rPr>
          <w:noProof/>
          <w:color w:val="000000" w:themeColor="text1"/>
        </w:rPr>
      </w:pPr>
    </w:p>
    <w:p>
      <w:pPr>
        <w:pStyle w:val="Fait"/>
        <w:rPr>
          <w:noProof/>
        </w:rPr>
      </w:pPr>
      <w:r>
        <w:t>Съставено в Брюксел на 18.9.2018 година.</w:t>
      </w:r>
    </w:p>
    <w:p>
      <w:pPr>
        <w:pStyle w:val="Institutionquisigne"/>
        <w:rPr>
          <w:noProof/>
        </w:rPr>
      </w:pPr>
      <w:r>
        <w:rPr>
          <w:noProof/>
        </w:rPr>
        <w:tab/>
        <w:t>За Комисията</w:t>
      </w:r>
    </w:p>
    <w:p>
      <w:pPr>
        <w:pStyle w:val="Personnequisigne"/>
        <w:rPr>
          <w:noProof/>
        </w:rPr>
      </w:pPr>
      <w:r>
        <w:tab/>
        <w:t>Phil HOGAN</w:t>
      </w:r>
      <w:r>
        <w:br/>
      </w:r>
      <w:r>
        <w:tab/>
        <w:t>Член на Комисията</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sz w:val="19"/>
          <w:shd w:val="clear" w:color="auto" w:fill="FFFFFF"/>
        </w:rPr>
        <w:t>ОВ L 347, 20.12.2013 г., стр. 608.</w:t>
      </w:r>
    </w:p>
  </w:footnote>
  <w:footnote w:id="2">
    <w:p>
      <w:pPr>
        <w:pStyle w:val="FootnoteText"/>
        <w:rPr>
          <w:lang w:val="en-US"/>
        </w:rPr>
      </w:pPr>
      <w:r>
        <w:rPr>
          <w:rStyle w:val="FootnoteReference"/>
        </w:rPr>
        <w:footnoteRef/>
      </w:r>
      <w:r>
        <w:tab/>
      </w:r>
      <w:r>
        <w:rPr>
          <w:color w:val="000000"/>
          <w:sz w:val="19"/>
          <w:shd w:val="clear" w:color="auto" w:fill="FFFFFF"/>
        </w:rPr>
        <w:t>Делегиран регламент (ЕС) № 639/2014 на Комисията от 11 март 2014 г. за допълнение на Регламент (ЕС) № 1307/2013 на Европейския парламент и на Съвета за установяване на правила за директни плащания за земеделски стопани по схеми за подпомагане в рамките на общата селскостопанска политика и за изменение на приложение X към същия регламент (</w:t>
      </w:r>
      <w:r>
        <w:rPr>
          <w:sz w:val="19"/>
          <w:shd w:val="clear" w:color="auto" w:fill="FFFFFF"/>
        </w:rPr>
        <w:t>ОВ L 181, 20.6.2014 г., стр. 1</w:t>
      </w:r>
      <w:r>
        <w:rPr>
          <w:color w:val="000000"/>
          <w:sz w:val="19"/>
          <w:shd w:val="clear" w:color="auto" w:fill="FFFFFF"/>
        </w:rPr>
        <w:t>).</w:t>
      </w:r>
    </w:p>
  </w:footnote>
  <w:footnote w:id="3">
    <w:p>
      <w:pPr>
        <w:pStyle w:val="FootnoteText"/>
      </w:pPr>
      <w:r>
        <w:rPr>
          <w:rStyle w:val="FootnoteReference"/>
        </w:rPr>
        <w:footnoteRef/>
      </w:r>
      <w:r>
        <w:tab/>
        <w:t>Решение за изпълнение на Комисията за разрешаване на дерогации от Регламент (ЕС) № 1307/2013 на Европейския парламент и на Съвета и от Делегиран регламент (ЕС) № 639/2014 на Комисията по отношение на изпълнението на определени условия, свързани с плащането за екологизиране за референтната 2018 година в Дания, Естония, Латвия, Литва, Полша, Португалия, Финландия и Швеция, C(2018) 5458 от 14 август 2018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5943BA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C5E95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870EA9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D7CAFF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E20DB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99EE1F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4BA09F8"/>
    <w:lvl w:ilvl="0">
      <w:start w:val="1"/>
      <w:numFmt w:val="decimal"/>
      <w:pStyle w:val="ListNumber"/>
      <w:lvlText w:val="%1."/>
      <w:lvlJc w:val="left"/>
      <w:pPr>
        <w:tabs>
          <w:tab w:val="num" w:pos="360"/>
        </w:tabs>
        <w:ind w:left="360" w:hanging="360"/>
      </w:pPr>
    </w:lvl>
  </w:abstractNum>
  <w:abstractNum w:abstractNumId="7">
    <w:nsid w:val="FFFFFF89"/>
    <w:multiLevelType w:val="singleLevel"/>
    <w:tmpl w:val="72D4A8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7"/>
  </w:num>
  <w:num w:numId="3">
    <w:abstractNumId w:val="5"/>
  </w:num>
  <w:num w:numId="4">
    <w:abstractNumId w:val="4"/>
  </w:num>
  <w:num w:numId="5">
    <w:abstractNumId w:val="3"/>
  </w:num>
  <w:num w:numId="6">
    <w:abstractNumId w:val="6"/>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9-19 09:39:4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VERPAGE_EXISTS" w:val="True"/>
    <w:docVar w:name="LW_COVERPAGE_GUID" w:val="DC28935F-6F08-48F0-A1DB-D08EF4802373"/>
    <w:docVar w:name="LW_COVERPAGE_TYPE" w:val="1"/>
    <w:docVar w:name="LW_CROSSREFERENCE" w:val="&lt;UNUSED&gt;"/>
    <w:docVar w:name="LW_DATE.ADOPT.CP" w:val="\u1086?\u1090? 18.9.2018 \u1075?\u1086?\u1076?\u1080?\u1085?\u1072?"/>
    <w:docVar w:name="LW_DATE.ADOPT.CP_DATEFORMAT" w:val="\u1086?\u1090? %DATE% \u1075?\u1086?\u1076?\u1080?\u1085?\u1072?"/>
    <w:docVar w:name="LW_DATE.ADOPT.CP_ISODATE" w:val="2018-09-18"/>
    <w:docVar w:name="LW_DocType" w:val="COM"/>
    <w:docVar w:name="LW_EMISSION" w:val="18.9.2018"/>
    <w:docVar w:name="LW_EMISSION_ISODATE" w:val="2018-09-18"/>
    <w:docVar w:name="LW_EMISSION_LOCATION" w:val="BRX"/>
    <w:docVar w:name="LW_EMISSION_PREFIX" w:val="Брюксел, "/>
    <w:docVar w:name="LW_EMISSION_SUFFIX" w:val="&lt;EMPTY&gt;"/>
    <w:docVar w:name="LW_ID_DOCMODEL" w:val="SJ-009"/>
    <w:docVar w:name="LW_ID_DOCSIGNATURE" w:val="SJ-009"/>
    <w:docVar w:name="LW_ID_DOCSTRUCTURE" w:val="COM/AA"/>
    <w:docVar w:name="LW_ID_DOCTYPE" w:val="SJ-009"/>
    <w:docVar w:name="LW_INTERETEEE.CP" w:val="&lt;UNUSED&gt;"/>
    <w:docVar w:name="LW_LANGUE" w:val="BG"/>
    <w:docVar w:name="LW_LANGUESFAISANTFOI.CP" w:val="(\u1089?\u1072?\u1084?\u1086? \u1090?\u1077?\u1082?\u1089?\u1090?\u1086?\u1074?\u1077?\u1090?\u1077? \u1085?\u1072? \u1076?\u1072?\u1090?\u1089?\u1082?\u1080?, \u1085?\u1080?\u1076?\u1077?\u1088?\u1083?\u1072?\u1085?\u1076?\u1089?\u1082?\u1080?, \u1072?\u1085?\u1075?\u1083?\u1080?\u1081?\u1089?\u1082?\u1080?, \u1092?\u1088?\u1077?\u1085?\u1089?\u1082?\u1080?, \u1085?\u1077?\u1084?\u1089?\u1082?\u1080?, \u1083?\u1072?\u1090?\u1074?\u1080?\u1081?\u1089?\u1082?\u1080?, \u1083?\u1080?\u1090?\u1086?\u1074?\u1089?\u1082?\u1080?, \u1087?\u1086?\u1083?\u1089?\u1082?\u1080? \u1080? \u1096?\u1074?\u1077?\u1076?\u1089?\u1082?\u1080? \u1077?\u1079?\u1080?\u1082? \u1089?\u1072? \u1072?\u1074?\u1090?\u1077?\u1085?\u1090?\u1080?\u1095?\u1085?\u1080?)"/>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
    <w:docVar w:name="LW_REF.INST.NEW_ADOPTED" w:val="final"/>
    <w:docVar w:name="LW_REF.INST.NEW_TEXT" w:val="(2018) 60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79?\u1072? \u1088?\u1072?\u1079?\u1088?\u1077?\u1096?\u1072?\u1074?\u1072?\u1085?\u1077? \u1085?\u1072? \u1076?\u1077?\u1088?\u1086?\u1075?\u1072?\u1094?\u1080?\u1080? \u1086?\u1090? \u1056?\u1077?\u1075?\u1083?\u1072?\u1084?\u1077?\u1085?\u1090? (\u1045?\u1057?) \u8470? 1307/2013 \u1085?\u1072? \u1045?\u1074?\u1088?\u1086?\u1087?\u1077?\u1081?\u1089?\u1082?\u1080?\u1103? \u1087?\u1072?\u1088?\u1083?\u1072?\u1084?\u1077?\u1085?\u1090? \u1080? \u1085?\u1072? \u1057?\u1098?\u1074?\u1077?\u1090?\u1072? \u1080? \u1086?\u1090? \u1044?\u1077?\u1083?\u1077?\u1075?\u1080?\u1088?\u1072?\u1085? \u1088?\u1077?\u1075?\u1083?\u1072?\u1084?\u1077?\u1085?\u1090? (\u1045?\u1057?) \u8470? 639/2014 \u1085?\u1072? \u1050?\u1086?\u1084?\u1080?\u1089?\u1080?\u1103?\u1090?\u1072? \u1087?\u1086? \u1086?\u1090?\u1085?\u1086?\u1096?\u1077?\u1085?\u1080?\u1077? \u1085?\u1072? \u1080?\u1079?\u1087?\u1098?\u1083?\u1085?\u1077?\u1085?\u1080?\u1077?\u1090?\u1086? \u1085?\u1072? \u1085?\u1103?\u1082?\u1086?\u1080? \u1091?\u1089?\u1083?\u1086?\u1074?\u1080?\u1103?, \u1089?\u1074?\u1098?\u1088?\u1079?\u1072?\u1085?\u1080? \u1089? \u1087?\u1083?\u1072?\u1097?\u1072?\u1085?\u1077?\u1090?\u1086? \u1079?\u1072? \u1077?\u1082?\u1086?\u1083?\u1086?\u1075?\u1080?\u1079?\u1080?\u1088?\u1072?\u1085?\u1077? \u1079?\u1072? \u1088?\u1077?\u1092?\u1077?\u1088?\u1077?\u1085?\u1090?\u1085?\u1072?\u1090?\u1072? 2018 \u1075?\u1086?\u1076?\u1080?\u1085?\u1072? \u1074? \u1041?\u1077?\u1083?\u1075?\u1080?\u1103?, \u1044?\u1072?\u1085?\u1080?\u1103?, \u1043?\u1077?\u1088?\u1084?\u1072?\u1085?\u1080?\u1103?, \u1048?\u1088?\u1083?\u1072?\u1085?\u1076?\u1080?\u1103?, \u1060?\u1088?\u1072?\u1085?\u1094?\u1080?\u1103?, \u1051?\u1072?\u1090?\u1074?\u1080?\u1103?, \u1051?\u1080?\u1090?\u1074?\u1072?, \u1053?\u1080?\u1076?\u1077?\u1088?\u1083?\u1072?\u1085?\u1076?\u1080?\u1103?, \u1055?\u1086?\u1083?\u1096?\u1072?, \u1064?\u1074?\u1077?\u1094?\u1080?\u1103? \u1080? \u1054?\u1073?\u1077?\u1076?\u1080?\u1085?\u1077?\u1085?\u1086?\u1090?\u1086? \u1082?\u1088?\u1072?\u1083?\u1089?\u1090?\u1074?\u1086? \u1087?\u1086? \u1086?\u1090?\u1085?\u1086?\u1096?\u1077?\u1085?\u1080?\u1077? \u1085?\u1072? \u1040?\u1085?\u1075?\u1083?\u1080?\u1103? \u1080? \u1064?\u1086?\u1090?\u1083?\u1072?\u1085?\u1076?\u1080?\u1103?"/>
    <w:docVar w:name="LW_TYPE.DOC.CP" w:val="\u1056?\u1045?\u1064?\u1045?\u1053?\u1048?\u1045? \u1047?\u1040? \u1048?\u1047?\u1055?\u1066?\u1051?\u1053?\u1045?\u1053?\u1048?\u1045?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D1F1D-5B29-4305-81E6-24FAA0532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2147</Words>
  <Characters>12110</Characters>
  <Application>Microsoft Office Word</Application>
  <DocSecurity>0</DocSecurity>
  <Lines>228</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2018-09-05T13:45:00Z</cp:lastPrinted>
  <dcterms:created xsi:type="dcterms:W3CDTF">2018-09-18T09:32:00Z</dcterms:created>
  <dcterms:modified xsi:type="dcterms:W3CDTF">2018-09-19T07:39:00Z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SJ-009</vt:lpwstr>
  </property>
  <property fmtid="{D5CDD505-2E9C-101B-9397-08002B2CF9AE}" pid="10" name="DQCStatus">
    <vt:lpwstr>Green (DQC version 03)</vt:lpwstr>
  </property>
</Properties>
</file>