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2776DF-E581-40C3-A8A6-FC75B35B1D48"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по-нататък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pBdr>
          <w:top w:val="nil"/>
          <w:left w:val="nil"/>
          <w:bottom w:val="nil"/>
          <w:right w:val="nil"/>
          <w:between w:val="nil"/>
          <w:bar w:val="nil"/>
        </w:pBdr>
        <w:spacing w:before="0" w:after="240"/>
        <w:rPr>
          <w:rFonts w:eastAsia="Arial Unicode MS"/>
          <w:noProof/>
        </w:rPr>
      </w:pPr>
      <w:r>
        <w:rPr>
          <w:noProof/>
        </w:rPr>
        <w:t>С писмо, заведено в Комисията на 22 май 2018 г., Словения поиска разрешение да продължи да освобождава от ДДС данъчно задължените лица, чийто годишен оборот не надвишава 50 000 EUR. В съответствие с член 395, параграф 2 от Директивата за ДДС с писма от 25 юни 2018 г. Комисията информира останалите държави членки за отправеното от Словения искане. С писмо от 26 юни 2018 г. Комисията уведоми Словения,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размер.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от него доставки.</w:t>
      </w:r>
    </w:p>
    <w:p>
      <w:pPr>
        <w:pBdr>
          <w:top w:val="nil"/>
          <w:left w:val="nil"/>
          <w:bottom w:val="nil"/>
          <w:right w:val="nil"/>
          <w:between w:val="nil"/>
          <w:bar w:val="nil"/>
        </w:pBdr>
        <w:spacing w:before="0" w:after="240"/>
        <w:rPr>
          <w:rFonts w:eastAsia="Arial Unicode MS"/>
          <w:noProof/>
        </w:rPr>
      </w:pPr>
      <w:r>
        <w:rPr>
          <w:noProof/>
        </w:rPr>
        <w:t>Съгласно член 287, точка 15 от Директивата за ДДС Словения може да освободи от ДДС данъчно задължените лица, чийто годишен оборот не е по-висок от равностойността в национална валута на 25 000 EUR.</w:t>
      </w:r>
    </w:p>
    <w:p>
      <w:pPr>
        <w:pBdr>
          <w:top w:val="nil"/>
          <w:left w:val="nil"/>
          <w:bottom w:val="nil"/>
          <w:right w:val="nil"/>
          <w:between w:val="nil"/>
          <w:bar w:val="nil"/>
        </w:pBdr>
        <w:spacing w:before="0" w:after="240"/>
        <w:rPr>
          <w:rFonts w:eastAsia="Arial Unicode MS"/>
          <w:noProof/>
        </w:rPr>
      </w:pPr>
      <w:r>
        <w:rPr>
          <w:noProof/>
        </w:rPr>
        <w:t>С Решение за изпълнение 2013/54/ЕС на Съвета</w:t>
      </w:r>
      <w:r>
        <w:rPr>
          <w:rStyle w:val="FootnoteReference"/>
          <w:noProof/>
        </w:rPr>
        <w:footnoteReference w:id="1"/>
      </w:r>
      <w:r>
        <w:rPr>
          <w:noProof/>
        </w:rPr>
        <w:t xml:space="preserve"> Словения получи разрешение от Съвета да освободи от ДДС данъчно задължените лица, чийто годишен оборот не е по-висок от 50 000 EUR. Срокът на действие на посоченото решение бе удължен до 31 декември 2018 г. с Решение за изпълнение (ЕС) 2015/2089 на Съвета</w:t>
      </w:r>
      <w:r>
        <w:rPr>
          <w:rStyle w:val="FootnoteReference"/>
          <w:noProof/>
        </w:rPr>
        <w:footnoteReference w:id="2"/>
      </w:r>
      <w:r>
        <w:rPr>
          <w:noProof/>
        </w:rPr>
        <w:t xml:space="preserve">. Тази мярка е незадължителна за данъчно задължените лица и те винаги могат да изберат обичайния режим на облагане с ДДС. </w:t>
      </w:r>
    </w:p>
    <w:p>
      <w:pPr>
        <w:pBdr>
          <w:top w:val="nil"/>
          <w:left w:val="nil"/>
          <w:bottom w:val="nil"/>
          <w:right w:val="nil"/>
          <w:between w:val="nil"/>
          <w:bar w:val="nil"/>
        </w:pBdr>
        <w:spacing w:before="0" w:after="240"/>
        <w:rPr>
          <w:rFonts w:eastAsia="Arial Unicode MS"/>
          <w:noProof/>
        </w:rPr>
      </w:pPr>
      <w:r>
        <w:rPr>
          <w:noProof/>
        </w:rPr>
        <w:t>Словения поиска удължаване на срока на тази мярка. Според информацията, предоставена от Словения, в края на 2017 г. около 48 % от регистрираните за целите на ДДС лица са имали облагаем оборот под 50 000 EUR, а създадените от тях приходи от ДДС са представлявали само 1 % от общите приходи от ДДС, от които 0,3 % от данъчно задължени лица с облагаем оборот под 25 000 EUR. Освен това броят на данъчно задължените лица, регистрирани за целите на ДДС, чийто оборот е между 25 000 и 50 000 EUR, е намалявал от 2013 г. насам. Това означава, че все по-голям брой малки предприятия се възползват от мярката за опростяване.</w:t>
      </w:r>
    </w:p>
    <w:p>
      <w:pPr>
        <w:pBdr>
          <w:top w:val="nil"/>
          <w:left w:val="nil"/>
          <w:bottom w:val="nil"/>
          <w:right w:val="nil"/>
          <w:between w:val="nil"/>
          <w:bar w:val="nil"/>
        </w:pBdr>
        <w:spacing w:before="0" w:after="240"/>
        <w:rPr>
          <w:rFonts w:eastAsia="Arial Unicode MS"/>
          <w:noProof/>
        </w:rPr>
      </w:pPr>
      <w:r>
        <w:rPr>
          <w:noProof/>
        </w:rPr>
        <w:t>От информацията, подадена от Словения, става видно, че въздействието на мярката върху приходите от ДДС, събрани на етапа на крайното потребление, е незначително.</w:t>
      </w:r>
    </w:p>
    <w:p>
      <w:pPr>
        <w:rPr>
          <w:noProof/>
        </w:rPr>
      </w:pPr>
      <w:r>
        <w:rPr>
          <w:noProof/>
        </w:rPr>
        <w:t>Ето защо се предлага действието на дерогацията да бъде удължено за допълнителен ограничен срок – до 31 декември 2021 г. Неотдавна Комисията представи предложение</w:t>
      </w:r>
      <w:r>
        <w:rPr>
          <w:rStyle w:val="FootnoteReference"/>
          <w:noProof/>
        </w:rPr>
        <w:footnoteReference w:id="3"/>
      </w:r>
      <w:r>
        <w:rPr>
          <w:noProof/>
        </w:rPr>
        <w:t xml:space="preserve"> за изменение на членове 281 – 294 от Директива 2006/112/ЕО, с които се урежда специалният режим за малките предприятия. Затова е възможно да влезе в сила директива за изменение на посочените членове, с която се определя начална дата на прилагане на националните разпоредби за изпълнението ѝ. Ако тази дата бъде определена преди изтичането на срока на дерогацията на 31 декември 2021 г., прилагането на настоящото решение ще бъде прекратено.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color w:val="000000"/>
        </w:rPr>
      </w:pPr>
      <w:r>
        <w:rPr>
          <w:noProof/>
        </w:rPr>
        <w:t>Подобни дерогации вече са предоставени на други държави членки.</w:t>
      </w:r>
      <w:r>
        <w:rPr>
          <w:noProof/>
          <w:color w:val="000000"/>
        </w:rPr>
        <w:t xml:space="preserve"> На Люксембург</w:t>
      </w:r>
      <w:r>
        <w:rPr>
          <w:rStyle w:val="FootnoteReference"/>
          <w:noProof/>
          <w:color w:val="000000"/>
        </w:rPr>
        <w:footnoteReference w:id="4"/>
      </w:r>
      <w:r>
        <w:rPr>
          <w:noProof/>
          <w:color w:val="000000"/>
        </w:rPr>
        <w:t xml:space="preserve"> бе определен праг от 30 000 EUR, на Полша</w:t>
      </w:r>
      <w:r>
        <w:rPr>
          <w:rStyle w:val="FootnoteReference"/>
          <w:noProof/>
          <w:color w:val="000000"/>
        </w:rPr>
        <w:footnoteReference w:id="5"/>
      </w:r>
      <w:r>
        <w:rPr>
          <w:noProof/>
          <w:color w:val="000000"/>
        </w:rPr>
        <w:t xml:space="preserve"> и Естония</w:t>
      </w:r>
      <w:r>
        <w:rPr>
          <w:rStyle w:val="FootnoteReference"/>
          <w:noProof/>
          <w:color w:val="000000"/>
        </w:rPr>
        <w:footnoteReference w:id="6"/>
      </w:r>
      <w:r>
        <w:rPr>
          <w:noProof/>
          <w:color w:val="000000"/>
        </w:rPr>
        <w:t xml:space="preserve"> – от 40 000 EUR, на Италия</w:t>
      </w:r>
      <w:r>
        <w:rPr>
          <w:rStyle w:val="FootnoteReference"/>
          <w:noProof/>
          <w:color w:val="000000"/>
        </w:rPr>
        <w:footnoteReference w:id="7"/>
      </w:r>
      <w:r>
        <w:rPr>
          <w:noProof/>
          <w:color w:val="000000"/>
        </w:rPr>
        <w:t xml:space="preserve"> – от 65 000 EUR, на Хърватия</w:t>
      </w:r>
      <w:r>
        <w:rPr>
          <w:rStyle w:val="FootnoteReference"/>
          <w:noProof/>
          <w:color w:val="000000"/>
        </w:rPr>
        <w:footnoteReference w:id="8"/>
      </w:r>
      <w:r>
        <w:rPr>
          <w:noProof/>
          <w:color w:val="000000"/>
        </w:rPr>
        <w:t xml:space="preserve"> – от 45 000 EUR, на Латвия</w:t>
      </w:r>
      <w:r>
        <w:rPr>
          <w:rStyle w:val="FootnoteReference"/>
          <w:noProof/>
          <w:color w:val="000000"/>
        </w:rPr>
        <w:footnoteReference w:id="9"/>
      </w:r>
      <w:r>
        <w:rPr>
          <w:noProof/>
          <w:color w:val="000000"/>
        </w:rPr>
        <w:t xml:space="preserve"> – от 40 000 EUR, на Румъния</w:t>
      </w:r>
      <w:r>
        <w:rPr>
          <w:rStyle w:val="FootnoteReference"/>
          <w:noProof/>
          <w:color w:val="000000"/>
        </w:rPr>
        <w:footnoteReference w:id="10"/>
      </w:r>
      <w:r>
        <w:rPr>
          <w:noProof/>
          <w:color w:val="000000"/>
        </w:rPr>
        <w:t xml:space="preserve"> – от 88 500 EUR. </w:t>
      </w:r>
    </w:p>
    <w:p>
      <w:pPr>
        <w:rPr>
          <w:noProof/>
        </w:rPr>
      </w:pPr>
      <w:r>
        <w:rPr>
          <w:noProof/>
        </w:rPr>
        <w:t>Дерогациите от Директивата за ДДС следва винаги да бъдат ограничени във времето, за да може да бъде оценено тяхното въздействие. Освен това разпоредбите на членове 281 – 294 от Директивата за ДДС, отнасящи се до специалния режим за малките предприятия, са в процес на преразглеждане. Както бе обявено в Плана за действие във връзка с ДДС</w:t>
      </w:r>
      <w:r>
        <w:rPr>
          <w:rStyle w:val="FootnoteReference"/>
          <w:noProof/>
        </w:rPr>
        <w:footnoteReference w:id="11"/>
      </w:r>
      <w:r>
        <w:rPr>
          <w:noProof/>
        </w:rPr>
        <w:t xml:space="preserve"> и в Работната програма на Комисията за 2017 г.</w:t>
      </w:r>
      <w:r>
        <w:rPr>
          <w:rStyle w:val="FootnoteReference"/>
          <w:noProof/>
        </w:rPr>
        <w:footnoteReference w:id="12"/>
      </w:r>
      <w:r>
        <w:rPr>
          <w:noProof/>
        </w:rPr>
        <w:t>, неотдавна беше представено предложението на Комисията за режима за МСП</w:t>
      </w:r>
      <w:r>
        <w:rPr>
          <w:rStyle w:val="FootnoteReference"/>
          <w:noProof/>
        </w:rPr>
        <w:footnoteReference w:id="13"/>
      </w:r>
      <w:r>
        <w:rPr>
          <w:noProof/>
        </w:rPr>
        <w:t>.</w:t>
      </w:r>
    </w:p>
    <w:p>
      <w:pPr>
        <w:rPr>
          <w:rFonts w:eastAsia="Arial Unicode MS"/>
          <w:noProof/>
        </w:rPr>
      </w:pPr>
      <w:r>
        <w:rPr>
          <w:noProof/>
        </w:rPr>
        <w:t xml:space="preserve">Поради това се предлага мярката за дерогация да бъде разрешена със срок до 31 декември 2021 г. или до датата, от която държавите членки следва да прилагат националните разпоредби, които те трябва да приемат, ако бъде приета директива за изменение на членове 281 – 294 от Директива 2006/112/ЕО.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Мярката е в съответствие с целите на Съюза по отношение на малките предприятия, изложени в Съобщението на Комисията „Мисли първо за малките!“ – „Small Business Act“ за Европа“</w:t>
      </w:r>
      <w:r>
        <w:rPr>
          <w:rStyle w:val="FootnoteReference"/>
          <w:noProof/>
        </w:rPr>
        <w:footnoteReference w:id="14"/>
      </w:r>
      <w:r>
        <w:rPr>
          <w:noProof/>
        </w:rPr>
        <w:t>, в което държавите членки се призовават да вземат предвид характерните особености на МСП, когато съставят законодателство, и съответно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 а именно опростяване за допълнителен брой малки данъчно задължени лица и за данъчната администрация.</w:t>
      </w:r>
    </w:p>
    <w:p>
      <w:pPr>
        <w:pStyle w:val="ManualHeading2"/>
        <w:rPr>
          <w:rFonts w:eastAsia="Arial Unicode MS"/>
          <w:noProof/>
          <w:u w:color="000000"/>
          <w:bdr w:val="nil"/>
        </w:rPr>
      </w:pPr>
      <w:r>
        <w:rPr>
          <w:noProof/>
        </w:rPr>
        <w:t>•</w:t>
      </w:r>
      <w:r>
        <w:rPr>
          <w:noProof/>
        </w:rPr>
        <w:tab/>
        <w:t>Избор на нормативен акт</w:t>
      </w:r>
    </w:p>
    <w:p>
      <w:pPr>
        <w:spacing w:before="0" w:after="240"/>
        <w:rPr>
          <w:rFonts w:eastAsia="Arial Unicode MS"/>
          <w:noProof/>
        </w:rPr>
      </w:pPr>
      <w:r>
        <w:rPr>
          <w:noProof/>
        </w:rPr>
        <w:t>Предлаган нормативен акт: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Словения,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за изпълнение на Съвета има за цел да се удължи с още три години срокът на мярка за опростяване, с която се премахва голяма част от свързаните с ДДС задължения за предприятията с годишен оборот до 50 000 EUR, и следователно има потенциално положително въздействие, намалявайки административната тежест за предприятията и данъчната администрация, без значително въздействие върху общия размер на приходите от ДДС. 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ЕС, тъй като Словения ще изчисли компенсацията по член 6 от Регламент (ЕИО, ЕВРАТОМ) № 1553/89 на Съвета.</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 xml:space="preserve">Предложението включва клауза за изтичане на срока на действие; автоматично ограничение във времето.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2018/0335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5"/>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 287, точка 15 от Директива 2006/112/ЕО на Словения се разрешава да освободи от данък върху добавената стойност (ДДС) данъчно задължените лица, чийто годишен оборот не е по-висок от 25 000 EUR.</w:t>
      </w:r>
    </w:p>
    <w:p>
      <w:pPr>
        <w:pStyle w:val="ManualConsidrant"/>
        <w:rPr>
          <w:noProof/>
        </w:rPr>
      </w:pPr>
      <w:r>
        <w:t>(2)</w:t>
      </w:r>
      <w:r>
        <w:tab/>
      </w:r>
      <w:r>
        <w:rPr>
          <w:noProof/>
        </w:rPr>
        <w:t>С Решение за изпълнение 2013/54/ЕС на Съвета</w:t>
      </w:r>
      <w:r>
        <w:rPr>
          <w:rStyle w:val="FootnoteReference"/>
          <w:noProof/>
        </w:rPr>
        <w:footnoteReference w:id="16"/>
      </w:r>
      <w:r>
        <w:rPr>
          <w:noProof/>
        </w:rPr>
        <w:t xml:space="preserve"> на Словения беше разрешено, по дерогация от член 287, точка 15 от Директива 2006/112/ЕО, да освободи от ДДС до 31 декември 2015 г. данъчно задължените лица, чийто годишен оборот не е по-висок от 50 000 EUR. С Решение за изпълнение (ЕС) 2015/2089 на Съвета</w:t>
      </w:r>
      <w:r>
        <w:rPr>
          <w:rStyle w:val="FootnoteReference"/>
          <w:noProof/>
        </w:rPr>
        <w:footnoteReference w:id="17"/>
      </w:r>
      <w:r>
        <w:rPr>
          <w:noProof/>
        </w:rPr>
        <w:t xml:space="preserve"> срокът на прилагане на Решение 2013/54/ЕС бе удължен до 31 декември 2018 г.</w:t>
      </w:r>
    </w:p>
    <w:p>
      <w:pPr>
        <w:pStyle w:val="ManualConsidrant"/>
        <w:rPr>
          <w:noProof/>
        </w:rPr>
      </w:pPr>
      <w:r>
        <w:t>(3)</w:t>
      </w:r>
      <w:r>
        <w:tab/>
      </w:r>
      <w:r>
        <w:rPr>
          <w:noProof/>
        </w:rPr>
        <w:t>С писмо, заведено в Комисията на 22 май 2018 г., Словения поиска разрешение да продължи да освобождава от ДДС данъчно задължените лица, чийто годишен оборот не е по-висок от 50 000 EUR.</w:t>
      </w:r>
    </w:p>
    <w:p>
      <w:pPr>
        <w:pStyle w:val="ManualConsidrant"/>
        <w:rPr>
          <w:noProof/>
        </w:rPr>
      </w:pPr>
      <w:r>
        <w:t>(4)</w:t>
      </w:r>
      <w:r>
        <w:tab/>
      </w:r>
      <w:r>
        <w:rPr>
          <w:noProof/>
        </w:rPr>
        <w:t>В съответствие с член 395, параграф 2, втората алинея от Директива 2006/112/ЕО, на 25 юни 2018 г. Комисията предаде на другите държави членки отправеното от Словения искане. С писмо от 26 юни 2018 г. Комисията уведоми Словения, че разполага с цялата информация, необходима за разглеждане на искането.</w:t>
      </w:r>
    </w:p>
    <w:p>
      <w:pPr>
        <w:pStyle w:val="ManualConsidrant"/>
        <w:rPr>
          <w:noProof/>
        </w:rPr>
      </w:pPr>
      <w:r>
        <w:t>(5)</w:t>
      </w:r>
      <w:r>
        <w:tab/>
      </w:r>
      <w:r>
        <w:rPr>
          <w:noProof/>
        </w:rPr>
        <w:t>Според информацията, предоставена от Словения, в края на 2017 г. около 48 % от регистрираните за целите на ДДС лица са имали облагаем оборот под 50 000 EUR, а създадените от тях приходи от ДДС са представлявали само 1 % от общите приходи от ДДС, от които 0,3 % от данъчно задължени лица с облагаем оборот под 25 000 EUR.</w:t>
      </w:r>
    </w:p>
    <w:p>
      <w:pPr>
        <w:pStyle w:val="ManualConsidrant"/>
        <w:rPr>
          <w:noProof/>
        </w:rPr>
      </w:pPr>
      <w:r>
        <w:t>(6)</w:t>
      </w:r>
      <w:r>
        <w:tab/>
      </w:r>
      <w:r>
        <w:rPr>
          <w:noProof/>
        </w:rPr>
        <w:t>Като се има предвид, че по-високият праг е довел до намаляване на свързаните с ДДС задължения за малките предприятия, при положение че те имат право да изберат да прилагат общия режим на ДДС в съответствие с член 290 от Директива 2006/112/ЕО, на Словения следва да бъде разрешено да прилага мярката за допълнителен ограничен срок – до 31 декември 2021 г.</w:t>
      </w:r>
    </w:p>
    <w:p>
      <w:pPr>
        <w:pStyle w:val="ManualConsidrant"/>
        <w:rPr>
          <w:noProof/>
        </w:rPr>
      </w:pPr>
      <w:r>
        <w:t>(7)</w:t>
      </w:r>
      <w:r>
        <w:tab/>
      </w:r>
      <w:r>
        <w:rPr>
          <w:noProof/>
        </w:rPr>
        <w:t>Тъй като членове 281 – 294 от Директива 2006/112/ЕО, уреждащи специалния режим за малките предприятия, са в процес на преразглеждане, е възможно преди да е изтекъл срокът на действие на дерогацията на 31 декември 2021 г., да влезе в сила директива за изменение на посочените членове, определяща дата, от която държавите членки трябва да прилагат националните разпоредби. В такъв случай прилагането на настоящото решение следва да бъде прекратено.</w:t>
      </w:r>
    </w:p>
    <w:p>
      <w:pPr>
        <w:pStyle w:val="ManualConsidrant"/>
        <w:rPr>
          <w:noProof/>
        </w:rPr>
      </w:pPr>
      <w:r>
        <w:t>(8)</w:t>
      </w:r>
      <w:r>
        <w:tab/>
      </w:r>
      <w:r>
        <w:rPr>
          <w:noProof/>
        </w:rPr>
        <w:t>Дерогацията не оказва въздействие върху собствените ресурси на Съюза от ДДС, тъй като Словения ще изчисли компенсацията в съответствие с член 6 от Регламент (ЕИО, Евратом) № 1553/89 на Съвета</w:t>
      </w:r>
      <w:r>
        <w:rPr>
          <w:rStyle w:val="FootnoteReference"/>
          <w:noProof/>
        </w:rPr>
        <w:footnoteReference w:id="18"/>
      </w:r>
      <w:r>
        <w:rPr>
          <w:noProof/>
        </w:rPr>
        <w:t xml:space="preserve">. </w:t>
      </w:r>
    </w:p>
    <w:p>
      <w:pPr>
        <w:pStyle w:val="ManualConsidrant"/>
        <w:rPr>
          <w:noProof/>
        </w:rPr>
      </w:pPr>
      <w:r>
        <w:t>(9)</w:t>
      </w:r>
      <w:r>
        <w:tab/>
      </w:r>
      <w:r>
        <w:rPr>
          <w:noProof/>
        </w:rPr>
        <w:t>Поради това Решение за изпълнение 2013/54/ЕС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В член 2 от Решение за изпълнение 2013/54/ЕС вторият параграф се заменя със следното:</w:t>
      </w:r>
    </w:p>
    <w:p>
      <w:pPr>
        <w:rPr>
          <w:noProof/>
        </w:rPr>
      </w:pPr>
      <w:r>
        <w:rPr>
          <w:noProof/>
        </w:rPr>
        <w:t>„То се прилага от 1 януари 2019 г. до настъпването на по-ранната от следните две дати:</w:t>
      </w:r>
    </w:p>
    <w:p>
      <w:pPr>
        <w:rPr>
          <w:noProof/>
        </w:rPr>
      </w:pPr>
      <w:r>
        <w:rPr>
          <w:noProof/>
        </w:rPr>
        <w:t>a)</w:t>
      </w:r>
      <w:r>
        <w:rPr>
          <w:noProof/>
        </w:rPr>
        <w:tab/>
        <w:t xml:space="preserve">31 декември 2021 г.; </w:t>
      </w:r>
    </w:p>
    <w:p>
      <w:pPr>
        <w:rPr>
          <w:noProof/>
        </w:rPr>
      </w:pPr>
      <w:r>
        <w:rPr>
          <w:noProof/>
        </w:rPr>
        <w:t>б)</w:t>
      </w:r>
      <w:r>
        <w:rPr>
          <w:noProof/>
        </w:rPr>
        <w:tab/>
        <w:t>датата, от която държавите членки трябва да прилагат националните разпоредби, които те са длъжни да приемат, ако бъде приета директива за изменение на членове 281 – 294 от Директива 2006/112/ЕО, уреждащи специалния режим за малките предприятия.“</w:t>
      </w:r>
    </w:p>
    <w:p>
      <w:pPr>
        <w:pStyle w:val="Titrearticle"/>
        <w:rPr>
          <w:noProof/>
        </w:rPr>
      </w:pPr>
      <w:r>
        <w:rPr>
          <w:noProof/>
        </w:rPr>
        <w:t>Член 2</w:t>
      </w:r>
    </w:p>
    <w:p>
      <w:pPr>
        <w:rPr>
          <w:noProof/>
        </w:rPr>
      </w:pPr>
      <w:r>
        <w:rPr>
          <w:noProof/>
        </w:rPr>
        <w:t>Адресат на настоящото решение е Република Словения.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Решение за изпълнение 2013/54/</w:t>
      </w:r>
      <w:r>
        <w:t>E</w:t>
      </w:r>
      <w:r>
        <w:rPr>
          <w:lang w:val="ru-RU"/>
        </w:rPr>
        <w:t xml:space="preserve">С на Съвета от 22 януари 2013 г.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w:t>
      </w:r>
      <w:r>
        <w:t>L </w:t>
      </w:r>
      <w:r>
        <w:rPr>
          <w:lang w:val="ru-RU"/>
        </w:rPr>
        <w:t>22, 25.1.2013</w:t>
      </w:r>
      <w:r>
        <w:t> </w:t>
      </w:r>
      <w:r>
        <w:rPr>
          <w:lang w:val="ru-RU"/>
        </w:rPr>
        <w:t>г., стр.</w:t>
      </w:r>
      <w:r>
        <w:t> </w:t>
      </w:r>
      <w:r>
        <w:rPr>
          <w:lang w:val="ru-RU"/>
        </w:rPr>
        <w:t>15).</w:t>
      </w:r>
    </w:p>
  </w:footnote>
  <w:footnote w:id="2">
    <w:p>
      <w:pPr>
        <w:pStyle w:val="FootnoteText"/>
        <w:rPr>
          <w:lang w:val="ru-RU"/>
        </w:rPr>
      </w:pPr>
      <w:r>
        <w:rPr>
          <w:rStyle w:val="FootnoteReference"/>
        </w:rPr>
        <w:footnoteRef/>
      </w:r>
      <w:r>
        <w:rPr>
          <w:lang w:val="ru-RU"/>
        </w:rPr>
        <w:tab/>
        <w:t>Решение за изпълнение (ЕС) 2015/2089 на Съвета от 10 ноември 2015</w:t>
      </w:r>
      <w:r>
        <w:t> </w:t>
      </w:r>
      <w:r>
        <w:rPr>
          <w:lang w:val="ru-RU"/>
        </w:rPr>
        <w:t>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w:t>
      </w:r>
      <w:r>
        <w:t> L </w:t>
      </w:r>
      <w:r>
        <w:rPr>
          <w:lang w:val="ru-RU"/>
        </w:rPr>
        <w:t>302, 19.11.2015</w:t>
      </w:r>
      <w:r>
        <w:t> </w:t>
      </w:r>
      <w:r>
        <w:rPr>
          <w:lang w:val="ru-RU"/>
        </w:rPr>
        <w:t>г., стр.</w:t>
      </w:r>
      <w:r>
        <w:t> </w:t>
      </w:r>
      <w:r>
        <w:rPr>
          <w:lang w:val="ru-RU"/>
        </w:rPr>
        <w:t xml:space="preserve">107). </w:t>
      </w:r>
    </w:p>
  </w:footnote>
  <w:footnote w:id="3">
    <w:p>
      <w:pPr>
        <w:pStyle w:val="FootnoteText"/>
        <w:rPr>
          <w:lang w:val="ru-RU"/>
        </w:rPr>
      </w:pPr>
      <w:r>
        <w:rPr>
          <w:rStyle w:val="FootnoteReference"/>
        </w:rPr>
        <w:footnoteRef/>
      </w:r>
      <w:r>
        <w:rPr>
          <w:lang w:val="ru-RU"/>
        </w:rP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18.1.2018</w:t>
      </w:r>
      <w:r>
        <w:t> </w:t>
      </w:r>
      <w:r>
        <w:rPr>
          <w:lang w:val="ru-RU"/>
        </w:rPr>
        <w:t xml:space="preserve">г., </w:t>
      </w:r>
      <w:r>
        <w:t>COM</w:t>
      </w:r>
      <w:r>
        <w:rPr>
          <w:lang w:val="ru-RU"/>
        </w:rPr>
        <w:t xml:space="preserve">(2018) 21 </w:t>
      </w:r>
      <w:r>
        <w:t>final</w:t>
      </w:r>
      <w:r>
        <w:rPr>
          <w:lang w:val="ru-RU"/>
        </w:rPr>
        <w:t>.</w:t>
      </w:r>
    </w:p>
  </w:footnote>
  <w:footnote w:id="4">
    <w:p>
      <w:pPr>
        <w:pStyle w:val="FootnoteText"/>
        <w:rPr>
          <w:lang w:val="ru-RU"/>
        </w:rPr>
      </w:pPr>
      <w:r>
        <w:rPr>
          <w:rStyle w:val="FootnoteReference"/>
        </w:rPr>
        <w:footnoteRef/>
      </w:r>
      <w:r>
        <w:rPr>
          <w:lang w:val="ru-RU"/>
        </w:rPr>
        <w:tab/>
        <w:t>Решение за изпълнение (ЕС)</w:t>
      </w:r>
      <w:r>
        <w:t> </w:t>
      </w:r>
      <w:r>
        <w:rPr>
          <w:lang w:val="ru-RU"/>
        </w:rPr>
        <w:t xml:space="preserve">2017/319 на Съвета от 21 февруари 2017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w:t>
      </w:r>
      <w:r>
        <w:t>L</w:t>
      </w:r>
      <w:r>
        <w:rPr>
          <w:lang w:val="ru-RU"/>
        </w:rPr>
        <w:t xml:space="preserve"> 47, 24.2.2017 г., стр. 7). </w:t>
      </w:r>
    </w:p>
  </w:footnote>
  <w:footnote w:id="5">
    <w:p>
      <w:pPr>
        <w:pStyle w:val="FootnoteText"/>
        <w:rPr>
          <w:lang w:val="ru-RU"/>
        </w:rPr>
      </w:pPr>
      <w:r>
        <w:rPr>
          <w:rStyle w:val="FootnoteReference"/>
        </w:rPr>
        <w:footnoteRef/>
      </w:r>
      <w:r>
        <w:rPr>
          <w:lang w:val="ru-RU"/>
        </w:rPr>
        <w:tab/>
        <w:t>Решение за изпълнение (ЕС)</w:t>
      </w:r>
      <w:r>
        <w:t> </w:t>
      </w:r>
      <w:r>
        <w:rPr>
          <w:lang w:val="ru-RU"/>
        </w:rPr>
        <w:t>2016/2090 на Съвета от 21 ноември 2016</w:t>
      </w:r>
      <w:r>
        <w:t> </w:t>
      </w:r>
      <w:r>
        <w:rPr>
          <w:lang w:val="ru-RU"/>
        </w:rPr>
        <w:t>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w:t>
      </w:r>
      <w:r>
        <w:t> L </w:t>
      </w:r>
      <w:r>
        <w:rPr>
          <w:lang w:val="ru-RU"/>
        </w:rPr>
        <w:t>324, 30.11.2016</w:t>
      </w:r>
      <w:r>
        <w:t> </w:t>
      </w:r>
      <w:r>
        <w:rPr>
          <w:lang w:val="ru-RU"/>
        </w:rPr>
        <w:t>г., стр.</w:t>
      </w:r>
      <w:r>
        <w:t> </w:t>
      </w:r>
      <w:r>
        <w:rPr>
          <w:lang w:val="ru-RU"/>
        </w:rPr>
        <w:t>7).</w:t>
      </w:r>
    </w:p>
  </w:footnote>
  <w:footnote w:id="6">
    <w:p>
      <w:pPr>
        <w:pStyle w:val="FootnoteText"/>
        <w:rPr>
          <w:lang w:val="ru-RU"/>
        </w:rPr>
      </w:pPr>
      <w:r>
        <w:rPr>
          <w:rStyle w:val="FootnoteReference"/>
        </w:rPr>
        <w:footnoteRef/>
      </w:r>
      <w:r>
        <w:rPr>
          <w:lang w:val="ru-RU"/>
        </w:rPr>
        <w:tab/>
        <w:t>Решение за изпълнение (ЕС)</w:t>
      </w:r>
      <w:r>
        <w:t> </w:t>
      </w:r>
      <w:r>
        <w:rPr>
          <w:lang w:val="ru-RU"/>
        </w:rPr>
        <w:t>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w:t>
      </w:r>
      <w:r>
        <w:t> L </w:t>
      </w:r>
      <w:r>
        <w:rPr>
          <w:lang w:val="ru-RU"/>
        </w:rPr>
        <w:t>80, 25.3.2017</w:t>
      </w:r>
      <w:r>
        <w:t> </w:t>
      </w:r>
      <w:r>
        <w:rPr>
          <w:lang w:val="ru-RU"/>
        </w:rPr>
        <w:t>г., стр.</w:t>
      </w:r>
      <w:r>
        <w:t> </w:t>
      </w:r>
      <w:r>
        <w:rPr>
          <w:lang w:val="ru-RU"/>
        </w:rPr>
        <w:t>33).</w:t>
      </w:r>
    </w:p>
  </w:footnote>
  <w:footnote w:id="7">
    <w:p>
      <w:pPr>
        <w:pStyle w:val="FootnoteText"/>
        <w:rPr>
          <w:lang w:val="ru-RU"/>
        </w:rPr>
      </w:pPr>
      <w:r>
        <w:rPr>
          <w:rStyle w:val="FootnoteReference"/>
        </w:rPr>
        <w:footnoteRef/>
      </w:r>
      <w:r>
        <w:rPr>
          <w:lang w:val="ru-RU"/>
        </w:rPr>
        <w:tab/>
        <w:t>Решение за изпълнение (ЕС) 2016/1988 на Съвета от 8 ноември 2016 г. за изменение на Решение за изпълнение</w:t>
      </w:r>
      <w:r>
        <w:t> </w:t>
      </w:r>
      <w:r>
        <w:rPr>
          <w:lang w:val="ru-RU"/>
        </w:rPr>
        <w:t>2013/678/ЕС за даване на разрешение на Италианската република да продължи да прилага специална мярка за дерогация от член 285 от Директива</w:t>
      </w:r>
      <w:r>
        <w:t> </w:t>
      </w:r>
      <w:r>
        <w:rPr>
          <w:lang w:val="ru-RU"/>
        </w:rPr>
        <w:t>2006/112/ЕО относно общата система на данъка върху добавената стойност (ОВ</w:t>
      </w:r>
      <w:r>
        <w:t> L </w:t>
      </w:r>
      <w:r>
        <w:rPr>
          <w:lang w:val="ru-RU"/>
        </w:rPr>
        <w:t>306, 15.11.2016</w:t>
      </w:r>
      <w:r>
        <w:t> </w:t>
      </w:r>
      <w:r>
        <w:rPr>
          <w:lang w:val="ru-RU"/>
        </w:rPr>
        <w:t>г., стр.</w:t>
      </w:r>
      <w:r>
        <w:t> </w:t>
      </w:r>
      <w:r>
        <w:rPr>
          <w:lang w:val="ru-RU"/>
        </w:rPr>
        <w:t>11).</w:t>
      </w:r>
    </w:p>
  </w:footnote>
  <w:footnote w:id="8">
    <w:p>
      <w:pPr>
        <w:pStyle w:val="FootnoteText"/>
        <w:rPr>
          <w:lang w:val="ru-RU"/>
        </w:rPr>
      </w:pPr>
      <w:r>
        <w:rPr>
          <w:rStyle w:val="FootnoteReference"/>
        </w:rPr>
        <w:footnoteRef/>
      </w:r>
      <w:r>
        <w:rPr>
          <w:lang w:val="ru-RU"/>
        </w:rPr>
        <w:tab/>
        <w:t>Решение за изпълнение (ЕС)</w:t>
      </w:r>
      <w:r>
        <w:t> </w:t>
      </w:r>
      <w:r>
        <w:rPr>
          <w:lang w:val="ru-RU"/>
        </w:rPr>
        <w:t>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w:t>
      </w:r>
      <w:r>
        <w:t> L </w:t>
      </w:r>
      <w:r>
        <w:rPr>
          <w:lang w:val="ru-RU"/>
        </w:rPr>
        <w:t>250, 28.9.2017</w:t>
      </w:r>
      <w:r>
        <w:t> </w:t>
      </w:r>
      <w:r>
        <w:rPr>
          <w:lang w:val="ru-RU"/>
        </w:rPr>
        <w:t>г., стр.</w:t>
      </w:r>
      <w:r>
        <w:t> </w:t>
      </w:r>
      <w:r>
        <w:rPr>
          <w:lang w:val="ru-RU"/>
        </w:rPr>
        <w:t>71).</w:t>
      </w:r>
    </w:p>
  </w:footnote>
  <w:footnote w:id="9">
    <w:p>
      <w:pPr>
        <w:pStyle w:val="FootnoteText"/>
        <w:rPr>
          <w:lang w:val="ru-RU"/>
        </w:rPr>
      </w:pPr>
      <w:r>
        <w:rPr>
          <w:rStyle w:val="FootnoteReference"/>
        </w:rPr>
        <w:footnoteRef/>
      </w:r>
      <w:r>
        <w:rPr>
          <w:lang w:val="ru-RU"/>
        </w:rPr>
        <w:tab/>
        <w:t>Решение за изпълнение (ЕС)</w:t>
      </w:r>
      <w:r>
        <w:t> </w:t>
      </w:r>
      <w:r>
        <w:rPr>
          <w:lang w:val="ru-RU"/>
        </w:rPr>
        <w:t>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w:t>
      </w:r>
      <w:r>
        <w:t> L </w:t>
      </w:r>
      <w:r>
        <w:rPr>
          <w:lang w:val="ru-RU"/>
        </w:rPr>
        <w:t>342, 21.12.2017</w:t>
      </w:r>
      <w:r>
        <w:t> </w:t>
      </w:r>
      <w:r>
        <w:rPr>
          <w:lang w:val="ru-RU"/>
        </w:rPr>
        <w:t>г., стр.</w:t>
      </w:r>
      <w:r>
        <w:t> </w:t>
      </w:r>
      <w:r>
        <w:rPr>
          <w:lang w:val="ru-RU"/>
        </w:rPr>
        <w:t>8).</w:t>
      </w:r>
    </w:p>
  </w:footnote>
  <w:footnote w:id="10">
    <w:p>
      <w:pPr>
        <w:pStyle w:val="FootnoteText"/>
        <w:rPr>
          <w:lang w:val="ru-RU"/>
        </w:rPr>
      </w:pPr>
      <w:r>
        <w:rPr>
          <w:rStyle w:val="FootnoteReference"/>
        </w:rPr>
        <w:footnoteRef/>
      </w:r>
      <w:r>
        <w:rPr>
          <w:lang w:val="ru-RU"/>
        </w:rP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w:t>
      </w:r>
      <w:r>
        <w:t> L </w:t>
      </w:r>
      <w:r>
        <w:rPr>
          <w:lang w:val="ru-RU"/>
        </w:rPr>
        <w:t>265, 14.10.2017</w:t>
      </w:r>
      <w:r>
        <w:t> </w:t>
      </w:r>
      <w:r>
        <w:rPr>
          <w:lang w:val="ru-RU"/>
        </w:rPr>
        <w:t>г., стр.</w:t>
      </w:r>
      <w:r>
        <w:t> </w:t>
      </w:r>
      <w:r>
        <w:rPr>
          <w:lang w:val="ru-RU"/>
        </w:rPr>
        <w:t>19).</w:t>
      </w:r>
    </w:p>
  </w:footnote>
  <w:footnote w:id="11">
    <w:p>
      <w:pPr>
        <w:pStyle w:val="FootnoteText"/>
        <w:rPr>
          <w:lang w:val="ru-RU"/>
        </w:rPr>
      </w:pPr>
      <w:r>
        <w:rPr>
          <w:rStyle w:val="FootnoteReference"/>
        </w:rPr>
        <w:footnoteRef/>
      </w:r>
      <w:r>
        <w:rPr>
          <w:lang w:val="ru-RU"/>
        </w:rPr>
        <w:tab/>
        <w:t>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Брюксел, 7.4.2016</w:t>
      </w:r>
      <w:r>
        <w:t> </w:t>
      </w:r>
      <w:r>
        <w:rPr>
          <w:lang w:val="ru-RU"/>
        </w:rPr>
        <w:t xml:space="preserve">г., </w:t>
      </w:r>
      <w:r>
        <w:t>COM</w:t>
      </w:r>
      <w:r>
        <w:rPr>
          <w:lang w:val="ru-RU"/>
        </w:rPr>
        <w:t xml:space="preserve">(2016)148 </w:t>
      </w:r>
      <w:r>
        <w:t>final</w:t>
      </w:r>
      <w:r>
        <w:rPr>
          <w:lang w:val="ru-RU"/>
        </w:rPr>
        <w:t>.</w:t>
      </w:r>
    </w:p>
  </w:footnote>
  <w:footnote w:id="12">
    <w:p>
      <w:pPr>
        <w:pStyle w:val="FootnoteText"/>
        <w:rPr>
          <w:lang w:val="ru-RU"/>
        </w:rPr>
      </w:pPr>
      <w:r>
        <w:rPr>
          <w:rStyle w:val="FootnoteReference"/>
        </w:rPr>
        <w:footnoteRef/>
      </w:r>
      <w:r>
        <w:rPr>
          <w:lang w:val="ru-RU"/>
        </w:rPr>
        <w:tab/>
        <w:t>Работна програма на Комисията за 2017</w:t>
      </w:r>
      <w:r>
        <w:t> </w:t>
      </w:r>
      <w:r>
        <w:rPr>
          <w:lang w:val="ru-RU"/>
        </w:rPr>
        <w:t>г.– Европа на резултатите: закрила, предоставяне на повече права и защита на гражданите, Страсбург, 25.10.2016</w:t>
      </w:r>
      <w:r>
        <w:t> </w:t>
      </w:r>
      <w:r>
        <w:rPr>
          <w:lang w:val="ru-RU"/>
        </w:rPr>
        <w:t xml:space="preserve">г., </w:t>
      </w:r>
      <w:r>
        <w:t>COM</w:t>
      </w:r>
      <w:r>
        <w:rPr>
          <w:lang w:val="ru-RU"/>
        </w:rPr>
        <w:t xml:space="preserve">(2016)710 </w:t>
      </w:r>
      <w:r>
        <w:t>final</w:t>
      </w:r>
      <w:r>
        <w:rPr>
          <w:lang w:val="ru-RU"/>
        </w:rPr>
        <w:t>.</w:t>
      </w:r>
    </w:p>
  </w:footnote>
  <w:footnote w:id="13">
    <w:p>
      <w:pPr>
        <w:pStyle w:val="FootnoteText"/>
        <w:rPr>
          <w:lang w:val="ru-RU"/>
        </w:rPr>
      </w:pPr>
      <w:r>
        <w:rPr>
          <w:rStyle w:val="FootnoteReference"/>
        </w:rPr>
        <w:footnoteRef/>
      </w:r>
      <w:r>
        <w:rPr>
          <w:lang w:val="ru-RU"/>
        </w:rP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18.1.2018</w:t>
      </w:r>
      <w:r>
        <w:t> </w:t>
      </w:r>
      <w:r>
        <w:rPr>
          <w:lang w:val="ru-RU"/>
        </w:rPr>
        <w:t xml:space="preserve">г., </w:t>
      </w:r>
      <w:r>
        <w:t>COM</w:t>
      </w:r>
      <w:r>
        <w:rPr>
          <w:lang w:val="ru-RU"/>
        </w:rPr>
        <w:t xml:space="preserve">(2018) 21 </w:t>
      </w:r>
      <w:r>
        <w:t>final</w:t>
      </w:r>
      <w:r>
        <w:rPr>
          <w:lang w:val="ru-RU"/>
        </w:rPr>
        <w:t>.</w:t>
      </w:r>
    </w:p>
  </w:footnote>
  <w:footnote w:id="14">
    <w:p>
      <w:pPr>
        <w:pStyle w:val="FootnoteText"/>
        <w:rPr>
          <w:lang w:val="ru-RU"/>
        </w:rPr>
      </w:pPr>
      <w:r>
        <w:rPr>
          <w:rStyle w:val="FootnoteReference"/>
        </w:rPr>
        <w:footnoteRef/>
      </w:r>
      <w:r>
        <w:rPr>
          <w:lang w:val="ru-RU"/>
        </w:rPr>
        <w:tab/>
      </w:r>
      <w:r>
        <w:t>COM</w:t>
      </w:r>
      <w:r>
        <w:rPr>
          <w:lang w:val="ru-RU"/>
        </w:rPr>
        <w:t>(2008) 394 от 25 юни 2008 г.</w:t>
      </w:r>
    </w:p>
  </w:footnote>
  <w:footnote w:id="15">
    <w:p>
      <w:pPr>
        <w:pStyle w:val="FootnoteText"/>
        <w:rPr>
          <w:lang w:val="ru-RU"/>
        </w:rPr>
      </w:pPr>
      <w:r>
        <w:rPr>
          <w:rStyle w:val="FootnoteReference"/>
        </w:rPr>
        <w:footnoteRef/>
      </w:r>
      <w:r>
        <w:rPr>
          <w:lang w:val="ru-RU"/>
        </w:rPr>
        <w:tab/>
        <w:t xml:space="preserve">ОВ </w:t>
      </w:r>
      <w:r>
        <w:t>L</w:t>
      </w:r>
      <w:r>
        <w:rPr>
          <w:lang w:val="ru-RU"/>
        </w:rPr>
        <w:t xml:space="preserve"> 347, 11.12.2006</w:t>
      </w:r>
      <w:r>
        <w:t> </w:t>
      </w:r>
      <w:r>
        <w:rPr>
          <w:lang w:val="ru-RU"/>
        </w:rPr>
        <w:t>г., стр.</w:t>
      </w:r>
      <w:r>
        <w:t> </w:t>
      </w:r>
      <w:r>
        <w:rPr>
          <w:lang w:val="ru-RU"/>
        </w:rPr>
        <w:t>1.</w:t>
      </w:r>
    </w:p>
  </w:footnote>
  <w:footnote w:id="16">
    <w:p>
      <w:pPr>
        <w:pStyle w:val="FootnoteText"/>
        <w:rPr>
          <w:lang w:val="ru-RU"/>
        </w:rPr>
      </w:pPr>
      <w:r>
        <w:rPr>
          <w:rStyle w:val="FootnoteReference"/>
        </w:rPr>
        <w:footnoteRef/>
      </w:r>
      <w:r>
        <w:rPr>
          <w:lang w:val="ru-RU"/>
        </w:rPr>
        <w:tab/>
        <w:t>Решение за изпълнение 2013/54/ЕС на Съвета от 22 януари 2013</w:t>
      </w:r>
      <w:r>
        <w:t> </w:t>
      </w:r>
      <w:r>
        <w:rPr>
          <w:lang w:val="ru-RU"/>
        </w:rPr>
        <w:t>г.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w:t>
      </w:r>
      <w:r>
        <w:t> L </w:t>
      </w:r>
      <w:r>
        <w:rPr>
          <w:lang w:val="ru-RU"/>
        </w:rPr>
        <w:t>22, 25.1.2013</w:t>
      </w:r>
      <w:r>
        <w:t> </w:t>
      </w:r>
      <w:r>
        <w:rPr>
          <w:lang w:val="ru-RU"/>
        </w:rPr>
        <w:t>г., стр.</w:t>
      </w:r>
      <w:r>
        <w:t> </w:t>
      </w:r>
      <w:r>
        <w:rPr>
          <w:lang w:val="ru-RU"/>
        </w:rPr>
        <w:t>15).</w:t>
      </w:r>
    </w:p>
  </w:footnote>
  <w:footnote w:id="17">
    <w:p>
      <w:pPr>
        <w:pStyle w:val="FootnoteText"/>
        <w:rPr>
          <w:lang w:val="ru-RU"/>
        </w:rPr>
      </w:pPr>
      <w:r>
        <w:rPr>
          <w:rStyle w:val="FootnoteReference"/>
        </w:rPr>
        <w:footnoteRef/>
      </w:r>
      <w:r>
        <w:rPr>
          <w:lang w:val="ru-RU"/>
        </w:rPr>
        <w:tab/>
        <w:t>Решение за изпълнение (ЕС) 2015/2089 на Съвета от 10 ноември 2015</w:t>
      </w:r>
      <w:r>
        <w:t> </w:t>
      </w:r>
      <w:r>
        <w:rPr>
          <w:lang w:val="ru-RU"/>
        </w:rPr>
        <w:t>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w:t>
      </w:r>
      <w:r>
        <w:t> L </w:t>
      </w:r>
      <w:r>
        <w:rPr>
          <w:lang w:val="ru-RU"/>
        </w:rPr>
        <w:t>302, 19.11.2015</w:t>
      </w:r>
      <w:r>
        <w:t> </w:t>
      </w:r>
      <w:r>
        <w:rPr>
          <w:lang w:val="ru-RU"/>
        </w:rPr>
        <w:t>г., стр.</w:t>
      </w:r>
      <w:r>
        <w:t> </w:t>
      </w:r>
      <w:r>
        <w:rPr>
          <w:lang w:val="ru-RU"/>
        </w:rPr>
        <w:t xml:space="preserve">107). </w:t>
      </w:r>
    </w:p>
  </w:footnote>
  <w:footnote w:id="18">
    <w:p>
      <w:pPr>
        <w:pStyle w:val="FootnoteText"/>
        <w:rPr>
          <w:lang w:val="ru-RU"/>
        </w:rPr>
      </w:pPr>
      <w:r>
        <w:rPr>
          <w:rStyle w:val="FootnoteReference"/>
        </w:rPr>
        <w:footnoteRef/>
      </w:r>
      <w:r>
        <w:rPr>
          <w:lang w:val="ru-RU"/>
        </w:rPr>
        <w:tab/>
        <w:t>Регламент (ЕИО, Евратом) №</w:t>
      </w:r>
      <w:r>
        <w:t> </w:t>
      </w:r>
      <w:r>
        <w:rPr>
          <w:lang w:val="ru-RU"/>
        </w:rPr>
        <w:t>1553/89 на Съвета от 29 май 1989</w:t>
      </w:r>
      <w:r>
        <w:t> </w:t>
      </w:r>
      <w:r>
        <w:rPr>
          <w:lang w:val="ru-RU"/>
        </w:rPr>
        <w:t xml:space="preserve">г. за окончателни унифицирани схеми за събирането на собствените ресурси, набирани от данък добавена стойност (ОВ </w:t>
      </w:r>
      <w:r>
        <w:t>L </w:t>
      </w:r>
      <w:r>
        <w:rPr>
          <w:lang w:val="ru-RU"/>
        </w:rPr>
        <w:t>155, 7.6.1989</w:t>
      </w:r>
      <w:r>
        <w:t> </w:t>
      </w:r>
      <w:r>
        <w:rPr>
          <w:lang w:val="ru-RU"/>
        </w:rPr>
        <w:t>г., стр.</w:t>
      </w:r>
      <w:r>
        <w:t> </w:t>
      </w:r>
      <w:r>
        <w:rPr>
          <w:lang w:val="ru-RU"/>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345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BE6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01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125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BAF1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066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061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9 15:45: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2776DF-E581-40C3-A8A6-FC75B35B1D48"/>
    <w:docVar w:name="LW_COVERPAGE_TYPE" w:val="1"/>
    <w:docVar w:name="LW_CROSSREFERENCE" w:val="&lt;UNUSED&gt;"/>
    <w:docVar w:name="LW_DocType" w:val="COM"/>
    <w:docVar w:name="LW_EMISSION" w:val="20.9.2018"/>
    <w:docVar w:name="LW_EMISSION_ISODATE" w:val="2018-09-20"/>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5"/>
    <w:docVar w:name="LW_REF.II.NEW.CP_YEAR" w:val="2018"/>
    <w:docVar w:name="LW_REF.INST.NEW" w:val="COM"/>
    <w:docVar w:name="LW_REF.INST.NEW_ADOPTED" w:val="final"/>
    <w:docVar w:name="LW_REF.INST.NEW_TEXT" w:val="(2018)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3/54/\u1045?\u1057? \u1079?\u1072? \u1087?\u1088?\u1077?\u1076?\u1086?\u1089?\u1090?\u1072?\u1074?\u1103?\u1085?\u1077? \u1085?\u1072? \u1088?\u1072?\u1079?\u1088?\u1077?\u1096?\u1077?\u1085?\u1080?\u1077? \u1085?\u1072? \u1056?\u1077?\u1087?\u1091?\u1073?\u1083?\u1080?\u1082?\u1072? \u1057?\u1083?\u1086?\u1074?\u1077?\u1085?\u1080?\u1103? \u1076?\u1072? \u1074?\u1098?\u1074?\u1077?\u1076?\u1077?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0FC7-3254-4632-9020-2E5EC8C3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1733</Words>
  <Characters>9324</Characters>
  <Application>Microsoft Office Word</Application>
  <DocSecurity>0</DocSecurity>
  <Lines>182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2018-07-17T09:51:00Z</cp:lastPrinted>
  <dcterms:created xsi:type="dcterms:W3CDTF">2018-09-13T10:52:00Z</dcterms:created>
  <dcterms:modified xsi:type="dcterms:W3CDTF">2018-09-19T13:45:00Z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