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7E0AED79-8D33-47E3-9D6C-04677329366B" style="width:450.75pt;height:393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rPr>
          <w:rFonts w:ascii="Times New Roman" w:hAnsi="Times New Roman" w:cs="Times New Roman"/>
          <w:b/>
          <w:noProof/>
          <w:sz w:val="24"/>
          <w:szCs w:val="24"/>
        </w:rPr>
      </w:pPr>
      <w:bookmarkStart w:id="1" w:name="_GoBack"/>
      <w:bookmarkEnd w:id="1"/>
      <w:r>
        <w:rPr>
          <w:rFonts w:ascii="Times New Roman" w:hAnsi="Times New Roman" w:cs="Times New Roman"/>
          <w:b/>
          <w:noProof/>
          <w:sz w:val="24"/>
          <w:szCs w:val="24"/>
        </w:rPr>
        <w:lastRenderedPageBreak/>
        <w:t>Annex A – List of Technical Studies in support of good implementation</w:t>
      </w:r>
    </w:p>
    <w:p>
      <w:pPr>
        <w:numPr>
          <w:ilvl w:val="0"/>
          <w:numId w:val="1"/>
        </w:numPr>
        <w:tabs>
          <w:tab w:val="left" w:pos="1134"/>
        </w:tabs>
        <w:jc w:val="both"/>
        <w:rPr>
          <w:rFonts w:ascii="Times New Roman" w:hAnsi="Times New Roman" w:cs="Times New Roman"/>
          <w:noProof/>
          <w:sz w:val="24"/>
          <w:szCs w:val="24"/>
        </w:rPr>
      </w:pPr>
      <w:hyperlink r:id="rId16" w:history="1">
        <w:r>
          <w:rPr>
            <w:rStyle w:val="Hyperlink"/>
            <w:rFonts w:ascii="Times New Roman" w:hAnsi="Times New Roman" w:cs="Times New Roman"/>
            <w:noProof/>
            <w:sz w:val="24"/>
            <w:szCs w:val="24"/>
          </w:rPr>
          <w:t>A best practice based approach to National Contact Point websites: feasibility study</w:t>
        </w:r>
      </w:hyperlink>
    </w:p>
    <w:p>
      <w:pPr>
        <w:tabs>
          <w:tab w:val="left" w:pos="2016"/>
        </w:tabs>
        <w:jc w:val="both"/>
        <w:rPr>
          <w:rFonts w:ascii="Times New Roman" w:hAnsi="Times New Roman" w:cs="Times New Roman"/>
          <w:noProof/>
          <w:sz w:val="24"/>
          <w:szCs w:val="24"/>
        </w:rPr>
      </w:pPr>
      <w:r>
        <w:rPr>
          <w:rFonts w:ascii="Times New Roman" w:hAnsi="Times New Roman" w:cs="Times New Roman"/>
          <w:b/>
          <w:noProof/>
          <w:sz w:val="24"/>
          <w:szCs w:val="24"/>
        </w:rPr>
        <w:t>Objective:</w:t>
      </w:r>
      <w:r>
        <w:rPr>
          <w:rFonts w:ascii="Times New Roman" w:hAnsi="Times New Roman" w:cs="Times New Roman"/>
          <w:noProof/>
          <w:sz w:val="24"/>
          <w:szCs w:val="24"/>
        </w:rPr>
        <w:t xml:space="preserve"> To develop recommendations on what information should be provided by NCPs in order to enable patients to exercise their rights to cross-border healthcare in practice.</w:t>
      </w:r>
    </w:p>
    <w:p>
      <w:pPr>
        <w:numPr>
          <w:ilvl w:val="0"/>
          <w:numId w:val="1"/>
        </w:numPr>
        <w:tabs>
          <w:tab w:val="left" w:pos="1134"/>
        </w:tabs>
        <w:jc w:val="both"/>
        <w:rPr>
          <w:rFonts w:ascii="Times New Roman" w:hAnsi="Times New Roman" w:cs="Times New Roman"/>
          <w:noProof/>
          <w:sz w:val="24"/>
          <w:szCs w:val="24"/>
        </w:rPr>
      </w:pPr>
      <w:hyperlink r:id="rId17" w:history="1">
        <w:r>
          <w:rPr>
            <w:rStyle w:val="Hyperlink"/>
            <w:rFonts w:ascii="Times New Roman" w:hAnsi="Times New Roman" w:cs="Times New Roman"/>
            <w:noProof/>
            <w:sz w:val="24"/>
            <w:szCs w:val="24"/>
          </w:rPr>
          <w:t>Impact of information on patients' choice within the context of the Directive 2011/24/EU</w:t>
        </w:r>
      </w:hyperlink>
    </w:p>
    <w:p>
      <w:pPr>
        <w:tabs>
          <w:tab w:val="left" w:pos="2016"/>
        </w:tabs>
        <w:jc w:val="both"/>
        <w:rPr>
          <w:rFonts w:ascii="Times New Roman" w:hAnsi="Times New Roman" w:cs="Times New Roman"/>
          <w:noProof/>
          <w:sz w:val="24"/>
          <w:szCs w:val="24"/>
        </w:rPr>
      </w:pPr>
      <w:r>
        <w:rPr>
          <w:rFonts w:ascii="Times New Roman" w:hAnsi="Times New Roman" w:cs="Times New Roman"/>
          <w:b/>
          <w:noProof/>
          <w:sz w:val="24"/>
          <w:szCs w:val="24"/>
        </w:rPr>
        <w:t>Objective:</w:t>
      </w:r>
      <w:r>
        <w:rPr>
          <w:rFonts w:ascii="Times New Roman" w:hAnsi="Times New Roman" w:cs="Times New Roman"/>
          <w:noProof/>
          <w:sz w:val="24"/>
          <w:szCs w:val="24"/>
        </w:rPr>
        <w:t xml:space="preserve"> To evaluate – using a behavioural approach – the impact of information provision on patients' choices to exercise their rights to be treated abroad.</w:t>
      </w:r>
    </w:p>
    <w:p>
      <w:pPr>
        <w:numPr>
          <w:ilvl w:val="0"/>
          <w:numId w:val="1"/>
        </w:numPr>
        <w:tabs>
          <w:tab w:val="left" w:pos="1134"/>
        </w:tabs>
        <w:jc w:val="both"/>
        <w:rPr>
          <w:rFonts w:ascii="Times New Roman" w:hAnsi="Times New Roman" w:cs="Times New Roman"/>
          <w:noProof/>
          <w:sz w:val="24"/>
          <w:szCs w:val="24"/>
        </w:rPr>
      </w:pPr>
      <w:hyperlink r:id="rId18" w:history="1">
        <w:r>
          <w:rPr>
            <w:rStyle w:val="Hyperlink"/>
            <w:rFonts w:ascii="Times New Roman" w:hAnsi="Times New Roman" w:cs="Times New Roman"/>
            <w:noProof/>
            <w:sz w:val="24"/>
            <w:szCs w:val="24"/>
          </w:rPr>
          <w:t>The Evaluative Study on the Cross-border Healthcare Directive</w:t>
        </w:r>
      </w:hyperlink>
    </w:p>
    <w:p>
      <w:pPr>
        <w:tabs>
          <w:tab w:val="left" w:pos="2016"/>
        </w:tabs>
        <w:jc w:val="both"/>
        <w:rPr>
          <w:rFonts w:ascii="Times New Roman" w:hAnsi="Times New Roman" w:cs="Times New Roman"/>
          <w:noProof/>
          <w:sz w:val="24"/>
          <w:szCs w:val="24"/>
        </w:rPr>
      </w:pPr>
      <w:r>
        <w:rPr>
          <w:rFonts w:ascii="Times New Roman" w:hAnsi="Times New Roman" w:cs="Times New Roman"/>
          <w:b/>
          <w:noProof/>
          <w:sz w:val="24"/>
          <w:szCs w:val="24"/>
        </w:rPr>
        <w:t>Objective:</w:t>
      </w:r>
      <w:r>
        <w:rPr>
          <w:rFonts w:ascii="Times New Roman" w:hAnsi="Times New Roman" w:cs="Times New Roman"/>
          <w:noProof/>
          <w:sz w:val="24"/>
          <w:szCs w:val="24"/>
        </w:rPr>
        <w:t xml:space="preserve"> To lay the groundwork for a research methodology for assessing information provision to patients.</w:t>
      </w:r>
    </w:p>
    <w:p>
      <w:pPr>
        <w:numPr>
          <w:ilvl w:val="0"/>
          <w:numId w:val="1"/>
        </w:numPr>
        <w:tabs>
          <w:tab w:val="left" w:pos="1134"/>
        </w:tabs>
        <w:jc w:val="both"/>
        <w:rPr>
          <w:rFonts w:ascii="Times New Roman" w:hAnsi="Times New Roman" w:cs="Times New Roman"/>
          <w:noProof/>
          <w:sz w:val="24"/>
          <w:szCs w:val="24"/>
        </w:rPr>
      </w:pPr>
      <w:hyperlink r:id="rId19" w:history="1">
        <w:r>
          <w:rPr>
            <w:rStyle w:val="Hyperlink"/>
            <w:rFonts w:ascii="Times New Roman" w:hAnsi="Times New Roman" w:cs="Times New Roman"/>
            <w:noProof/>
            <w:sz w:val="24"/>
            <w:szCs w:val="24"/>
          </w:rPr>
          <w:t>Literature-based approach to defining the concept of healthcare which requires "highly specialised and cost-intensive medical infrastructure or medical equipment"</w:t>
        </w:r>
      </w:hyperlink>
      <w:r>
        <w:rPr>
          <w:rFonts w:ascii="Times New Roman" w:hAnsi="Times New Roman" w:cs="Times New Roman"/>
          <w:noProof/>
          <w:sz w:val="24"/>
          <w:szCs w:val="24"/>
        </w:rPr>
        <w:t xml:space="preserve"> </w:t>
      </w:r>
    </w:p>
    <w:p>
      <w:pPr>
        <w:tabs>
          <w:tab w:val="left" w:pos="2016"/>
        </w:tabs>
        <w:jc w:val="both"/>
        <w:rPr>
          <w:rFonts w:ascii="Times New Roman" w:hAnsi="Times New Roman" w:cs="Times New Roman"/>
          <w:noProof/>
          <w:sz w:val="24"/>
          <w:szCs w:val="24"/>
        </w:rPr>
      </w:pPr>
      <w:r>
        <w:rPr>
          <w:rFonts w:ascii="Times New Roman" w:hAnsi="Times New Roman" w:cs="Times New Roman"/>
          <w:b/>
          <w:noProof/>
          <w:sz w:val="24"/>
          <w:szCs w:val="24"/>
        </w:rPr>
        <w:t>Objective:</w:t>
      </w:r>
      <w:r>
        <w:rPr>
          <w:rFonts w:ascii="Times New Roman" w:hAnsi="Times New Roman" w:cs="Times New Roman"/>
          <w:noProof/>
          <w:sz w:val="24"/>
          <w:szCs w:val="24"/>
        </w:rPr>
        <w:t xml:space="preserve"> To assess how the concept of healthcare requiring highly specialised and cost-intensive medical infrastructure or equipment can be defined.</w:t>
      </w:r>
    </w:p>
    <w:p>
      <w:pPr>
        <w:numPr>
          <w:ilvl w:val="0"/>
          <w:numId w:val="1"/>
        </w:numPr>
        <w:tabs>
          <w:tab w:val="left" w:pos="1134"/>
        </w:tabs>
        <w:jc w:val="both"/>
        <w:rPr>
          <w:rFonts w:ascii="Times New Roman" w:hAnsi="Times New Roman" w:cs="Times New Roman"/>
          <w:noProof/>
          <w:sz w:val="24"/>
          <w:szCs w:val="24"/>
        </w:rPr>
      </w:pPr>
      <w:hyperlink r:id="rId20" w:history="1">
        <w:r>
          <w:rPr>
            <w:rStyle w:val="Hyperlink"/>
            <w:rFonts w:ascii="Times New Roman" w:hAnsi="Times New Roman" w:cs="Times New Roman"/>
            <w:noProof/>
            <w:sz w:val="24"/>
            <w:szCs w:val="24"/>
          </w:rPr>
          <w:t>Study on better cross-border cooperation for high-cost capital investments in health</w:t>
        </w:r>
      </w:hyperlink>
    </w:p>
    <w:p>
      <w:pPr>
        <w:tabs>
          <w:tab w:val="left" w:pos="2016"/>
        </w:tabs>
        <w:jc w:val="both"/>
        <w:rPr>
          <w:rFonts w:ascii="Times New Roman" w:hAnsi="Times New Roman" w:cs="Times New Roman"/>
          <w:noProof/>
          <w:sz w:val="24"/>
          <w:szCs w:val="24"/>
        </w:rPr>
      </w:pPr>
      <w:r>
        <w:rPr>
          <w:rFonts w:ascii="Times New Roman" w:hAnsi="Times New Roman" w:cs="Times New Roman"/>
          <w:b/>
          <w:noProof/>
          <w:sz w:val="24"/>
          <w:szCs w:val="24"/>
        </w:rPr>
        <w:t>Objective:</w:t>
      </w:r>
      <w:r>
        <w:rPr>
          <w:rFonts w:ascii="Times New Roman" w:hAnsi="Times New Roman" w:cs="Times New Roman"/>
          <w:noProof/>
          <w:sz w:val="24"/>
          <w:szCs w:val="24"/>
        </w:rPr>
        <w:t xml:space="preserve"> To select candidate devices (cost-intensive and highly specialised medical equipment) where cross-border resource pooling may be recommendable in view of efficiency gains.</w:t>
      </w:r>
    </w:p>
    <w:p>
      <w:pPr>
        <w:numPr>
          <w:ilvl w:val="0"/>
          <w:numId w:val="1"/>
        </w:numPr>
        <w:tabs>
          <w:tab w:val="left" w:pos="1134"/>
        </w:tabs>
        <w:jc w:val="both"/>
        <w:rPr>
          <w:rFonts w:ascii="Times New Roman" w:hAnsi="Times New Roman" w:cs="Times New Roman"/>
          <w:noProof/>
          <w:sz w:val="24"/>
          <w:szCs w:val="24"/>
        </w:rPr>
      </w:pPr>
      <w:hyperlink r:id="rId21" w:history="1">
        <w:r>
          <w:rPr>
            <w:rStyle w:val="Hyperlink"/>
            <w:rFonts w:ascii="Times New Roman" w:hAnsi="Times New Roman" w:cs="Times New Roman"/>
            <w:noProof/>
            <w:sz w:val="24"/>
            <w:szCs w:val="24"/>
          </w:rPr>
          <w:t>Study on cross-border health services: potential obstacles for healthcare providers</w:t>
        </w:r>
      </w:hyperlink>
    </w:p>
    <w:p>
      <w:pPr>
        <w:tabs>
          <w:tab w:val="left" w:pos="2016"/>
        </w:tabs>
        <w:jc w:val="both"/>
        <w:rPr>
          <w:rFonts w:ascii="Times New Roman" w:hAnsi="Times New Roman" w:cs="Times New Roman"/>
          <w:noProof/>
          <w:sz w:val="24"/>
          <w:szCs w:val="24"/>
        </w:rPr>
      </w:pPr>
      <w:r>
        <w:rPr>
          <w:rFonts w:ascii="Times New Roman" w:hAnsi="Times New Roman" w:cs="Times New Roman"/>
          <w:b/>
          <w:noProof/>
          <w:sz w:val="24"/>
          <w:szCs w:val="24"/>
        </w:rPr>
        <w:t xml:space="preserve">Objective: </w:t>
      </w:r>
      <w:r>
        <w:rPr>
          <w:rFonts w:ascii="Times New Roman" w:hAnsi="Times New Roman" w:cs="Times New Roman"/>
          <w:noProof/>
          <w:sz w:val="24"/>
          <w:szCs w:val="24"/>
        </w:rPr>
        <w:t xml:space="preserve">To analyse the legal, administrative and other requirements by country which may constitute barriers to health providers wishing to offer their services in another Member State. </w:t>
      </w:r>
    </w:p>
    <w:p>
      <w:pPr>
        <w:numPr>
          <w:ilvl w:val="0"/>
          <w:numId w:val="1"/>
        </w:numPr>
        <w:tabs>
          <w:tab w:val="left" w:pos="1134"/>
        </w:tabs>
        <w:jc w:val="both"/>
        <w:rPr>
          <w:rFonts w:ascii="Times New Roman" w:hAnsi="Times New Roman" w:cs="Times New Roman"/>
          <w:noProof/>
          <w:sz w:val="24"/>
          <w:szCs w:val="24"/>
        </w:rPr>
      </w:pPr>
      <w:hyperlink r:id="rId22" w:history="1">
        <w:r>
          <w:rPr>
            <w:rStyle w:val="Hyperlink"/>
            <w:rFonts w:ascii="Times New Roman" w:hAnsi="Times New Roman" w:cs="Times New Roman"/>
            <w:noProof/>
            <w:sz w:val="24"/>
            <w:szCs w:val="24"/>
          </w:rPr>
          <w:t>Patients' Rights in the European Union – Mapping Exercise</w:t>
        </w:r>
      </w:hyperlink>
    </w:p>
    <w:p>
      <w:pPr>
        <w:tabs>
          <w:tab w:val="left" w:pos="2016"/>
        </w:tabs>
        <w:jc w:val="both"/>
        <w:rPr>
          <w:rFonts w:ascii="Times New Roman" w:hAnsi="Times New Roman" w:cs="Times New Roman"/>
          <w:noProof/>
          <w:sz w:val="24"/>
          <w:szCs w:val="24"/>
        </w:rPr>
      </w:pPr>
      <w:r>
        <w:rPr>
          <w:rFonts w:ascii="Times New Roman" w:hAnsi="Times New Roman" w:cs="Times New Roman"/>
          <w:b/>
          <w:noProof/>
          <w:sz w:val="24"/>
          <w:szCs w:val="24"/>
        </w:rPr>
        <w:t>Objective:</w:t>
      </w:r>
      <w:r>
        <w:rPr>
          <w:rFonts w:ascii="Times New Roman" w:hAnsi="Times New Roman" w:cs="Times New Roman"/>
          <w:noProof/>
          <w:sz w:val="24"/>
          <w:szCs w:val="24"/>
        </w:rPr>
        <w:t xml:space="preserve"> To provide a comparative overview of patients' rights currently in place in EU Member States, Norway and Iceland. </w:t>
      </w:r>
    </w:p>
    <w:p>
      <w:pPr>
        <w:numPr>
          <w:ilvl w:val="0"/>
          <w:numId w:val="1"/>
        </w:numPr>
        <w:tabs>
          <w:tab w:val="left" w:pos="1134"/>
        </w:tabs>
        <w:jc w:val="both"/>
        <w:rPr>
          <w:rFonts w:ascii="Times New Roman" w:hAnsi="Times New Roman" w:cs="Times New Roman"/>
          <w:noProof/>
          <w:sz w:val="24"/>
          <w:szCs w:val="24"/>
        </w:rPr>
      </w:pPr>
      <w:hyperlink r:id="rId23" w:history="1">
        <w:r>
          <w:rPr>
            <w:rStyle w:val="Hyperlink"/>
            <w:rFonts w:ascii="Times New Roman" w:hAnsi="Times New Roman" w:cs="Times New Roman"/>
            <w:noProof/>
            <w:sz w:val="24"/>
            <w:szCs w:val="24"/>
          </w:rPr>
          <w:t>Study on cross-border cooperation</w:t>
        </w:r>
      </w:hyperlink>
    </w:p>
    <w:p>
      <w:pPr>
        <w:tabs>
          <w:tab w:val="left" w:pos="2016"/>
        </w:tabs>
        <w:jc w:val="both"/>
        <w:rPr>
          <w:rFonts w:ascii="Times New Roman" w:hAnsi="Times New Roman" w:cs="Times New Roman"/>
          <w:noProof/>
          <w:sz w:val="24"/>
          <w:szCs w:val="24"/>
        </w:rPr>
      </w:pPr>
      <w:r>
        <w:rPr>
          <w:rFonts w:ascii="Times New Roman" w:hAnsi="Times New Roman" w:cs="Times New Roman"/>
          <w:b/>
          <w:noProof/>
          <w:sz w:val="24"/>
          <w:szCs w:val="24"/>
        </w:rPr>
        <w:t>Objective:</w:t>
      </w:r>
      <w:r>
        <w:rPr>
          <w:rFonts w:ascii="Times New Roman" w:hAnsi="Times New Roman" w:cs="Times New Roman"/>
          <w:noProof/>
          <w:sz w:val="24"/>
          <w:szCs w:val="24"/>
        </w:rPr>
        <w:t xml:space="preserve"> To map EU-funded projects in the period 2007-2017 in 28 EU Member States, EEA countries and Switzerland and to provide insight into potential future challenges and opportunities for cooperation in healthcare for the period up to 2030, as well as to present successful business cases for cross-border collaboration. </w:t>
      </w:r>
    </w:p>
    <w:p>
      <w:pPr>
        <w:numPr>
          <w:ilvl w:val="0"/>
          <w:numId w:val="1"/>
        </w:numPr>
        <w:tabs>
          <w:tab w:val="left" w:pos="1134"/>
        </w:tabs>
        <w:jc w:val="both"/>
        <w:rPr>
          <w:rFonts w:ascii="Times New Roman" w:hAnsi="Times New Roman" w:cs="Times New Roman"/>
          <w:noProof/>
          <w:sz w:val="24"/>
          <w:szCs w:val="24"/>
        </w:rPr>
      </w:pPr>
      <w:hyperlink r:id="rId24" w:history="1">
        <w:r>
          <w:rPr>
            <w:rStyle w:val="Hyperlink"/>
            <w:rFonts w:ascii="Times New Roman" w:hAnsi="Times New Roman" w:cs="Times New Roman"/>
            <w:noProof/>
            <w:sz w:val="24"/>
            <w:szCs w:val="24"/>
          </w:rPr>
          <w:t>Study on information provision to patients</w:t>
        </w:r>
      </w:hyperlink>
    </w:p>
    <w:p>
      <w:pPr>
        <w:tabs>
          <w:tab w:val="left" w:pos="2016"/>
        </w:tabs>
        <w:jc w:val="both"/>
        <w:rPr>
          <w:rFonts w:ascii="Times New Roman" w:hAnsi="Times New Roman" w:cs="Times New Roman"/>
          <w:noProof/>
          <w:sz w:val="24"/>
          <w:szCs w:val="24"/>
        </w:rPr>
      </w:pPr>
      <w:r>
        <w:rPr>
          <w:rFonts w:ascii="Times New Roman" w:hAnsi="Times New Roman" w:cs="Times New Roman"/>
          <w:b/>
          <w:noProof/>
          <w:sz w:val="24"/>
          <w:szCs w:val="24"/>
        </w:rPr>
        <w:t>Objective:</w:t>
      </w:r>
      <w:r>
        <w:rPr>
          <w:rFonts w:ascii="Times New Roman" w:hAnsi="Times New Roman" w:cs="Times New Roman"/>
          <w:noProof/>
          <w:sz w:val="24"/>
          <w:szCs w:val="24"/>
        </w:rPr>
        <w:t xml:space="preserve"> To train NCPs into good practices and structure their cooperation, drawing on a thorough assessment of the state of play of information provision.</w:t>
      </w:r>
    </w:p>
    <w:p>
      <w:pPr>
        <w:widowControl w:val="0"/>
        <w:autoSpaceDE w:val="0"/>
        <w:autoSpaceDN w:val="0"/>
        <w:spacing w:after="0"/>
        <w:jc w:val="both"/>
        <w:rPr>
          <w:rFonts w:ascii="Times New Roman" w:eastAsia="Times New Roman" w:hAnsi="Times New Roman" w:cs="Times New Roman"/>
          <w:b/>
          <w:bCs/>
          <w:noProof/>
          <w:sz w:val="24"/>
          <w:szCs w:val="24"/>
          <w:lang w:val="en-US"/>
        </w:rPr>
      </w:pPr>
      <w:r>
        <w:rPr>
          <w:rFonts w:ascii="Times New Roman" w:hAnsi="Times New Roman" w:cs="Times New Roman"/>
          <w:noProof/>
          <w:sz w:val="24"/>
          <w:szCs w:val="24"/>
        </w:rPr>
        <w:br w:type="page"/>
      </w:r>
      <w:r>
        <w:rPr>
          <w:rFonts w:ascii="Times New Roman" w:eastAsia="Times New Roman" w:hAnsi="Times New Roman" w:cs="Times New Roman"/>
          <w:b/>
          <w:bCs/>
          <w:noProof/>
          <w:sz w:val="24"/>
          <w:szCs w:val="24"/>
          <w:lang w:val="en-US"/>
        </w:rPr>
        <w:t>Annex B</w:t>
      </w:r>
    </w:p>
    <w:p>
      <w:pPr>
        <w:widowControl w:val="0"/>
        <w:autoSpaceDE w:val="0"/>
        <w:autoSpaceDN w:val="0"/>
        <w:spacing w:after="0"/>
        <w:jc w:val="both"/>
        <w:rPr>
          <w:rFonts w:ascii="Times New Roman" w:eastAsia="Times New Roman" w:hAnsi="Times New Roman" w:cs="Times New Roman"/>
          <w:b/>
          <w:bCs/>
          <w:noProof/>
          <w:color w:val="4F81BD"/>
          <w:sz w:val="24"/>
          <w:szCs w:val="24"/>
          <w:lang w:val="en-US"/>
        </w:rPr>
      </w:pPr>
      <w:r>
        <w:rPr>
          <w:rFonts w:ascii="Times New Roman" w:eastAsia="Times New Roman" w:hAnsi="Times New Roman" w:cs="Times New Roman"/>
          <w:b/>
          <w:bCs/>
          <w:noProof/>
          <w:color w:val="4F81BD"/>
          <w:sz w:val="24"/>
          <w:szCs w:val="24"/>
          <w:lang w:val="en-US"/>
        </w:rPr>
        <w:t>Flow Map 1: Patient Mobility with Prior Authorisation in Europe in 2015-2017</w:t>
      </w:r>
    </w:p>
    <w:p>
      <w:pPr>
        <w:widowControl w:val="0"/>
        <w:autoSpaceDE w:val="0"/>
        <w:autoSpaceDN w:val="0"/>
        <w:spacing w:after="0"/>
        <w:jc w:val="center"/>
        <w:rPr>
          <w:rFonts w:ascii="Times New Roman" w:eastAsia="Times New Roman" w:hAnsi="Times New Roman" w:cs="Times New Roman"/>
          <w:b/>
          <w:bCs/>
          <w:noProof/>
          <w:sz w:val="24"/>
          <w:szCs w:val="24"/>
          <w:lang w:val="en-US"/>
        </w:rPr>
      </w:pPr>
      <w:r>
        <w:rPr>
          <w:rFonts w:ascii="Times New Roman" w:eastAsia="Times New Roman" w:hAnsi="Times New Roman" w:cs="Times New Roman"/>
          <w:b/>
          <w:bCs/>
          <w:noProof/>
          <w:sz w:val="24"/>
          <w:szCs w:val="24"/>
          <w:lang w:val="en-US"/>
        </w:rPr>
        <w:t>Country of affiliation</w:t>
      </w:r>
      <w:r>
        <w:rPr>
          <w:rStyle w:val="FootnoteReference"/>
          <w:rFonts w:ascii="Times New Roman" w:eastAsia="Times New Roman" w:hAnsi="Times New Roman" w:cs="Times New Roman"/>
          <w:b/>
          <w:bCs/>
          <w:noProof/>
          <w:sz w:val="24"/>
          <w:szCs w:val="24"/>
          <w:lang w:val="en-US"/>
        </w:rPr>
        <w:footnoteReference w:id="1"/>
      </w:r>
      <w:r>
        <w:rPr>
          <w:rFonts w:ascii="Times New Roman" w:eastAsia="Times New Roman" w:hAnsi="Times New Roman" w:cs="Times New Roman"/>
          <w:b/>
          <w:bCs/>
          <w:noProof/>
          <w:sz w:val="24"/>
          <w:szCs w:val="24"/>
          <w:lang w:val="en-US"/>
        </w:rPr>
        <w:tab/>
      </w:r>
      <w:r>
        <w:rPr>
          <w:rFonts w:ascii="Times New Roman" w:eastAsia="Times New Roman" w:hAnsi="Times New Roman" w:cs="Times New Roman"/>
          <w:b/>
          <w:bCs/>
          <w:noProof/>
          <w:sz w:val="24"/>
          <w:szCs w:val="24"/>
          <w:lang w:val="en-US"/>
        </w:rPr>
        <w:tab/>
      </w:r>
      <w:r>
        <w:rPr>
          <w:rFonts w:ascii="Times New Roman" w:eastAsia="Times New Roman" w:hAnsi="Times New Roman" w:cs="Times New Roman"/>
          <w:b/>
          <w:bCs/>
          <w:noProof/>
          <w:sz w:val="24"/>
          <w:szCs w:val="24"/>
          <w:lang w:val="en-US"/>
        </w:rPr>
        <w:tab/>
      </w:r>
      <w:r>
        <w:rPr>
          <w:rFonts w:ascii="Times New Roman" w:eastAsia="Times New Roman" w:hAnsi="Times New Roman" w:cs="Times New Roman"/>
          <w:b/>
          <w:bCs/>
          <w:noProof/>
          <w:sz w:val="24"/>
          <w:szCs w:val="24"/>
          <w:lang w:val="en-US"/>
        </w:rPr>
        <w:tab/>
      </w:r>
      <w:r>
        <w:rPr>
          <w:rFonts w:ascii="Times New Roman" w:eastAsia="Times New Roman" w:hAnsi="Times New Roman" w:cs="Times New Roman"/>
          <w:b/>
          <w:bCs/>
          <w:noProof/>
          <w:sz w:val="24"/>
          <w:szCs w:val="24"/>
          <w:lang w:val="en-US"/>
        </w:rPr>
        <w:tab/>
      </w:r>
      <w:r>
        <w:rPr>
          <w:rFonts w:ascii="Times New Roman" w:eastAsia="Times New Roman" w:hAnsi="Times New Roman" w:cs="Times New Roman"/>
          <w:b/>
          <w:bCs/>
          <w:noProof/>
          <w:sz w:val="24"/>
          <w:szCs w:val="24"/>
          <w:lang w:val="en-US"/>
        </w:rPr>
        <w:tab/>
      </w:r>
      <w:r>
        <w:rPr>
          <w:rFonts w:ascii="Times New Roman" w:eastAsia="Times New Roman" w:hAnsi="Times New Roman" w:cs="Times New Roman"/>
          <w:b/>
          <w:bCs/>
          <w:noProof/>
          <w:sz w:val="24"/>
          <w:szCs w:val="24"/>
          <w:lang w:val="en-US"/>
        </w:rPr>
        <w:tab/>
        <w:t>Country of treatment</w:t>
      </w:r>
      <w:r>
        <w:rPr>
          <w:rStyle w:val="FootnoteReference"/>
          <w:rFonts w:ascii="Times New Roman" w:eastAsia="Times New Roman" w:hAnsi="Times New Roman" w:cs="Times New Roman"/>
          <w:b/>
          <w:bCs/>
          <w:noProof/>
          <w:sz w:val="24"/>
          <w:szCs w:val="24"/>
          <w:lang w:val="en-US"/>
        </w:rPr>
        <w:footnoteReference w:id="2"/>
      </w:r>
    </w:p>
    <w:p>
      <w:pP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972175" cy="7361895"/>
            <wp:effectExtent l="0" t="0" r="0" b="0"/>
            <wp:docPr id="2" name="Picture 2" descr="2015-2017_withPA_1024_transposition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2017_withPA_1024_transpositions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5247" cy="7365682"/>
                    </a:xfrm>
                    <a:prstGeom prst="rect">
                      <a:avLst/>
                    </a:prstGeom>
                    <a:noFill/>
                    <a:ln>
                      <a:noFill/>
                    </a:ln>
                  </pic:spPr>
                </pic:pic>
              </a:graphicData>
            </a:graphic>
          </wp:inline>
        </w:drawing>
      </w:r>
    </w:p>
    <w:p>
      <w:pPr>
        <w:pageBreakBefore/>
        <w:widowControl w:val="0"/>
        <w:autoSpaceDE w:val="0"/>
        <w:autoSpaceDN w:val="0"/>
        <w:spacing w:after="0"/>
        <w:jc w:val="both"/>
        <w:rPr>
          <w:rFonts w:ascii="Times New Roman" w:eastAsia="Times New Roman" w:hAnsi="Times New Roman" w:cs="Times New Roman"/>
          <w:b/>
          <w:bCs/>
          <w:noProof/>
          <w:color w:val="4F81BD"/>
          <w:sz w:val="24"/>
          <w:szCs w:val="24"/>
          <w:lang w:val="en-US"/>
        </w:rPr>
      </w:pPr>
      <w:r>
        <w:rPr>
          <w:rFonts w:ascii="Times New Roman" w:eastAsia="Times New Roman" w:hAnsi="Times New Roman" w:cs="Times New Roman"/>
          <w:b/>
          <w:bCs/>
          <w:noProof/>
          <w:color w:val="4F81BD"/>
          <w:sz w:val="24"/>
          <w:szCs w:val="24"/>
          <w:lang w:val="en-US"/>
        </w:rPr>
        <w:t>Flow Map 2: Patient Mobility Not Requiring Prior Authorisation in Europe in 2015-2017</w:t>
      </w:r>
    </w:p>
    <w:p>
      <w:pPr>
        <w:rPr>
          <w:rFonts w:ascii="Times New Roman" w:hAnsi="Times New Roman" w:cs="Times New Roman"/>
          <w:noProof/>
          <w:sz w:val="24"/>
          <w:szCs w:val="24"/>
          <w:lang w:val="en-US"/>
        </w:rPr>
      </w:pPr>
      <w:r>
        <w:rPr>
          <w:rFonts w:ascii="Times New Roman" w:hAnsi="Times New Roman" w:cs="Times New Roman"/>
          <w:b/>
          <w:noProof/>
          <w:sz w:val="24"/>
          <w:szCs w:val="24"/>
          <w:lang w:val="en-US"/>
        </w:rPr>
        <w:t>Country of affiliation</w:t>
      </w:r>
      <w:r>
        <w:rPr>
          <w:rStyle w:val="FootnoteReference"/>
          <w:rFonts w:ascii="Times New Roman" w:hAnsi="Times New Roman" w:cs="Times New Roman"/>
          <w:noProof/>
          <w:sz w:val="24"/>
          <w:szCs w:val="24"/>
          <w:lang w:val="en-US"/>
        </w:rPr>
        <w:footnoteReference w:id="3"/>
      </w:r>
      <w:r>
        <w:rPr>
          <w:rFonts w:ascii="Times New Roman" w:hAnsi="Times New Roman" w:cs="Times New Roman"/>
          <w:noProof/>
          <w:sz w:val="24"/>
          <w:szCs w:val="24"/>
          <w:lang w:val="en-US"/>
        </w:rPr>
        <w:tab/>
      </w:r>
      <w:r>
        <w:rPr>
          <w:rFonts w:ascii="Times New Roman" w:hAnsi="Times New Roman" w:cs="Times New Roman"/>
          <w:noProof/>
          <w:sz w:val="24"/>
          <w:szCs w:val="24"/>
          <w:lang w:val="en-US"/>
        </w:rPr>
        <w:tab/>
      </w:r>
      <w:r>
        <w:rPr>
          <w:rFonts w:ascii="Times New Roman" w:hAnsi="Times New Roman" w:cs="Times New Roman"/>
          <w:noProof/>
          <w:sz w:val="24"/>
          <w:szCs w:val="24"/>
          <w:lang w:val="en-US"/>
        </w:rPr>
        <w:tab/>
      </w:r>
      <w:r>
        <w:rPr>
          <w:rFonts w:ascii="Times New Roman" w:hAnsi="Times New Roman" w:cs="Times New Roman"/>
          <w:noProof/>
          <w:sz w:val="24"/>
          <w:szCs w:val="24"/>
          <w:lang w:val="en-US"/>
        </w:rPr>
        <w:tab/>
      </w:r>
      <w:r>
        <w:rPr>
          <w:rFonts w:ascii="Times New Roman" w:hAnsi="Times New Roman" w:cs="Times New Roman"/>
          <w:noProof/>
          <w:sz w:val="24"/>
          <w:szCs w:val="24"/>
          <w:lang w:val="en-US"/>
        </w:rPr>
        <w:tab/>
      </w:r>
      <w:r>
        <w:rPr>
          <w:rFonts w:ascii="Times New Roman" w:hAnsi="Times New Roman" w:cs="Times New Roman"/>
          <w:noProof/>
          <w:sz w:val="24"/>
          <w:szCs w:val="24"/>
          <w:lang w:val="en-US"/>
        </w:rPr>
        <w:tab/>
        <w:t xml:space="preserve">      </w:t>
      </w:r>
      <w:r>
        <w:rPr>
          <w:rFonts w:ascii="Times New Roman" w:hAnsi="Times New Roman" w:cs="Times New Roman"/>
          <w:b/>
          <w:noProof/>
          <w:sz w:val="24"/>
          <w:szCs w:val="24"/>
          <w:lang w:val="en-US"/>
        </w:rPr>
        <w:t>Country of treatment</w:t>
      </w:r>
      <w:r>
        <w:rPr>
          <w:rStyle w:val="FootnoteReference"/>
          <w:rFonts w:ascii="Times New Roman" w:hAnsi="Times New Roman" w:cs="Times New Roman"/>
          <w:noProof/>
          <w:sz w:val="24"/>
          <w:szCs w:val="24"/>
          <w:lang w:val="en-US"/>
        </w:rPr>
        <w:footnoteReference w:id="4"/>
      </w:r>
    </w:p>
    <w:p>
      <w:pPr>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extent cx="5759450" cy="7089775"/>
            <wp:effectExtent l="0" t="0" r="0" b="0"/>
            <wp:docPr id="1" name="Picture 1" descr="C:\Users\lengybs\AppData\Local\Microsoft\Windows\INetCache\Content.Outlook\VF4RAHE5\2015-2017_noPA_1024_transpositions (3)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gybs\AppData\Local\Microsoft\Windows\INetCache\Content.Outlook\VF4RAHE5\2015-2017_noPA_1024_transpositions (3) (00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7089775"/>
                    </a:xfrm>
                    <a:prstGeom prst="rect">
                      <a:avLst/>
                    </a:prstGeom>
                    <a:noFill/>
                    <a:ln>
                      <a:noFill/>
                    </a:ln>
                  </pic:spPr>
                </pic:pic>
              </a:graphicData>
            </a:graphic>
          </wp:inline>
        </w:drawing>
      </w:r>
    </w:p>
    <w:p>
      <w:pPr>
        <w:rPr>
          <w:noProof/>
        </w:rPr>
      </w:pPr>
    </w:p>
    <w:sectPr>
      <w:headerReference w:type="even" r:id="rId27"/>
      <w:headerReference w:type="default" r:id="rId28"/>
      <w:footerReference w:type="even" r:id="rId29"/>
      <w:footerReference w:type="default" r:id="rId30"/>
      <w:headerReference w:type="first" r:id="rId31"/>
      <w:footerReference w:type="first" r:id="rId32"/>
      <w:pgSz w:w="11906" w:h="16838"/>
      <w:pgMar w:top="1135" w:right="1417" w:bottom="1417" w:left="993" w:header="708" w:footer="70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4</w:t>
    </w:r>
    <w:r>
      <w:rPr>
        <w:rFonts w:ascii="Times New Roman" w:hAnsi="Times New Roman"/>
        <w:noProof/>
      </w:rPr>
      <w:fldChar w:fldCharType="end"/>
    </w:r>
  </w:p>
  <w:p>
    <w:pPr>
      <w:pStyle w:val="Footer"/>
      <w:rPr>
        <w:rFonts w:ascii="Times New Roman" w:hAnsi="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1</w:t>
    </w:r>
    <w:r>
      <w:rPr>
        <w:rFonts w:ascii="Times New Roman" w:hAnsi="Times New Roman"/>
        <w:noProof/>
      </w:rPr>
      <w:fldChar w:fldCharType="end"/>
    </w:r>
  </w:p>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t xml:space="preserve"> Order from top to bottom: France, Ireland, Luxembourg, Slovakia, UK, Italy, Belgium, Denmark, Spain, Cyprus, Greece, Bulgaria, Iceland, Slovenia, Croatia, Malta, Romania, Austria, Poland, Portugal</w:t>
      </w:r>
    </w:p>
  </w:footnote>
  <w:footnote w:id="2">
    <w:p>
      <w:pPr>
        <w:pStyle w:val="FootnoteText"/>
      </w:pPr>
      <w:r>
        <w:rPr>
          <w:rStyle w:val="FootnoteReference"/>
        </w:rPr>
        <w:footnoteRef/>
      </w:r>
      <w:r>
        <w:t xml:space="preserve"> Order from top to bottom: Germany, Spain, Czech Republic, UK, Belgium, Ireland, Luxembourg, Poland, France, Austria, Portugal, Lithuania, Italy, Greece, Cyprus, Netherlands, Hungary, Latvia, Romania, Slovenia, Slovakia, Croatia, Finland, Sweden, Denmark, Bulgaria, Estonia, Iceland, Malta, Norway</w:t>
      </w:r>
    </w:p>
  </w:footnote>
  <w:footnote w:id="3">
    <w:p>
      <w:pPr>
        <w:pStyle w:val="FootnoteText"/>
      </w:pPr>
      <w:r>
        <w:rPr>
          <w:rStyle w:val="FootnoteReference"/>
        </w:rPr>
        <w:footnoteRef/>
      </w:r>
      <w:r>
        <w:t xml:space="preserve"> Order from top to bottom: France, Denmark, Poland, Norway, Finland, Slovakia, Sweden, Belgium, Slovenia, UK, Ireland, Czech Republic, Romania, Croatia, Italy, Estonia, Lithuania, Greece, Iceland, Latvia, Spain, Austria, Bulgaria, Malta, Portugal</w:t>
      </w:r>
    </w:p>
  </w:footnote>
  <w:footnote w:id="4">
    <w:p>
      <w:pPr>
        <w:pStyle w:val="FootnoteText"/>
      </w:pPr>
      <w:r>
        <w:rPr>
          <w:rStyle w:val="FootnoteReference"/>
        </w:rPr>
        <w:footnoteRef/>
      </w:r>
      <w:r>
        <w:t xml:space="preserve"> Order from top to bottom: Spain, Portugal, Belgium, Germany, Czech Republic, Luxembourg, Italy, Poland, Estonia, Sweden, Greece, Hungary, Austria, Netherlands, UK, Croatia, France, Romania, Bulgaria, Finland, Denmark, Lithuania, Ireland, Cyprus, Malta, Norway, Slovenia, Latvia, Slovakia, Iceland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AD3FB4"/>
    <w:multiLevelType w:val="hybridMultilevel"/>
    <w:tmpl w:val="4ECA2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to the "/>
    <w:docVar w:name="LW_ANNEX_NBR_FIRST" w:val="1"/>
    <w:docVar w:name="LW_ANNEX_NBR_LAST" w:val="1"/>
    <w:docVar w:name="LW_ANNEX_UNIQUE" w:val="1"/>
    <w:docVar w:name="LW_CORRIGENDUM" w:val="&lt;UNUSED&gt;"/>
    <w:docVar w:name="LW_COVERPAGE_EXISTS" w:val="True"/>
    <w:docVar w:name="LW_COVERPAGE_GUID" w:val="7E0AED79-8D33-47E3-9D6C-04677329366B"/>
    <w:docVar w:name="LW_COVERPAGE_TYPE" w:val="1"/>
    <w:docVar w:name="LW_CROSSREFERENCE" w:val="&lt;UNUSED&gt;"/>
    <w:docVar w:name="LW_DocType" w:val="NORMAL"/>
    <w:docVar w:name="LW_EMISSION" w:val="21.9.2018"/>
    <w:docVar w:name="LW_EMISSION_ISODATE" w:val="2018-09-21"/>
    <w:docVar w:name="LW_EMISSION_LOCATION" w:val="BRX"/>
    <w:docVar w:name="LW_EMISSION_PREFIX" w:val="Brussels, "/>
    <w:docVar w:name="LW_EMISSION_SUFFIX" w:val="&lt;EMPTY&gt;"/>
    <w:docVar w:name="LW_ID_DOCTYPE_NONLW" w:val="CP-039"/>
    <w:docVar w:name="LW_LANGUE" w:val="EN"/>
    <w:docVar w:name="LW_LEVEL_OF_SENSITIVITY" w:val="Standard treatment"/>
    <w:docVar w:name="LW_NOM.INST" w:val="EUROPEAN COMMISSION"/>
    <w:docVar w:name="LW_NOM.INST_JOINTDOC" w:val="&lt;EMPTY&gt;"/>
    <w:docVar w:name="LW_OBJETACTEPRINCIPAL.CP" w:val="on the Operation of Directive 2011/24/EU on the Application of Patients' Rights in Cross-border Healthcare"/>
    <w:docVar w:name="LW_PART_NBR" w:val="1"/>
    <w:docVar w:name="LW_PART_NBR_TOTAL" w:val="1"/>
    <w:docVar w:name="LW_REF.INST.NEW" w:val="COM"/>
    <w:docVar w:name="LW_REF.INST.NEW_ADOPTED" w:val="final"/>
    <w:docVar w:name="LW_REF.INST.NEW_TEXT" w:val="(2018) 65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YPE.DOC.CP" w:val="ANNEX_x000b_"/>
    <w:docVar w:name="LW_TYPEACTEPRINCIPAL.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Hyperlink">
    <w:name w:val="Hyperlink"/>
    <w:uiPriority w:val="99"/>
    <w:rPr>
      <w:color w:val="0000FF"/>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Hyperlink">
    <w:name w:val="Hyperlink"/>
    <w:uiPriority w:val="99"/>
    <w:rPr>
      <w:color w:val="0000FF"/>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ec.europa.eu/health/sites/health/files/cross_border_care/docs/2015_evaluative_study_frep_en.pdf"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ec.europa.eu/health/sites/health/files/cross_border_care/docs/potentialobstacles_cbhcprovision_frep_en.pdf"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ec.europa.eu/health/sites/health/files/cross_border_care/docs/cbhc_information_patientschoice_en.pdf" TargetMode="External"/><Relationship Id="rId25" Type="http://schemas.openxmlformats.org/officeDocument/2006/relationships/image" Target="media/image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c.europa.eu/health/sites/health/files/cross_border_care/docs/pwc_national_contact_points_website_en.pdf" TargetMode="External"/><Relationship Id="rId20" Type="http://schemas.openxmlformats.org/officeDocument/2006/relationships/hyperlink" Target="https://ec.europa.eu/health/sites/health/files/cross_border_care/docs/hci_frep_en.pdf"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ec.europa.eu/health/cross_border_care/key_documents_en" TargetMode="External"/><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ec.europa.eu/health/sites/health/files/cross_border_care/docs/2018_crossbordercooperation_frep_en.pdf" TargetMode="External"/><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s://ec.europa.eu/health/sites/health/files/cross_border_care/docs/ecorys_frep_en.pdf" TargetMode="External"/><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yperlink" Target="https://ec.europa.eu/health/sites/health/files/cross_border_care/docs/2018_mapping_patientsrights_frep_en.pdf" TargetMode="External"/><Relationship Id="rId27" Type="http://schemas.openxmlformats.org/officeDocument/2006/relationships/header" Target="header4.xm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C8A29-EA90-4B23-8F85-CF2104DB9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517</Words>
  <Characters>3171</Characters>
  <Application>Microsoft Office Word</Application>
  <DocSecurity>0</DocSecurity>
  <Lines>58</Lines>
  <Paragraphs>39</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JAMRICHOVA Martina (SANTE)</dc:creator>
  <cp:lastModifiedBy>DIGIT/A3</cp:lastModifiedBy>
  <cp:revision>7</cp:revision>
  <dcterms:created xsi:type="dcterms:W3CDTF">2018-09-12T10:46:00Z</dcterms:created>
  <dcterms:modified xsi:type="dcterms:W3CDTF">2018-09-17T07:42:00Z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1</vt:lpwstr>
  </property>
  <property fmtid="{D5CDD505-2E9C-101B-9397-08002B2CF9AE}" pid="5" name="Unique annex">
    <vt:lpwstr>1</vt:lpwstr>
  </property>
  <property fmtid="{D5CDD505-2E9C-101B-9397-08002B2CF9AE}" pid="6" name="Part">
    <vt:lpwstr>1</vt:lpwstr>
  </property>
  <property fmtid="{D5CDD505-2E9C-101B-9397-08002B2CF9AE}" pid="7" name="Total parts">
    <vt:lpwstr>1</vt:lpwstr>
  </property>
  <property fmtid="{D5CDD505-2E9C-101B-9397-08002B2CF9AE}" pid="8" name="DocStatus">
    <vt:lpwstr>Green</vt:lpwstr>
  </property>
  <property fmtid="{D5CDD505-2E9C-101B-9397-08002B2CF9AE}" pid="9" name="Last edited using">
    <vt:lpwstr>LW 6.0.1, Build 20180503</vt:lpwstr>
  </property>
  <property fmtid="{D5CDD505-2E9C-101B-9397-08002B2CF9AE}" pid="10" name="Created using">
    <vt:lpwstr>LW 6.0.1, Build 20180503</vt:lpwstr>
  </property>
</Properties>
</file>