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C327C9F9-6F08-4EB3-823D-3FD655F54774" style="width:450.7pt;height:378.7pt">
            <v:imagedata r:id="rId9" o:title=""/>
          </v:shape>
        </w:pict>
      </w:r>
    </w:p>
    <w:bookmarkEnd w:id="0"/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bookmarkEnd w:id="1"/>
      <w:r>
        <w:rPr>
          <w:rFonts w:ascii="Times New Roman" w:hAnsi="Times New Roman"/>
          <w:b/>
          <w:noProof/>
          <w:sz w:val="24"/>
        </w:rPr>
        <w:lastRenderedPageBreak/>
        <w:t>Приложение А — Списък с технически проучвания в подкрепа на доброто изпълнение</w:t>
      </w:r>
    </w:p>
    <w:p>
      <w:pPr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16">
        <w:r>
          <w:rPr>
            <w:rStyle w:val="Hyperlink"/>
            <w:rFonts w:ascii="Times New Roman" w:hAnsi="Times New Roman"/>
            <w:noProof/>
            <w:sz w:val="24"/>
          </w:rPr>
          <w:t xml:space="preserve">Базиран на най-добрите практики подход към уебсайтовете на националните точки за контакт: проучване за осъществимост </w:t>
        </w:r>
      </w:hyperlink>
    </w:p>
    <w:p>
      <w:pPr>
        <w:tabs>
          <w:tab w:val="left" w:pos="2016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Цел:</w:t>
      </w:r>
      <w:r>
        <w:rPr>
          <w:rFonts w:ascii="Times New Roman" w:hAnsi="Times New Roman"/>
          <w:noProof/>
          <w:sz w:val="24"/>
        </w:rPr>
        <w:t xml:space="preserve"> Изготвяне на препоръки каква информация следва да бъде предоставяна от НТК, за да могат пациентите на практика да упражняват своите права на трансгранично здравно обслужване.</w:t>
      </w:r>
    </w:p>
    <w:p>
      <w:pPr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17">
        <w:r>
          <w:rPr>
            <w:rStyle w:val="Hyperlink"/>
            <w:rFonts w:ascii="Times New Roman" w:hAnsi="Times New Roman"/>
            <w:noProof/>
            <w:sz w:val="24"/>
          </w:rPr>
          <w:t>Въздействие на информацията върху избора на пациентите в контекста на Директива 2011/24/ЕС</w:t>
        </w:r>
      </w:hyperlink>
    </w:p>
    <w:p>
      <w:pPr>
        <w:tabs>
          <w:tab w:val="left" w:pos="2016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Цел:</w:t>
      </w:r>
      <w:r>
        <w:rPr>
          <w:rFonts w:ascii="Times New Roman" w:hAnsi="Times New Roman"/>
          <w:noProof/>
          <w:sz w:val="24"/>
        </w:rPr>
        <w:t xml:space="preserve"> Да се извърши оценка — чрез използване на поведенческия подход — на въздействието, което оказва предоставянето на информация върху изборите на пациентите по отношение на упражняването на правата им да бъдат лекувани в чужбина.</w:t>
      </w:r>
    </w:p>
    <w:p>
      <w:pPr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18">
        <w:r>
          <w:rPr>
            <w:rStyle w:val="Hyperlink"/>
            <w:rFonts w:ascii="Times New Roman" w:hAnsi="Times New Roman"/>
            <w:noProof/>
            <w:sz w:val="24"/>
          </w:rPr>
          <w:t>Проучване за оценка относно директивата за трансгранично здравно обслужване</w:t>
        </w:r>
      </w:hyperlink>
    </w:p>
    <w:p>
      <w:pPr>
        <w:tabs>
          <w:tab w:val="left" w:pos="2016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Цел:</w:t>
      </w:r>
      <w:r>
        <w:rPr>
          <w:rFonts w:ascii="Times New Roman" w:hAnsi="Times New Roman"/>
          <w:noProof/>
          <w:sz w:val="24"/>
        </w:rPr>
        <w:t xml:space="preserve"> Полагане на основата за методология за изследване по отношение на оценяването на предоставянето на информация на пациентите.</w:t>
      </w:r>
    </w:p>
    <w:p>
      <w:pPr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19">
        <w:r>
          <w:rPr>
            <w:rStyle w:val="Hyperlink"/>
            <w:rFonts w:ascii="Times New Roman" w:hAnsi="Times New Roman"/>
            <w:noProof/>
            <w:sz w:val="24"/>
          </w:rPr>
          <w:t xml:space="preserve">Базиран на библиография подход при определянето на концепция за здравно обслужване, за което се изискват  „високоспециализирана и свързана със значителни разходи медицинска инфраструктура или медицинско оборудване“ </w:t>
        </w:r>
      </w:hyperlink>
      <w:r>
        <w:rPr>
          <w:rFonts w:ascii="Times New Roman" w:hAnsi="Times New Roman"/>
          <w:noProof/>
          <w:sz w:val="24"/>
        </w:rPr>
        <w:t xml:space="preserve"> </w:t>
      </w:r>
    </w:p>
    <w:p>
      <w:pPr>
        <w:tabs>
          <w:tab w:val="left" w:pos="2016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Цел:</w:t>
      </w:r>
      <w:r>
        <w:rPr>
          <w:rFonts w:ascii="Times New Roman" w:hAnsi="Times New Roman"/>
          <w:noProof/>
          <w:sz w:val="24"/>
        </w:rPr>
        <w:t xml:space="preserve"> Да се направи оценка на това как може да бъде дефинирана концепцията за здравно обслужване, за което се изискват  високоспециализирана и свързана със значителни разходи медицинска инфраструктура или медицинско оборудване.</w:t>
      </w:r>
    </w:p>
    <w:p>
      <w:pPr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20">
        <w:r>
          <w:rPr>
            <w:rStyle w:val="Hyperlink"/>
            <w:rFonts w:ascii="Times New Roman" w:hAnsi="Times New Roman"/>
            <w:noProof/>
            <w:sz w:val="24"/>
          </w:rPr>
          <w:t>Проучване относно по-добро трансгранично сътрудничество с цел скъпоструващи капиталови инвестиции в здравеопазването</w:t>
        </w:r>
      </w:hyperlink>
    </w:p>
    <w:p>
      <w:pPr>
        <w:tabs>
          <w:tab w:val="left" w:pos="2016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Цел:</w:t>
      </w:r>
      <w:r>
        <w:rPr>
          <w:rFonts w:ascii="Times New Roman" w:hAnsi="Times New Roman"/>
          <w:noProof/>
          <w:sz w:val="24"/>
        </w:rPr>
        <w:t xml:space="preserve"> Да бъдат избрани изделия кандидати (свързано със значителни разходи и високоспециализирано медицинско оборудване), за които трансграничното обединяване на ресурсите може да бъде препоръчително по отношение на повишаването на ефективността.  </w:t>
      </w:r>
    </w:p>
    <w:p>
      <w:pPr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21">
        <w:r>
          <w:rPr>
            <w:rStyle w:val="Hyperlink"/>
            <w:rFonts w:ascii="Times New Roman" w:hAnsi="Times New Roman"/>
            <w:noProof/>
            <w:sz w:val="24"/>
          </w:rPr>
          <w:t>Проучване относно трансграничните здравни услуги: потенциални пречки пред доставчиците на здравно обслужване</w:t>
        </w:r>
      </w:hyperlink>
    </w:p>
    <w:p>
      <w:pPr>
        <w:tabs>
          <w:tab w:val="left" w:pos="2016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 xml:space="preserve">Цел: </w:t>
      </w:r>
      <w:r>
        <w:rPr>
          <w:rFonts w:ascii="Times New Roman" w:hAnsi="Times New Roman"/>
          <w:noProof/>
          <w:sz w:val="24"/>
        </w:rPr>
        <w:t xml:space="preserve">Да бъдат анализирани по държави правните, административните и другите изисквания , които биха могли да представляват бариера пред доставчиците на здравно обслужване, които желаят да предложат своите услуги в друга държава членка. </w:t>
      </w:r>
    </w:p>
    <w:p>
      <w:pPr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22">
        <w:r>
          <w:rPr>
            <w:rStyle w:val="Hyperlink"/>
            <w:rFonts w:ascii="Times New Roman" w:hAnsi="Times New Roman"/>
            <w:noProof/>
            <w:sz w:val="24"/>
          </w:rPr>
          <w:t>Права на пациентите в Европейския съюз – задача за картографиране</w:t>
        </w:r>
      </w:hyperlink>
    </w:p>
    <w:p>
      <w:pPr>
        <w:tabs>
          <w:tab w:val="left" w:pos="2016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Цел:</w:t>
      </w:r>
      <w:r>
        <w:rPr>
          <w:rFonts w:ascii="Times New Roman" w:hAnsi="Times New Roman"/>
          <w:noProof/>
          <w:sz w:val="24"/>
        </w:rPr>
        <w:t xml:space="preserve"> Да бъде представен сравнителен преглед на правата на пациентите, които понастоящем са в сила в държавите — членки на ЕС, Норвегия и Исландия. </w:t>
      </w:r>
    </w:p>
    <w:p>
      <w:pPr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23">
        <w:r>
          <w:rPr>
            <w:rStyle w:val="Hyperlink"/>
            <w:rFonts w:ascii="Times New Roman" w:hAnsi="Times New Roman"/>
            <w:noProof/>
            <w:sz w:val="24"/>
          </w:rPr>
          <w:t>Проучване относно трансграничното сътрудничество</w:t>
        </w:r>
      </w:hyperlink>
    </w:p>
    <w:p>
      <w:pPr>
        <w:tabs>
          <w:tab w:val="left" w:pos="2016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Цел:</w:t>
      </w:r>
      <w:r>
        <w:rPr>
          <w:rFonts w:ascii="Times New Roman" w:hAnsi="Times New Roman"/>
          <w:noProof/>
          <w:sz w:val="24"/>
        </w:rPr>
        <w:t xml:space="preserve"> Да бъдат картографирани финансираните от ЕС проекти в периода от 2007 г. до 2017 г. в 28 държави — членки на ЕС, държавите от ЕИП и Швейцария, и да се даде представа относно потенциалните бъдещи предизвикателства и възможности за сътрудничество в областта на здравното обслужване в периода до 2030 г., както и да се представят успешни стопански проекти за трансгранично сътрудничество.  </w:t>
      </w:r>
    </w:p>
    <w:p>
      <w:pPr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24">
        <w:r>
          <w:rPr>
            <w:rStyle w:val="Hyperlink"/>
            <w:rFonts w:ascii="Times New Roman" w:hAnsi="Times New Roman"/>
            <w:noProof/>
            <w:sz w:val="24"/>
          </w:rPr>
          <w:t>Проучване относно предоставянето на информация на пациентите</w:t>
        </w:r>
      </w:hyperlink>
    </w:p>
    <w:p>
      <w:pPr>
        <w:tabs>
          <w:tab w:val="left" w:pos="2016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Цел:</w:t>
      </w:r>
      <w:r>
        <w:rPr>
          <w:rFonts w:ascii="Times New Roman" w:hAnsi="Times New Roman"/>
          <w:noProof/>
          <w:sz w:val="24"/>
        </w:rPr>
        <w:t xml:space="preserve"> Да бъдат обучени НТК по отношение на добрите практики и да бъде структурирано тяхното сътрудничество, като се извърши цялостна оценка на актуалното състояние на предоставянето на информация. </w:t>
      </w:r>
    </w:p>
    <w:p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br w:type="page"/>
      </w:r>
      <w:r>
        <w:rPr>
          <w:rFonts w:ascii="Times New Roman" w:hAnsi="Times New Roman"/>
          <w:b/>
          <w:noProof/>
          <w:sz w:val="24"/>
        </w:rPr>
        <w:lastRenderedPageBreak/>
        <w:t>Приложение Б</w:t>
      </w:r>
    </w:p>
    <w:p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bCs/>
          <w:noProof/>
          <w:color w:val="4F81BD"/>
          <w:sz w:val="24"/>
          <w:szCs w:val="24"/>
        </w:rPr>
      </w:pPr>
      <w:r>
        <w:rPr>
          <w:rFonts w:ascii="Times New Roman" w:hAnsi="Times New Roman"/>
          <w:b/>
          <w:noProof/>
          <w:color w:val="4F81BD"/>
          <w:sz w:val="24"/>
        </w:rPr>
        <w:t>Карта на потоците 1: Мобилност на пациентите с предварително разрешение в Европа през 2015-2017 г.</w:t>
      </w:r>
    </w:p>
    <w:p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Държава членка по осигуряване</w:t>
      </w:r>
      <w:r>
        <w:rPr>
          <w:rStyle w:val="FootnoteReference"/>
          <w:rFonts w:ascii="Times New Roman" w:hAnsi="Times New Roman"/>
          <w:b/>
          <w:noProof/>
          <w:sz w:val="24"/>
        </w:rPr>
        <w:footnoteReference w:id="1"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ascii="Times New Roman" w:hAnsi="Times New Roman"/>
          <w:b/>
          <w:noProof/>
          <w:sz w:val="24"/>
        </w:rPr>
        <w:t>Държава по местолечение</w:t>
      </w:r>
      <w:r>
        <w:rPr>
          <w:rStyle w:val="FootnoteReference"/>
          <w:rFonts w:ascii="Times New Roman" w:hAnsi="Times New Roman"/>
          <w:b/>
          <w:noProof/>
          <w:sz w:val="24"/>
        </w:rPr>
        <w:footnoteReference w:id="2"/>
      </w:r>
    </w:p>
    <w:p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972828" cy="6685807"/>
            <wp:effectExtent l="0" t="0" r="8890" b="1270"/>
            <wp:docPr id="2" name="Picture 2" descr="2015-2017_withPA_1024_transposition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-2017_withPA_1024_transpositions (1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47" cy="66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/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bCs/>
          <w:noProof/>
          <w:color w:val="4F81BD"/>
          <w:sz w:val="24"/>
          <w:szCs w:val="24"/>
        </w:rPr>
      </w:pPr>
      <w:r>
        <w:rPr>
          <w:rFonts w:ascii="Times New Roman" w:hAnsi="Times New Roman"/>
          <w:b/>
          <w:noProof/>
          <w:color w:val="4F81BD"/>
          <w:sz w:val="24"/>
        </w:rPr>
        <w:t>Карта на потоците 2: Мобилност на пациентите, за която не се изисква предварително разрешение в Европа през 2015-2017 г.</w:t>
      </w:r>
    </w:p>
    <w:p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Държава членка по осигуряване</w:t>
      </w:r>
      <w:r>
        <w:rPr>
          <w:rStyle w:val="FootnoteReference"/>
          <w:rFonts w:ascii="Times New Roman" w:hAnsi="Times New Roman"/>
          <w:noProof/>
          <w:sz w:val="24"/>
        </w:rPr>
        <w:footnoteReference w:id="3"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ascii="Times New Roman" w:hAnsi="Times New Roman"/>
          <w:noProof/>
          <w:sz w:val="24"/>
        </w:rPr>
        <w:t xml:space="preserve">      </w:t>
      </w:r>
      <w:r>
        <w:rPr>
          <w:rFonts w:ascii="Times New Roman" w:hAnsi="Times New Roman"/>
          <w:b/>
          <w:noProof/>
          <w:sz w:val="24"/>
        </w:rPr>
        <w:t>Държава членка по местолечение</w:t>
      </w:r>
      <w:r>
        <w:rPr>
          <w:rStyle w:val="FootnoteReference"/>
          <w:rFonts w:ascii="Times New Roman" w:hAnsi="Times New Roman"/>
          <w:noProof/>
          <w:sz w:val="24"/>
        </w:rPr>
        <w:footnoteReference w:id="4"/>
      </w:r>
    </w:p>
    <w:p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9283" cy="6448301"/>
            <wp:effectExtent l="0" t="0" r="0" b="0"/>
            <wp:docPr id="1" name="Picture 1" descr="C:\Users\lengybs\AppData\Local\Microsoft\Windows\INetCache\Content.Outlook\VF4RAHE5\2015-2017_noPA_1024_transpositions (3)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gybs\AppData\Local\Microsoft\Windows\INetCache\Content.Outlook\VF4RAHE5\2015-2017_noPA_1024_transpositions (3) (002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4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</w:p>
    <w:sectPr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5" w:right="1417" w:bottom="1417" w:left="993" w:header="708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BG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>
      <w:rPr>
        <w:rFonts w:ascii="Times New Roman" w:hAnsi="Times New Roman"/>
        <w:noProof/>
      </w:rPr>
      <w:fldChar w:fldCharType="end"/>
    </w:r>
  </w:p>
  <w:p>
    <w:pPr>
      <w:pStyle w:val="Footer"/>
      <w:rPr>
        <w:rFonts w:ascii="Times New Roman" w:hAnsi="Times New Roman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</w:t>
    </w:r>
    <w:r>
      <w:rPr>
        <w:rFonts w:ascii="Times New Roman" w:hAnsi="Times New Roman"/>
        <w:noProof/>
      </w:rPr>
      <w:fldChar w:fldCharType="end"/>
    </w:r>
  </w:p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id="1">
    <w:p>
      <w:pPr>
        <w:pStyle w:val="FootnoteText"/>
      </w:pPr>
      <w:r>
        <w:rPr>
          <w:rStyle w:val="FootnoteReference"/>
        </w:rPr>
        <w:footnoteRef/>
      </w:r>
      <w:r>
        <w:t xml:space="preserve"> Ред отгоре надолу: Франция, Ирландия, Люксембург, Словакия, Обединено кралство, Италия, Белгия, Дания, Испания, Кипър, Гърция, България, Исландия, Словения, Хърватия, Малта, Румъния, Австрия, Полша, Португалия </w:t>
      </w:r>
    </w:p>
  </w:footnote>
  <w:footnote w:id="2">
    <w:p>
      <w:pPr>
        <w:pStyle w:val="FootnoteText"/>
      </w:pPr>
      <w:r>
        <w:rPr>
          <w:rStyle w:val="FootnoteReference"/>
        </w:rPr>
        <w:footnoteRef/>
      </w:r>
      <w:r>
        <w:t xml:space="preserve"> Ред отгоре надолу: Германия, Испания, Чешка република, Обединено кралство, Белгия, Ирландия, Люксембург, Полша, Франция, Австрия, Португалия, Литва, Италия, Гърция, Кипър, Нидерландия, Унгария, Латвия, Румъния, Словения, Словакия, Хърватия, Финландия, Швеция, Дания, България, Естония, Исландия, Малта, Норвегия</w:t>
      </w:r>
    </w:p>
  </w:footnote>
  <w:footnote w:id="3">
    <w:p>
      <w:pPr>
        <w:pStyle w:val="FootnoteText"/>
      </w:pPr>
      <w:r>
        <w:rPr>
          <w:rStyle w:val="FootnoteReference"/>
        </w:rPr>
        <w:footnoteRef/>
      </w:r>
      <w:r>
        <w:t xml:space="preserve"> Ред отгоре надолу: Франция, Дания, Полша, Норвегия, Финландия, Словакия, Швеция, Белгия, Словения, Обединено кралство, Ирландия, Чешка република, Румъния, Хърватия, Италия, Естония, Литва, Гърция, Исландия, Латвия, Испания, Австрия, България, Малта, Португалия</w:t>
      </w:r>
    </w:p>
  </w:footnote>
  <w:footnote w:id="4">
    <w:p>
      <w:pPr>
        <w:pStyle w:val="FootnoteText"/>
      </w:pPr>
      <w:r>
        <w:rPr>
          <w:rStyle w:val="FootnoteReference"/>
        </w:rPr>
        <w:footnoteRef/>
      </w:r>
      <w:r>
        <w:t xml:space="preserve"> Ред отгоре надолу: Испания,  Португалия, Белгия, Германия, Чешка република, Люксембург, Италия, Полша, Естония, Швеция, Гърция, Унгария, Австрия, Нидерландия, Обединено кралство, Хърватия, Франция, Румъния,  България, Финландия, Дания, Литва, Ирландия, Кипър, Малта, Норвегия, Словения, Латвия, Словакия, Исландия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D3FB4"/>
    <w:multiLevelType w:val="hybridMultilevel"/>
    <w:tmpl w:val="4ECA2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\u1082?\u1098?\u1084?"/>
    <w:docVar w:name="LW_ANNEX_NBR_FIRST" w:val="1"/>
    <w:docVar w:name="LW_ANNEX_NBR_LAST" w:val="1"/>
    <w:docVar w:name="LW_ANNEX_UNIQUE" w:val="1"/>
    <w:docVar w:name="LW_CORRIGENDUM" w:val="&lt;UNUSED&gt;"/>
    <w:docVar w:name="LW_COVERPAGE_EXISTS" w:val="True"/>
    <w:docVar w:name="LW_COVERPAGE_GUID" w:val="C327C9F9-6F08-4EB3-823D-3FD655F54774"/>
    <w:docVar w:name="LW_COVERPAGE_TYPE" w:val="1"/>
    <w:docVar w:name="LW_CROSSREFERENCE" w:val="&lt;UNUSED&gt;"/>
    <w:docVar w:name="LW_DocType" w:val="NORMAL"/>
    <w:docVar w:name="LW_EMISSION" w:val="21.9.2018"/>
    <w:docVar w:name="LW_EMISSION_ISODATE" w:val="2018-09-21"/>
    <w:docVar w:name="LW_EMISSION_LOCATION" w:val="BRX"/>
    <w:docVar w:name="LW_EMISSION_PREFIX" w:val="Брюксел, "/>
    <w:docVar w:name="LW_EMISSION_SUFFIX" w:val=" \u1075?."/>
    <w:docVar w:name="LW_ID_DOCTYPE_NONLW" w:val="CP-039"/>
    <w:docVar w:name="LW_LANGUE" w:val="BG"/>
    <w:docVar w:name="LW_LEVEL_OF_SENSITIVITY" w:val="Standard treatment"/>
    <w:docVar w:name="LW_NOM.INST" w:val="\u1045?\u1042?\u1056?\u1054?\u1055?\u1045?\u1049?\u1057?\u1050?\u1040? \u1050?\u1054?\u1052?\u1048?\u1057?\u1048?\u1071?"/>
    <w:docVar w:name="LW_NOM.INST_JOINTDOC" w:val="&lt;EMPTY&gt;"/>
    <w:docVar w:name="LW_OBJETACTEPRINCIPAL.CP" w:val="\u1086?\u1090?\u1085?\u1086?\u1089?\u1085?\u1086? \u1076?\u1077?\u1081?\u1089?\u1090?\u1074?\u1080?\u1077?\u1090?\u1086? \u1085?\u1072? \u1044?\u1080?\u1088?\u1077?\u1082?\u1090?\u1080?\u1074?\u1072? 2011/24/\u1045?\u1057? \u1079?\u1072? \u1091?\u1087?\u1088?\u1072?\u1078?\u1085?\u1103?\u1074?\u1072?\u1085?\u1077? \u1085?\u1072? \u1087?\u1088?\u1072?\u1074?\u1072?\u1090?\u1072? \u1085?\u1072? \u1087?\u1072?\u1094?\u1080?\u1077?\u1085?\u1090?\u1080?\u1090?\u1077? \u1087?\u1088?\u1080? \u1090?\u1088?\u1072?\u1085?\u1089?\u1075?\u1088?\u1072?\u1085?\u1080?\u1095?\u1085?\u1086? \u1079?\u1076?\u1088?\u1072?\u1074?\u1085?\u1086? \u1086?\u1073?\u1089?\u1083?\u1091?\u1078?\u1074?\u1072?\u1085?\u1077?"/>
    <w:docVar w:name="LW_PART_NBR" w:val="1"/>
    <w:docVar w:name="LW_PART_NBR_TOTAL" w:val="1"/>
    <w:docVar w:name="LW_REF.INST.NEW" w:val="COM"/>
    <w:docVar w:name="LW_REF.INST.NEW_ADOPTED" w:val="final"/>
    <w:docVar w:name="LW_REF.INST.NEW_TEXT" w:val="(2018) 651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 xsi:nil=&quot;true&quot; /&gt;_x000d__x000a_  &lt;limited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footnote xsi:nil=&quot;true&quot; /&gt;_x000d__x000a_  &lt;isRestricted&gt;false&lt;/isRestricted&gt;_x000d__x000a_&lt;/SensitivityLevel&gt;"/>
    <w:docVar w:name="LW_SUPERTITRE" w:val="&lt;UNUSED&gt;"/>
    <w:docVar w:name="LW_TYPE.DOC.CP" w:val="\u1055?\u1056?\u1048?\u1051?\u1054?\u1046?\u1045?\u1053?\u1048?\u1045?_x000b_"/>
    <w:docVar w:name="LW_TYPEACTEPRINCIPAL.CP" w:val="\u1044?\u1054?\u1050?\u1051?\u1040?\u1044?\u1040? \u1053?\u1040? \u1050?\u1054?\u1052?\u1048?\u1057?\u1048?\u1071?\u1058?\u1040? \u1044?\u1054? \u1045?\u1042?\u1056?\u1054?\u1055?\u1045?\u1049?\u1057?\u1050?\u1048?\u1071? \u1055?\u1040?\u1056?\u1051?\u1040?\u1052?\u1045?\u1053?\u1058? \u1048? \u1057?\u1066?\u1042?\u1045?\u1058?\u1040?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bg-BG" w:bidi="bg-BG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bg-BG" w:bidi="bg-BG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ec.europa.eu/health/sites/health/files/cross_border_care/docs/2015_evaluative_study_frep_en.pdf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ec.europa.eu/health/sites/health/files/cross_border_care/docs/potentialobstacles_cbhcprovision_frep_en.pdf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ec.europa.eu/health/sites/health/files/cross_border_care/docs/cbhc_information_patientschoice_en.pdf" TargetMode="External"/><Relationship Id="rId25" Type="http://schemas.openxmlformats.org/officeDocument/2006/relationships/image" Target="media/image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c.europa.eu/health/sites/health/files/cross_border_care/docs/pwc_national_contact_points_website_en.pdf" TargetMode="External"/><Relationship Id="rId20" Type="http://schemas.openxmlformats.org/officeDocument/2006/relationships/hyperlink" Target="https://ec.europa.eu/health/sites/health/files/cross_border_care/docs/hci_frep_en.pdf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ec.europa.eu/health/cross_border_care/key_documents_en" TargetMode="External"/><Relationship Id="rId32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ec.europa.eu/health/sites/health/files/cross_border_care/docs/2018_crossbordercooperation_frep_en.pdf" TargetMode="External"/><Relationship Id="rId28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hyperlink" Target="https://ec.europa.eu/health/sites/health/files/cross_border_care/docs/ecorys_frep_en.pdf" TargetMode="External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hyperlink" Target="https://ec.europa.eu/health/sites/health/files/cross_border_care/docs/2018_mapping_patientsrights_frep_en.pdf" TargetMode="External"/><Relationship Id="rId27" Type="http://schemas.openxmlformats.org/officeDocument/2006/relationships/header" Target="header4.xm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A7601-7DB8-45AA-8F35-0EEA2479B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601</Words>
  <Characters>3820</Characters>
  <Application>Microsoft Office Word</Application>
  <DocSecurity>0</DocSecurity>
  <Lines>76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JAMRICHOVA Martina (SANTE)</dc:creator>
  <cp:lastModifiedBy>DIGIT/A3</cp:lastModifiedBy>
  <cp:revision>9</cp:revision>
  <dcterms:created xsi:type="dcterms:W3CDTF">2018-09-12T10:46:00Z</dcterms:created>
  <dcterms:modified xsi:type="dcterms:W3CDTF">2018-09-17T07:42:00Z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1</vt:lpwstr>
  </property>
  <property fmtid="{D5CDD505-2E9C-101B-9397-08002B2CF9AE}" pid="6" name="Part">
    <vt:lpwstr>1</vt:lpwstr>
  </property>
  <property fmtid="{D5CDD505-2E9C-101B-9397-08002B2CF9AE}" pid="7" name="Total parts">
    <vt:lpwstr>1</vt:lpwstr>
  </property>
  <property fmtid="{D5CDD505-2E9C-101B-9397-08002B2CF9AE}" pid="8" name="DocStatus">
    <vt:lpwstr>Green</vt:lpwstr>
  </property>
  <property fmtid="{D5CDD505-2E9C-101B-9397-08002B2CF9AE}" pid="9" name="Last edited using">
    <vt:lpwstr>LW 6.0.1, Build 20180503</vt:lpwstr>
  </property>
  <property fmtid="{D5CDD505-2E9C-101B-9397-08002B2CF9AE}" pid="10" name="Created using">
    <vt:lpwstr>LW 6.0.1, Build 20180503</vt:lpwstr>
  </property>
</Properties>
</file>