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0357C6C-6FB5-4949-9346-186CD2E5C87A"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Bdr>
          <w:top w:val="nil"/>
          <w:left w:val="nil"/>
          <w:bottom w:val="nil"/>
          <w:right w:val="nil"/>
          <w:between w:val="nil"/>
          <w:bar w:val="nil"/>
        </w:pBdr>
        <w:spacing w:before="0" w:after="240"/>
        <w:rPr>
          <w:rFonts w:eastAsia="Arial Unicode MS"/>
          <w:noProof/>
        </w:rPr>
      </w:pPr>
      <w:r>
        <w:rPr>
          <w:noProof/>
        </w:rPr>
        <w:t>В съответствие с член 395, параграф 1 от Директива 2006/112/ЕО от 28 ноември 2006 г. относно общата система на данъка върху добавената стойност („Директивата за ДДС“) Съветът, като действа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с цел да опрости процедурата за събиране на ДДС или да предотврати някои форми на отклонение от данъчно облагане или избягване на данъци.</w:t>
      </w:r>
    </w:p>
    <w:p>
      <w:pPr>
        <w:pBdr>
          <w:top w:val="nil"/>
          <w:left w:val="nil"/>
          <w:bottom w:val="nil"/>
          <w:right w:val="nil"/>
          <w:between w:val="nil"/>
          <w:bar w:val="nil"/>
        </w:pBdr>
        <w:spacing w:before="0" w:after="240"/>
        <w:rPr>
          <w:rFonts w:eastAsia="Arial Unicode MS"/>
          <w:noProof/>
        </w:rPr>
      </w:pPr>
      <w:r>
        <w:rPr>
          <w:noProof/>
        </w:rPr>
        <w:t>С писмо, заведено в Комисията на 27 април 2018 г., Обединеното кралство поиска разрешение да продължи да прилага мярка за дерогация от членове 16 и 168 от Директивата за ДДС. В съответствие с член 395, параграф 2 от Директивата за ДДС с писмо от 11 юни 2018 г. Комисията информира останалите държави членки за отправеното от Обединеното кралство искане. С писмо от 12 юни 2018 г. Комисията уведоми Обединеното кралство, че е получила цялата информация, която смята за необходима за разглеждане на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Съгласно член 168 от Директивата за ДДС всяко данъчно задължено лице има правото да приспадне ДДС, начислен върху покупките, извършени за целите на облагаеми сделки. По силата на член 16 от Директивата употребата от данъчно задължено лице на стоки, представляващи част от неговите стопански активи, за лични нужди или за нуждите на персонала му, се третира като възмездна доставка на стоки, когато дължимият ДДС за тези стоки или техните съставни части е подлежал изцяло или частично на приспадане.</w:t>
      </w:r>
      <w:r>
        <w:rPr>
          <w:noProof/>
          <w:color w:val="000000"/>
        </w:rPr>
        <w:t xml:space="preserve"> </w:t>
      </w:r>
      <w:r>
        <w:rPr>
          <w:noProof/>
        </w:rPr>
        <w:t>Тази система позволява събирането на първоначално приспаднатия ДДС във връзка с употребата за лични нужди.</w:t>
      </w:r>
    </w:p>
    <w:p>
      <w:pPr>
        <w:rPr>
          <w:noProof/>
        </w:rPr>
      </w:pPr>
      <w:r>
        <w:rPr>
          <w:noProof/>
        </w:rPr>
        <w:t>В случай на служебни автомобили, които частично се употребяват за лични (нестопански) цели, изчисляването и облагането на разходите, свързани с употребата за лични нужди, по силата на горепосочените разпоредби често е трудно.</w:t>
      </w:r>
    </w:p>
    <w:p>
      <w:pPr>
        <w:rPr>
          <w:rFonts w:eastAsia="Arial Unicode MS"/>
          <w:noProof/>
        </w:rPr>
      </w:pPr>
      <w:r>
        <w:rPr>
          <w:noProof/>
        </w:rPr>
        <w:t>В тази връзка Обединеното кралство е приложило специален режим на данъчно облагане с единна ставка на употребата за лични нужди, разрешен по силата на Решение № 86/356/ЕИО на Съвета от 21 юли 1986 г. относно предоставяне на разрешение на Обединеното кралство да прилага мерки с единна ставка по отношение на неподлежащия на приспадане данък върху добавената стойност, дължим за горивото за служебни автомобили</w:t>
      </w:r>
      <w:r>
        <w:rPr>
          <w:rStyle w:val="FootnoteReference"/>
          <w:noProof/>
        </w:rPr>
        <w:footnoteReference w:id="1"/>
      </w:r>
      <w:r>
        <w:rPr>
          <w:noProof/>
        </w:rPr>
        <w:t>. Този режим се основаваше на обема на двигателя и вида гориво на автомобила.</w:t>
      </w:r>
    </w:p>
    <w:p>
      <w:pPr>
        <w:rPr>
          <w:noProof/>
          <w:color w:val="000000" w:themeColor="text1"/>
          <w:szCs w:val="24"/>
        </w:rPr>
      </w:pPr>
      <w:r>
        <w:rPr>
          <w:noProof/>
        </w:rPr>
        <w:t>Тази първоначална дерогация беше отменена и заменена с Решение 2006/659/ЕО на Съвета от 25 септември 2006 г., с което се разрешава на Обединеното кралство да въведе специална мярка за дерогация от член 5, параграф 6 и член 11, част А, параграф 1, буква б) от Директива 77/388/ЕИО относно хармонизирането на законодателствата на държавите членки относно данъците върху оборота</w:t>
      </w:r>
      <w:r>
        <w:rPr>
          <w:rStyle w:val="FootnoteReference"/>
          <w:noProof/>
        </w:rPr>
        <w:footnoteReference w:id="2"/>
      </w:r>
      <w:r>
        <w:rPr>
          <w:noProof/>
        </w:rPr>
        <w:t>. С посоченото решение бе въведено данъчно облагане с единна ставка за употребата  на автомобилите за лични нужди въз основа на нивото на емисиите им на CO</w:t>
      </w:r>
      <w:r>
        <w:rPr>
          <w:noProof/>
          <w:vertAlign w:val="subscript"/>
        </w:rPr>
        <w:t>2</w:t>
      </w:r>
      <w:r>
        <w:rPr>
          <w:noProof/>
        </w:rPr>
        <w:t xml:space="preserve">. Посоченото решение на Съвета на </w:t>
      </w:r>
      <w:r>
        <w:rPr>
          <w:noProof/>
        </w:rPr>
        <w:lastRenderedPageBreak/>
        <w:t>свой ред бе заменено от Решение за изпълнение (ЕС) 2015/2109 на Съвета от 17 ноември 2015 г.</w:t>
      </w:r>
      <w:r>
        <w:rPr>
          <w:rStyle w:val="FootnoteReference"/>
          <w:noProof/>
        </w:rPr>
        <w:footnoteReference w:id="3"/>
      </w:r>
      <w:r>
        <w:rPr>
          <w:noProof/>
        </w:rPr>
        <w:t xml:space="preserve">, чийто срок на действие ще изтече на 31 декември 2018 г. </w:t>
      </w:r>
    </w:p>
    <w:p>
      <w:pPr>
        <w:rPr>
          <w:rFonts w:eastAsia="Arial Unicode MS"/>
          <w:noProof/>
        </w:rPr>
      </w:pPr>
      <w:r>
        <w:rPr>
          <w:noProof/>
        </w:rPr>
        <w:t xml:space="preserve">Режимът се основава на факта, че съществува пряка връзка между емисиите и количеството изразходвано гориво, като по-високите емисии съответстват на по-голям разход на гориво. Въз основа на тези нива на емисиите се изчислява разходът на гориво на километър, който впоследствие се съчетава със средните разстояния, изминати при употреба за лични нужди, определени въз основа на данните за преките данъци и цената на дребно на автомобилните горива. Това води до облагане на употребата за лични нужди, което съответства на размера на дължимия ДДС за употребата на превозното средство за лични нужди. Системата е незадължителна за данъчно задължените лица и те имат право да изберат да не възстановяват ДДС за своите горива. </w:t>
      </w:r>
    </w:p>
    <w:p>
      <w:pPr>
        <w:rPr>
          <w:noProof/>
        </w:rPr>
      </w:pPr>
      <w:r>
        <w:rPr>
          <w:noProof/>
        </w:rPr>
        <w:t xml:space="preserve">По силата на член 4 от Решение (ЕС) 2015/2109 Обединеното кралство предаде на Комисията доклад за действието на мярката за дерогация. Според Обединеното кралство тази система е доказала, че е точна, и е довела до значително опростяване както за предприятията, така и за данъчната администрация. Обединеното кралство твърди също така, че мярката дава правна сигурност на данъчно задължените лица, като предоставя опростен метод, който може да бъде използван за отчитане на ДДС при употребата на горива за лични нужди. </w:t>
      </w:r>
    </w:p>
    <w:p>
      <w:pPr>
        <w:rPr>
          <w:noProof/>
        </w:rPr>
      </w:pPr>
      <w:r>
        <w:rPr>
          <w:noProof/>
        </w:rPr>
        <w:t>Въз основа на това Обединеното кралство поиска разрешение да продължи прилагането на дерогацията до 31 декември 2020 г.</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 xml:space="preserve">Съгласно член 176 от Директивата за ДДС Съветът определя разходите, по отношение на които ДДС не подлежи на приспадане. Дотогава се разрешава на държавите членки да запазят изключенията, които са били в сила към 1 януари 1979 г. Следователно има няколко разпоредби за запазване на съществуващото положение, които ограничават правото на приспадане на ДДС във връзка с леките автомобили. </w:t>
      </w:r>
    </w:p>
    <w:p>
      <w:pPr>
        <w:pBdr>
          <w:top w:val="nil"/>
          <w:left w:val="nil"/>
          <w:bottom w:val="nil"/>
          <w:right w:val="nil"/>
          <w:between w:val="nil"/>
          <w:bar w:val="nil"/>
        </w:pBdr>
        <w:spacing w:before="0" w:after="240"/>
        <w:rPr>
          <w:noProof/>
        </w:rPr>
      </w:pPr>
      <w:r>
        <w:rPr>
          <w:noProof/>
        </w:rPr>
        <w:t>Независимо от предходните начинания за установяване на разпоредби по въпроса за кои категории разходи може да бъде наложено ограничение на правото на приспадане</w:t>
      </w:r>
      <w:r>
        <w:rPr>
          <w:rStyle w:val="FootnoteReference"/>
          <w:noProof/>
        </w:rPr>
        <w:footnoteReference w:id="4"/>
      </w:r>
      <w:r>
        <w:rPr>
          <w:noProof/>
        </w:rPr>
        <w:t xml:space="preserve">, такава дерогация е целесъобразна в очакване на хармонизирането на тези разпоредби на равнище ЕС. </w:t>
      </w:r>
    </w:p>
    <w:p>
      <w:pPr>
        <w:pStyle w:val="ManualHeading1"/>
        <w:rPr>
          <w:noProof/>
        </w:rPr>
      </w:pPr>
      <w:r>
        <w:rPr>
          <w:noProof/>
        </w:rPr>
        <w:t>2.</w:t>
      </w:r>
      <w:r>
        <w:rPr>
          <w:noProof/>
        </w:rPr>
        <w:tab/>
        <w:t>ПРАВНО ОСНОВАНИЕ, СУБСИДИАРНОСТ И ПРОПРОЦИОНАЛНОСТ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Arial Unicode MS"/>
          <w:noProof/>
        </w:rPr>
      </w:pPr>
      <w:r>
        <w:rPr>
          <w:noProof/>
        </w:rPr>
        <w:t>Чл. 395 от Директивата за ДДС.</w:t>
      </w:r>
    </w:p>
    <w:p>
      <w:pPr>
        <w:pStyle w:val="ManualHeading2"/>
        <w:rPr>
          <w:rFonts w:eastAsia="Arial Unicode MS"/>
          <w:noProof/>
          <w:u w:color="000000"/>
          <w:bdr w:val="nil"/>
        </w:rPr>
      </w:pPr>
      <w:r>
        <w:rPr>
          <w:noProof/>
        </w:rPr>
        <w:t>•</w:t>
      </w:r>
      <w:r>
        <w:rPr>
          <w:noProof/>
        </w:rPr>
        <w:tab/>
        <w:t xml:space="preserve">Субсидиарност (извън областите на изключителна компетентност) </w:t>
      </w:r>
    </w:p>
    <w:p>
      <w:pPr>
        <w:rPr>
          <w:noProof/>
        </w:rPr>
      </w:pPr>
      <w:r>
        <w:rPr>
          <w:noProof/>
        </w:rPr>
        <w:t>Като се има предвид разпоредбата от Директивата за ДДС, на основание на която е съставено предложението, то е от изключителната компетентност на Съюза. Следователно принципът на субсидиарността не се прилага.</w:t>
      </w:r>
    </w:p>
    <w:p>
      <w:pPr>
        <w:pStyle w:val="ManualHeading2"/>
        <w:rPr>
          <w:rFonts w:eastAsia="Arial Unicode MS"/>
          <w:noProof/>
          <w:u w:color="000000"/>
          <w:bdr w:val="nil"/>
        </w:rPr>
      </w:pPr>
      <w:r>
        <w:rPr>
          <w:noProof/>
        </w:rPr>
        <w:lastRenderedPageBreak/>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Решението се отнася до предоставяне на разрешение на държава членка по нейно искане и не представлява задължение.</w:t>
      </w:r>
    </w:p>
    <w:p>
      <w:pPr>
        <w:pBdr>
          <w:top w:val="nil"/>
          <w:left w:val="nil"/>
          <w:bottom w:val="nil"/>
          <w:right w:val="nil"/>
          <w:between w:val="nil"/>
          <w:bar w:val="nil"/>
        </w:pBdr>
        <w:spacing w:before="0" w:after="240"/>
        <w:rPr>
          <w:rFonts w:eastAsia="Arial Unicode MS"/>
          <w:noProof/>
        </w:rPr>
      </w:pPr>
      <w:r>
        <w:rPr>
          <w:noProof/>
        </w:rPr>
        <w:t>Предвид на ограничения обхват на дерогацията специалната мярка е пропорционална на поставената цел, а именно опростяването на процедурата за събиране на ДДС. Тя не надхвърля необходимото за опростяване на събирането на ДДС в определен отрасъл.</w:t>
      </w:r>
    </w:p>
    <w:p>
      <w:pPr>
        <w:pBdr>
          <w:top w:val="nil"/>
          <w:left w:val="nil"/>
          <w:bottom w:val="nil"/>
          <w:right w:val="nil"/>
          <w:between w:val="nil"/>
          <w:bar w:val="nil"/>
        </w:pBdr>
        <w:spacing w:before="0" w:after="240"/>
        <w:rPr>
          <w:rFonts w:eastAsia="Arial Unicode MS"/>
          <w:noProof/>
        </w:rPr>
      </w:pPr>
      <w:r>
        <w:rPr>
          <w:noProof/>
        </w:rPr>
        <w:t>Системата остава незадължителна за данъчно задължените лица.</w:t>
      </w:r>
    </w:p>
    <w:p>
      <w:pPr>
        <w:pStyle w:val="ManualHeading2"/>
        <w:rPr>
          <w:rFonts w:eastAsia="Arial Unicode MS"/>
          <w:noProof/>
          <w:u w:color="000000"/>
          <w:bdr w:val="nil"/>
        </w:rPr>
      </w:pPr>
      <w:r>
        <w:rPr>
          <w:noProof/>
        </w:rPr>
        <w:t>•</w:t>
      </w:r>
      <w:r>
        <w:rPr>
          <w:noProof/>
        </w:rPr>
        <w:tab/>
        <w:t>Избор на нормативен акт</w:t>
      </w:r>
    </w:p>
    <w:p>
      <w:pPr>
        <w:pBdr>
          <w:top w:val="nil"/>
          <w:left w:val="nil"/>
          <w:bottom w:val="nil"/>
          <w:right w:val="nil"/>
          <w:between w:val="nil"/>
          <w:bar w:val="nil"/>
        </w:pBdr>
        <w:spacing w:before="0" w:after="240"/>
        <w:rPr>
          <w:rFonts w:eastAsia="Arial Unicode MS"/>
          <w:noProof/>
        </w:rPr>
      </w:pPr>
      <w:r>
        <w:rPr>
          <w:noProof/>
        </w:rPr>
        <w:t>По силата на член 395 от Директивата за ДДС дерогация от общите правила за ДДС е възможна единствено с разрешение на Съвета, действащ с единодушие по предложение на Комисията. Освен това решение на Съвета е най-подходящият акт, тъй като негов адресат може да бъдат отделни държави членки.</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Настоящото предложение се основава на искане, отправено от Обединеното кралство, и се отнася само до тази държава членка.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Предложението за решение цели опростяване на събирането на ДДС върху разходите за гориво за служебните автомобили, които частично се употребяват за нестопански цели, и следователно има потенциално положително въздействие.</w:t>
      </w:r>
    </w:p>
    <w:p>
      <w:pPr>
        <w:pBdr>
          <w:top w:val="nil"/>
          <w:left w:val="nil"/>
          <w:bottom w:val="nil"/>
          <w:right w:val="nil"/>
          <w:between w:val="nil"/>
          <w:bar w:val="nil"/>
        </w:pBdr>
        <w:spacing w:before="0" w:after="240"/>
        <w:rPr>
          <w:rFonts w:eastAsia="Arial Unicode MS"/>
          <w:noProof/>
        </w:rPr>
      </w:pPr>
      <w:r>
        <w:rPr>
          <w:noProof/>
        </w:rPr>
        <w:t>За данъчно задължените лица, които биха избрали да се възползват от тази система, тя намалява административната тежест и разходите за спазване на изискванията, като премахва необходимостта да се води подробна отчетност за разстоянията, изминати от всеки служебен автомобил, за целите на ДДС. Изпълнението на тези изисквания за завеждане на данни често е времеемко и налага значителна административна тежест за относително малки данъчни задължения. Методът на опростяване намалява и тежестите за данъчните органи, от които в противен случай ще се изисква да извършват ревизии по множество отделни случаи.</w:t>
      </w:r>
    </w:p>
    <w:p>
      <w:pPr>
        <w:rPr>
          <w:rFonts w:eastAsia="Arial Unicode MS"/>
          <w:noProof/>
        </w:rPr>
      </w:pPr>
      <w:r>
        <w:rPr>
          <w:noProof/>
        </w:rPr>
        <w:t xml:space="preserve">Въпреки това въздействието при всички случаи ще бъде ограничено поради тесния обхват на дерогацията и ограничения срок на прилагане.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да има отрицателно отражение върху бюджета на ЕС.</w:t>
      </w:r>
    </w:p>
    <w:p>
      <w:pPr>
        <w:pStyle w:val="ManualHeading1"/>
        <w:rPr>
          <w:noProof/>
        </w:rPr>
      </w:pPr>
      <w:r>
        <w:rPr>
          <w:noProof/>
        </w:rPr>
        <w:lastRenderedPageBreak/>
        <w:t>5.</w:t>
      </w:r>
      <w:r>
        <w:rPr>
          <w:noProof/>
        </w:rPr>
        <w:tab/>
        <w:t>ДРУГИ ЕЛЕМЕНТИ</w:t>
      </w:r>
    </w:p>
    <w:p>
      <w:pPr>
        <w:pBdr>
          <w:top w:val="nil"/>
          <w:left w:val="nil"/>
          <w:bottom w:val="nil"/>
          <w:right w:val="nil"/>
          <w:between w:val="nil"/>
          <w:bar w:val="nil"/>
        </w:pBdr>
        <w:spacing w:before="0" w:after="240"/>
        <w:rPr>
          <w:rFonts w:eastAsia="Arial Unicode MS"/>
          <w:noProof/>
        </w:rPr>
      </w:pPr>
      <w:r>
        <w:rPr>
          <w:noProof/>
        </w:rPr>
        <w:t>Предложението включва клауза за изтичане на срока на действие; автоматично ограничение във времето – 31 декември 2020 г.</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2018/0334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на разрешение на Обединеното кралство да прилага специална мярка за дерогация от членове 16 и 168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5"/>
      </w:r>
      <w:r>
        <w:rPr>
          <w:noProof/>
        </w:rPr>
        <w:t>, и по-специално член 395, параграф 1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2006/659/ЕО на Съвета</w:t>
      </w:r>
      <w:r>
        <w:rPr>
          <w:rStyle w:val="FootnoteReference"/>
          <w:noProof/>
        </w:rPr>
        <w:footnoteReference w:id="6"/>
      </w:r>
      <w:r>
        <w:rPr>
          <w:noProof/>
        </w:rPr>
        <w:t xml:space="preserve"> на Обединеното кралство бе разрешено да прилага специални мерки за опростяване, за да определи чрез единна ставка дела на неподлежащия на приспадане данък върху добавената стойност (ДДС), свързан с разходите за гориво за служебните автомобили, които не се употребяват изключително за стопански цели. Системата, която няма задължителен характер за данъчно задължените лица, се основава на нивото на емисиите на въглероден диоксид (CO</w:t>
      </w:r>
      <w:r>
        <w:rPr>
          <w:noProof/>
          <w:vertAlign w:val="subscript"/>
        </w:rPr>
        <w:t>2</w:t>
      </w:r>
      <w:r>
        <w:rPr>
          <w:noProof/>
        </w:rPr>
        <w:t>) от автомобилите, тъй като съществува пропорционална зависимост между емисиите и разхода на гориво, а оттам – и на паричните разходи за гориво.</w:t>
      </w:r>
    </w:p>
    <w:p>
      <w:pPr>
        <w:pStyle w:val="ManualConsidrant"/>
        <w:rPr>
          <w:noProof/>
        </w:rPr>
      </w:pPr>
      <w:r>
        <w:t>(2)</w:t>
      </w:r>
      <w:r>
        <w:tab/>
      </w:r>
      <w:r>
        <w:rPr>
          <w:noProof/>
        </w:rPr>
        <w:t>Решение 2006/659/ЕО на Съвета бе заменено от Решение за изпълнение (ЕС) 2015/2109 на Съвета</w:t>
      </w:r>
      <w:r>
        <w:rPr>
          <w:rStyle w:val="FootnoteReference"/>
          <w:noProof/>
        </w:rPr>
        <w:footnoteReference w:id="7"/>
      </w:r>
      <w:r>
        <w:rPr>
          <w:noProof/>
        </w:rPr>
        <w:t xml:space="preserve">, чийто срок на действие ще изтече на 31 декември 2018 г. </w:t>
      </w:r>
    </w:p>
    <w:p>
      <w:pPr>
        <w:pStyle w:val="ManualConsidrant"/>
        <w:rPr>
          <w:noProof/>
        </w:rPr>
      </w:pPr>
      <w:r>
        <w:t>(3)</w:t>
      </w:r>
      <w:r>
        <w:tab/>
      </w:r>
      <w:r>
        <w:rPr>
          <w:noProof/>
        </w:rPr>
        <w:t>С писмо, заведено в Комисията на 27 април 2018 г., Обединеното кралство поиска разрешение да продължи да прилага мярката до 31 декември 2020 г.</w:t>
      </w:r>
    </w:p>
    <w:p>
      <w:pPr>
        <w:pStyle w:val="ManualConsidrant"/>
        <w:rPr>
          <w:noProof/>
        </w:rPr>
      </w:pPr>
      <w:r>
        <w:t>(4)</w:t>
      </w:r>
      <w:r>
        <w:tab/>
      </w:r>
      <w:r>
        <w:rPr>
          <w:noProof/>
        </w:rPr>
        <w:t>С писмо от 11 юни 2018 г. Комисията предаде на останалите държави членки отправеното от Обединеното кралство искане. С писмо от 12 юни 2018 г. Комисията уведоми Обединеното кралство, че разполага с цялата информация, необходима за разглеждане на искането.</w:t>
      </w:r>
    </w:p>
    <w:p>
      <w:pPr>
        <w:pStyle w:val="ManualConsidrant"/>
        <w:rPr>
          <w:noProof/>
        </w:rPr>
      </w:pPr>
      <w:r>
        <w:t>(5)</w:t>
      </w:r>
      <w:r>
        <w:tab/>
      </w:r>
      <w:r>
        <w:rPr>
          <w:noProof/>
        </w:rPr>
        <w:t xml:space="preserve">По силата на член 4 от Решение за изпълнение (ЕС) 2015/2109 Обединеното кралство предаде на Комисията доклад за действието на специалната мярка. </w:t>
      </w:r>
      <w:r>
        <w:rPr>
          <w:noProof/>
        </w:rPr>
        <w:lastRenderedPageBreak/>
        <w:t xml:space="preserve">Според Обединеното кралство мярката на практика е довела до опростяване – както за данъчно задължените лица, така и за данъчната администрация – на процедурата за събиране на ДДС във връзка с разходите за гориво за служебните автомобили. </w:t>
      </w:r>
    </w:p>
    <w:p>
      <w:pPr>
        <w:pStyle w:val="ManualConsidrant"/>
        <w:rPr>
          <w:noProof/>
        </w:rPr>
      </w:pPr>
      <w:r>
        <w:t>(6)</w:t>
      </w:r>
      <w:r>
        <w:tab/>
      </w:r>
      <w:r>
        <w:rPr>
          <w:noProof/>
        </w:rPr>
        <w:t>Следователно е целесъобразно на Обединеното кралство да се разреши да прилага мярката до 31 декември 2020 г. Все пак следва да се отбележи, че на 29 март 2017 г. Обединеното кралство уведоми за намерението си да се оттегли от Съюза по реда на член 50 от Договора за Европейския съюз, което означава, че – освен ако в ратифицирано споразумение за оттеглянето между Европейския съюз и Обединеното кралство бъде определена друга дата – цялото първично и вторично законодателство на Съюза ще престане да се прилага за Обединеното кралство на 30 март 2019 г. в 00:00 ч. централноевропейско време (датата на оттеглянето).</w:t>
      </w:r>
      <w:r>
        <w:rPr>
          <w:noProof/>
          <w:sz w:val="23"/>
        </w:rPr>
        <w:t xml:space="preserve"> В такъв случай действието на настоящото решение също ще бъде прекратено.</w:t>
      </w:r>
    </w:p>
    <w:p>
      <w:pPr>
        <w:pStyle w:val="ManualConsidrant"/>
        <w:rPr>
          <w:noProof/>
        </w:rPr>
      </w:pPr>
      <w:r>
        <w:t>(7)</w:t>
      </w:r>
      <w:r>
        <w:tab/>
      </w:r>
      <w:r>
        <w:rPr>
          <w:noProof/>
        </w:rPr>
        <w:t>Мярката за дерогация няма да окаже отрицателно въздействие върху собствените ресурси на Съюза от ДДС,</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Чрез дерогация от членове 16 и 168 от Директива 2006/112/ЕО на Обединеното кралство се разрешава от 1 януари 2019 г. до 31 декември 2020 г. да определя чрез единна ставка дела на данъка върху добавената стойност, свързан с разходите за гориво за служебните автомобили, които се употребяват за лични нужди.</w:t>
      </w:r>
    </w:p>
    <w:p>
      <w:pPr>
        <w:pStyle w:val="Titrearticle"/>
      </w:pPr>
      <w:r>
        <w:rPr>
          <w:noProof/>
        </w:rPr>
        <w:t>Член 2</w:t>
      </w:r>
    </w:p>
    <w:p>
      <w:pPr>
        <w:rPr>
          <w:noProof/>
        </w:rPr>
      </w:pPr>
      <w:r>
        <w:rPr>
          <w:noProof/>
        </w:rPr>
        <w:t>Делът на данъка по член 1 се изразява като фиксирани суми, които се определят въз основа на равнището на емисиите на CO</w:t>
      </w:r>
      <w:r>
        <w:rPr>
          <w:noProof/>
          <w:vertAlign w:val="subscript"/>
        </w:rPr>
        <w:t>2</w:t>
      </w:r>
      <w:r>
        <w:rPr>
          <w:noProof/>
        </w:rPr>
        <w:t xml:space="preserve"> за типа на превозното средство и отразяват разхода на гориво. Обединеното кралство променя тези фиксирани суми ежегодно, за да отразява промените в средната цена на горивото.</w:t>
      </w:r>
    </w:p>
    <w:p>
      <w:pPr>
        <w:pStyle w:val="Titrearticle"/>
      </w:pPr>
      <w:r>
        <w:rPr>
          <w:noProof/>
        </w:rPr>
        <w:t>Член 3</w:t>
      </w:r>
    </w:p>
    <w:p>
      <w:pPr>
        <w:rPr>
          <w:noProof/>
        </w:rPr>
      </w:pPr>
      <w:r>
        <w:rPr>
          <w:noProof/>
        </w:rPr>
        <w:t>Системата, създадена въз основа на настоящото решение, е незадължителна за данъчно задължените лица.</w:t>
      </w:r>
    </w:p>
    <w:p>
      <w:pPr>
        <w:pStyle w:val="Titrearticle"/>
        <w:rPr>
          <w:noProof/>
        </w:rPr>
      </w:pPr>
      <w:r>
        <w:rPr>
          <w:noProof/>
        </w:rPr>
        <w:t>Член 4</w:t>
      </w:r>
    </w:p>
    <w:p>
      <w:pPr>
        <w:keepNext/>
        <w:keepLines/>
        <w:rPr>
          <w:noProof/>
          <w:color w:val="000000"/>
        </w:rPr>
      </w:pPr>
      <w:r>
        <w:rPr>
          <w:noProof/>
          <w:color w:val="000000"/>
        </w:rPr>
        <w:t>Адресат на настоящото решение е Обединеното кралство Великобритания и Северна Ирландия.</w:t>
      </w:r>
    </w:p>
    <w:p>
      <w:pPr>
        <w:keepNext/>
        <w:keepLines/>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tab/>
        <w:t>OJ L 212, 11.12.1986 г, стр. 35.</w:t>
      </w:r>
    </w:p>
  </w:footnote>
  <w:footnote w:id="2">
    <w:p>
      <w:pPr>
        <w:pStyle w:val="FootnoteText"/>
        <w:rPr>
          <w:lang w:val="ru-RU"/>
        </w:rPr>
      </w:pPr>
      <w:r>
        <w:rPr>
          <w:rStyle w:val="FootnoteReference"/>
        </w:rPr>
        <w:footnoteRef/>
      </w:r>
      <w:r>
        <w:tab/>
        <w:t>OJ L 272, 3.10.2006 г, стр. 15.</w:t>
      </w:r>
    </w:p>
  </w:footnote>
  <w:footnote w:id="3">
    <w:p>
      <w:pPr>
        <w:pStyle w:val="FootnoteText"/>
        <w:rPr>
          <w:lang w:val="ru-RU"/>
        </w:rPr>
      </w:pPr>
      <w:r>
        <w:rPr>
          <w:rStyle w:val="FootnoteReference"/>
        </w:rPr>
        <w:footnoteRef/>
      </w:r>
      <w:r>
        <w:tab/>
        <w:t xml:space="preserve">ОВ L 305, 21.11.2015 г., стр. 49 – 50. </w:t>
      </w:r>
    </w:p>
  </w:footnote>
  <w:footnote w:id="4">
    <w:p>
      <w:pPr>
        <w:pStyle w:val="FootnoteText"/>
        <w:jc w:val="left"/>
      </w:pPr>
      <w:r>
        <w:rPr>
          <w:rStyle w:val="FootnoteReference"/>
        </w:rPr>
        <w:footnoteRef/>
      </w:r>
      <w:r>
        <w:tab/>
        <w:t>COM(2004) 728 final — Предложение за Директива на Съвета за изменение на Директива 77/388/ЕИО с цел опростяване на задълженията, свързани с данъка върху добавената стойност (ОВ C 24, 29.1.2005 г., стр. 10), оттеглено на 21 май 2014 г.</w:t>
      </w:r>
      <w:r>
        <w:rPr>
          <w:rStyle w:val="Hyperlink"/>
        </w:rPr>
        <w:t xml:space="preserve"> </w:t>
      </w:r>
      <w:r>
        <w:t xml:space="preserve"> (ОВ C 153, 21. 5. 2014 г., стр. 3) </w:t>
      </w:r>
    </w:p>
  </w:footnote>
  <w:footnote w:id="5">
    <w:p>
      <w:pPr>
        <w:pStyle w:val="FootnoteText"/>
      </w:pPr>
      <w:r>
        <w:rPr>
          <w:rStyle w:val="FootnoteReference"/>
        </w:rPr>
        <w:footnoteRef/>
      </w:r>
      <w:r>
        <w:tab/>
      </w:r>
      <w:hyperlink r:id="rId1">
        <w:r>
          <w:rPr>
            <w:rStyle w:val="Hyperlink"/>
          </w:rPr>
          <w:t>OJ L 347, 11.12.2006 г, стр. 1.</w:t>
        </w:r>
      </w:hyperlink>
    </w:p>
  </w:footnote>
  <w:footnote w:id="6">
    <w:p>
      <w:pPr>
        <w:pStyle w:val="FootnoteText"/>
      </w:pPr>
      <w:r>
        <w:rPr>
          <w:rStyle w:val="FootnoteReference"/>
        </w:rPr>
        <w:footnoteRef/>
      </w:r>
      <w:r>
        <w:tab/>
        <w:t>Решение 2006/659/ЕО на Съвета от 25 септември 2006 г., с което се разрешава на Обединеното кралство да въведе специална мярка за дерогация от член 5, параграф 6 и член 11, част А, параграф 1, буква б) от Директива 77/388/ЕИО относно хармонизирането на законодателствата на държавите членки относно данъците върху оборота (OВ L 272, 3.10.2006 г., стр. 15).</w:t>
      </w:r>
    </w:p>
  </w:footnote>
  <w:footnote w:id="7">
    <w:p>
      <w:pPr>
        <w:pStyle w:val="FootnoteText"/>
      </w:pPr>
      <w:r>
        <w:rPr>
          <w:rStyle w:val="FootnoteReference"/>
        </w:rPr>
        <w:footnoteRef/>
      </w:r>
      <w:r>
        <w:tab/>
        <w:t xml:space="preserve">Решение за изпълнение (ЕС) 2015/2109 на Съвета от 17 ноември 2015 година за даване на разрешение на Обединеното кралство да прилага специална мярка за дерогация от член 26, параграф 1, буква а) и членове 168 и 168а от Директива 2006/112/ЕО относно общата система на данъка върху добавената стойност (OВ L 305, 21.11.2015 г., стр. 49).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33C14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9F066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B58DE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82C9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588FE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9BA711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4DCE898"/>
    <w:lvl w:ilvl="0">
      <w:start w:val="1"/>
      <w:numFmt w:val="decimal"/>
      <w:pStyle w:val="ListNumber"/>
      <w:lvlText w:val="%1."/>
      <w:lvlJc w:val="left"/>
      <w:pPr>
        <w:tabs>
          <w:tab w:val="num" w:pos="360"/>
        </w:tabs>
        <w:ind w:left="360" w:hanging="360"/>
      </w:pPr>
    </w:lvl>
  </w:abstractNum>
  <w:abstractNum w:abstractNumId="7">
    <w:nsid w:val="FFFFFF89"/>
    <w:multiLevelType w:val="singleLevel"/>
    <w:tmpl w:val="BFFCC0A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9-19 15:42:5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0357C6C-6FB5-4949-9346-186CD2E5C87A"/>
    <w:docVar w:name="LW_COVERPAGE_TYPE" w:val="1"/>
    <w:docVar w:name="LW_CROSSREFERENCE" w:val="&lt;UNUSED&gt;"/>
    <w:docVar w:name="LW_DocType" w:val="COM"/>
    <w:docVar w:name="LW_EMISSION" w:val="20.9.2018"/>
    <w:docVar w:name="LW_EMISSION_ISODATE" w:val="2018-09-20"/>
    <w:docVar w:name="LW_EMISSION_LOCATION" w:val="BRX"/>
    <w:docVar w:name="LW_EMISSION_PREFIX" w:val="Брюксел, "/>
    <w:docVar w:name="LW_EMISSION_SUFFIX" w:val="&lt;EMPTY&gt;"/>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34"/>
    <w:docVar w:name="LW_REF.II.NEW.CP_YEAR" w:val="2018"/>
    <w:docVar w:name="LW_REF.INST.NEW" w:val="COM"/>
    <w:docVar w:name="LW_REF.INST.NEW_ADOPTED" w:val="final"/>
    <w:docVar w:name="LW_REF.INST.NEW_TEXT" w:val="(2018) 6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5?\u1072? \u1088?\u1072?\u1079?\u1088?\u1077?\u1096?\u1077?\u1085?\u1080?\u1077? \u1085?\u1072? \u1054?\u1073?\u1077?\u1076?\u1080?\u1085?\u1077?\u1085?\u1086?\u1090?\u1086? \u1082?\u1088?\u1072?\u1083?\u1089?\u1090?\u1074?\u1086? \u1076?\u1072? \u1087?\u1088?\u1080?\u1083?\u1072?\u1075?\u1072? \u1089?\u1087?\u1077?\u1094?\u1080?\u1072?\u1083?\u1085?\u1072? \u1084?\u1103?\u1088?\u1082?\u1072? \u1079?\u1072? \u1076?\u1077?\u1088?\u1086?\u1075?\u1072?\u1094?\u1080?\u1103? \u1086?\u1090? \u1095?\u1083?\u1077?\u1085?\u1086?\u1074?\u1077? 16 \u1080? 168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AUTO/?uri=OJ:L:2006:347: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937E0-0939-4052-9810-59A3D060E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1787</Words>
  <Characters>10013</Characters>
  <Application>Microsoft Office Word</Application>
  <DocSecurity>0</DocSecurity>
  <Lines>192</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2018-09-13T13:48:00Z</dcterms:created>
  <dcterms:modified xsi:type="dcterms:W3CDTF">2018-09-19T13:42:00Z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