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501748-5F51-4C70-BA30-8F3A5FA5BBF8" style="width:450.75pt;height:4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bookmarkStart w:id="1" w:name="_GoBack"/>
      <w:bookmarkEnd w:id="1"/>
      <w:r>
        <w:rPr>
          <w:rFonts w:ascii="Times New Roman" w:hAnsi="Times New Roman"/>
          <w:b/>
          <w:smallCaps/>
          <w:noProof/>
          <w:color w:val="000000"/>
          <w:sz w:val="24"/>
        </w:rPr>
        <w:lastRenderedPageBreak/>
        <w:t>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Une bonne gestion des déchets est une composante de l’économie circulaire et contribue à empêcher que les déchets aient des répercussions négatives sur l’environnement et sur la santé. Une mise en œuvre appropriée de la législation de l’UE en matière de déchets accélérera la transition vers l'économie circulaire. Les acteurs locaux ont un rôle essentiel à jouer dans la gestion des déchets, et leur participation à l’élaboration et à la mise en œuvre des politiques, de même que le soutien de leurs activités, sont nécessaires pour garantir le respect de la législation de l’UE.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présent rapport évalue la façon dont les États membres mettent en œuvre les éléments clés de cette législation, recense les difficultés qui empêchent une totale mise en conformité et fournit des recommandations en vue d’améliorer la gestion de certains flux de déchets.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 rapport s’appuie sur les informations fournies dans les rapports nationaux relatifs à la mise en œuvre des directives suivantes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couvrant la période 2013-2015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2008/98/CE relative aux déchets («directive-cadre sur les déchets»);</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2002/96/CE et la directive 2012/19/UE relatives aux déchets d’équipements électriques et électroniques («directive DEEE»);</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94/62/CE relative aux emballages et aux déchets d’emballages («directive relative aux emballages et aux déchets d’emballage»);</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1999/31/CE concernant la mise en décharge des déchets («directive concernant la mise en décharge»); et</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86/278/CEE relative aux boues d’épuration («directive relative aux boues d’épuration»)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Ces informations sont complétées par de récentes études approfondies sur plusieurs flux de déchets, notamment les déchets municipaux (étude d'alerte précoce)</w:t>
      </w:r>
      <w:bookmarkStart w:id="2" w:name="_Ref510018215"/>
      <w:r>
        <w:rPr>
          <w:rStyle w:val="FootnoteReference"/>
          <w:rFonts w:ascii="Times New Roman" w:hAnsi="Times New Roman" w:cs="Times New Roman"/>
          <w:noProof/>
          <w:sz w:val="24"/>
          <w:szCs w:val="24"/>
        </w:rPr>
        <w:footnoteReference w:id="4"/>
      </w:r>
      <w:bookmarkStart w:id="3" w:name="_Ref510018573"/>
      <w:bookmarkEnd w:id="2"/>
      <w:r>
        <w:rPr>
          <w:rStyle w:val="FootnoteReference"/>
          <w:rFonts w:ascii="Times New Roman" w:hAnsi="Times New Roman" w:cs="Times New Roman"/>
          <w:noProof/>
          <w:sz w:val="24"/>
          <w:szCs w:val="24"/>
        </w:rPr>
        <w:t>,</w:t>
      </w:r>
      <w:bookmarkStart w:id="4" w:name="_Ref519504257"/>
      <w:r>
        <w:rPr>
          <w:rStyle w:val="FootnoteReference"/>
          <w:rFonts w:ascii="Times New Roman" w:hAnsi="Times New Roman" w:cs="Times New Roman"/>
          <w:noProof/>
          <w:sz w:val="24"/>
          <w:szCs w:val="24"/>
        </w:rPr>
        <w:footnoteReference w:id="5"/>
      </w:r>
      <w:bookmarkEnd w:id="3"/>
      <w:bookmarkEnd w:id="4"/>
      <w:r>
        <w:rPr>
          <w:rFonts w:ascii="Times New Roman" w:hAnsi="Times New Roman" w:cs="Times New Roman"/>
          <w:noProof/>
          <w:sz w:val="24"/>
          <w:szCs w:val="24"/>
        </w:rPr>
        <w:t>, les déchets de construction et de démolition</w:t>
      </w:r>
      <w:r>
        <w:rPr>
          <w:rStyle w:val="FootnoteReference"/>
          <w:rFonts w:ascii="Times New Roman" w:hAnsi="Times New Roman" w:cs="Times New Roman"/>
          <w:i/>
          <w:noProof/>
          <w:sz w:val="24"/>
          <w:szCs w:val="24"/>
        </w:rPr>
        <w:footnoteReference w:id="6"/>
      </w:r>
      <w:r>
        <w:rPr>
          <w:rFonts w:ascii="Times New Roman" w:hAnsi="Times New Roman" w:cs="Times New Roman"/>
          <w:noProof/>
          <w:sz w:val="24"/>
          <w:szCs w:val="24"/>
        </w:rPr>
        <w:t>, les déchets dangereux</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et les déchets d’équipements électriques et électroniques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Déchets municipaux - rapport d’alerte précoce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 2016, les Européens ont généré en moyenne 480 kg de déchets municipaux par personne, dont 46 % ont été recyclés ou compostés, tandis qu’un quart a été mis en décharge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Les déchets municipaux représentent seulement quelque 10 % du total des déchets générés dans l’UE, mais constituent l’un des flux de déchets les plus complexes en raison de sa composition variée, du grand nombre de producteurs et de la fragmentation des responsabilités.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directive-cadre sur les déchets prévoit des obligations légales en matière de gestion des déchets municipaux (déchets des ménages et similaires). Parmi ces obligations figure un objectif de préparation en vue du réemploi/du recyclage des déchets municipaux de 50 %</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à atteindre d’ici à 2020. La directive a récemment fait l’objet d’une révision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afin d’y inclure de nouveaux objectifs plus ambitieux: 55 % d’ici à 2025, 60 % d’ici à 2030 et 65 % d’ici à 2035</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La directive révisée introduit également un système de rapports d’alerte visant à évaluer, trois ans avant les échéances respectives, les progrès accomplis par les États membres en vue de la réalisation de ces objectifs.</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prévision de cet exercice, et afin d’aider les États membres à atteindre l’objectif 2020, la Commission a déjà effectué sa première étude d’alerte précoce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Sur la base d’un examen approfondi des performances des États membres en matière de recyclage et de leurs politiques relatives aux déchets, </w:t>
      </w:r>
      <w:r>
        <w:rPr>
          <w:rFonts w:ascii="Times New Roman" w:hAnsi="Times New Roman" w:cs="Times New Roman"/>
          <w:b/>
          <w:noProof/>
          <w:sz w:val="24"/>
          <w:szCs w:val="24"/>
        </w:rPr>
        <w:t>14 États membres</w:t>
      </w:r>
      <w:r>
        <w:rPr>
          <w:rFonts w:ascii="Times New Roman" w:hAnsi="Times New Roman" w:cs="Times New Roman"/>
          <w:noProof/>
          <w:sz w:val="24"/>
          <w:szCs w:val="24"/>
        </w:rPr>
        <w:t xml:space="preserve"> ont été recensés comme </w:t>
      </w:r>
      <w:r>
        <w:rPr>
          <w:rFonts w:ascii="Times New Roman" w:hAnsi="Times New Roman" w:cs="Times New Roman"/>
          <w:b/>
          <w:noProof/>
          <w:sz w:val="24"/>
          <w:szCs w:val="24"/>
        </w:rPr>
        <w:t>risquant de ne pas atteindre l’objectif de 50 % à l'horizon 2020</w:t>
      </w:r>
      <w:r>
        <w:rPr>
          <w:rStyle w:val="FootnoteReference"/>
          <w:rFonts w:ascii="Times New Roman" w:hAnsi="Times New Roman" w:cs="Times New Roman"/>
          <w:noProof/>
          <w:sz w:val="24"/>
          <w:szCs w:val="24"/>
        </w:rPr>
        <w:footnoteReference w:id="14"/>
      </w:r>
      <w:r>
        <w:rPr>
          <w:rFonts w:ascii="Times New Roman" w:hAnsi="Times New Roman" w:cs="Times New Roman"/>
          <w:b/>
          <w:noProof/>
          <w:sz w:val="24"/>
          <w:szCs w:val="24"/>
        </w:rPr>
        <w:t>. Ces États sont la Bulgarie, Chypre, la Croatie, l’Espagne, l’Estonie, la Finlande, la Grèce, la Hongrie, la Lettonie, Malte, la Pologne, le Portugal, la Roumanie et la Slovaquie.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modèle de scénario utilisé pour cet exercice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 confirmé cette constatation et conclu qu’en l’absence de mesures supplémentaires, certains des États membres concernés n’atteindraient probablement même pas l’objectif de 50 % en 2025.</w:t>
      </w:r>
    </w:p>
    <w:p>
      <w:pPr>
        <w:spacing w:before="240" w:after="120" w:line="24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Selon les problèmes et les besoins spécifiques de chaque État membre et </w:t>
      </w:r>
      <w:r>
        <w:rPr>
          <w:rFonts w:ascii="Times New Roman" w:hAnsi="Times New Roman" w:cs="Times New Roman"/>
          <w:noProof/>
          <w:sz w:val="24"/>
          <w:szCs w:val="24"/>
        </w:rPr>
        <w:t xml:space="preserve">en fonction du chemin leur restant à parcourir pour atteindre l’objectif fixé pour 2020, des </w:t>
      </w:r>
      <w:r>
        <w:rPr>
          <w:rFonts w:ascii="Times New Roman" w:hAnsi="Times New Roman" w:cs="Times New Roman"/>
          <w:b/>
          <w:noProof/>
          <w:sz w:val="24"/>
          <w:szCs w:val="24"/>
        </w:rPr>
        <w:t>actions</w:t>
      </w:r>
      <w:r>
        <w:rPr>
          <w:rFonts w:ascii="Times New Roman" w:hAnsi="Times New Roman" w:cs="Times New Roman"/>
          <w:noProof/>
          <w:sz w:val="24"/>
          <w:szCs w:val="24"/>
        </w:rPr>
        <w:t xml:space="preserve"> spécifiques propres à réduire l'écart et associant étroitement les autorités nationales ont été envisagées pour chaque pays. L’évaluation au titre d’alerte précoce qui fait l'objet du présent rapport se fonde également sur les actions de promotion de la conformité</w:t>
      </w:r>
      <w:r>
        <w:rPr>
          <w:rStyle w:val="FootnoteReference"/>
          <w:rFonts w:ascii="Times New Roman" w:eastAsiaTheme="majorEastAsia" w:hAnsi="Times New Roman" w:cs="Times New Roman"/>
          <w:noProof/>
          <w:sz w:val="24"/>
          <w:szCs w:val="24"/>
        </w:rPr>
        <w:footnoteReference w:id="16"/>
      </w:r>
      <w:r>
        <w:rPr>
          <w:rFonts w:ascii="Times New Roman" w:hAnsi="Times New Roman" w:cs="Times New Roman"/>
          <w:noProof/>
          <w:sz w:val="24"/>
          <w:szCs w:val="24"/>
        </w:rPr>
        <w:t xml:space="preserve"> menées précédemment par la Commission en collaboration avec les États membres. </w:t>
      </w:r>
      <w:r>
        <w:rPr>
          <w:rFonts w:ascii="Times New Roman" w:hAnsi="Times New Roman" w:cs="Times New Roman"/>
          <w:b/>
          <w:noProof/>
          <w:sz w:val="24"/>
          <w:szCs w:val="24"/>
        </w:rPr>
        <w:t>Si elles sont mises en œuvre sans délai</w:t>
      </w:r>
      <w:r>
        <w:rPr>
          <w:rFonts w:ascii="Times New Roman" w:hAnsi="Times New Roman" w:cs="Times New Roman"/>
          <w:noProof/>
          <w:sz w:val="24"/>
          <w:szCs w:val="24"/>
        </w:rPr>
        <w:t xml:space="preserve"> par les autorités nationales et locales, les actions suggérées réduiront de manière significative le risque de ne pas atteindre les objectifs. Les documents de travail des services de la Commission qui accompagnent le présent rapport décrivent ces actions. Dans ce contexte, plusieurs priorités communes peuvent aussi être définies.</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Encadré 1: gestion des déchets municipaux</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b/>
                <w:noProof/>
                <w:sz w:val="24"/>
                <w:szCs w:val="24"/>
              </w:rPr>
              <w:t xml:space="preserve">Répercuter les objectifs nationaux </w:t>
            </w:r>
            <w:r>
              <w:rPr>
                <w:rFonts w:ascii="Times New Roman" w:hAnsi="Times New Roman" w:cs="Times New Roman"/>
                <w:b/>
                <w:noProof/>
                <w:sz w:val="24"/>
                <w:szCs w:val="24"/>
              </w:rPr>
              <w:t>de recyclage au niveau municipal,</w:t>
            </w:r>
            <w:r>
              <w:rPr>
                <w:rFonts w:ascii="Times New Roman" w:eastAsiaTheme="majorEastAsia" w:hAnsi="Times New Roman" w:cs="Times New Roman"/>
                <w:b/>
                <w:noProof/>
                <w:sz w:val="24"/>
                <w:szCs w:val="24"/>
              </w:rPr>
              <w:t xml:space="preserve"> </w:t>
            </w:r>
            <w:r>
              <w:rPr>
                <w:rFonts w:ascii="Times New Roman" w:hAnsi="Times New Roman" w:cs="Times New Roman"/>
                <w:noProof/>
                <w:sz w:val="24"/>
                <w:szCs w:val="24"/>
              </w:rPr>
              <w:t xml:space="preserve">où s'exerce la compétence en matière de collecte des déchets, et faire en sorte que </w:t>
            </w:r>
            <w:r>
              <w:rPr>
                <w:rFonts w:ascii="Times New Roman" w:hAnsi="Times New Roman" w:cs="Times New Roman"/>
                <w:b/>
                <w:noProof/>
                <w:sz w:val="24"/>
                <w:szCs w:val="24"/>
              </w:rPr>
              <w:t>les communes qui ne respectent pas ces objectifs aient à en assumer les conséquences</w:t>
            </w:r>
            <w:r>
              <w:rPr>
                <w:rFonts w:ascii="Times New Roman" w:hAnsi="Times New Roman" w:cs="Times New Roman"/>
                <w:noProof/>
                <w:sz w:val="24"/>
                <w:szCs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 xml:space="preserve">Mettre en place des mesures (notamment des taxes) </w:t>
            </w:r>
            <w:r>
              <w:rPr>
                <w:rFonts w:ascii="Times New Roman" w:hAnsi="Times New Roman" w:cs="Times New Roman"/>
                <w:b/>
                <w:noProof/>
                <w:sz w:val="24"/>
                <w:szCs w:val="24"/>
              </w:rPr>
              <w:t>afin d’éliminer progressivement la mise en décharge et d’autres formes de traitement des déchets résiduels</w:t>
            </w:r>
            <w:r>
              <w:rPr>
                <w:rFonts w:ascii="Times New Roman" w:hAnsi="Times New Roman" w:cs="Times New Roman"/>
                <w:noProof/>
                <w:sz w:val="24"/>
                <w:szCs w:val="24"/>
              </w:rPr>
              <w:t xml:space="preserve"> (p.ex. traitement biomécanique et incinération) afin de créer des incitations économiques pour soutenir la hiérarchie des déchets</w:t>
            </w:r>
            <w:r>
              <w:rPr>
                <w:rStyle w:val="FootnoteReference"/>
                <w:rFonts w:ascii="Times New Roman" w:eastAsiaTheme="majorEastAsia" w:hAnsi="Times New Roman" w:cs="Times New Roman"/>
                <w:noProof/>
                <w:sz w:val="24"/>
                <w:szCs w:val="24"/>
              </w:rPr>
              <w:footnoteReference w:id="17"/>
            </w:r>
            <w:r>
              <w:rPr>
                <w:rFonts w:ascii="Times New Roman" w:hAnsi="Times New Roman" w:cs="Times New Roman"/>
                <w:noProof/>
                <w:sz w:val="24"/>
                <w:szCs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Élaborer, en collaboration avec les autorités locales et régionales, des orientations à l’intention des communes, sous la forme d’une </w:t>
            </w:r>
            <w:r>
              <w:rPr>
                <w:rFonts w:ascii="Times New Roman" w:eastAsiaTheme="majorEastAsia" w:hAnsi="Times New Roman" w:cs="Times New Roman"/>
                <w:b/>
                <w:noProof/>
                <w:sz w:val="24"/>
                <w:szCs w:val="24"/>
              </w:rPr>
              <w:t>norme de service minimal pour la collecte séparée</w:t>
            </w:r>
            <w:r>
              <w:rPr>
                <w:rFonts w:ascii="Times New Roman" w:eastAsiaTheme="majorEastAsia" w:hAnsi="Times New Roman" w:cs="Times New Roman"/>
                <w:noProof/>
                <w:sz w:val="24"/>
                <w:szCs w:val="24"/>
              </w:rPr>
              <w:t xml:space="preserve">. Organiser </w:t>
            </w:r>
            <w:r>
              <w:rPr>
                <w:rFonts w:ascii="Times New Roman" w:hAnsi="Times New Roman" w:cs="Times New Roman"/>
                <w:noProof/>
                <w:sz w:val="24"/>
                <w:szCs w:val="24"/>
              </w:rPr>
              <w:t xml:space="preserve">au niveau national des </w:t>
            </w:r>
            <w:r>
              <w:rPr>
                <w:rFonts w:ascii="Times New Roman" w:hAnsi="Times New Roman" w:cs="Times New Roman"/>
                <w:b/>
                <w:noProof/>
                <w:sz w:val="24"/>
                <w:szCs w:val="24"/>
              </w:rPr>
              <w:t>programmes de soutien technique et de renforcement des capacités</w:t>
            </w:r>
            <w:r>
              <w:rPr>
                <w:rFonts w:ascii="Times New Roman" w:hAnsi="Times New Roman" w:cs="Times New Roman"/>
                <w:noProof/>
                <w:sz w:val="24"/>
                <w:szCs w:val="24"/>
              </w:rPr>
              <w:t xml:space="preserve"> pour les </w:t>
            </w:r>
            <w:r>
              <w:rPr>
                <w:rFonts w:ascii="Times New Roman" w:hAnsi="Times New Roman" w:cs="Times New Roman"/>
                <w:b/>
                <w:noProof/>
                <w:sz w:val="24"/>
                <w:szCs w:val="24"/>
              </w:rPr>
              <w:t>communes</w:t>
            </w:r>
            <w:r>
              <w:rPr>
                <w:rFonts w:ascii="Times New Roman" w:hAnsi="Times New Roman" w:cs="Times New Roman"/>
                <w:noProof/>
                <w:sz w:val="24"/>
                <w:szCs w:val="24"/>
              </w:rPr>
              <w:t>.</w:t>
            </w:r>
            <w:r>
              <w:rPr>
                <w:rFonts w:ascii="Times New Roman" w:eastAsiaTheme="majorEastAsia" w:hAnsi="Times New Roman" w:cs="Times New Roman"/>
                <w:b/>
                <w:noProof/>
                <w:sz w:val="24"/>
                <w:szCs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Rendre</w:t>
            </w:r>
            <w:r>
              <w:rPr>
                <w:rFonts w:ascii="Times New Roman" w:hAnsi="Times New Roman" w:cs="Times New Roman"/>
                <w:b/>
                <w:noProof/>
                <w:sz w:val="24"/>
                <w:szCs w:val="24"/>
              </w:rPr>
              <w:t xml:space="preserve"> obligatoire le tri des biodéchets et </w:t>
            </w:r>
            <w:r>
              <w:rPr>
                <w:rFonts w:ascii="Times New Roman" w:hAnsi="Times New Roman" w:cs="Times New Roman"/>
                <w:noProof/>
                <w:sz w:val="24"/>
                <w:szCs w:val="24"/>
              </w:rPr>
              <w:t xml:space="preserve">veiller à ce que l’infrastructure de traitement existante ou prévue soit adaptée aux systèmes de collecte.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Encourager la </w:t>
            </w:r>
            <w:r>
              <w:rPr>
                <w:rFonts w:ascii="Times New Roman" w:eastAsiaTheme="majorEastAsia" w:hAnsi="Times New Roman" w:cs="Times New Roman"/>
                <w:b/>
                <w:noProof/>
                <w:sz w:val="24"/>
                <w:szCs w:val="24"/>
              </w:rPr>
              <w:t xml:space="preserve">coopération entre </w:t>
            </w:r>
            <w:r>
              <w:rPr>
                <w:rFonts w:ascii="Times New Roman" w:hAnsi="Times New Roman" w:cs="Times New Roman"/>
                <w:b/>
                <w:noProof/>
                <w:sz w:val="24"/>
                <w:szCs w:val="24"/>
              </w:rPr>
              <w:t xml:space="preserve">communes </w:t>
            </w:r>
            <w:r>
              <w:rPr>
                <w:rFonts w:ascii="Times New Roman" w:hAnsi="Times New Roman" w:cs="Times New Roman"/>
                <w:noProof/>
                <w:sz w:val="24"/>
                <w:szCs w:val="24"/>
              </w:rPr>
              <w:t>en matière de planification des infrastructures ou de passation des marchés afin de garantir les économies d’échelle et le partage de la charge financière.</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b/>
                <w:noProof/>
                <w:sz w:val="24"/>
                <w:szCs w:val="24"/>
              </w:rPr>
              <w:t>Améliorer les régimes de responsabilité élargie des producteurs</w:t>
            </w:r>
            <w:r>
              <w:rPr>
                <w:rFonts w:ascii="Times New Roman" w:eastAsiaTheme="majorEastAsia" w:hAnsi="Times New Roman" w:cs="Times New Roman"/>
                <w:noProof/>
                <w:sz w:val="24"/>
                <w:szCs w:val="24"/>
              </w:rPr>
              <w:t xml:space="preserve">, au moins </w:t>
            </w:r>
            <w:r>
              <w:rPr>
                <w:rFonts w:ascii="Times New Roman" w:hAnsi="Times New Roman" w:cs="Times New Roman"/>
                <w:noProof/>
                <w:sz w:val="24"/>
                <w:szCs w:val="24"/>
              </w:rPr>
              <w:t>conformément aux exigences minimales générales établies dans la directive-cadre révisée sur les déchets.</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 xml:space="preserve">Prendre des </w:t>
            </w:r>
            <w:r>
              <w:rPr>
                <w:rFonts w:ascii="Times New Roman" w:hAnsi="Times New Roman" w:cs="Times New Roman"/>
                <w:b/>
                <w:noProof/>
                <w:sz w:val="24"/>
                <w:szCs w:val="24"/>
              </w:rPr>
              <w:t xml:space="preserve">mesures pour encourager les ménages à trier leurs déchets, notamment une fréquence de collecte plus élevée pour </w:t>
            </w:r>
            <w:r>
              <w:rPr>
                <w:rFonts w:ascii="Times New Roman" w:hAnsi="Times New Roman" w:cs="Times New Roman"/>
                <w:noProof/>
                <w:sz w:val="24"/>
                <w:szCs w:val="24"/>
              </w:rPr>
              <w:t>les flux séparés que pour les déchets mixtes.</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b/>
                <w:noProof/>
                <w:sz w:val="24"/>
                <w:szCs w:val="24"/>
              </w:rPr>
              <w:t xml:space="preserve">Améliorer le suivi et la communication d’informations, </w:t>
            </w:r>
            <w:r>
              <w:rPr>
                <w:rFonts w:ascii="Times New Roman" w:eastAsiaTheme="majorEastAsia" w:hAnsi="Times New Roman" w:cs="Times New Roman"/>
                <w:noProof/>
                <w:sz w:val="24"/>
                <w:szCs w:val="24"/>
              </w:rPr>
              <w:t xml:space="preserve">notamment en </w:t>
            </w:r>
            <w:r>
              <w:rPr>
                <w:rFonts w:ascii="Times New Roman" w:hAnsi="Times New Roman" w:cs="Times New Roman"/>
                <w:noProof/>
                <w:sz w:val="24"/>
                <w:szCs w:val="24"/>
              </w:rPr>
              <w:t>veillant à ce que les données soient recueillies au niveau municipal.</w:t>
            </w:r>
          </w:p>
          <w:p>
            <w:pPr>
              <w:pStyle w:val="ListParagraph"/>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Utiliser </w:t>
            </w:r>
            <w:r>
              <w:rPr>
                <w:rFonts w:ascii="Times New Roman" w:hAnsi="Times New Roman" w:cs="Times New Roman"/>
                <w:noProof/>
                <w:sz w:val="24"/>
                <w:szCs w:val="24"/>
              </w:rPr>
              <w:t xml:space="preserve">plus efficacement les fonds de l’UE pour développer des infrastructures de gestion des déchets en veillant à ce que le cofinancement </w:t>
            </w:r>
            <w:r>
              <w:rPr>
                <w:rFonts w:ascii="Times New Roman" w:hAnsi="Times New Roman" w:cs="Times New Roman"/>
                <w:b/>
                <w:noProof/>
                <w:sz w:val="24"/>
                <w:szCs w:val="24"/>
              </w:rPr>
              <w:t>encourage la prévention, la réutilisation et le recyclage.</w:t>
            </w:r>
          </w:p>
        </w:tc>
      </w:tr>
    </w:tbl>
    <w:p>
      <w:pPr>
        <w:pStyle w:val="ListParagraph"/>
        <w:spacing w:after="120" w:line="240" w:lineRule="auto"/>
        <w:jc w:val="both"/>
        <w:rPr>
          <w:rFonts w:ascii="Times New Roman" w:hAnsi="Times New Roman" w:cs="Times New Roman"/>
          <w:noProof/>
          <w:sz w:val="24"/>
          <w:szCs w:val="24"/>
        </w:rPr>
      </w:pP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Déchets de construction et de démolition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déchets de construction et de démolition constituent le principal flux de déchets dans l’UE en pourcentage massique et représentent plus de 800 millions de tonnes par an, soit quelque 32 % du total des déchets générés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gestion de ce flux de déchets est largement améliorable sur le plan de l'utilisation efficace des ressources.. Ce flux se compose d’un mélange de différents matériaux, dont des déchets inertes, non inertes, non dangereux ou dangereux. Il est principalement constitué d'une fraction minérale (briques, dalles, béton, etc.), qui est relativement lourde et facilement recyclable, mais dont la valeur est faible.</w:t>
      </w:r>
      <w:r>
        <w:rPr>
          <w:rFonts w:ascii="Times New Roman" w:hAnsi="Times New Roman" w:cs="Times New Roman"/>
          <w:noProof/>
        </w:rPr>
        <w:t xml:space="preserve"> </w:t>
      </w:r>
      <w:r>
        <w:rPr>
          <w:rFonts w:ascii="Times New Roman" w:hAnsi="Times New Roman" w:cs="Times New Roman"/>
          <w:noProof/>
          <w:sz w:val="24"/>
          <w:szCs w:val="24"/>
        </w:rPr>
        <w:t>Il contient également des matériaux à valeur marchande positive (métaux) ou qui ont une valeur potentielle à condition d'être collectés séparément pour obtenir des fractions propres (comme les matières plastiques).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Pour ce flux de déchets, la directive-cadre sur les déchets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fixe un </w:t>
      </w:r>
      <w:r>
        <w:rPr>
          <w:rFonts w:ascii="Times New Roman" w:hAnsi="Times New Roman" w:cs="Times New Roman"/>
          <w:b/>
          <w:noProof/>
          <w:sz w:val="24"/>
          <w:szCs w:val="24"/>
        </w:rPr>
        <w:t xml:space="preserve">objectif de préparation en vue du réemploi, de recyclage et d’autres formes de valorisation des matières de 70 % d’ici à 2020. Les performances des États membres </w:t>
      </w:r>
      <w:r>
        <w:rPr>
          <w:rFonts w:ascii="Times New Roman" w:hAnsi="Times New Roman" w:cs="Times New Roman"/>
          <w:noProof/>
          <w:sz w:val="24"/>
          <w:szCs w:val="24"/>
        </w:rPr>
        <w:t xml:space="preserve">à cet égard varient sensiblement, plus de la moitié déclarant avoir atteint l’objectif 2020 au cours de la période 2013-2015 et certains ayant même atteint 90 % de revalorisation. Toutefois, </w:t>
      </w:r>
      <w:r>
        <w:rPr>
          <w:rFonts w:ascii="Times New Roman" w:hAnsi="Times New Roman" w:cs="Times New Roman"/>
          <w:b/>
          <w:noProof/>
          <w:sz w:val="24"/>
          <w:szCs w:val="24"/>
        </w:rPr>
        <w:t>Chypre</w:t>
      </w:r>
      <w:r>
        <w:rPr>
          <w:rFonts w:ascii="Times New Roman" w:hAnsi="Times New Roman" w:cs="Times New Roman"/>
          <w:noProof/>
          <w:sz w:val="24"/>
          <w:szCs w:val="24"/>
        </w:rPr>
        <w:t xml:space="preserve">, la </w:t>
      </w:r>
      <w:r>
        <w:rPr>
          <w:rFonts w:ascii="Times New Roman" w:hAnsi="Times New Roman" w:cs="Times New Roman"/>
          <w:b/>
          <w:noProof/>
          <w:sz w:val="24"/>
          <w:szCs w:val="24"/>
        </w:rPr>
        <w:t>Grèce</w:t>
      </w:r>
      <w:r>
        <w:rPr>
          <w:rFonts w:ascii="Times New Roman" w:hAnsi="Times New Roman" w:cs="Times New Roman"/>
          <w:noProof/>
          <w:sz w:val="24"/>
          <w:szCs w:val="24"/>
        </w:rPr>
        <w:t xml:space="preserve">, la </w:t>
      </w:r>
      <w:r>
        <w:rPr>
          <w:rFonts w:ascii="Times New Roman" w:hAnsi="Times New Roman" w:cs="Times New Roman"/>
          <w:b/>
          <w:noProof/>
          <w:sz w:val="24"/>
          <w:szCs w:val="24"/>
        </w:rPr>
        <w:t>Slovaquie</w:t>
      </w:r>
      <w:r>
        <w:rPr>
          <w:rFonts w:ascii="Times New Roman" w:hAnsi="Times New Roman" w:cs="Times New Roman"/>
          <w:noProof/>
          <w:sz w:val="24"/>
          <w:szCs w:val="24"/>
        </w:rPr>
        <w:t xml:space="preserve"> et la </w:t>
      </w:r>
      <w:r>
        <w:rPr>
          <w:rFonts w:ascii="Times New Roman" w:hAnsi="Times New Roman" w:cs="Times New Roman"/>
          <w:b/>
          <w:noProof/>
          <w:sz w:val="24"/>
          <w:szCs w:val="24"/>
        </w:rPr>
        <w:t>Suède</w:t>
      </w:r>
      <w:r>
        <w:rPr>
          <w:rFonts w:ascii="Times New Roman" w:hAnsi="Times New Roman" w:cs="Times New Roman"/>
          <w:noProof/>
          <w:sz w:val="24"/>
          <w:szCs w:val="24"/>
        </w:rPr>
        <w:t xml:space="preserve"> restent sous la barre des 60 %</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Des incertitudes subsistent quant aux chiffres fournis par certains États membres.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Une récente étude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sur la gestion des déchets de construction et de démolition dans l’UE a permis de définir les actions clés ci-après.</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line="276" w:lineRule="auto"/>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Encadré 2: gestion des déchets de construction et de démolition</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Promouvoir la prévention des déchets </w:t>
            </w:r>
            <w:r>
              <w:rPr>
                <w:rFonts w:ascii="Times New Roman" w:hAnsi="Times New Roman" w:cs="Times New Roman"/>
                <w:noProof/>
                <w:sz w:val="24"/>
                <w:szCs w:val="24"/>
              </w:rPr>
              <w:t>grâce à la conception intelligente, à l’extension de la durée de vie des constructions, au réemploi et à l’amélioration de la planification et de la logistique sur les chantiers de construction.</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Promouvoir </w:t>
            </w:r>
            <w:r>
              <w:rPr>
                <w:rFonts w:ascii="Times New Roman" w:hAnsi="Times New Roman" w:cs="Times New Roman"/>
                <w:b/>
                <w:noProof/>
                <w:sz w:val="24"/>
                <w:szCs w:val="24"/>
              </w:rPr>
              <w:t>la démolition sélective et le tri à la source</w:t>
            </w:r>
            <w:r>
              <w:rPr>
                <w:rFonts w:ascii="Times New Roman" w:hAnsi="Times New Roman" w:cs="Times New Roman"/>
                <w:noProof/>
                <w:sz w:val="24"/>
                <w:szCs w:val="24"/>
              </w:rPr>
              <w:t xml:space="preserve">. </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Mettre en pratique les </w:t>
            </w:r>
            <w:r>
              <w:rPr>
                <w:rFonts w:ascii="Times New Roman" w:hAnsi="Times New Roman" w:cs="Times New Roman"/>
                <w:b/>
                <w:noProof/>
                <w:sz w:val="24"/>
                <w:szCs w:val="24"/>
              </w:rPr>
              <w:t>orientations européennes</w:t>
            </w:r>
            <w:r>
              <w:rPr>
                <w:rFonts w:ascii="Times New Roman" w:hAnsi="Times New Roman" w:cs="Times New Roman"/>
                <w:noProof/>
                <w:sz w:val="24"/>
                <w:szCs w:val="24"/>
              </w:rPr>
              <w:t xml:space="preserve"> (audits de pré-démolition et protocole de gestion)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Utiliser des </w:t>
            </w:r>
            <w:r>
              <w:rPr>
                <w:rFonts w:ascii="Times New Roman" w:hAnsi="Times New Roman" w:cs="Times New Roman"/>
                <w:b/>
                <w:noProof/>
                <w:sz w:val="24"/>
                <w:szCs w:val="24"/>
              </w:rPr>
              <w:t>instruments économiques</w:t>
            </w:r>
            <w:r>
              <w:rPr>
                <w:rFonts w:ascii="Times New Roman" w:hAnsi="Times New Roman" w:cs="Times New Roman"/>
                <w:noProof/>
                <w:sz w:val="24"/>
                <w:szCs w:val="24"/>
              </w:rPr>
              <w:t xml:space="preserve"> pour détourner ce flux de déchets des décharges.</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Limiter les opérations de remblayage</w:t>
            </w:r>
            <w:r>
              <w:rPr>
                <w:rFonts w:ascii="Times New Roman" w:hAnsi="Times New Roman" w:cs="Times New Roman"/>
                <w:noProof/>
                <w:sz w:val="24"/>
                <w:szCs w:val="24"/>
              </w:rPr>
              <w:t xml:space="preserve"> à celles qui sont conformes à la définition figurant dans la directive-cadre sur les déchets.</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Encourager la pénétration de produits recyclés sur le marché au moyen de </w:t>
            </w:r>
            <w:r>
              <w:rPr>
                <w:rFonts w:ascii="Times New Roman" w:hAnsi="Times New Roman" w:cs="Times New Roman"/>
                <w:b/>
                <w:noProof/>
                <w:sz w:val="24"/>
                <w:szCs w:val="24"/>
              </w:rPr>
              <w:t>certificats de qualité</w:t>
            </w:r>
            <w:r>
              <w:rPr>
                <w:rFonts w:ascii="Times New Roman" w:hAnsi="Times New Roman" w:cs="Times New Roman"/>
                <w:noProof/>
                <w:sz w:val="24"/>
                <w:szCs w:val="24"/>
              </w:rPr>
              <w:t xml:space="preserve"> et/ou de </w:t>
            </w:r>
            <w:r>
              <w:rPr>
                <w:rFonts w:ascii="Times New Roman" w:hAnsi="Times New Roman" w:cs="Times New Roman"/>
                <w:b/>
                <w:noProof/>
                <w:sz w:val="24"/>
                <w:szCs w:val="24"/>
              </w:rPr>
              <w:t>critères déterminant la fin du statut de déchet</w:t>
            </w:r>
            <w:r>
              <w:rPr>
                <w:rFonts w:ascii="Times New Roman" w:hAnsi="Times New Roman" w:cs="Times New Roman"/>
                <w:noProof/>
                <w:sz w:val="24"/>
                <w:szCs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Généraliser le recours aux </w:t>
            </w:r>
            <w:r>
              <w:rPr>
                <w:rFonts w:ascii="Times New Roman" w:hAnsi="Times New Roman" w:cs="Times New Roman"/>
                <w:b/>
                <w:noProof/>
                <w:sz w:val="24"/>
                <w:szCs w:val="24"/>
              </w:rPr>
              <w:t>marchés publics écologiques</w:t>
            </w:r>
            <w:r>
              <w:rPr>
                <w:rFonts w:ascii="Times New Roman" w:hAnsi="Times New Roman" w:cs="Times New Roman"/>
                <w:noProof/>
                <w:sz w:val="24"/>
                <w:szCs w:val="24"/>
              </w:rPr>
              <w:t xml:space="preserve"> exigeant du contenu recyclé.</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Améliorer la </w:t>
            </w:r>
            <w:r>
              <w:rPr>
                <w:rFonts w:ascii="Times New Roman" w:hAnsi="Times New Roman" w:cs="Times New Roman"/>
                <w:b/>
                <w:noProof/>
                <w:sz w:val="24"/>
                <w:szCs w:val="24"/>
              </w:rPr>
              <w:t>qualité des statistiques</w:t>
            </w:r>
            <w:r>
              <w:rPr>
                <w:rFonts w:ascii="Times New Roman" w:hAnsi="Times New Roman" w:cs="Times New Roman"/>
                <w:noProof/>
                <w:sz w:val="24"/>
                <w:szCs w:val="24"/>
              </w:rPr>
              <w:t>.</w:t>
            </w:r>
            <w:r>
              <w:rPr>
                <w:rFonts w:ascii="Times New Roman" w:hAnsi="Times New Roman"/>
                <w:noProof/>
                <w:sz w:val="24"/>
              </w:rPr>
              <w:t xml:space="preserve"> </w:t>
            </w:r>
          </w:p>
        </w:tc>
      </w:tr>
    </w:tbl>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Déchets dangereux</w:t>
      </w:r>
    </w:p>
    <w:p>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Les déchets dangereux constituent un flux de déchets relativement faible (moins de 4 % du total des déchets)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mais dont la gestion appropriée est essentielle pour éviter de graves effets délétères sur l’environnement et la santé humaine.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directive-cadre prévoit des obligations en matière d’étiquetage, de tenue des registres, de traçabilité et de contrôles, depuis le stade de la production jusqu’à la destination finale, ainsi que l’interdiction de mélanger les déchets dangereux avec d’autres déchets, substances ou matières.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L’analyse de la gestion des déchets dangereux dans l’UE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notamment en ce qui concerne les PCB/PCT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semble indiquer de graves lacunes dans la mise en œuvre des obligations légales fondamentales. Elle relève notamment une planification inadéquate, des incohérences dans les données et des lacunes statistiques entre la génération et le traitement, ainsi qu'une classification erronée des déchets. L’étude formule des recommandations détaillées propres à chaque pays, qui peuvent être résumées en une liste plus générale d’actions prioritaires.</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Encadré 3: gestion des déchets dangereux</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Améliorer la </w:t>
            </w:r>
            <w:r>
              <w:rPr>
                <w:rFonts w:ascii="Times New Roman" w:hAnsi="Times New Roman" w:cs="Times New Roman"/>
                <w:b/>
                <w:noProof/>
                <w:sz w:val="24"/>
                <w:szCs w:val="24"/>
              </w:rPr>
              <w:t>qualité des plans de gestion des déchets</w:t>
            </w:r>
            <w:r>
              <w:rPr>
                <w:rFonts w:ascii="Times New Roman" w:hAnsi="Times New Roman" w:cs="Times New Roman"/>
                <w:noProof/>
                <w:sz w:val="24"/>
                <w:szCs w:val="24"/>
              </w:rPr>
              <w:t xml:space="preserve"> sur la base d’informations fiables et comparables, de manière à couvrir les déchets dangereux de façon plus exhaustive et à inclure des informations sur les capacités de traitement. </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Adopter de véritables </w:t>
            </w:r>
            <w:r>
              <w:rPr>
                <w:rFonts w:ascii="Times New Roman" w:hAnsi="Times New Roman" w:cs="Times New Roman"/>
                <w:b/>
                <w:noProof/>
                <w:sz w:val="24"/>
                <w:szCs w:val="24"/>
              </w:rPr>
              <w:t>systèmes électroniques de tenue de registres et de traçage</w:t>
            </w:r>
            <w:r>
              <w:rPr>
                <w:rFonts w:ascii="Times New Roman" w:hAnsi="Times New Roman" w:cs="Times New Roman"/>
                <w:noProof/>
                <w:sz w:val="24"/>
                <w:szCs w:val="24"/>
              </w:rPr>
              <w:t>, fiables et interopérables, intégrés dans les systèmes statistiques nationaux et les données sur les transferts de déchets de l’UE.</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Faire en sorte que la </w:t>
            </w:r>
            <w:r>
              <w:rPr>
                <w:rFonts w:ascii="Times New Roman" w:hAnsi="Times New Roman" w:cs="Times New Roman"/>
                <w:b/>
                <w:noProof/>
                <w:sz w:val="24"/>
                <w:szCs w:val="24"/>
              </w:rPr>
              <w:t>hiérarchie des déchets et l’interdiction des mélanges</w:t>
            </w:r>
            <w:r>
              <w:rPr>
                <w:rFonts w:ascii="Times New Roman" w:hAnsi="Times New Roman" w:cs="Times New Roman"/>
                <w:noProof/>
                <w:sz w:val="24"/>
                <w:szCs w:val="24"/>
              </w:rPr>
              <w:t xml:space="preserve"> transparaissent dans la législation nationale, dans les orientations relatives aux choix de traitement et dans les conditions d’autorisation, et veiller à ce qu'elles soient respectées.</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Créer, publier, diffuser et utiliser des </w:t>
            </w:r>
            <w:r>
              <w:rPr>
                <w:rFonts w:ascii="Times New Roman" w:hAnsi="Times New Roman" w:cs="Times New Roman"/>
                <w:b/>
                <w:noProof/>
                <w:sz w:val="24"/>
                <w:szCs w:val="24"/>
              </w:rPr>
              <w:t>orientations claires et harmonisées en matière de classification</w:t>
            </w:r>
            <w:r>
              <w:rPr>
                <w:rFonts w:ascii="Times New Roman" w:hAnsi="Times New Roman" w:cs="Times New Roman"/>
                <w:noProof/>
                <w:sz w:val="24"/>
                <w:szCs w:val="24"/>
              </w:rPr>
              <w:t xml:space="preserve"> et de gestion </w:t>
            </w:r>
            <w:r>
              <w:rPr>
                <w:rFonts w:ascii="Times New Roman" w:hAnsi="Times New Roman" w:cs="Times New Roman"/>
                <w:b/>
                <w:noProof/>
                <w:sz w:val="24"/>
                <w:szCs w:val="24"/>
              </w:rPr>
              <w:t>des déchets</w:t>
            </w:r>
            <w:r>
              <w:rPr>
                <w:rFonts w:ascii="Times New Roman" w:hAnsi="Times New Roman" w:cs="Times New Roman"/>
                <w:noProof/>
                <w:sz w:val="24"/>
                <w:szCs w:val="24"/>
              </w:rPr>
              <w:t>, notamment en ce qui concerne la hiérarchie des déchets. Appliquer les recommandations techniques de la Commission concernant la classification des déchets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Mettre sur pied un </w:t>
            </w:r>
            <w:r>
              <w:rPr>
                <w:rFonts w:ascii="Times New Roman" w:hAnsi="Times New Roman" w:cs="Times New Roman"/>
                <w:b/>
                <w:noProof/>
                <w:sz w:val="24"/>
                <w:szCs w:val="24"/>
              </w:rPr>
              <w:t>système complet d’inspections inopinées et coordonnées</w:t>
            </w:r>
            <w:r>
              <w:rPr>
                <w:rFonts w:ascii="Times New Roman" w:hAnsi="Times New Roman" w:cs="Times New Roman"/>
                <w:noProof/>
                <w:sz w:val="24"/>
                <w:szCs w:val="24"/>
              </w:rPr>
              <w:t xml:space="preserve">. Prendre des mesures contre les opérateurs non autorisés à tous les niveaux. </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Énoncer et mettre pleinement en œuvre la </w:t>
            </w:r>
            <w:r>
              <w:rPr>
                <w:rFonts w:ascii="Times New Roman" w:hAnsi="Times New Roman" w:cs="Times New Roman"/>
                <w:b/>
                <w:noProof/>
                <w:sz w:val="24"/>
                <w:szCs w:val="24"/>
              </w:rPr>
              <w:t>responsabilité partagée des producteurs de déchets</w:t>
            </w:r>
            <w:r>
              <w:rPr>
                <w:rStyle w:val="FootnoteReference"/>
                <w:rFonts w:ascii="Times New Roman" w:hAnsi="Times New Roman" w:cs="Times New Roman"/>
                <w:b/>
                <w:noProof/>
                <w:sz w:val="24"/>
                <w:szCs w:val="24"/>
              </w:rPr>
              <w:footnoteReference w:id="27"/>
            </w:r>
            <w:r>
              <w:rPr>
                <w:rFonts w:ascii="Times New Roman" w:hAnsi="Times New Roman" w:cs="Times New Roman"/>
                <w:noProof/>
                <w:sz w:val="24"/>
                <w:szCs w:val="24"/>
              </w:rPr>
              <w:t xml:space="preserve"> et des autres opérateurs de la chaîne de gestion des déchets dangereux.</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Poursuivre les efforts en vue d’éliminer les </w:t>
            </w:r>
            <w:r>
              <w:rPr>
                <w:rFonts w:ascii="Times New Roman" w:hAnsi="Times New Roman" w:cs="Times New Roman"/>
                <w:b/>
                <w:noProof/>
                <w:sz w:val="24"/>
                <w:szCs w:val="24"/>
              </w:rPr>
              <w:t>PCB/PCT</w:t>
            </w:r>
            <w:r>
              <w:rPr>
                <w:rFonts w:ascii="Times New Roman" w:hAnsi="Times New Roman" w:cs="Times New Roman"/>
                <w:noProof/>
                <w:sz w:val="24"/>
                <w:szCs w:val="24"/>
              </w:rPr>
              <w:t xml:space="preserve">, aussi bien dans les applications en milieu ouvert que dans celles en milieu fermé. </w:t>
            </w:r>
          </w:p>
        </w:tc>
      </w:tr>
    </w:tbl>
    <w:p>
      <w:pPr>
        <w:pStyle w:val="ListParagraph"/>
        <w:spacing w:after="120" w:line="240" w:lineRule="auto"/>
        <w:ind w:left="792"/>
        <w:jc w:val="both"/>
        <w:rPr>
          <w:rFonts w:ascii="Times New Roman" w:hAnsi="Times New Roman" w:cs="Times New Roman"/>
          <w:b/>
          <w:noProof/>
          <w:sz w:val="24"/>
          <w:szCs w:val="24"/>
        </w:r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Déchets d’équipements électriques et électroniques (DEEE)</w:t>
      </w:r>
    </w:p>
    <w:p>
      <w:pPr>
        <w:spacing w:after="120" w:line="240" w:lineRule="auto"/>
        <w:jc w:val="both"/>
        <w:rPr>
          <w:rFonts w:ascii="Times New Roman" w:eastAsia="Times New Roman" w:hAnsi="Times New Roman" w:cs="Times New Roman"/>
          <w:noProof/>
          <w:color w:val="000000"/>
          <w:sz w:val="24"/>
          <w:szCs w:val="24"/>
          <w:shd w:val="clear" w:color="auto" w:fill="FFFFFF"/>
        </w:rPr>
      </w:pPr>
      <w:r>
        <w:rPr>
          <w:rFonts w:ascii="Times New Roman" w:hAnsi="Times New Roman" w:cs="Times New Roman"/>
          <w:noProof/>
          <w:sz w:val="24"/>
          <w:szCs w:val="24"/>
        </w:rPr>
        <w:t>D’après les estimations, quelque 10 millions de tonnes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(0,4 % de la production totale de déchets) de déchets d’équipements électriques et électroniques (DEEE) ont été générées dans l’UE en 2014 - un chiffre susceptible d’augmenter pour atteindre plus de 12 millions de tonnes d’ici à 2020</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Ce flux de déchets </w:t>
      </w:r>
      <w:r>
        <w:rPr>
          <w:rFonts w:ascii="Times New Roman" w:hAnsi="Times New Roman" w:cs="Times New Roman"/>
          <w:noProof/>
          <w:color w:val="000000"/>
          <w:sz w:val="24"/>
          <w:szCs w:val="24"/>
          <w:shd w:val="clear" w:color="auto" w:fill="FFFFFF"/>
        </w:rPr>
        <w:t>se compose d’un mélange complexe de matières et de composants</w:t>
      </w:r>
      <w:r>
        <w:rPr>
          <w:rFonts w:ascii="Times New Roman" w:hAnsi="Times New Roman" w:cs="Times New Roman"/>
          <w:noProof/>
          <w:sz w:val="24"/>
          <w:szCs w:val="24"/>
        </w:rPr>
        <w:t xml:space="preserve">, notamment de différentes substances qui, si elles ne sont pas gérées de manière adéquate, présentent des risques élevés pour l’environnement et la santé humaine. </w:t>
      </w:r>
      <w:r>
        <w:rPr>
          <w:rFonts w:ascii="Times New Roman" w:hAnsi="Times New Roman" w:cs="Times New Roman"/>
          <w:noProof/>
          <w:color w:val="000000"/>
          <w:sz w:val="24"/>
          <w:szCs w:val="24"/>
          <w:shd w:val="clear" w:color="auto" w:fill="FFFFFF"/>
        </w:rPr>
        <w:t>En outre, la production des équipements électroniques modernes nécessite l’utilisation de ressources rares et précieuses.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shd w:val="clear" w:color="auto" w:fill="FFFFFF"/>
        </w:rPr>
        <w:t xml:space="preserve">La directive </w:t>
      </w:r>
      <w:r>
        <w:rPr>
          <w:rFonts w:ascii="Times New Roman" w:hAnsi="Times New Roman" w:cs="Times New Roman"/>
          <w:noProof/>
          <w:sz w:val="24"/>
          <w:szCs w:val="24"/>
        </w:rPr>
        <w:t xml:space="preserve">2012/19/UE a pour objectif d’améliorer la </w:t>
      </w:r>
      <w:r>
        <w:rPr>
          <w:rFonts w:ascii="Times New Roman" w:hAnsi="Times New Roman" w:cs="Times New Roman"/>
          <w:noProof/>
          <w:color w:val="000000"/>
          <w:sz w:val="24"/>
          <w:szCs w:val="24"/>
          <w:shd w:val="clear" w:color="auto" w:fill="FFFFFF"/>
        </w:rPr>
        <w:t>collecte, le traitement et le recyclage des DEEE</w:t>
      </w:r>
      <w:r>
        <w:rPr>
          <w:rFonts w:ascii="Times New Roman" w:hAnsi="Times New Roman" w:cs="Times New Roman"/>
          <w:noProof/>
          <w:sz w:val="24"/>
          <w:szCs w:val="24"/>
        </w:rPr>
        <w:t>. Au cours de la période 2013-2015, le volume de déchets d’équipements collectés auprès des ménages dans l’UE28 a augmenté de 8 %. En 2014, 6,21 kg de déchets d’équipements par personne ont été collectés en moyenne auprès des ménages.</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En 2015, 23 États membres ont atteint l’objectif minimal de collecte de 4 kg de DEEE ménagers par personne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la Suède et le Danemark allant jusqu’à collecter 12 kg, tandis que </w:t>
      </w:r>
      <w:r>
        <w:rPr>
          <w:rFonts w:ascii="Times New Roman" w:hAnsi="Times New Roman" w:cs="Times New Roman"/>
          <w:b/>
          <w:noProof/>
          <w:sz w:val="24"/>
          <w:szCs w:val="24"/>
        </w:rPr>
        <w:t xml:space="preserve">Chypre, la Lettonie, Malte et la Roumanie sont restés très en deçà de l'objectif </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32"/>
      </w:r>
    </w:p>
    <w:p>
      <w:pPr>
        <w:spacing w:after="120"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Depuis 2016, chaque État membre est tenu d’atteindre un objectif de collecte de 45 % des équipements vendus; à partir de 2019, cet objectif sera de 65 % des équipements vendus ou de 85 % des déchets électroniques générés chaque année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Les États membres pourront choisir l’un de ces deux modes équivalents de mesure de l’objectif.</w:t>
      </w:r>
    </w:p>
    <w:p>
      <w:pPr>
        <w:spacing w:after="120" w:line="240" w:lineRule="auto"/>
        <w:jc w:val="both"/>
        <w:rPr>
          <w:rFonts w:ascii="Times New Roman" w:hAnsi="Times New Roman" w:cs="Times New Roman"/>
          <w:noProof/>
          <w:snapToGrid w:val="0"/>
          <w:sz w:val="24"/>
          <w:szCs w:val="24"/>
        </w:rPr>
      </w:pPr>
      <w:r>
        <w:rPr>
          <w:rFonts w:ascii="Times New Roman" w:hAnsi="Times New Roman" w:cs="Times New Roman"/>
          <w:noProof/>
          <w:sz w:val="24"/>
          <w:szCs w:val="24"/>
        </w:rPr>
        <w:t>La Commission a réalisé un exercice de promotion de la conformité</w:t>
      </w:r>
      <w:r>
        <w:rPr>
          <w:rStyle w:val="FootnoteReference"/>
          <w:rFonts w:ascii="Times New Roman" w:hAnsi="Times New Roman" w:cs="Times New Roman"/>
          <w:noProof/>
          <w:snapToGrid w:val="0"/>
          <w:sz w:val="24"/>
          <w:szCs w:val="24"/>
        </w:rPr>
        <w:footnoteReference w:id="34"/>
      </w:r>
      <w:r>
        <w:rPr>
          <w:rFonts w:ascii="Times New Roman" w:hAnsi="Times New Roman" w:cs="Times New Roman"/>
          <w:noProof/>
          <w:sz w:val="24"/>
          <w:szCs w:val="24"/>
        </w:rPr>
        <w:t xml:space="preserve"> concernant les DEEE afin de recenser les principales lacunes de mise en œuvre et de partager les bonnes pratiques. Cette étude a débouché tant sur des recommandations applicables à tous les États membres que sur des conseils spécifiques à l'intention de certains États membres.</w:t>
      </w:r>
    </w:p>
    <w:tbl>
      <w:tblPr>
        <w:tblStyle w:val="TableGrid"/>
        <w:tblW w:w="0" w:type="auto"/>
        <w:tblInd w:w="108" w:type="dxa"/>
        <w:shd w:val="clear" w:color="auto" w:fill="C6D9F1" w:themeFill="text2" w:themeFillTint="33"/>
        <w:tblLook w:val="04A0" w:firstRow="1" w:lastRow="0" w:firstColumn="1" w:lastColumn="0" w:noHBand="0" w:noVBand="1"/>
      </w:tblPr>
      <w:tblGrid>
        <w:gridCol w:w="8931"/>
      </w:tblGrid>
      <w:tr>
        <w:trPr>
          <w:trHeight w:val="7361"/>
        </w:trPr>
        <w:tc>
          <w:tcPr>
            <w:tcW w:w="8931"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Encadré 4: gestion des déchets d’équipements électriques et électroniques</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Associer </w:t>
            </w:r>
            <w:r>
              <w:rPr>
                <w:rFonts w:ascii="Times New Roman" w:hAnsi="Times New Roman" w:cs="Times New Roman"/>
                <w:b/>
                <w:noProof/>
                <w:sz w:val="24"/>
                <w:szCs w:val="24"/>
              </w:rPr>
              <w:t>tous les niveaux de gouvernement pertinents</w:t>
            </w:r>
            <w:r>
              <w:rPr>
                <w:rFonts w:ascii="Times New Roman" w:hAnsi="Times New Roman" w:cs="Times New Roman"/>
                <w:noProof/>
                <w:sz w:val="24"/>
                <w:szCs w:val="24"/>
              </w:rPr>
              <w:t xml:space="preserve"> (municipal, régional, national)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Instaurer des contrôles (ou les renforcer) à tous les stades de la chaîne de gestion, et organiser des inspections ciblant les activités illégales ou non conformes.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Améliorer la qualité des données</w:t>
            </w:r>
            <w:r>
              <w:rPr>
                <w:rFonts w:ascii="Times New Roman" w:hAnsi="Times New Roman" w:cs="Times New Roman"/>
                <w:noProof/>
                <w:sz w:val="24"/>
                <w:szCs w:val="24"/>
              </w:rPr>
              <w:t>, notamment au moyen de contrôles de la qualité et par un renforcement des procédures de traçabilité pour tenir compte de tous les déchets d’équipements.</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Améliorer les régimes de responsabilité élargie des producteurs</w:t>
            </w:r>
            <w:r>
              <w:rPr>
                <w:rFonts w:ascii="Times New Roman" w:hAnsi="Times New Roman" w:cs="Times New Roman"/>
                <w:noProof/>
                <w:sz w:val="24"/>
                <w:szCs w:val="24"/>
              </w:rPr>
              <w:t>, au moins conformément aux exigences minimales générales établies dans la directive-cadre révisée sur les déchets.</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Améliorer la collecte en:</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développant l’infrastructure de collecte,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sensibilisant davantage les consommateurs,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fournissant des précisions sur le transfert de propriété des déchets d’équipements dans la chaîne de gestion, et</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en exigeant que tous les collecteurs coopèrent dans le cadre d’un système de mise en conformité.</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Mettre en œuvre les exigences relatives au traitement approprié établies dans la directive; envisager l’adoption de normes de qualité minimales pour le traitement des DEEE.</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Mettre en œuvre/élaborer des </w:t>
            </w:r>
            <w:r>
              <w:rPr>
                <w:rFonts w:ascii="Times New Roman" w:hAnsi="Times New Roman" w:cs="Times New Roman"/>
                <w:b/>
                <w:noProof/>
                <w:sz w:val="24"/>
                <w:szCs w:val="24"/>
              </w:rPr>
              <w:t xml:space="preserve">mécanismes </w:t>
            </w:r>
            <w:r>
              <w:rPr>
                <w:rFonts w:ascii="Times New Roman" w:hAnsi="Times New Roman" w:cs="Times New Roman"/>
                <w:noProof/>
                <w:sz w:val="24"/>
                <w:szCs w:val="24"/>
              </w:rPr>
              <w:t xml:space="preserve">pour permettre aux producteurs et aux recycleurs </w:t>
            </w:r>
            <w:r>
              <w:rPr>
                <w:rFonts w:ascii="Times New Roman" w:hAnsi="Times New Roman" w:cs="Times New Roman"/>
                <w:b/>
                <w:noProof/>
                <w:sz w:val="24"/>
                <w:szCs w:val="24"/>
              </w:rPr>
              <w:t xml:space="preserve">d'échanger des informations sur les produits qui sont pertinentes pour le recyclage et la préparation au réemploi </w:t>
            </w:r>
            <w:r>
              <w:rPr>
                <w:rFonts w:ascii="Times New Roman" w:hAnsi="Times New Roman" w:cs="Times New Roman"/>
                <w:noProof/>
                <w:sz w:val="24"/>
                <w:szCs w:val="24"/>
              </w:rPr>
              <w:t>(comme  la plateforme I4R - Information for Recyclers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Établir un réseau de «préparation au réemploi»</w:t>
            </w:r>
            <w:r>
              <w:rPr>
                <w:rFonts w:ascii="Times New Roman" w:hAnsi="Times New Roman" w:cs="Times New Roman"/>
                <w:noProof/>
                <w:sz w:val="24"/>
                <w:szCs w:val="24"/>
              </w:rPr>
              <w:t xml:space="preserve"> regroupant des opérateurs enregistrés et autorisés/certifiés au niveau national.</w:t>
            </w:r>
          </w:p>
          <w:p>
            <w:pPr>
              <w:keepNext/>
              <w:numPr>
                <w:ilvl w:val="0"/>
                <w:numId w:val="37"/>
              </w:numPr>
              <w:spacing w:after="120"/>
              <w:jc w:val="both"/>
              <w:rPr>
                <w:rFonts w:ascii="Times New Roman" w:hAnsi="Times New Roman" w:cs="Times New Roman"/>
                <w:noProof/>
                <w:snapToGrid w:val="0"/>
                <w:sz w:val="24"/>
                <w:szCs w:val="24"/>
              </w:rPr>
            </w:pPr>
            <w:r>
              <w:rPr>
                <w:rFonts w:ascii="Times New Roman" w:hAnsi="Times New Roman" w:cs="Times New Roman"/>
                <w:noProof/>
                <w:sz w:val="24"/>
                <w:szCs w:val="24"/>
              </w:rPr>
              <w:t>Envisager l’adoption d’</w:t>
            </w:r>
            <w:r>
              <w:rPr>
                <w:rFonts w:ascii="Times New Roman" w:hAnsi="Times New Roman" w:cs="Times New Roman"/>
                <w:b/>
                <w:noProof/>
                <w:sz w:val="24"/>
                <w:szCs w:val="24"/>
              </w:rPr>
              <w:t>un objectif distinct de «préparation au réemploi» au niveau national.</w:t>
            </w:r>
          </w:p>
        </w:tc>
      </w:tr>
    </w:tbl>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Déchets d’emballages</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En 2015, le volume total de déchets d’emballages générés dans l’UE s’élevait à quelque 85 millions de tonnes, ce qui représente 3,4 % du total des déchets générés</w:t>
      </w:r>
      <w:r>
        <w:rPr>
          <w:rStyle w:val="FootnoteReference"/>
          <w:rFonts w:ascii="Times New Roman" w:hAnsi="Times New Roman" w:cs="Times New Roman"/>
          <w:noProof/>
        </w:rPr>
        <w:footnoteReference w:id="36"/>
      </w:r>
      <w:r>
        <w:rPr>
          <w:rFonts w:ascii="Times New Roman" w:hAnsi="Times New Roman" w:cs="Times New Roman"/>
          <w:noProof/>
        </w:rPr>
        <w:t>. Le volume de déchets générés a lentement augmenté ces dernières années.</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La directive relative aux emballages et aux déchets d’emballage fixe des objectifs spécifiques pour les déchets d’emballages, à atteindre pour la fin 2008 (avec report de l'échéance jusqu'en 2015 pour certains États membres): des objectifs de valorisation et de recyclage généraux (respectivement 60 % et 55 %) et des objectifs de recyclage spécifiques par matière (60 %</w:t>
      </w:r>
      <w:r>
        <w:rPr>
          <w:noProof/>
        </w:rPr>
        <w:t xml:space="preserve"> </w:t>
      </w:r>
      <w:r>
        <w:rPr>
          <w:rFonts w:ascii="Times New Roman" w:hAnsi="Times New Roman" w:cs="Times New Roman"/>
          <w:noProof/>
        </w:rPr>
        <w:t xml:space="preserve">pour le papier et le carton, 60 % pour le verre, 50 % pour le métal, 22,5 % pour le plastique et 15 % pour le bois).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Depuis 2005, le taux moyen de recyclage global des emballages dans l’UE augmente de manière constante (pour atteindre 65,8 % en 2015)</w:t>
      </w:r>
      <w:r>
        <w:rPr>
          <w:rStyle w:val="FootnoteReference"/>
          <w:rFonts w:ascii="Times New Roman" w:hAnsi="Times New Roman" w:cs="Times New Roman"/>
          <w:noProof/>
        </w:rPr>
        <w:footnoteReference w:id="37"/>
      </w:r>
      <w:r>
        <w:rPr>
          <w:rFonts w:ascii="Times New Roman" w:hAnsi="Times New Roman" w:cs="Times New Roman"/>
          <w:noProof/>
        </w:rPr>
        <w:t xml:space="preserve">. Toutefois, entre 2013 et 2015, le volume des déchets d’emballages générés a augmenté de 6 % dans l’ensemble de l’UE, ce qui donne à penser qu’il est nécessaire de </w:t>
      </w:r>
      <w:r>
        <w:rPr>
          <w:rFonts w:ascii="Times New Roman" w:hAnsi="Times New Roman" w:cs="Times New Roman"/>
          <w:b/>
          <w:noProof/>
        </w:rPr>
        <w:t>fournir des efforts supplémentaires en matière de prévention des déchets</w:t>
      </w:r>
      <w:r>
        <w:rPr>
          <w:rFonts w:ascii="Times New Roman" w:hAnsi="Times New Roman" w:cs="Times New Roman"/>
          <w:noProof/>
        </w:rPr>
        <w:t>. L’étude d’alerte précoce a également mis en évidence des incohérences dans les données relatives aux emballages pour plusieurs États membres, ce qui suggère que les volumes d’emballages mis sur le marché qui ont été déclarés ont peut-être été sous-estimés.</w:t>
      </w:r>
    </w:p>
    <w:p>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révisée relative aux emballages et aux déchets d’emballages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 introduit des objectifs de recyclage global plus ambitieux pour les emballages (65 % en 2025 et 70 % en 2030) et des objectifs spécifiques par matière plus élevés (notamment 55 % en 2030 pour le plastique). La réalisation de ces objectifs nécessitera des efforts renforcés dans toute l’UE afin d’organiser plus efficacement les </w:t>
      </w:r>
      <w:r>
        <w:rPr>
          <w:rFonts w:ascii="Times New Roman" w:hAnsi="Times New Roman" w:cs="Times New Roman"/>
          <w:b/>
          <w:noProof/>
          <w:sz w:val="24"/>
          <w:szCs w:val="24"/>
        </w:rPr>
        <w:t>systèmes de collecte séparée</w:t>
      </w:r>
      <w:r>
        <w:rPr>
          <w:rFonts w:ascii="Times New Roman" w:hAnsi="Times New Roman" w:cs="Times New Roman"/>
          <w:noProof/>
          <w:sz w:val="24"/>
          <w:szCs w:val="24"/>
        </w:rPr>
        <w:t xml:space="preserve"> de manière à récupérer davantage de matières recyclables, notamment au moyen de régimes améliorés de responsabilité élargie des producteurs.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 xml:space="preserve">La plupart des États membres atteignent les objectifs de recyclage globaux actuels, bien que la </w:t>
      </w:r>
      <w:r>
        <w:rPr>
          <w:rFonts w:ascii="Times New Roman" w:hAnsi="Times New Roman" w:cs="Times New Roman"/>
          <w:b/>
          <w:noProof/>
        </w:rPr>
        <w:t>Hongrie</w:t>
      </w:r>
      <w:r>
        <w:rPr>
          <w:rFonts w:ascii="Times New Roman" w:hAnsi="Times New Roman" w:cs="Times New Roman"/>
          <w:noProof/>
        </w:rPr>
        <w:t xml:space="preserve"> (depuis 2012) et </w:t>
      </w:r>
      <w:r>
        <w:rPr>
          <w:rFonts w:ascii="Times New Roman" w:hAnsi="Times New Roman" w:cs="Times New Roman"/>
          <w:b/>
          <w:noProof/>
        </w:rPr>
        <w:t>Malte</w:t>
      </w:r>
      <w:r>
        <w:rPr>
          <w:rFonts w:ascii="Times New Roman" w:hAnsi="Times New Roman" w:cs="Times New Roman"/>
          <w:noProof/>
        </w:rPr>
        <w:t xml:space="preserve"> (depuis 2013</w:t>
      </w:r>
      <w:r>
        <w:rPr>
          <w:rStyle w:val="FootnoteReference"/>
          <w:rFonts w:ascii="Times New Roman" w:hAnsi="Times New Roman" w:cs="Times New Roman"/>
          <w:noProof/>
        </w:rPr>
        <w:footnoteReference w:id="39"/>
      </w:r>
      <w:r>
        <w:rPr>
          <w:rFonts w:ascii="Times New Roman" w:hAnsi="Times New Roman" w:cs="Times New Roman"/>
          <w:noProof/>
        </w:rPr>
        <w:t xml:space="preserve">) soient largement </w:t>
      </w:r>
      <w:r>
        <w:rPr>
          <w:rFonts w:ascii="Times New Roman" w:hAnsi="Times New Roman" w:cs="Times New Roman"/>
          <w:b/>
          <w:noProof/>
        </w:rPr>
        <w:t xml:space="preserve">au-dessous. Plusieurs États membres n’ont pas atteint un ou plusieurs objectifs spécifiques </w:t>
      </w:r>
      <w:r>
        <w:rPr>
          <w:rFonts w:ascii="Times New Roman" w:hAnsi="Times New Roman" w:cs="Times New Roman"/>
          <w:noProof/>
        </w:rPr>
        <w:t>par matière: pour le papier et le carton (</w:t>
      </w:r>
      <w:r>
        <w:rPr>
          <w:rFonts w:ascii="Times New Roman" w:hAnsi="Times New Roman" w:cs="Times New Roman"/>
          <w:b/>
          <w:noProof/>
        </w:rPr>
        <w:t>Malte</w:t>
      </w:r>
      <w:r>
        <w:rPr>
          <w:rFonts w:ascii="Times New Roman" w:hAnsi="Times New Roman" w:cs="Times New Roman"/>
          <w:noProof/>
        </w:rPr>
        <w:t>), le bois (</w:t>
      </w:r>
      <w:r>
        <w:rPr>
          <w:rFonts w:ascii="Times New Roman" w:hAnsi="Times New Roman" w:cs="Times New Roman"/>
          <w:b/>
          <w:noProof/>
        </w:rPr>
        <w:t>Chypre</w:t>
      </w:r>
      <w:r>
        <w:rPr>
          <w:rFonts w:ascii="Times New Roman" w:hAnsi="Times New Roman" w:cs="Times New Roman"/>
          <w:noProof/>
        </w:rPr>
        <w:t xml:space="preserve">, </w:t>
      </w:r>
      <w:r>
        <w:rPr>
          <w:rFonts w:ascii="Times New Roman" w:hAnsi="Times New Roman" w:cs="Times New Roman"/>
          <w:b/>
          <w:noProof/>
        </w:rPr>
        <w:t>Croatie</w:t>
      </w:r>
      <w:r>
        <w:rPr>
          <w:rFonts w:ascii="Times New Roman" w:hAnsi="Times New Roman" w:cs="Times New Roman"/>
          <w:noProof/>
        </w:rPr>
        <w:t xml:space="preserve">, </w:t>
      </w:r>
      <w:r>
        <w:rPr>
          <w:rFonts w:ascii="Times New Roman" w:hAnsi="Times New Roman" w:cs="Times New Roman"/>
          <w:b/>
          <w:noProof/>
        </w:rPr>
        <w:t>Finlande</w:t>
      </w:r>
      <w:r>
        <w:rPr>
          <w:rFonts w:ascii="Times New Roman" w:hAnsi="Times New Roman" w:cs="Times New Roman"/>
          <w:noProof/>
        </w:rPr>
        <w:t xml:space="preserve">, </w:t>
      </w:r>
      <w:r>
        <w:rPr>
          <w:rFonts w:ascii="Times New Roman" w:hAnsi="Times New Roman" w:cs="Times New Roman"/>
          <w:b/>
          <w:noProof/>
        </w:rPr>
        <w:t>Malte</w:t>
      </w:r>
      <w:r>
        <w:rPr>
          <w:rFonts w:ascii="Times New Roman" w:hAnsi="Times New Roman" w:cs="Times New Roman"/>
          <w:noProof/>
        </w:rPr>
        <w:t>), le métal (</w:t>
      </w:r>
      <w:r>
        <w:rPr>
          <w:rFonts w:ascii="Times New Roman" w:hAnsi="Times New Roman" w:cs="Times New Roman"/>
          <w:b/>
          <w:noProof/>
        </w:rPr>
        <w:t>Croatie</w:t>
      </w:r>
      <w:r>
        <w:rPr>
          <w:rFonts w:ascii="Times New Roman" w:hAnsi="Times New Roman" w:cs="Times New Roman"/>
          <w:noProof/>
        </w:rPr>
        <w:t xml:space="preserve">, </w:t>
      </w:r>
      <w:r>
        <w:rPr>
          <w:rFonts w:ascii="Times New Roman" w:hAnsi="Times New Roman" w:cs="Times New Roman"/>
          <w:b/>
          <w:noProof/>
        </w:rPr>
        <w:t>Malte</w:t>
      </w:r>
      <w:r>
        <w:rPr>
          <w:rFonts w:ascii="Times New Roman" w:hAnsi="Times New Roman" w:cs="Times New Roman"/>
          <w:noProof/>
        </w:rPr>
        <w:t>) et le verre (</w:t>
      </w:r>
      <w:r>
        <w:rPr>
          <w:rFonts w:ascii="Times New Roman" w:hAnsi="Times New Roman" w:cs="Times New Roman"/>
          <w:b/>
          <w:noProof/>
        </w:rPr>
        <w:t>Chypre</w:t>
      </w:r>
      <w:r>
        <w:rPr>
          <w:rFonts w:ascii="Times New Roman" w:hAnsi="Times New Roman" w:cs="Times New Roman"/>
          <w:noProof/>
        </w:rPr>
        <w:t xml:space="preserve">, </w:t>
      </w:r>
      <w:r>
        <w:rPr>
          <w:rFonts w:ascii="Times New Roman" w:hAnsi="Times New Roman" w:cs="Times New Roman"/>
          <w:b/>
          <w:noProof/>
        </w:rPr>
        <w:t>Grèce</w:t>
      </w:r>
      <w:r>
        <w:rPr>
          <w:rFonts w:ascii="Times New Roman" w:hAnsi="Times New Roman" w:cs="Times New Roman"/>
          <w:noProof/>
        </w:rPr>
        <w:t xml:space="preserve">, </w:t>
      </w:r>
      <w:r>
        <w:rPr>
          <w:rFonts w:ascii="Times New Roman" w:hAnsi="Times New Roman" w:cs="Times New Roman"/>
          <w:b/>
          <w:noProof/>
        </w:rPr>
        <w:t>Hongrie</w:t>
      </w:r>
      <w:r>
        <w:rPr>
          <w:rFonts w:ascii="Times New Roman" w:hAnsi="Times New Roman" w:cs="Times New Roman"/>
          <w:noProof/>
        </w:rPr>
        <w:t xml:space="preserve">, </w:t>
      </w:r>
      <w:r>
        <w:rPr>
          <w:rFonts w:ascii="Times New Roman" w:hAnsi="Times New Roman" w:cs="Times New Roman"/>
          <w:b/>
          <w:noProof/>
        </w:rPr>
        <w:t>Malte</w:t>
      </w:r>
      <w:r>
        <w:rPr>
          <w:rFonts w:ascii="Times New Roman" w:hAnsi="Times New Roman" w:cs="Times New Roman"/>
          <w:noProof/>
        </w:rPr>
        <w:t xml:space="preserve">, </w:t>
      </w:r>
      <w:r>
        <w:rPr>
          <w:rFonts w:ascii="Times New Roman" w:hAnsi="Times New Roman" w:cs="Times New Roman"/>
          <w:b/>
          <w:noProof/>
        </w:rPr>
        <w:t>Pologne</w:t>
      </w:r>
      <w:r>
        <w:rPr>
          <w:rFonts w:ascii="Times New Roman" w:hAnsi="Times New Roman" w:cs="Times New Roman"/>
          <w:noProof/>
        </w:rPr>
        <w:t xml:space="preserve">, </w:t>
      </w:r>
      <w:r>
        <w:rPr>
          <w:rFonts w:ascii="Times New Roman" w:hAnsi="Times New Roman" w:cs="Times New Roman"/>
          <w:b/>
          <w:noProof/>
        </w:rPr>
        <w:t>Portugal</w:t>
      </w:r>
      <w:r>
        <w:rPr>
          <w:rFonts w:ascii="Times New Roman" w:hAnsi="Times New Roman" w:cs="Times New Roman"/>
          <w:noProof/>
        </w:rPr>
        <w:t xml:space="preserve"> et </w:t>
      </w:r>
      <w:r>
        <w:rPr>
          <w:rFonts w:ascii="Times New Roman" w:hAnsi="Times New Roman" w:cs="Times New Roman"/>
          <w:b/>
          <w:noProof/>
        </w:rPr>
        <w:t>Roumanie</w:t>
      </w:r>
      <w:r>
        <w:rPr>
          <w:rFonts w:ascii="Times New Roman" w:hAnsi="Times New Roman" w:cs="Times New Roman"/>
          <w:noProof/>
        </w:rPr>
        <w:t>). La Commission a engagé un dialogue avec les États membres concernés et a formulé des conseils ciblés dans le cadre d'activités de promotion de la conformité et autres afin d'améliorer les performances dans ce domaine.</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4"/>
        </w:rPr>
      </w:pPr>
      <w:r>
        <w:rPr>
          <w:rFonts w:ascii="Times New Roman" w:hAnsi="Times New Roman" w:cs="Times New Roman"/>
          <w:b/>
          <w:smallCaps/>
          <w:noProof/>
          <w:color w:val="000000"/>
          <w:sz w:val="24"/>
          <w:szCs w:val="24"/>
        </w:rPr>
        <w:t>Mise en décharge</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mise en décharge est la solution de traitement des déchets la moins souhaitable. Si les volumes de déchets municipaux mis en décharge ont baissé de façon régulière dans l’ensemble de l’UE (diminuant de 18 % au cours de la période 2013-2016</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le taux moyen de mise en décharge des déchets municipaux dans l’UE était encore de 24 % en 2016. Des différences notables persistent au sein de l’UE: en 2016, </w:t>
      </w:r>
      <w:r>
        <w:rPr>
          <w:rFonts w:ascii="Times New Roman" w:hAnsi="Times New Roman" w:cs="Times New Roman"/>
          <w:b/>
          <w:noProof/>
          <w:sz w:val="24"/>
          <w:szCs w:val="24"/>
        </w:rPr>
        <w:t>10 États membres continuaient de mettre en décharge plus de 50 % de leurs déchets municipaux</w:t>
      </w:r>
      <w:r>
        <w:rPr>
          <w:rFonts w:ascii="Times New Roman" w:hAnsi="Times New Roman" w:cs="Times New Roman"/>
          <w:noProof/>
          <w:sz w:val="24"/>
          <w:szCs w:val="24"/>
        </w:rPr>
        <w:t xml:space="preserve">, tandis que cinq déclaraient des taux de mise en décharge </w:t>
      </w:r>
      <w:r>
        <w:rPr>
          <w:rFonts w:ascii="Times New Roman" w:hAnsi="Times New Roman" w:cs="Times New Roman"/>
          <w:b/>
          <w:noProof/>
          <w:sz w:val="24"/>
          <w:szCs w:val="24"/>
        </w:rPr>
        <w:t>supérieurs à 70 %</w:t>
      </w:r>
      <w:r>
        <w:rPr>
          <w:rFonts w:ascii="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directive concernant la mise en décharge obligeait les États membres à réduire la mise en décharge de leurs déchets biodégradables municipaux pour parvenir à des taux maximaux de 75 % en 2006, de 50 % en 2009 et de 35 % en 2016, par rapport à la situation de référence en 1995</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La directive révisée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quant à elle, exige des États membres qu’ils réduisent la mise en décharge des déchets municipaux pour arriver à un maximum de 10 % d’ici à 2035, et elle interdit la mise en décharge des déchets collectés séparément, y compris les déchets biodégradables.</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 xml:space="preserve">En ce qui concerne la réalisation des objectifs de réduction des déchets biodégradables, l’exhaustivité des données produites par les États membres est variable. D’après les données fournies, en 2015, la moitié des États membres avaient déjà atteint l’objectif de 35 % fixé pour 2016. La </w:t>
      </w:r>
      <w:r>
        <w:rPr>
          <w:rFonts w:ascii="Times New Roman" w:hAnsi="Times New Roman" w:cs="Times New Roman"/>
          <w:b/>
          <w:noProof/>
        </w:rPr>
        <w:t>Croatie</w:t>
      </w:r>
      <w:r>
        <w:rPr>
          <w:rFonts w:ascii="Times New Roman" w:hAnsi="Times New Roman" w:cs="Times New Roman"/>
          <w:noProof/>
        </w:rPr>
        <w:t xml:space="preserve"> n’a pas atteint l'objectif de 75 % qui devait être réalisé en 2013. </w:t>
      </w:r>
      <w:r>
        <w:rPr>
          <w:rFonts w:ascii="Times New Roman" w:hAnsi="Times New Roman" w:cs="Times New Roman"/>
          <w:b/>
          <w:noProof/>
        </w:rPr>
        <w:t>Chypre</w:t>
      </w:r>
      <w:r>
        <w:rPr>
          <w:rFonts w:ascii="Times New Roman" w:hAnsi="Times New Roman" w:cs="Times New Roman"/>
          <w:noProof/>
        </w:rPr>
        <w:t xml:space="preserve">, la </w:t>
      </w:r>
      <w:r>
        <w:rPr>
          <w:rFonts w:ascii="Times New Roman" w:hAnsi="Times New Roman" w:cs="Times New Roman"/>
          <w:b/>
          <w:noProof/>
        </w:rPr>
        <w:t>Grèce</w:t>
      </w:r>
      <w:r>
        <w:rPr>
          <w:rFonts w:ascii="Times New Roman" w:hAnsi="Times New Roman" w:cs="Times New Roman"/>
          <w:noProof/>
        </w:rPr>
        <w:t xml:space="preserve">, la </w:t>
      </w:r>
      <w:r>
        <w:rPr>
          <w:rFonts w:ascii="Times New Roman" w:hAnsi="Times New Roman" w:cs="Times New Roman"/>
          <w:b/>
          <w:noProof/>
        </w:rPr>
        <w:t>Lettonie</w:t>
      </w:r>
      <w:r>
        <w:rPr>
          <w:rFonts w:ascii="Times New Roman" w:hAnsi="Times New Roman" w:cs="Times New Roman"/>
          <w:noProof/>
        </w:rPr>
        <w:t xml:space="preserve">, la </w:t>
      </w:r>
      <w:r>
        <w:rPr>
          <w:rFonts w:ascii="Times New Roman" w:hAnsi="Times New Roman" w:cs="Times New Roman"/>
          <w:b/>
          <w:noProof/>
        </w:rPr>
        <w:t>République tchèque</w:t>
      </w:r>
      <w:r>
        <w:rPr>
          <w:rFonts w:ascii="Times New Roman" w:hAnsi="Times New Roman" w:cs="Times New Roman"/>
          <w:noProof/>
        </w:rPr>
        <w:t xml:space="preserve"> et la </w:t>
      </w:r>
      <w:r>
        <w:rPr>
          <w:rFonts w:ascii="Times New Roman" w:hAnsi="Times New Roman" w:cs="Times New Roman"/>
          <w:b/>
          <w:noProof/>
        </w:rPr>
        <w:t>Slovaquie</w:t>
      </w:r>
      <w:r>
        <w:rPr>
          <w:rFonts w:ascii="Times New Roman" w:hAnsi="Times New Roman" w:cs="Times New Roman"/>
          <w:noProof/>
        </w:rPr>
        <w:t xml:space="preserve"> n'ont pas atteint l'objectif de 50 %, qui était aussi fixé pour 2013.</w:t>
      </w:r>
      <w:r>
        <w:rPr>
          <w:rFonts w:ascii="Times New Roman" w:hAnsi="Times New Roman" w:cs="Times New Roman"/>
          <w:b/>
          <w:noProof/>
        </w:rPr>
        <w:t xml:space="preserve"> Malte</w:t>
      </w:r>
      <w:r>
        <w:rPr>
          <w:rFonts w:ascii="Times New Roman" w:hAnsi="Times New Roman" w:cs="Times New Roman"/>
          <w:noProof/>
        </w:rPr>
        <w:t xml:space="preserve">, qui enregistre un taux général élevé de mise en décharge des déchets municipaux, </w:t>
      </w:r>
      <w:r>
        <w:rPr>
          <w:rFonts w:ascii="Times New Roman" w:hAnsi="Times New Roman" w:cs="Times New Roman"/>
          <w:b/>
          <w:noProof/>
        </w:rPr>
        <w:t>n’a pas fourni</w:t>
      </w:r>
      <w:r>
        <w:rPr>
          <w:rFonts w:ascii="Times New Roman" w:hAnsi="Times New Roman" w:cs="Times New Roman"/>
          <w:noProof/>
        </w:rPr>
        <w:t xml:space="preserve"> de données récentes. La Commission a engagé un dialogue avec les États membres concernés et a formulé des conseils ciblés dans le cadre d'activités de promotion de la conformité et autres afin d'améliorer les performances dans ce domaine.</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Une étude récente effectuée pour la Commission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 permis de constater que 15 États membres ne satisfaisaient pas à l’obligation qui leur était imposée par la directive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de traiter les déchets avant la mise en décharge.</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Malgré les fermetures de décharges non conformes déclarées par les États membres, le nombre de décharges qui ne sont</w:t>
      </w:r>
      <w:r>
        <w:rPr>
          <w:rFonts w:ascii="Times New Roman" w:hAnsi="Times New Roman" w:cs="Times New Roman"/>
          <w:b/>
          <w:noProof/>
          <w:sz w:val="24"/>
          <w:szCs w:val="24"/>
        </w:rPr>
        <w:t xml:space="preserve"> toujours pas conformes aux exigences</w:t>
      </w:r>
      <w:r>
        <w:rPr>
          <w:rFonts w:ascii="Times New Roman" w:hAnsi="Times New Roman" w:cs="Times New Roman"/>
          <w:noProof/>
          <w:sz w:val="24"/>
          <w:szCs w:val="24"/>
        </w:rPr>
        <w:t xml:space="preserve"> de la directive reste préoccupant.</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4"/>
        </w:rPr>
      </w:pPr>
      <w:r>
        <w:rPr>
          <w:rFonts w:ascii="Times New Roman" w:hAnsi="Times New Roman" w:cs="Times New Roman"/>
          <w:b/>
          <w:smallCaps/>
          <w:noProof/>
          <w:color w:val="000000"/>
          <w:sz w:val="24"/>
          <w:szCs w:val="24"/>
        </w:rPr>
        <w:t>Boues d’épuration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relative aux boues d’épuration a pour objet de réglementer l’utilisation des boues d’épuration en agriculture. Elle fixe des valeurs limites relatives aux concentrations de métaux lourds dans les boues utilisées à des fins agricoles et de traitement des sols.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directive est en vigueur depuis plus de 30 ans et est correctement mise en œuvre dans toute l’UE. </w:t>
      </w:r>
      <w:r>
        <w:rPr>
          <w:rFonts w:ascii="Times New Roman" w:hAnsi="Times New Roman" w:cs="Times New Roman"/>
          <w:b/>
          <w:noProof/>
          <w:sz w:val="24"/>
          <w:szCs w:val="24"/>
        </w:rPr>
        <w:t>Tous les États membres ont fixé des valeurs limites de concentration</w:t>
      </w:r>
      <w:r>
        <w:rPr>
          <w:rFonts w:ascii="Times New Roman" w:hAnsi="Times New Roman" w:cs="Times New Roman"/>
          <w:noProof/>
          <w:sz w:val="24"/>
          <w:szCs w:val="24"/>
        </w:rPr>
        <w:t xml:space="preserve"> de métaux lourds dans le sol </w:t>
      </w:r>
      <w:r>
        <w:rPr>
          <w:rFonts w:ascii="Times New Roman" w:hAnsi="Times New Roman" w:cs="Times New Roman"/>
          <w:b/>
          <w:noProof/>
          <w:sz w:val="24"/>
          <w:szCs w:val="24"/>
        </w:rPr>
        <w:t>qui sont conformes aux exigences de la directive, voire beaucoup plus rigoureuses.</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4"/>
        </w:rPr>
      </w:pPr>
      <w:r>
        <w:rPr>
          <w:rFonts w:ascii="Times New Roman" w:hAnsi="Times New Roman" w:cs="Times New Roman"/>
          <w:b/>
          <w:smallCaps/>
          <w:noProof/>
          <w:color w:val="000000"/>
          <w:sz w:val="24"/>
          <w:szCs w:val="24"/>
        </w:rPr>
        <w:t>Conclusions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législation de l’UE en matière de déchets a entraîné des améliorations considérables de la gestion des déchets. La pleine application de cette législation est toutefois essentielle si l’UE veut récolter les bénéfices environnementaux et économiques de l’économie circulaire et être concurrentielle dans un monde où les ressources sont de plus en plus limitées.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Les rapports d’alerte précoce sur les déchets municipaux et les efforts de la Commission en vue de promouvoir la conformité qui sont décrits dans le présent rapport témoignent des progrès constants accomplis dans les États membres, mais révèlent aussi de graves lacunes et d’importantes difficultés auxquelles il convient de remédier au plus vite.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 progrès notables sont possibles si les États membres concernés prennent d'urgence des mesures pour mettre en œuvre les actions recensées dans le présent rapport et dans les rapports par pays qui l’accompagnent. Une collecte séparée plus efficace, des régimes plus efficients de responsabilité élargie des producteurs, des instruments économiques tels que des taxes à la mise en décharge et à l’incinération et l’amélioration de la qualité des données sont autant d'éléments essentiels pour garantir le respect de la législation de l’UE en matière de déchets, aujourd’hui comme demain.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Dans le cadre du suivi du présent rapport, la Commission entreprendra des visites à haut niveau concernant l’économie circulaire/les déchets dans les États membres qui risquent de ne pas atteindre les objectifs relatifs aux déchets municipaux fixés pour 2020. À cet égard, la Commission nouera le dialogue avec les parties prenantes, dont les associations d’acteurs locaux et régionaux.</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continuera de consacrer d'importantes ressources pour soutenir les États membres dans leurs efforts de mise en œuvre, notamment sous la forme d’une assistance technique (par ex. dans le cadre de l’examen de la mise en œuvre de la politique environnementale</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et de l’échange des bonnes pratiques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et au moyen des fonds européens. Il incombe toutefois aux autorités nationales d’intensifier le nécessaire processus de réforme des politiques et de renforcer les mesures sur le terrain.</w:t>
      </w:r>
    </w:p>
    <w:p>
      <w:pPr>
        <w:spacing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76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Des informations détaillées sur ces rapports concernant les différentes directives peuvent être consultées à l’adresse suivante: </w:t>
      </w:r>
      <w:hyperlink r:id="rId1">
        <w:r>
          <w:rPr>
            <w:rStyle w:val="Hyperlink"/>
            <w:rFonts w:asciiTheme="minorHAnsi" w:hAnsiTheme="minorHAnsi"/>
            <w:sz w:val="20"/>
            <w:szCs w:val="20"/>
          </w:rPr>
          <w:t>http://ec.europa.eu/environment/waste/reporting/index</w:t>
        </w:r>
      </w:hyperlink>
      <w:r>
        <w:rPr>
          <w:rFonts w:asciiTheme="minorHAnsi" w:hAnsiTheme="minorHAnsi"/>
          <w:sz w:val="20"/>
          <w:szCs w:val="20"/>
        </w:rPr>
        <w:t xml:space="preserve">. </w:t>
      </w:r>
    </w:p>
  </w:footnote>
  <w:footnote w:id="2">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Le précédent rapport de mise en œuvre COM/2017/088 final couvre la période 2010-2012. La Commission est légalement tenue de publier ce rapport.</w:t>
      </w:r>
    </w:p>
  </w:footnote>
  <w:footnote w:id="3">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Les États membres doivent présenter à la Commission des rapports de mise en œuvre concernant d’autres actes juridiques. Toutefois, les délais de transmission de ces questionnaires varient.</w:t>
      </w:r>
    </w:p>
  </w:footnote>
  <w:footnote w:id="4">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Eunomia Research and Consulting Ltd </w:t>
      </w:r>
      <w:r>
        <w:rPr>
          <w:rFonts w:asciiTheme="minorHAnsi" w:hAnsiTheme="minorHAnsi"/>
          <w:i/>
          <w:sz w:val="20"/>
          <w:szCs w:val="20"/>
        </w:rPr>
        <w:t>et al</w:t>
      </w:r>
      <w:r>
        <w:rPr>
          <w:rFonts w:asciiTheme="minorHAnsi" w:hAnsiTheme="minorHAnsi"/>
          <w:sz w:val="20"/>
          <w:szCs w:val="20"/>
        </w:rPr>
        <w:t xml:space="preserve"> (2018), «Study to identify Member States at risk of non-compliance</w:t>
      </w:r>
      <w:r>
        <w:rPr>
          <w:rFonts w:asciiTheme="minorHAnsi" w:hAnsiTheme="minorHAnsi"/>
          <w:i/>
          <w:sz w:val="20"/>
          <w:szCs w:val="20"/>
        </w:rPr>
        <w:t xml:space="preserve"> </w:t>
      </w:r>
      <w:r>
        <w:rPr>
          <w:rFonts w:asciiTheme="minorHAnsi" w:hAnsiTheme="minorHAnsi"/>
          <w:sz w:val="20"/>
          <w:szCs w:val="20"/>
        </w:rPr>
        <w:t>with the 2020 target of the Waste Framework Directive and to follow-up phase 1 and 2 of the compliance promotion exercise» (étude visant à recenser les États membres qui risquent de ne pas atteindre l’objectif 2020 de la directive-cadre sur les déchets et à assurer le suivi des phases 1 et 2 de l’exercice de promotion de la conformité).</w:t>
      </w:r>
    </w:p>
  </w:footnote>
  <w:footnote w:id="5">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European Topic Centre on Waste and Materials in a Green Economy (ETC/WMGE) for the European Environment Agency (2018), «Scenarios for municipal waste recycling based on the European Reference Model on Municipal Waste, Contribution to the first Early Warning report» (scénarios pour le recyclage des déchets municipaux sur la base du modèle européen de référence pour les déchets municipaux, contribution au premier rapport d’alerte précoce).</w:t>
      </w:r>
    </w:p>
  </w:footnote>
  <w:footnote w:id="6">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BIO by Deloitte (2017), «Resource efficient use of mixed wastes; Improving management of construction and demolition waste» (utilisation efficace des ressources des déchets mixtes; amélioration de la gestion des déchets de construction et de démolition). </w:t>
      </w:r>
    </w:p>
  </w:footnote>
  <w:footnote w:id="7">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BiPRO GmbH (2017), «Support to selected Member States in improving hazardous waste management based on assessment of Member States’ performance» (soutien à certains États membres pour améliorer la gestion des déchets dangereux sur la base de l’évaluation des performances des États membres).</w:t>
      </w:r>
    </w:p>
  </w:footnote>
  <w:footnote w:id="8">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BiPRO GmbH (2018), «WEEE compliance promotion exercise» (exercice de promotion de la mise en conformité avec la directive DEEE).</w:t>
      </w:r>
    </w:p>
  </w:footnote>
  <w:footnote w:id="9">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Eurostat: </w:t>
      </w:r>
      <w:hyperlink r:id="rId2">
        <w:r>
          <w:rPr>
            <w:rStyle w:val="Hyperlink"/>
            <w:rFonts w:asciiTheme="minorHAnsi" w:hAnsiTheme="minorHAnsi"/>
            <w:sz w:val="20"/>
            <w:szCs w:val="20"/>
          </w:rPr>
          <w:t>Http://ec.europa.eu/eurostat/web/waste/data/database</w:t>
        </w:r>
      </w:hyperlink>
      <w:r>
        <w:rPr>
          <w:rFonts w:asciiTheme="minorHAnsi" w:hAnsiTheme="minorHAnsi"/>
          <w:sz w:val="20"/>
          <w:szCs w:val="20"/>
        </w:rPr>
        <w:t>, ensemble de données (env_wasmun)</w:t>
      </w:r>
    </w:p>
  </w:footnote>
  <w:footnote w:id="10">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Article 11, paragraphe 2, point a), de la directive-cadre sur les déchets</w:t>
      </w:r>
    </w:p>
  </w:footnote>
  <w:footnote w:id="11">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Directive (UE) 2018/851, dénommée ci-après la «directive-cadre révisée sur les déchets»</w:t>
      </w:r>
    </w:p>
  </w:footnote>
  <w:footnote w:id="12">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Article 11, paragraphe 2, points c) à e), de la directive (UE) 2018/851</w:t>
      </w:r>
    </w:p>
  </w:footnote>
  <w:footnote w:id="13">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Eunomia (2018) et ETC/WMGE (2018) </w:t>
      </w:r>
    </w:p>
  </w:footnote>
  <w:footnote w:id="14">
    <w:p>
      <w:pPr>
        <w:pStyle w:val="FootnoteText"/>
        <w:rPr>
          <w:rFonts w:asciiTheme="minorHAnsi" w:hAnsiTheme="minorHAnsi"/>
          <w:color w:val="000000"/>
          <w:sz w:val="20"/>
          <w:szCs w:val="20"/>
        </w:rPr>
      </w:pPr>
      <w:r>
        <w:rPr>
          <w:rStyle w:val="FootnoteReference"/>
          <w:rFonts w:asciiTheme="minorHAnsi" w:hAnsiTheme="minorHAnsi"/>
          <w:sz w:val="20"/>
          <w:szCs w:val="20"/>
        </w:rPr>
        <w:footnoteRef/>
      </w:r>
      <w:r>
        <w:rPr>
          <w:rFonts w:asciiTheme="minorHAnsi" w:hAnsiTheme="minorHAnsi"/>
          <w:sz w:val="20"/>
          <w:szCs w:val="20"/>
        </w:rPr>
        <w:t xml:space="preserve"> Sur la base de la méthode de calcul choisie. Afin de vérifier le respect des objectifs fixés à l’article 11, paragraphe 2, point a), de la directive-cadre sur les déchets, la décision 2011/753/UE énonce quatre autres méthodes de calcul pour faire rapport sur les niveaux de «préparation en vue du réemploi et du recyclage» des déchets ménagers.</w:t>
      </w:r>
    </w:p>
  </w:footnote>
  <w:footnote w:id="15">
    <w:p>
      <w:pPr>
        <w:pStyle w:val="FootnoteText"/>
        <w:rPr>
          <w:rFonts w:asciiTheme="minorHAnsi" w:hAnsiTheme="minorHAnsi"/>
          <w:sz w:val="20"/>
          <w:szCs w:val="20"/>
          <w:lang w:val="fr-BE"/>
        </w:rPr>
      </w:pPr>
      <w:r>
        <w:rPr>
          <w:rStyle w:val="FootnoteReference"/>
          <w:rFonts w:asciiTheme="minorHAnsi" w:hAnsiTheme="minorHAnsi"/>
          <w:sz w:val="20"/>
          <w:szCs w:val="20"/>
        </w:rPr>
        <w:footnoteRef/>
      </w:r>
      <w:r>
        <w:rPr>
          <w:rFonts w:asciiTheme="minorHAnsi" w:hAnsiTheme="minorHAnsi"/>
          <w:sz w:val="20"/>
          <w:szCs w:val="20"/>
        </w:rPr>
        <w:t xml:space="preserve"> ETC/WMGE (2018)</w:t>
      </w:r>
    </w:p>
  </w:footnote>
  <w:footnote w:id="16">
    <w:p>
      <w:pPr>
        <w:pStyle w:val="FootnoteText"/>
        <w:rPr>
          <w:rFonts w:asciiTheme="minorHAnsi" w:hAnsiTheme="minorHAnsi"/>
          <w:sz w:val="20"/>
          <w:szCs w:val="20"/>
          <w:lang w:val="fr-BE"/>
        </w:rPr>
      </w:pPr>
      <w:r>
        <w:rPr>
          <w:rStyle w:val="FootnoteReference"/>
          <w:rFonts w:asciiTheme="minorHAnsi" w:hAnsiTheme="minorHAnsi"/>
          <w:sz w:val="20"/>
          <w:szCs w:val="20"/>
        </w:rPr>
        <w:footnoteRef/>
      </w:r>
      <w:r>
        <w:rPr>
          <w:rFonts w:asciiTheme="minorHAnsi" w:hAnsiTheme="minorHAnsi"/>
          <w:sz w:val="20"/>
          <w:szCs w:val="20"/>
        </w:rPr>
        <w:t xml:space="preserve"> http://ec.europa.eu/environment/waste/framework/support_implementation.htm (en anglais)</w:t>
      </w:r>
    </w:p>
  </w:footnote>
  <w:footnote w:id="17">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La hiérarchie des déchets classe les options de gestion des déchets en fonction de leur durabilité et accorde la priorité absolue à la prévention des déchets, suivie du recyclage, de la revalorisation énergétique et, au bas de l’échelle, l’élimination (p.ex. mise en décharge).</w:t>
      </w:r>
    </w:p>
  </w:footnote>
  <w:footnote w:id="18">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Eurostat, ensemble de données (env_wasgen)</w:t>
      </w:r>
    </w:p>
  </w:footnote>
  <w:footnote w:id="19">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Article  11, paragraphe 2, point b)</w:t>
      </w:r>
    </w:p>
  </w:footnote>
  <w:footnote w:id="20">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ARGUS (2017), «Compliance reporting on Waste Framework Directive – material recovery rates for construction &amp; demolition waste for reporting period 2013 – 2015» (rapports concernant le respect des dispositions de la directive-cadre sur les déchets - taux de revalorisation des matières pour les déchets de construction et de démolition pour l’année de référence 2013-2015); rapport de validation 2017</w:t>
      </w:r>
    </w:p>
  </w:footnote>
  <w:footnote w:id="21">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BIO by Deloitte (2017); Eurostat, ensemble de données (</w:t>
      </w:r>
      <w:hyperlink r:id="rId3">
        <w:r>
          <w:rPr>
            <w:rStyle w:val="Hyperlink"/>
            <w:rFonts w:asciiTheme="minorHAnsi" w:hAnsiTheme="minorHAnsi"/>
            <w:sz w:val="20"/>
            <w:szCs w:val="20"/>
          </w:rPr>
          <w:t>cei_wm040</w:t>
        </w:r>
      </w:hyperlink>
      <w:r>
        <w:rPr>
          <w:rFonts w:asciiTheme="minorHAnsi" w:hAnsiTheme="minorHAnsi"/>
          <w:sz w:val="20"/>
          <w:szCs w:val="20"/>
        </w:rPr>
        <w:t>)</w:t>
      </w:r>
    </w:p>
  </w:footnote>
  <w:footnote w:id="22">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https://ec.europa.eu/docsroom/documents/20509/attachments/1/translations/fr/renditions/native</w:t>
      </w:r>
    </w:p>
  </w:footnote>
  <w:footnote w:id="23">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Eurostat; ensemble de données (env_wasgen)</w:t>
      </w:r>
    </w:p>
  </w:footnote>
  <w:footnote w:id="24">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BiPRO (2015), «Support to selected Member States in improving hazardous waste management based on assessment of Member States’ performance» (soutien à certains États membres pour améliorer la gestion des déchets dangereux sur la base de l’évaluation des performances des États membres) - 10 États membres analysés; et BiPRO (2017) - 14 États membres analysés</w:t>
      </w:r>
    </w:p>
  </w:footnote>
  <w:footnote w:id="25">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Polychlorobiphényles/polychloroterphényles</w:t>
      </w:r>
    </w:p>
  </w:footnote>
  <w:footnote w:id="26">
    <w:p>
      <w:pPr>
        <w:pStyle w:val="FootnoteText"/>
        <w:rPr>
          <w:rFonts w:asciiTheme="minorHAnsi" w:hAnsiTheme="minorHAnsi"/>
          <w:sz w:val="20"/>
          <w:szCs w:val="20"/>
          <w:highlight w:val="yellow"/>
        </w:rPr>
      </w:pPr>
      <w:r>
        <w:rPr>
          <w:rStyle w:val="FootnoteReference"/>
          <w:rFonts w:asciiTheme="minorHAnsi" w:hAnsiTheme="minorHAnsi"/>
          <w:sz w:val="20"/>
          <w:szCs w:val="20"/>
        </w:rPr>
        <w:footnoteRef/>
      </w:r>
      <w:r>
        <w:rPr>
          <w:rFonts w:asciiTheme="minorHAnsi" w:hAnsiTheme="minorHAnsi"/>
          <w:sz w:val="20"/>
          <w:szCs w:val="20"/>
        </w:rPr>
        <w:t xml:space="preserve"> Disponible dans toutes les langues de l’UE à l’adresse </w:t>
      </w:r>
      <w:hyperlink r:id="rId4">
        <w:r>
          <w:rPr>
            <w:rStyle w:val="Hyperlink"/>
            <w:rFonts w:asciiTheme="minorHAnsi" w:hAnsiTheme="minorHAnsi"/>
            <w:sz w:val="20"/>
            <w:szCs w:val="20"/>
          </w:rPr>
          <w:t>http://eur-lex.europa.eu/legal-content/FR/TXT/?uri=uriserv:OJ.C_.2018.124.01.0001.01.FRA&amp;toc=OJ:C:2018:124:TOC</w:t>
        </w:r>
      </w:hyperlink>
    </w:p>
  </w:footnote>
  <w:footnote w:id="27">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Conformément à l’article 15, paragraphe 2, point a), de la directive-cadre sur les déchets</w:t>
      </w:r>
    </w:p>
  </w:footnote>
  <w:footnote w:id="28">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Sur la base des «outils de calcul des DEEE» disponibles à l’adresse http://ec.europa.eu/environment/waste/weee/data_en.htm </w:t>
      </w:r>
    </w:p>
  </w:footnote>
  <w:footnote w:id="29">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United National University (2007), Examen de la directive 2002/96/CE sur les déchets électriques et électroniques (DEEE), 2008</w:t>
      </w:r>
    </w:p>
  </w:footnote>
  <w:footnote w:id="30">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L’objectif était valable jusque fin 2015.</w:t>
      </w:r>
    </w:p>
  </w:footnote>
  <w:footnote w:id="31">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La Lettonie n’a pas atteint l’objectif en 2015, tandis que les autres États membres ne l’ont pas atteint en 2014 (les dernières données fournies) ou les années précédentes.</w:t>
      </w:r>
    </w:p>
  </w:footnote>
  <w:footnote w:id="32">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w:t>
      </w:r>
      <w:r>
        <w:rPr>
          <w:rFonts w:asciiTheme="minorHAnsi" w:hAnsiTheme="minorHAnsi"/>
          <w:sz w:val="20"/>
          <w:szCs w:val="20"/>
        </w:rPr>
        <w:fldChar w:fldCharType="begin"/>
      </w:r>
      <w:r>
        <w:rPr>
          <w:rFonts w:asciiTheme="minorHAnsi" w:hAnsiTheme="minorHAnsi"/>
          <w:sz w:val="20"/>
          <w:szCs w:val="20"/>
        </w:rP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rPr>
          <w:rFonts w:asciiTheme="minorHAnsi" w:hAnsiTheme="minorHAnsi"/>
          <w:sz w:val="20"/>
          <w:szCs w:val="20"/>
        </w:rPr>
        <w:fldChar w:fldCharType="separate"/>
      </w:r>
      <w:r>
        <w:rPr>
          <w:rFonts w:asciiTheme="minorHAnsi" w:hAnsiTheme="minorHAnsi"/>
          <w:sz w:val="20"/>
          <w:szCs w:val="20"/>
        </w:rPr>
        <w:t>Eurostat</w:t>
      </w:r>
      <w:r>
        <w:rPr>
          <w:rFonts w:asciiTheme="minorHAnsi" w:hAnsiTheme="minorHAnsi"/>
          <w:sz w:val="20"/>
          <w:szCs w:val="20"/>
        </w:rPr>
        <w:fldChar w:fldCharType="end"/>
      </w:r>
      <w:r>
        <w:rPr>
          <w:rFonts w:asciiTheme="minorHAnsi" w:hAnsiTheme="minorHAnsi"/>
          <w:sz w:val="20"/>
          <w:szCs w:val="20"/>
        </w:rPr>
        <w:t>; ensemble de données (env_waselee)</w:t>
      </w:r>
    </w:p>
  </w:footnote>
  <w:footnote w:id="33">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Les données de 2016 n’étaient pas disponibles au moment de la rédaction du présent rapport.</w:t>
      </w:r>
    </w:p>
  </w:footnote>
  <w:footnote w:id="34">
    <w:p>
      <w:pPr>
        <w:pStyle w:val="FootnoteText"/>
        <w:rPr>
          <w:rFonts w:asciiTheme="minorHAnsi" w:hAnsiTheme="minorHAnsi"/>
          <w:sz w:val="20"/>
          <w:szCs w:val="20"/>
          <w:lang w:val="it-IT"/>
        </w:rPr>
      </w:pPr>
      <w:r>
        <w:rPr>
          <w:rStyle w:val="FootnoteReference"/>
          <w:rFonts w:asciiTheme="minorHAnsi" w:hAnsiTheme="minorHAnsi"/>
          <w:sz w:val="20"/>
          <w:szCs w:val="20"/>
        </w:rPr>
        <w:footnoteRef/>
      </w:r>
      <w:r>
        <w:rPr>
          <w:rFonts w:asciiTheme="minorHAnsi" w:hAnsiTheme="minorHAnsi"/>
          <w:sz w:val="20"/>
          <w:szCs w:val="20"/>
          <w:lang w:val="it-IT"/>
        </w:rPr>
        <w:t xml:space="preserve"> BiPRO (2018)</w:t>
      </w:r>
    </w:p>
  </w:footnote>
  <w:footnote w:id="35">
    <w:p>
      <w:pPr>
        <w:pStyle w:val="FootnoteText"/>
        <w:rPr>
          <w:rFonts w:asciiTheme="minorHAnsi" w:hAnsiTheme="minorHAnsi"/>
          <w:sz w:val="20"/>
          <w:szCs w:val="20"/>
          <w:lang w:val="it-IT"/>
        </w:rPr>
      </w:pPr>
      <w:r>
        <w:rPr>
          <w:rStyle w:val="FootnoteReference"/>
          <w:rFonts w:asciiTheme="minorHAnsi" w:hAnsiTheme="minorHAnsi"/>
          <w:sz w:val="20"/>
          <w:szCs w:val="20"/>
        </w:rPr>
        <w:footnoteRef/>
      </w:r>
      <w:r>
        <w:rPr>
          <w:rFonts w:asciiTheme="minorHAnsi" w:hAnsiTheme="minorHAnsi"/>
          <w:sz w:val="20"/>
          <w:szCs w:val="20"/>
          <w:lang w:val="it-IT"/>
        </w:rPr>
        <w:t xml:space="preserve"> </w:t>
      </w:r>
      <w:hyperlink r:id="rId5">
        <w:r>
          <w:rPr>
            <w:rStyle w:val="Hyperlink"/>
            <w:rFonts w:asciiTheme="minorHAnsi" w:hAnsiTheme="minorHAnsi"/>
            <w:sz w:val="20"/>
            <w:szCs w:val="20"/>
            <w:lang w:val="it-IT"/>
          </w:rPr>
          <w:t>https://i4r-platform.eu/</w:t>
        </w:r>
      </w:hyperlink>
    </w:p>
  </w:footnote>
  <w:footnote w:id="36">
    <w:p>
      <w:pPr>
        <w:pStyle w:val="FootnoteText"/>
        <w:rPr>
          <w:rFonts w:asciiTheme="minorHAnsi" w:hAnsiTheme="minorHAnsi"/>
          <w:sz w:val="20"/>
          <w:szCs w:val="20"/>
          <w:lang w:val="it-IT"/>
        </w:rPr>
      </w:pPr>
      <w:r>
        <w:rPr>
          <w:rStyle w:val="FootnoteReference"/>
          <w:rFonts w:asciiTheme="minorHAnsi" w:hAnsiTheme="minorHAnsi"/>
          <w:sz w:val="20"/>
          <w:szCs w:val="20"/>
        </w:rPr>
        <w:footnoteRef/>
      </w:r>
      <w:r>
        <w:rPr>
          <w:rFonts w:asciiTheme="minorHAnsi" w:hAnsiTheme="minorHAnsi"/>
          <w:sz w:val="20"/>
          <w:szCs w:val="20"/>
          <w:lang w:val="it-IT"/>
        </w:rPr>
        <w:t xml:space="preserve"> </w:t>
      </w:r>
      <w:r>
        <w:rPr>
          <w:rFonts w:asciiTheme="minorHAnsi" w:hAnsiTheme="minorHAnsi"/>
          <w:sz w:val="20"/>
          <w:szCs w:val="20"/>
        </w:rPr>
        <w:fldChar w:fldCharType="begin"/>
      </w:r>
      <w:r>
        <w:rPr>
          <w:rFonts w:asciiTheme="minorHAnsi" w:hAnsiTheme="minorHAnsi"/>
          <w:sz w:val="20"/>
          <w:szCs w:val="20"/>
          <w:lang w:val="it-IT"/>
        </w:rP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rPr>
          <w:rFonts w:asciiTheme="minorHAnsi" w:hAnsiTheme="minorHAnsi"/>
          <w:sz w:val="20"/>
          <w:szCs w:val="20"/>
        </w:rPr>
        <w:fldChar w:fldCharType="separate"/>
      </w:r>
      <w:r>
        <w:rPr>
          <w:rFonts w:asciiTheme="minorHAnsi" w:hAnsiTheme="minorHAnsi"/>
          <w:sz w:val="20"/>
          <w:szCs w:val="20"/>
          <w:lang w:val="it-IT"/>
        </w:rPr>
        <w:t>Eurostat; dataset (env_wasgen) and (env_waspac)</w:t>
      </w:r>
      <w:r>
        <w:rPr>
          <w:rFonts w:asciiTheme="minorHAnsi" w:hAnsiTheme="minorHAnsi"/>
          <w:sz w:val="20"/>
          <w:szCs w:val="20"/>
        </w:rPr>
        <w:fldChar w:fldCharType="end"/>
      </w:r>
    </w:p>
  </w:footnote>
  <w:footnote w:id="37">
    <w:p>
      <w:pPr>
        <w:pStyle w:val="FootnoteText"/>
        <w:rPr>
          <w:rFonts w:asciiTheme="minorHAnsi" w:hAnsiTheme="minorHAnsi"/>
          <w:sz w:val="20"/>
          <w:szCs w:val="20"/>
          <w:lang w:val="it-IT"/>
        </w:rPr>
      </w:pPr>
      <w:r>
        <w:rPr>
          <w:rStyle w:val="FootnoteReference"/>
          <w:rFonts w:asciiTheme="minorHAnsi" w:hAnsiTheme="minorHAnsi"/>
          <w:sz w:val="20"/>
          <w:szCs w:val="20"/>
        </w:rPr>
        <w:footnoteRef/>
      </w:r>
      <w:r>
        <w:rPr>
          <w:rFonts w:asciiTheme="minorHAnsi" w:hAnsiTheme="minorHAnsi"/>
          <w:sz w:val="20"/>
          <w:szCs w:val="20"/>
          <w:lang w:val="it-IT"/>
        </w:rPr>
        <w:t xml:space="preserve"> Ibidem.</w:t>
      </w:r>
    </w:p>
  </w:footnote>
  <w:footnote w:id="38">
    <w:p>
      <w:pPr>
        <w:pStyle w:val="FootnoteText"/>
        <w:rPr>
          <w:rFonts w:asciiTheme="minorHAnsi" w:hAnsiTheme="minorHAnsi"/>
          <w:sz w:val="20"/>
          <w:szCs w:val="20"/>
          <w:lang w:val="it-IT"/>
        </w:rPr>
      </w:pPr>
      <w:r>
        <w:rPr>
          <w:rStyle w:val="FootnoteReference"/>
          <w:rFonts w:asciiTheme="minorHAnsi" w:hAnsiTheme="minorHAnsi"/>
          <w:sz w:val="20"/>
          <w:szCs w:val="20"/>
        </w:rPr>
        <w:footnoteRef/>
      </w:r>
      <w:r>
        <w:rPr>
          <w:rFonts w:asciiTheme="minorHAnsi" w:hAnsiTheme="minorHAnsi"/>
          <w:sz w:val="20"/>
          <w:szCs w:val="20"/>
          <w:lang w:val="it-IT"/>
        </w:rPr>
        <w:t xml:space="preserve"> Directive (UE) 2018/852.</w:t>
      </w:r>
    </w:p>
  </w:footnote>
  <w:footnote w:id="39">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Données pour 2015 non fournies.</w:t>
      </w:r>
    </w:p>
  </w:footnote>
  <w:footnote w:id="40">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Eurostat; ensemble de données (emv_wasmun)</w:t>
      </w:r>
    </w:p>
  </w:footnote>
  <w:footnote w:id="41">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L’article 5, paragraphe 2, de la directive sur la mise en décharge prévoit un report de l'échéance de quatre ans pour les États membres qui, en 1995, mettaient en décharge plus de 80 % de leurs déchets municipaux.</w:t>
      </w:r>
    </w:p>
  </w:footnote>
  <w:footnote w:id="42">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Directive (UE) 2018/850.</w:t>
      </w:r>
    </w:p>
  </w:footnote>
  <w:footnote w:id="43">
    <w:p>
      <w:pPr>
        <w:pStyle w:val="FootnoteText"/>
        <w:rPr>
          <w:rFonts w:asciiTheme="minorHAnsi" w:hAnsiTheme="minorHAnsi"/>
          <w:b/>
          <w:bCs/>
          <w:sz w:val="20"/>
          <w:szCs w:val="20"/>
        </w:rPr>
      </w:pPr>
      <w:r>
        <w:rPr>
          <w:rStyle w:val="FootnoteReference"/>
          <w:rFonts w:asciiTheme="minorHAnsi" w:hAnsiTheme="minorHAnsi"/>
          <w:sz w:val="20"/>
          <w:szCs w:val="20"/>
        </w:rPr>
        <w:footnoteRef/>
      </w:r>
      <w:r>
        <w:rPr>
          <w:rFonts w:asciiTheme="minorHAnsi" w:hAnsiTheme="minorHAnsi"/>
          <w:sz w:val="20"/>
          <w:szCs w:val="20"/>
        </w:rPr>
        <w:t xml:space="preserve"> Milieu (2017), «Study to assess the implementation by the EU Member States of certain provisions of Directive 1999/31/EC on the landfill of waste» (étude visant à évaluer la mise en œuvre par les États membres de l’UE de certaines dispositions de la directive 1999/31/CE concernant la mise en décharge des déchets).</w:t>
      </w:r>
    </w:p>
  </w:footnote>
  <w:footnote w:id="44">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Article 6, point a), de la directive concernant la mise en décharge</w:t>
      </w:r>
    </w:p>
  </w:footnote>
  <w:footnote w:id="45">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http://ec.europa.eu/environment/eir/index_en.htm</w:t>
      </w:r>
    </w:p>
  </w:footnote>
  <w:footnote w:id="46">
    <w:p>
      <w:pPr>
        <w:pStyle w:val="FootnoteText"/>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TAIEX-EIR Peer2Peer - http://ec.europa.eu/environment/eir/p2p/index_en.htm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E81"/>
    <w:multiLevelType w:val="hybridMultilevel"/>
    <w:tmpl w:val="D338A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35F77"/>
    <w:multiLevelType w:val="hybridMultilevel"/>
    <w:tmpl w:val="2408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B0D6B"/>
    <w:multiLevelType w:val="hybridMultilevel"/>
    <w:tmpl w:val="D696B2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20F85"/>
    <w:multiLevelType w:val="hybridMultilevel"/>
    <w:tmpl w:val="13865E66"/>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B134A4"/>
    <w:multiLevelType w:val="hybridMultilevel"/>
    <w:tmpl w:val="52F636DC"/>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B3E18"/>
    <w:multiLevelType w:val="hybridMultilevel"/>
    <w:tmpl w:val="C994C3D4"/>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5222C"/>
    <w:multiLevelType w:val="hybridMultilevel"/>
    <w:tmpl w:val="31607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B46CF"/>
    <w:multiLevelType w:val="hybridMultilevel"/>
    <w:tmpl w:val="5C1C1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94C90"/>
    <w:multiLevelType w:val="hybridMultilevel"/>
    <w:tmpl w:val="CB923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5688"/>
    <w:multiLevelType w:val="hybridMultilevel"/>
    <w:tmpl w:val="D0108D50"/>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76C82"/>
    <w:multiLevelType w:val="hybridMultilevel"/>
    <w:tmpl w:val="074C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6F5689"/>
    <w:multiLevelType w:val="hybridMultilevel"/>
    <w:tmpl w:val="147E62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AD2F35"/>
    <w:multiLevelType w:val="hybridMultilevel"/>
    <w:tmpl w:val="6D780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472D44C9"/>
    <w:multiLevelType w:val="hybridMultilevel"/>
    <w:tmpl w:val="24E6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7C1B95"/>
    <w:multiLevelType w:val="hybridMultilevel"/>
    <w:tmpl w:val="CB08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33D11"/>
    <w:multiLevelType w:val="multilevel"/>
    <w:tmpl w:val="FB20AE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E02BF1"/>
    <w:multiLevelType w:val="hybridMultilevel"/>
    <w:tmpl w:val="EDEE7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520DB7"/>
    <w:multiLevelType w:val="hybridMultilevel"/>
    <w:tmpl w:val="8D625276"/>
    <w:lvl w:ilvl="0" w:tplc="BB0EAA0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602E0305"/>
    <w:multiLevelType w:val="hybridMultilevel"/>
    <w:tmpl w:val="0C0A37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5436C2"/>
    <w:multiLevelType w:val="hybridMultilevel"/>
    <w:tmpl w:val="C0D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42025"/>
    <w:multiLevelType w:val="hybridMultilevel"/>
    <w:tmpl w:val="A6767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6732A7"/>
    <w:multiLevelType w:val="hybridMultilevel"/>
    <w:tmpl w:val="DF90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5C6D10"/>
    <w:multiLevelType w:val="hybridMultilevel"/>
    <w:tmpl w:val="99002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B5304E2"/>
    <w:multiLevelType w:val="hybridMultilevel"/>
    <w:tmpl w:val="0C184AA0"/>
    <w:lvl w:ilvl="0" w:tplc="68DAE3C4">
      <w:start w:val="1"/>
      <w:numFmt w:val="bullet"/>
      <w:lvlText w:val="•"/>
      <w:lvlJc w:val="left"/>
      <w:pPr>
        <w:tabs>
          <w:tab w:val="num" w:pos="720"/>
        </w:tabs>
        <w:ind w:left="720" w:hanging="360"/>
      </w:pPr>
      <w:rPr>
        <w:rFonts w:ascii="Arial" w:hAnsi="Arial" w:hint="default"/>
      </w:rPr>
    </w:lvl>
    <w:lvl w:ilvl="1" w:tplc="693ECFAC" w:tentative="1">
      <w:start w:val="1"/>
      <w:numFmt w:val="bullet"/>
      <w:lvlText w:val="•"/>
      <w:lvlJc w:val="left"/>
      <w:pPr>
        <w:tabs>
          <w:tab w:val="num" w:pos="1440"/>
        </w:tabs>
        <w:ind w:left="1440" w:hanging="360"/>
      </w:pPr>
      <w:rPr>
        <w:rFonts w:ascii="Arial" w:hAnsi="Arial" w:hint="default"/>
      </w:rPr>
    </w:lvl>
    <w:lvl w:ilvl="2" w:tplc="B41065A0" w:tentative="1">
      <w:start w:val="1"/>
      <w:numFmt w:val="bullet"/>
      <w:lvlText w:val="•"/>
      <w:lvlJc w:val="left"/>
      <w:pPr>
        <w:tabs>
          <w:tab w:val="num" w:pos="2160"/>
        </w:tabs>
        <w:ind w:left="2160" w:hanging="360"/>
      </w:pPr>
      <w:rPr>
        <w:rFonts w:ascii="Arial" w:hAnsi="Arial" w:hint="default"/>
      </w:rPr>
    </w:lvl>
    <w:lvl w:ilvl="3" w:tplc="40E85F02" w:tentative="1">
      <w:start w:val="1"/>
      <w:numFmt w:val="bullet"/>
      <w:lvlText w:val="•"/>
      <w:lvlJc w:val="left"/>
      <w:pPr>
        <w:tabs>
          <w:tab w:val="num" w:pos="2880"/>
        </w:tabs>
        <w:ind w:left="2880" w:hanging="360"/>
      </w:pPr>
      <w:rPr>
        <w:rFonts w:ascii="Arial" w:hAnsi="Arial" w:hint="default"/>
      </w:rPr>
    </w:lvl>
    <w:lvl w:ilvl="4" w:tplc="4AD097A8" w:tentative="1">
      <w:start w:val="1"/>
      <w:numFmt w:val="bullet"/>
      <w:lvlText w:val="•"/>
      <w:lvlJc w:val="left"/>
      <w:pPr>
        <w:tabs>
          <w:tab w:val="num" w:pos="3600"/>
        </w:tabs>
        <w:ind w:left="3600" w:hanging="360"/>
      </w:pPr>
      <w:rPr>
        <w:rFonts w:ascii="Arial" w:hAnsi="Arial" w:hint="default"/>
      </w:rPr>
    </w:lvl>
    <w:lvl w:ilvl="5" w:tplc="A29A9186" w:tentative="1">
      <w:start w:val="1"/>
      <w:numFmt w:val="bullet"/>
      <w:lvlText w:val="•"/>
      <w:lvlJc w:val="left"/>
      <w:pPr>
        <w:tabs>
          <w:tab w:val="num" w:pos="4320"/>
        </w:tabs>
        <w:ind w:left="4320" w:hanging="360"/>
      </w:pPr>
      <w:rPr>
        <w:rFonts w:ascii="Arial" w:hAnsi="Arial" w:hint="default"/>
      </w:rPr>
    </w:lvl>
    <w:lvl w:ilvl="6" w:tplc="2F6CC430" w:tentative="1">
      <w:start w:val="1"/>
      <w:numFmt w:val="bullet"/>
      <w:lvlText w:val="•"/>
      <w:lvlJc w:val="left"/>
      <w:pPr>
        <w:tabs>
          <w:tab w:val="num" w:pos="5040"/>
        </w:tabs>
        <w:ind w:left="5040" w:hanging="360"/>
      </w:pPr>
      <w:rPr>
        <w:rFonts w:ascii="Arial" w:hAnsi="Arial" w:hint="default"/>
      </w:rPr>
    </w:lvl>
    <w:lvl w:ilvl="7" w:tplc="E7B46436" w:tentative="1">
      <w:start w:val="1"/>
      <w:numFmt w:val="bullet"/>
      <w:lvlText w:val="•"/>
      <w:lvlJc w:val="left"/>
      <w:pPr>
        <w:tabs>
          <w:tab w:val="num" w:pos="5760"/>
        </w:tabs>
        <w:ind w:left="5760" w:hanging="360"/>
      </w:pPr>
      <w:rPr>
        <w:rFonts w:ascii="Arial" w:hAnsi="Arial" w:hint="default"/>
      </w:rPr>
    </w:lvl>
    <w:lvl w:ilvl="8" w:tplc="CFD4A7A2" w:tentative="1">
      <w:start w:val="1"/>
      <w:numFmt w:val="bullet"/>
      <w:lvlText w:val="•"/>
      <w:lvlJc w:val="left"/>
      <w:pPr>
        <w:tabs>
          <w:tab w:val="num" w:pos="6480"/>
        </w:tabs>
        <w:ind w:left="6480" w:hanging="360"/>
      </w:pPr>
      <w:rPr>
        <w:rFonts w:ascii="Arial" w:hAnsi="Arial" w:hint="default"/>
      </w:rPr>
    </w:lvl>
  </w:abstractNum>
  <w:abstractNum w:abstractNumId="25">
    <w:nsid w:val="7B5B128D"/>
    <w:multiLevelType w:val="hybridMultilevel"/>
    <w:tmpl w:val="C71C3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22"/>
  </w:num>
  <w:num w:numId="14">
    <w:abstractNumId w:val="7"/>
  </w:num>
  <w:num w:numId="15">
    <w:abstractNumId w:val="21"/>
  </w:num>
  <w:num w:numId="16">
    <w:abstractNumId w:val="24"/>
  </w:num>
  <w:num w:numId="17">
    <w:abstractNumId w:val="23"/>
  </w:num>
  <w:num w:numId="18">
    <w:abstractNumId w:val="14"/>
  </w:num>
  <w:num w:numId="19">
    <w:abstractNumId w:val="13"/>
  </w:num>
  <w:num w:numId="20">
    <w:abstractNumId w:val="3"/>
  </w:num>
  <w:num w:numId="21">
    <w:abstractNumId w:val="13"/>
  </w:num>
  <w:num w:numId="22">
    <w:abstractNumId w:val="11"/>
  </w:num>
  <w:num w:numId="23">
    <w:abstractNumId w:val="8"/>
  </w:num>
  <w:num w:numId="24">
    <w:abstractNumId w:val="0"/>
  </w:num>
  <w:num w:numId="25">
    <w:abstractNumId w:val="2"/>
  </w:num>
  <w:num w:numId="26">
    <w:abstractNumId w:val="13"/>
  </w:num>
  <w:num w:numId="27">
    <w:abstractNumId w:val="13"/>
  </w:num>
  <w:num w:numId="28">
    <w:abstractNumId w:val="4"/>
  </w:num>
  <w:num w:numId="29">
    <w:abstractNumId w:val="18"/>
  </w:num>
  <w:num w:numId="30">
    <w:abstractNumId w:val="12"/>
  </w:num>
  <w:num w:numId="31">
    <w:abstractNumId w:val="15"/>
  </w:num>
  <w:num w:numId="32">
    <w:abstractNumId w:val="17"/>
  </w:num>
  <w:num w:numId="33">
    <w:abstractNumId w:val="6"/>
  </w:num>
  <w:num w:numId="34">
    <w:abstractNumId w:val="20"/>
  </w:num>
  <w:num w:numId="35">
    <w:abstractNumId w:val="10"/>
  </w:num>
  <w:num w:numId="36">
    <w:abstractNumId w:val="9"/>
  </w:num>
  <w:num w:numId="37">
    <w:abstractNumId w:val="25"/>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D5501748-5F51-4C70-BA30-8F3A5FA5BBF8"/>
    <w:docVar w:name="LW_COVERPAGE_TYPE" w:val="1"/>
    <w:docVar w:name="LW_CROSSREFERENCE" w:val="{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ATE.ADOPT.CP_ISODATE" w:val="&lt;EMPTY&gt;"/>
    <w:docVar w:name="LW_DocType" w:val="NORMAL"/>
    <w:docVar w:name="LW_EMISSION" w:val="24.9.2018"/>
    <w:docVar w:name="LW_EMISSION_ISODATE" w:val="2018-09-24"/>
    <w:docVar w:name="LW_EMISSION_LOCATION" w:val="BRX"/>
    <w:docVar w:name="LW_EMISSION_PREFIX" w:val="Bruxelles, le "/>
    <w:docVar w:name="LW_EMISSION_SUFFIX" w:val=" "/>
    <w:docVar w:name="LW_ID_DOCTYPE_NONLW" w:val="CP-008"/>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concernant la mise en \u339?uvre de la législation de l'Union relative aux déchets et le rapport d'alerte établi pour les États membres risquant de ne pas atteindre l'objectif de préparation au réemploi/recyclage des déchets municipaux fixé pour 2020&lt;/FMT&gt;"/>
    <w:docVar w:name="LW_TYPE.DOC.CP" w:val="RAPPORT DE LA COMMISSION AU PARLEMENT EUROPÉEN, AU CONSEIL, AU COMITÉ ÉCONOMIQUE ET SOCIAL EUROPÉEN ET AU COMITÉ DES RÉ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Times New Roman" w:eastAsia="Times New Roman" w:hAnsi="Times New Roman" w:cs="Times New Roman"/>
      <w:sz w:val="24"/>
      <w:szCs w:val="24"/>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4"/>
      <w:szCs w:val="24"/>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Times New Roman" w:eastAsia="Times New Roman" w:hAnsi="Times New Roman" w:cs="Times New Roman"/>
      <w:sz w:val="24"/>
      <w:szCs w:val="24"/>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4"/>
      <w:szCs w:val="24"/>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5250">
      <w:bodyDiv w:val="1"/>
      <w:marLeft w:val="0"/>
      <w:marRight w:val="0"/>
      <w:marTop w:val="0"/>
      <w:marBottom w:val="0"/>
      <w:divBdr>
        <w:top w:val="none" w:sz="0" w:space="0" w:color="auto"/>
        <w:left w:val="none" w:sz="0" w:space="0" w:color="auto"/>
        <w:bottom w:val="none" w:sz="0" w:space="0" w:color="auto"/>
        <w:right w:val="none" w:sz="0" w:space="0" w:color="auto"/>
      </w:divBdr>
    </w:div>
    <w:div w:id="640424880">
      <w:bodyDiv w:val="1"/>
      <w:marLeft w:val="0"/>
      <w:marRight w:val="0"/>
      <w:marTop w:val="0"/>
      <w:marBottom w:val="0"/>
      <w:divBdr>
        <w:top w:val="none" w:sz="0" w:space="0" w:color="auto"/>
        <w:left w:val="none" w:sz="0" w:space="0" w:color="auto"/>
        <w:bottom w:val="none" w:sz="0" w:space="0" w:color="auto"/>
        <w:right w:val="none" w:sz="0" w:space="0" w:color="auto"/>
      </w:divBdr>
    </w:div>
    <w:div w:id="943221888">
      <w:bodyDiv w:val="1"/>
      <w:marLeft w:val="0"/>
      <w:marRight w:val="0"/>
      <w:marTop w:val="0"/>
      <w:marBottom w:val="0"/>
      <w:divBdr>
        <w:top w:val="none" w:sz="0" w:space="0" w:color="auto"/>
        <w:left w:val="none" w:sz="0" w:space="0" w:color="auto"/>
        <w:bottom w:val="none" w:sz="0" w:space="0" w:color="auto"/>
        <w:right w:val="none" w:sz="0" w:space="0" w:color="auto"/>
      </w:divBdr>
    </w:div>
    <w:div w:id="1086421402">
      <w:bodyDiv w:val="1"/>
      <w:marLeft w:val="0"/>
      <w:marRight w:val="0"/>
      <w:marTop w:val="0"/>
      <w:marBottom w:val="0"/>
      <w:divBdr>
        <w:top w:val="none" w:sz="0" w:space="0" w:color="auto"/>
        <w:left w:val="none" w:sz="0" w:space="0" w:color="auto"/>
        <w:bottom w:val="none" w:sz="0" w:space="0" w:color="auto"/>
        <w:right w:val="none" w:sz="0" w:space="0" w:color="auto"/>
      </w:divBdr>
    </w:div>
    <w:div w:id="1432358376">
      <w:bodyDiv w:val="1"/>
      <w:marLeft w:val="0"/>
      <w:marRight w:val="0"/>
      <w:marTop w:val="0"/>
      <w:marBottom w:val="0"/>
      <w:divBdr>
        <w:top w:val="none" w:sz="0" w:space="0" w:color="auto"/>
        <w:left w:val="none" w:sz="0" w:space="0" w:color="auto"/>
        <w:bottom w:val="none" w:sz="0" w:space="0" w:color="auto"/>
        <w:right w:val="none" w:sz="0" w:space="0" w:color="auto"/>
      </w:divBdr>
      <w:divsChild>
        <w:div w:id="1149446070">
          <w:marLeft w:val="1166"/>
          <w:marRight w:val="0"/>
          <w:marTop w:val="0"/>
          <w:marBottom w:val="0"/>
          <w:divBdr>
            <w:top w:val="none" w:sz="0" w:space="0" w:color="auto"/>
            <w:left w:val="none" w:sz="0" w:space="0" w:color="auto"/>
            <w:bottom w:val="none" w:sz="0" w:space="0" w:color="auto"/>
            <w:right w:val="none" w:sz="0" w:space="0" w:color="auto"/>
          </w:divBdr>
        </w:div>
        <w:div w:id="1771120857">
          <w:marLeft w:val="1166"/>
          <w:marRight w:val="0"/>
          <w:marTop w:val="0"/>
          <w:marBottom w:val="0"/>
          <w:divBdr>
            <w:top w:val="none" w:sz="0" w:space="0" w:color="auto"/>
            <w:left w:val="none" w:sz="0" w:space="0" w:color="auto"/>
            <w:bottom w:val="none" w:sz="0" w:space="0" w:color="auto"/>
            <w:right w:val="none" w:sz="0" w:space="0" w:color="auto"/>
          </w:divBdr>
        </w:div>
        <w:div w:id="2083064655">
          <w:marLeft w:val="1166"/>
          <w:marRight w:val="0"/>
          <w:marTop w:val="0"/>
          <w:marBottom w:val="0"/>
          <w:divBdr>
            <w:top w:val="none" w:sz="0" w:space="0" w:color="auto"/>
            <w:left w:val="none" w:sz="0" w:space="0" w:color="auto"/>
            <w:bottom w:val="none" w:sz="0" w:space="0" w:color="auto"/>
            <w:right w:val="none" w:sz="0" w:space="0" w:color="auto"/>
          </w:divBdr>
        </w:div>
      </w:divsChild>
    </w:div>
    <w:div w:id="1434977086">
      <w:bodyDiv w:val="1"/>
      <w:marLeft w:val="0"/>
      <w:marRight w:val="0"/>
      <w:marTop w:val="0"/>
      <w:marBottom w:val="0"/>
      <w:divBdr>
        <w:top w:val="none" w:sz="0" w:space="0" w:color="auto"/>
        <w:left w:val="none" w:sz="0" w:space="0" w:color="auto"/>
        <w:bottom w:val="none" w:sz="0" w:space="0" w:color="auto"/>
        <w:right w:val="none" w:sz="0" w:space="0" w:color="auto"/>
      </w:divBdr>
    </w:div>
    <w:div w:id="1609238462">
      <w:bodyDiv w:val="1"/>
      <w:marLeft w:val="0"/>
      <w:marRight w:val="0"/>
      <w:marTop w:val="0"/>
      <w:marBottom w:val="0"/>
      <w:divBdr>
        <w:top w:val="none" w:sz="0" w:space="0" w:color="auto"/>
        <w:left w:val="none" w:sz="0" w:space="0" w:color="auto"/>
        <w:bottom w:val="none" w:sz="0" w:space="0" w:color="auto"/>
        <w:right w:val="none" w:sz="0" w:space="0" w:color="auto"/>
      </w:divBdr>
    </w:div>
    <w:div w:id="1894148564">
      <w:bodyDiv w:val="1"/>
      <w:marLeft w:val="0"/>
      <w:marRight w:val="0"/>
      <w:marTop w:val="0"/>
      <w:marBottom w:val="0"/>
      <w:divBdr>
        <w:top w:val="none" w:sz="0" w:space="0" w:color="auto"/>
        <w:left w:val="none" w:sz="0" w:space="0" w:color="auto"/>
        <w:bottom w:val="none" w:sz="0" w:space="0" w:color="auto"/>
        <w:right w:val="none" w:sz="0" w:space="0" w:color="auto"/>
      </w:divBdr>
      <w:divsChild>
        <w:div w:id="506293245">
          <w:marLeft w:val="504"/>
          <w:marRight w:val="0"/>
          <w:marTop w:val="280"/>
          <w:marBottom w:val="0"/>
          <w:divBdr>
            <w:top w:val="none" w:sz="0" w:space="0" w:color="auto"/>
            <w:left w:val="none" w:sz="0" w:space="0" w:color="auto"/>
            <w:bottom w:val="none" w:sz="0" w:space="0" w:color="auto"/>
            <w:right w:val="none" w:sz="0" w:space="0" w:color="auto"/>
          </w:divBdr>
        </w:div>
        <w:div w:id="107966915">
          <w:marLeft w:val="504"/>
          <w:marRight w:val="0"/>
          <w:marTop w:val="280"/>
          <w:marBottom w:val="0"/>
          <w:divBdr>
            <w:top w:val="none" w:sz="0" w:space="0" w:color="auto"/>
            <w:left w:val="none" w:sz="0" w:space="0" w:color="auto"/>
            <w:bottom w:val="none" w:sz="0" w:space="0" w:color="auto"/>
            <w:right w:val="none" w:sz="0" w:space="0" w:color="auto"/>
          </w:divBdr>
        </w:div>
        <w:div w:id="1880122616">
          <w:marLeft w:val="504"/>
          <w:marRight w:val="0"/>
          <w:marTop w:val="280"/>
          <w:marBottom w:val="0"/>
          <w:divBdr>
            <w:top w:val="none" w:sz="0" w:space="0" w:color="auto"/>
            <w:left w:val="none" w:sz="0" w:space="0" w:color="auto"/>
            <w:bottom w:val="none" w:sz="0" w:space="0" w:color="auto"/>
            <w:right w:val="none" w:sz="0" w:space="0" w:color="auto"/>
          </w:divBdr>
        </w:div>
        <w:div w:id="1918712544">
          <w:marLeft w:val="504"/>
          <w:marRight w:val="0"/>
          <w:marTop w:val="280"/>
          <w:marBottom w:val="0"/>
          <w:divBdr>
            <w:top w:val="none" w:sz="0" w:space="0" w:color="auto"/>
            <w:left w:val="none" w:sz="0" w:space="0" w:color="auto"/>
            <w:bottom w:val="none" w:sz="0" w:space="0" w:color="auto"/>
            <w:right w:val="none" w:sz="0" w:space="0" w:color="auto"/>
          </w:divBdr>
        </w:div>
        <w:div w:id="228467431">
          <w:marLeft w:val="504"/>
          <w:marRight w:val="0"/>
          <w:marTop w:val="280"/>
          <w:marBottom w:val="0"/>
          <w:divBdr>
            <w:top w:val="none" w:sz="0" w:space="0" w:color="auto"/>
            <w:left w:val="none" w:sz="0" w:space="0" w:color="auto"/>
            <w:bottom w:val="none" w:sz="0" w:space="0" w:color="auto"/>
            <w:right w:val="none" w:sz="0" w:space="0" w:color="auto"/>
          </w:divBdr>
        </w:div>
        <w:div w:id="1762919636">
          <w:marLeft w:val="504"/>
          <w:marRight w:val="0"/>
          <w:marTop w:val="280"/>
          <w:marBottom w:val="0"/>
          <w:divBdr>
            <w:top w:val="none" w:sz="0" w:space="0" w:color="auto"/>
            <w:left w:val="none" w:sz="0" w:space="0" w:color="auto"/>
            <w:bottom w:val="none" w:sz="0" w:space="0" w:color="auto"/>
            <w:right w:val="none" w:sz="0" w:space="0" w:color="auto"/>
          </w:divBdr>
        </w:div>
        <w:div w:id="708064569">
          <w:marLeft w:val="504"/>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tgm/table.do?tab=table&amp;plugin=1&amp;language=fr&amp;pcode=cei_wm040" TargetMode="External"/><Relationship Id="rId2" Type="http://schemas.openxmlformats.org/officeDocument/2006/relationships/hyperlink" Target="http://ec.europa.eu/eurostat/web/waste/data/database" TargetMode="External"/><Relationship Id="rId1" Type="http://schemas.openxmlformats.org/officeDocument/2006/relationships/hyperlink" Target="http://ec.europa.eu/environment/waste/reporting/index" TargetMode="External"/><Relationship Id="rId5" Type="http://schemas.openxmlformats.org/officeDocument/2006/relationships/hyperlink" Target="https://i4r-platform.eu/" TargetMode="External"/><Relationship Id="rId4" Type="http://schemas.openxmlformats.org/officeDocument/2006/relationships/hyperlink" Target="https://eur-lex.europa.eu/legal-content/FR/TXT/?uri=uriserv:OJ.C_.2018.124.01.0001.01.FRA&amp;toc=OJ:C:2018: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4B94-5098-4574-A5CA-97BCDC12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3632</Words>
  <Characters>19688</Characters>
  <Application>Microsoft Office Word</Application>
  <DocSecurity>0</DocSecurity>
  <Lines>317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2018-07-25T08:11:00Z</dcterms:created>
  <dcterms:modified xsi:type="dcterms:W3CDTF">2018-09-17T10:17:00Z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