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4315F26-A09D-4AEC-A882-D3058087A0D3" style="width:450.75pt;height:429.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bookmarkStart w:id="1" w:name="_GoBack"/>
      <w:bookmarkEnd w:id="1"/>
      <w:r>
        <w:rPr>
          <w:rFonts w:ascii="Times New Roman" w:hAnsi="Times New Roman"/>
          <w:b/>
          <w:smallCaps/>
          <w:noProof/>
          <w:color w:val="000000"/>
          <w:sz w:val="24"/>
        </w:rPr>
        <w:lastRenderedPageBreak/>
        <w:t>Въведение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Доброто управление на отпадъците е градивен елемент на кръговата икономика и допринася за предотвратяване на отрицателното въздействие на отпадъците върху околната среда и здравето. Правилното прилагане на законодателството на ЕС за отпадъците ще ускори прехода към кръгова икономика. Местните участници имат решаваща роля при управлението на отпадъците и е необходимо включването им в разработването и изпълнението на политиките, а така също и подкрепа за дейностите им, за да се гарантира постигането на съответствие със законодателството на ЕС.</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 настоящия доклад се прави преглед на изпълнението от държавите членки на ключови елементи от това законодателство, установяват се предизвикателствата, възпрепятстващи пълното съответствие, и се предлагат препоръки за начините, по които да се подобри управлението на някои потоци отпадъци.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Докладът се основава на информацията, предоставена в рамките на националните доклади за прилагането</w:t>
      </w:r>
      <w:r>
        <w:rPr>
          <w:rStyle w:val="FootnoteReference"/>
          <w:rFonts w:ascii="Times New Roman" w:hAnsi="Times New Roman"/>
          <w:noProof/>
          <w:sz w:val="24"/>
        </w:rPr>
        <w:footnoteReference w:id="1"/>
      </w:r>
      <w:r>
        <w:rPr>
          <w:rFonts w:ascii="Times New Roman" w:hAnsi="Times New Roman"/>
          <w:noProof/>
          <w:sz w:val="24"/>
        </w:rPr>
        <w:t xml:space="preserve"> в периода 2013 — 2015 г.</w:t>
      </w:r>
      <w:r>
        <w:rPr>
          <w:rStyle w:val="FootnoteReference"/>
          <w:rFonts w:ascii="Times New Roman" w:hAnsi="Times New Roman"/>
          <w:noProof/>
          <w:sz w:val="24"/>
        </w:rPr>
        <w:footnoteReference w:id="2"/>
      </w:r>
      <w:r>
        <w:rPr>
          <w:rFonts w:ascii="Times New Roman" w:hAnsi="Times New Roman"/>
          <w:noProof/>
          <w:sz w:val="24"/>
        </w:rPr>
        <w:t xml:space="preserve"> на:</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noProof/>
          <w:sz w:val="24"/>
        </w:rPr>
        <w:t>Директива 2008/98/ЕО относно отпадъците (Рамкова директива относно отпадъците),</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noProof/>
          <w:sz w:val="24"/>
        </w:rPr>
        <w:t>Директива 2002/96/ЕО и Директива 2012/19/ЕС относно отпадъци от електрическо и електронно оборудване (Директива относно ОЕЕО),</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noProof/>
          <w:sz w:val="24"/>
        </w:rPr>
        <w:t>Директива 94/62/ЕО относно опаковките и отпадъците от опаковки (Директива относно опаковките),</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noProof/>
          <w:sz w:val="24"/>
        </w:rPr>
        <w:t>Директива 1999/31/ЕО относно депонирането на отпадъци (Директива относно депонирането) и</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noProof/>
          <w:sz w:val="24"/>
        </w:rPr>
        <w:t>Директива 86/278/ЕИО за опазване на околната среда, и по-специално на почвата, при използване на утайки от отпадъчни води в земеделието (Директива относно утайките от отпадъчни води)</w:t>
      </w:r>
      <w:r>
        <w:rPr>
          <w:rStyle w:val="FootnoteReference"/>
          <w:rFonts w:ascii="Times New Roman" w:hAnsi="Times New Roman"/>
          <w:noProof/>
          <w:sz w:val="24"/>
        </w:rPr>
        <w:footnoteReference w:id="3"/>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Тази информация се допълва от неотдавнашни задълбочени проучвания на редица потоци отпадъци, и по-специално на битовите отпадъци (проучването във връзка с ранното предупреждение)</w:t>
      </w:r>
      <w:bookmarkStart w:id="2" w:name="_Ref510018215"/>
      <w:r>
        <w:rPr>
          <w:rStyle w:val="FootnoteReference"/>
          <w:rFonts w:ascii="Times New Roman" w:hAnsi="Times New Roman"/>
          <w:noProof/>
          <w:sz w:val="24"/>
        </w:rPr>
        <w:footnoteReference w:id="4"/>
      </w:r>
      <w:bookmarkStart w:id="3" w:name="_Ref510018573"/>
      <w:bookmarkEnd w:id="2"/>
      <w:r>
        <w:rPr>
          <w:rStyle w:val="FootnoteReference"/>
          <w:rFonts w:ascii="Times New Roman" w:hAnsi="Times New Roman"/>
          <w:noProof/>
          <w:sz w:val="24"/>
        </w:rPr>
        <w:t>,</w:t>
      </w:r>
      <w:bookmarkStart w:id="4" w:name="_Ref519504257"/>
      <w:r>
        <w:rPr>
          <w:rStyle w:val="FootnoteReference"/>
          <w:rFonts w:ascii="Times New Roman" w:hAnsi="Times New Roman"/>
          <w:noProof/>
          <w:sz w:val="24"/>
        </w:rPr>
        <w:footnoteReference w:id="5"/>
      </w:r>
      <w:bookmarkEnd w:id="3"/>
      <w:bookmarkEnd w:id="4"/>
      <w:r>
        <w:rPr>
          <w:rFonts w:ascii="Times New Roman" w:hAnsi="Times New Roman"/>
          <w:noProof/>
          <w:sz w:val="24"/>
        </w:rPr>
        <w:t>, отпадъците от строителство и разрушаване</w:t>
      </w:r>
      <w:r>
        <w:rPr>
          <w:rStyle w:val="FootnoteReference"/>
          <w:rFonts w:ascii="Times New Roman" w:hAnsi="Times New Roman"/>
          <w:i/>
          <w:noProof/>
          <w:sz w:val="24"/>
        </w:rPr>
        <w:footnoteReference w:id="6"/>
      </w:r>
      <w:r>
        <w:rPr>
          <w:rFonts w:ascii="Times New Roman" w:hAnsi="Times New Roman"/>
          <w:noProof/>
          <w:sz w:val="24"/>
        </w:rPr>
        <w:t>, опасните отпадъци</w:t>
      </w:r>
      <w:r>
        <w:rPr>
          <w:rStyle w:val="FootnoteReference"/>
          <w:rFonts w:ascii="Times New Roman" w:hAnsi="Times New Roman"/>
          <w:noProof/>
          <w:sz w:val="24"/>
        </w:rPr>
        <w:footnoteReference w:id="7"/>
      </w:r>
      <w:r>
        <w:rPr>
          <w:rFonts w:ascii="Times New Roman" w:hAnsi="Times New Roman"/>
          <w:noProof/>
          <w:sz w:val="24"/>
        </w:rPr>
        <w:t xml:space="preserve"> и отпадъците от електрическо и електронно оборудване</w:t>
      </w:r>
      <w:r>
        <w:rPr>
          <w:rStyle w:val="FootnoteReference"/>
          <w:rFonts w:ascii="Times New Roman" w:hAnsi="Times New Roman"/>
          <w:noProof/>
          <w:sz w:val="24"/>
        </w:rPr>
        <w:footnoteReference w:id="8"/>
      </w:r>
      <w:r>
        <w:rPr>
          <w:rFonts w:ascii="Times New Roman" w:hAnsi="Times New Roman"/>
          <w:noProof/>
          <w:sz w:val="24"/>
        </w:rPr>
        <w:t>.</w:t>
      </w:r>
    </w:p>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Битови отпадъци — доклад за ранно предупреждение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През 2016 г. европейците са генерирали средно 480 kg битови отпадъци на човек, 46 % от които са били рециклирани или компостирани, а 25 % депонирани</w:t>
      </w:r>
      <w:r>
        <w:rPr>
          <w:rStyle w:val="FootnoteReference"/>
          <w:rFonts w:ascii="Times New Roman" w:hAnsi="Times New Roman"/>
          <w:noProof/>
          <w:sz w:val="24"/>
        </w:rPr>
        <w:footnoteReference w:id="9"/>
      </w:r>
      <w:r>
        <w:rPr>
          <w:rFonts w:ascii="Times New Roman" w:hAnsi="Times New Roman"/>
          <w:noProof/>
          <w:sz w:val="24"/>
        </w:rPr>
        <w:t>. Битовите отпадъци представляват едва около 10 % от общото количество генерирани в ЕС отпадъци, но са един от най-сложните за управление потоци поради разнообразния им състав, големия брой генериращи източници и разпокъсаността на отговорностите.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Правните задължения за управлението на битовите отпадъци (отпадъци от домакинствата и др. под.) са установени в Рамковата директива относно отпадъците. Те включват цел 50 % от битовите отпадъци да бъдат подготвяни за повторна употреба/рециклирани</w:t>
      </w:r>
      <w:r>
        <w:rPr>
          <w:rStyle w:val="FootnoteReference"/>
          <w:rFonts w:ascii="Times New Roman" w:hAnsi="Times New Roman"/>
          <w:noProof/>
          <w:sz w:val="24"/>
        </w:rPr>
        <w:footnoteReference w:id="10"/>
      </w:r>
      <w:r>
        <w:rPr>
          <w:rFonts w:ascii="Times New Roman" w:hAnsi="Times New Roman"/>
          <w:noProof/>
          <w:sz w:val="24"/>
        </w:rPr>
        <w:t>, която трябва да бъде постигната до 2020 г. Наскоро Директивата беше преразгледана</w:t>
      </w:r>
      <w:r>
        <w:rPr>
          <w:rStyle w:val="FootnoteReference"/>
          <w:rFonts w:ascii="Times New Roman" w:hAnsi="Times New Roman"/>
          <w:noProof/>
          <w:sz w:val="24"/>
        </w:rPr>
        <w:footnoteReference w:id="11"/>
      </w:r>
      <w:r>
        <w:rPr>
          <w:rFonts w:ascii="Times New Roman" w:hAnsi="Times New Roman"/>
          <w:noProof/>
          <w:sz w:val="24"/>
        </w:rPr>
        <w:t xml:space="preserve"> и бяха включени нови и по-амбициозни цели: 55 % до 2025 г., 60 % до 2030 г. и 65 % до 2035 г.</w:t>
      </w:r>
      <w:r>
        <w:rPr>
          <w:rStyle w:val="FootnoteReference"/>
          <w:rFonts w:ascii="Times New Roman" w:hAnsi="Times New Roman"/>
          <w:noProof/>
          <w:sz w:val="24"/>
        </w:rPr>
        <w:footnoteReference w:id="12"/>
      </w:r>
      <w:r>
        <w:rPr>
          <w:rFonts w:ascii="Times New Roman" w:hAnsi="Times New Roman"/>
          <w:noProof/>
          <w:sz w:val="24"/>
        </w:rPr>
        <w:t>. С преразгледаната директива се въвежда и система от доклади за ранно предупреждение с цел оценка на напредъка на държавите членки по тези цели три години преди съответните крайни срокове.</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В очакване на тази серия от мерки и в помощ на държавите членки, за да изпълнят те целта за 2020 г., Комисията вече проведе своето първо проучване във връзка с ранното предупреждение</w:t>
      </w:r>
      <w:r>
        <w:rPr>
          <w:rStyle w:val="FootnoteReference"/>
          <w:rFonts w:ascii="Times New Roman" w:hAnsi="Times New Roman"/>
          <w:noProof/>
          <w:sz w:val="24"/>
        </w:rPr>
        <w:footnoteReference w:id="13"/>
      </w:r>
      <w:r>
        <w:rPr>
          <w:rFonts w:ascii="Times New Roman" w:hAnsi="Times New Roman"/>
          <w:noProof/>
          <w:sz w:val="24"/>
        </w:rPr>
        <w:t xml:space="preserve">. Въз основа на задълбочен преглед на ефективността на рециклирането и на политиките на държавите членки относно отпадъците беше установено, че </w:t>
      </w:r>
      <w:r>
        <w:rPr>
          <w:rFonts w:ascii="Times New Roman" w:hAnsi="Times New Roman"/>
          <w:b/>
          <w:noProof/>
          <w:sz w:val="24"/>
        </w:rPr>
        <w:t>14 държави членки са изложени на риск да не постигнат целта от 50 % до 2020 г.</w:t>
      </w:r>
      <w:r>
        <w:rPr>
          <w:rStyle w:val="FootnoteReference"/>
          <w:rFonts w:ascii="Times New Roman" w:hAnsi="Times New Roman"/>
          <w:noProof/>
          <w:sz w:val="24"/>
        </w:rPr>
        <w:footnoteReference w:id="14"/>
      </w:r>
      <w:r>
        <w:rPr>
          <w:rFonts w:ascii="Times New Roman" w:hAnsi="Times New Roman"/>
          <w:b/>
          <w:noProof/>
          <w:sz w:val="24"/>
        </w:rPr>
        <w:t xml:space="preserve">. </w:t>
      </w:r>
      <w:r>
        <w:rPr>
          <w:rFonts w:ascii="Times New Roman" w:hAnsi="Times New Roman"/>
          <w:noProof/>
          <w:sz w:val="24"/>
        </w:rPr>
        <w:t xml:space="preserve">Това са: </w:t>
      </w:r>
      <w:r>
        <w:rPr>
          <w:rFonts w:ascii="Times New Roman" w:hAnsi="Times New Roman"/>
          <w:b/>
          <w:noProof/>
          <w:sz w:val="24"/>
        </w:rPr>
        <w:t>България, Гърция, Естония, Испания, Кипър, Латвия, Малта, Полша, Португалия, Румъния, Словакия, Унгария, Финландия и Хърватия</w:t>
      </w:r>
      <w:r>
        <w:rPr>
          <w:rFonts w:ascii="Times New Roman" w:hAnsi="Times New Roman"/>
          <w:noProof/>
          <w:sz w:val="24"/>
        </w:rPr>
        <w:t>.</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Проведеното във връзка с тази серия от мерки моделиране чрез сценарии</w:t>
      </w:r>
      <w:r>
        <w:rPr>
          <w:rStyle w:val="FootnoteReference"/>
          <w:rFonts w:ascii="Times New Roman" w:hAnsi="Times New Roman"/>
          <w:noProof/>
          <w:sz w:val="24"/>
        </w:rPr>
        <w:footnoteReference w:id="15"/>
      </w:r>
      <w:r>
        <w:rPr>
          <w:rFonts w:ascii="Times New Roman" w:hAnsi="Times New Roman"/>
          <w:noProof/>
          <w:sz w:val="24"/>
        </w:rPr>
        <w:t xml:space="preserve"> потвърди констатацията и насочи към заключението, че ако не бъдат предприети допълнителни мерки на политиката, някои от въпросните държави членки вероятно няма да постигнат целта дори от 50 % до 2025 г.</w:t>
      </w:r>
    </w:p>
    <w:p>
      <w:pPr>
        <w:spacing w:before="240" w:after="120" w:line="240"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 xml:space="preserve">В зависимост от конкретните проблеми и нужди на всяка държава членка и от отдалечеността от целта за 2020 г. бяха установени специфични за всяка държава </w:t>
      </w:r>
      <w:r>
        <w:rPr>
          <w:rFonts w:ascii="Times New Roman" w:eastAsiaTheme="majorEastAsia" w:hAnsi="Times New Roman"/>
          <w:b/>
          <w:noProof/>
          <w:sz w:val="24"/>
        </w:rPr>
        <w:t xml:space="preserve">действия </w:t>
      </w:r>
      <w:r>
        <w:rPr>
          <w:rFonts w:ascii="Times New Roman" w:eastAsiaTheme="majorEastAsia" w:hAnsi="Times New Roman"/>
          <w:noProof/>
          <w:sz w:val="24"/>
        </w:rPr>
        <w:t>за преодоляване на пропуските чрез процес, в който тясно участваха националните органи. Оценката във връзка с ранното предупреждение, съдържаща се в настоящия доклад, се опира също така и на предишни дейности за насърчаване на съответствието</w:t>
      </w:r>
      <w:r>
        <w:rPr>
          <w:rStyle w:val="FootnoteReference"/>
          <w:rFonts w:ascii="Times New Roman" w:eastAsiaTheme="majorEastAsia" w:hAnsi="Times New Roman"/>
          <w:noProof/>
          <w:sz w:val="24"/>
        </w:rPr>
        <w:footnoteReference w:id="16"/>
      </w:r>
      <w:r>
        <w:rPr>
          <w:rFonts w:ascii="Times New Roman" w:eastAsiaTheme="majorEastAsia" w:hAnsi="Times New Roman"/>
          <w:noProof/>
          <w:sz w:val="24"/>
        </w:rPr>
        <w:t xml:space="preserve">, които Комисията проведе в сътрудничество с държавите членки. Ако националните и местните органи </w:t>
      </w:r>
      <w:r>
        <w:rPr>
          <w:rFonts w:ascii="Times New Roman" w:eastAsiaTheme="majorEastAsia" w:hAnsi="Times New Roman"/>
          <w:b/>
          <w:noProof/>
          <w:sz w:val="24"/>
        </w:rPr>
        <w:t xml:space="preserve">приложат без отлагане </w:t>
      </w:r>
      <w:r>
        <w:rPr>
          <w:rFonts w:ascii="Times New Roman" w:eastAsiaTheme="majorEastAsia" w:hAnsi="Times New Roman"/>
          <w:noProof/>
          <w:sz w:val="24"/>
        </w:rPr>
        <w:t>тези действия, това ще позволи значително намаляване на риска от неизпълнение на целите. Тези действия са отразени в работните документи на службите на Комисията, придружаващи настоящия доклад. Освен това може да бъдат установени и редица важни общи приоритети.</w:t>
      </w:r>
    </w:p>
    <w:tbl>
      <w:tblPr>
        <w:tblStyle w:val="TableGrid"/>
        <w:tblW w:w="0" w:type="auto"/>
        <w:tblInd w:w="108" w:type="dxa"/>
        <w:shd w:val="clear" w:color="auto" w:fill="C6D9F1" w:themeFill="text2" w:themeFillTint="33"/>
        <w:tblLook w:val="04A0" w:firstRow="1" w:lastRow="0" w:firstColumn="1" w:lastColumn="0" w:noHBand="0" w:noVBand="1"/>
      </w:tblPr>
      <w:tblGrid>
        <w:gridCol w:w="9072"/>
      </w:tblGrid>
      <w:tr>
        <w:tc>
          <w:tcPr>
            <w:tcW w:w="9072" w:type="dxa"/>
            <w:shd w:val="clear" w:color="auto" w:fill="C6D9F1" w:themeFill="text2" w:themeFillTint="33"/>
          </w:tcPr>
          <w:p>
            <w:pPr>
              <w:keepNext/>
              <w:spacing w:before="240" w:after="240"/>
              <w:jc w:val="center"/>
              <w:rPr>
                <w:rFonts w:ascii="Times New Roman" w:eastAsiaTheme="majorEastAsia" w:hAnsi="Times New Roman" w:cs="Times New Roman"/>
                <w:b/>
                <w:noProof/>
                <w:sz w:val="24"/>
                <w:szCs w:val="24"/>
                <w:u w:val="single"/>
              </w:rPr>
            </w:pPr>
            <w:r>
              <w:rPr>
                <w:rFonts w:ascii="Times New Roman" w:eastAsiaTheme="majorEastAsia" w:hAnsi="Times New Roman"/>
                <w:b/>
                <w:noProof/>
                <w:sz w:val="24"/>
                <w:u w:val="single"/>
              </w:rPr>
              <w:t>Каре 1: Управление на битовите отпадъци</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b/>
                <w:noProof/>
                <w:sz w:val="24"/>
              </w:rPr>
              <w:t xml:space="preserve">Разпределяне на националните цели за рециклиране </w:t>
            </w:r>
            <w:r>
              <w:rPr>
                <w:rFonts w:ascii="Times New Roman" w:eastAsiaTheme="majorEastAsia" w:hAnsi="Times New Roman"/>
                <w:noProof/>
                <w:sz w:val="24"/>
              </w:rPr>
              <w:t>надолу по веригата до</w:t>
            </w:r>
            <w:r>
              <w:rPr>
                <w:rFonts w:ascii="Times New Roman" w:eastAsiaTheme="majorEastAsia" w:hAnsi="Times New Roman"/>
                <w:b/>
                <w:noProof/>
                <w:sz w:val="24"/>
              </w:rPr>
              <w:t xml:space="preserve"> нивото на общините </w:t>
            </w:r>
            <w:r>
              <w:rPr>
                <w:rFonts w:ascii="Times New Roman" w:eastAsiaTheme="majorEastAsia" w:hAnsi="Times New Roman"/>
                <w:noProof/>
                <w:sz w:val="24"/>
              </w:rPr>
              <w:t xml:space="preserve">с отговорност за системите за събиране на отпадъци и предвиждане на </w:t>
            </w:r>
            <w:r>
              <w:rPr>
                <w:rFonts w:ascii="Times New Roman" w:eastAsiaTheme="majorEastAsia" w:hAnsi="Times New Roman"/>
                <w:b/>
                <w:noProof/>
                <w:sz w:val="24"/>
              </w:rPr>
              <w:t>последствия за общините, които не изпълняват</w:t>
            </w:r>
            <w:r>
              <w:rPr>
                <w:rFonts w:ascii="Times New Roman" w:eastAsiaTheme="majorEastAsia" w:hAnsi="Times New Roman"/>
                <w:noProof/>
                <w:sz w:val="24"/>
              </w:rPr>
              <w:t xml:space="preserve"> целите </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Въвеждане на мерки (вкл. данъци)</w:t>
            </w:r>
            <w:r>
              <w:rPr>
                <w:rFonts w:ascii="Times New Roman" w:eastAsiaTheme="majorEastAsia" w:hAnsi="Times New Roman"/>
                <w:b/>
                <w:noProof/>
                <w:sz w:val="24"/>
              </w:rPr>
              <w:t xml:space="preserve"> с цел поетапно прекратяване на депонирането и на други форми на третиране на остатъчни отпадъци</w:t>
            </w:r>
            <w:r>
              <w:rPr>
                <w:rFonts w:ascii="Times New Roman" w:eastAsiaTheme="majorEastAsia" w:hAnsi="Times New Roman"/>
                <w:noProof/>
                <w:sz w:val="24"/>
              </w:rPr>
              <w:t xml:space="preserve"> (напр. механично биологично третиране и изгаряне), за да се предложат икономически стимули в подкрепа на йерархията на отпадъците</w:t>
            </w:r>
            <w:r>
              <w:rPr>
                <w:rStyle w:val="FootnoteReference"/>
                <w:rFonts w:ascii="Times New Roman" w:eastAsiaTheme="majorEastAsia" w:hAnsi="Times New Roman"/>
                <w:noProof/>
                <w:sz w:val="24"/>
              </w:rPr>
              <w:footnoteReference w:id="17"/>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 xml:space="preserve">Разработване съвместно с местните и регионалните органи на насоки за общините под формата на </w:t>
            </w:r>
            <w:r>
              <w:rPr>
                <w:rFonts w:ascii="Times New Roman" w:eastAsiaTheme="majorEastAsia" w:hAnsi="Times New Roman"/>
                <w:b/>
                <w:noProof/>
                <w:sz w:val="24"/>
              </w:rPr>
              <w:t>минимален стандарт за услуга при разделното събиране</w:t>
            </w:r>
            <w:r>
              <w:rPr>
                <w:rFonts w:ascii="Times New Roman" w:eastAsiaTheme="majorEastAsia" w:hAnsi="Times New Roman"/>
                <w:noProof/>
                <w:sz w:val="24"/>
              </w:rPr>
              <w:t xml:space="preserve">; организиране на </w:t>
            </w:r>
            <w:r>
              <w:rPr>
                <w:rFonts w:ascii="Times New Roman" w:eastAsiaTheme="majorEastAsia" w:hAnsi="Times New Roman"/>
                <w:b/>
                <w:noProof/>
                <w:sz w:val="24"/>
              </w:rPr>
              <w:t>програми за техническа подкрепа и изграждане на капацитет</w:t>
            </w:r>
            <w:r>
              <w:rPr>
                <w:rFonts w:ascii="Times New Roman" w:eastAsiaTheme="majorEastAsia" w:hAnsi="Times New Roman"/>
                <w:noProof/>
                <w:sz w:val="24"/>
              </w:rPr>
              <w:t xml:space="preserve"> в полза на </w:t>
            </w:r>
            <w:r>
              <w:rPr>
                <w:rFonts w:ascii="Times New Roman" w:eastAsiaTheme="majorEastAsia" w:hAnsi="Times New Roman"/>
                <w:b/>
                <w:noProof/>
                <w:sz w:val="24"/>
              </w:rPr>
              <w:t>общините</w:t>
            </w:r>
            <w:r>
              <w:rPr>
                <w:rFonts w:ascii="Times New Roman" w:eastAsiaTheme="majorEastAsia" w:hAnsi="Times New Roman"/>
                <w:noProof/>
                <w:sz w:val="24"/>
              </w:rPr>
              <w:t xml:space="preserve"> на национално равнище</w:t>
            </w:r>
            <w:r>
              <w:rPr>
                <w:rFonts w:ascii="Times New Roman" w:eastAsiaTheme="majorEastAsia" w:hAnsi="Times New Roman"/>
                <w:b/>
                <w:noProof/>
                <w:sz w:val="24"/>
              </w:rPr>
              <w:t xml:space="preserve"> </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 xml:space="preserve">Въвеждане на </w:t>
            </w:r>
            <w:r>
              <w:rPr>
                <w:rFonts w:ascii="Times New Roman" w:eastAsiaTheme="majorEastAsia" w:hAnsi="Times New Roman"/>
                <w:b/>
                <w:noProof/>
                <w:sz w:val="24"/>
              </w:rPr>
              <w:t xml:space="preserve">задължителни изисквания за сортиране на биологичните отпадъци </w:t>
            </w:r>
            <w:r>
              <w:rPr>
                <w:rFonts w:ascii="Times New Roman" w:eastAsiaTheme="majorEastAsia" w:hAnsi="Times New Roman"/>
                <w:noProof/>
                <w:sz w:val="24"/>
              </w:rPr>
              <w:t xml:space="preserve">и гарантиране, че планираната или съществуващата инфраструктура за третиране съответства на системите за събиране </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 xml:space="preserve">Насърчаване на </w:t>
            </w:r>
            <w:r>
              <w:rPr>
                <w:rFonts w:ascii="Times New Roman" w:eastAsiaTheme="majorEastAsia" w:hAnsi="Times New Roman"/>
                <w:b/>
                <w:noProof/>
                <w:sz w:val="24"/>
              </w:rPr>
              <w:t>сътрудничеството между общините</w:t>
            </w:r>
            <w:r>
              <w:rPr>
                <w:rFonts w:ascii="Times New Roman" w:eastAsiaTheme="majorEastAsia" w:hAnsi="Times New Roman"/>
                <w:noProof/>
                <w:sz w:val="24"/>
              </w:rPr>
              <w:t xml:space="preserve"> по въпроси на планирането на инфраструктурата и/или предоставянето на услуги с цел гарантиране на ефикасност благодарение на мащаба, както и на споделяне на финансовата тежест</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b/>
                <w:noProof/>
                <w:sz w:val="24"/>
              </w:rPr>
              <w:t>Подобряване на схемите за разширена отговорност на производителя</w:t>
            </w:r>
            <w:r>
              <w:rPr>
                <w:rFonts w:ascii="Times New Roman" w:eastAsiaTheme="majorEastAsia" w:hAnsi="Times New Roman"/>
                <w:noProof/>
                <w:sz w:val="24"/>
              </w:rPr>
              <w:t xml:space="preserve"> в съответствие най-малкото с общите минимални изисквания, определени в преразгледаната Рамкова директива относно отпадъците</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 xml:space="preserve">Въвеждане на </w:t>
            </w:r>
            <w:r>
              <w:rPr>
                <w:rFonts w:ascii="Times New Roman" w:eastAsiaTheme="majorEastAsia" w:hAnsi="Times New Roman"/>
                <w:b/>
                <w:noProof/>
                <w:sz w:val="24"/>
              </w:rPr>
              <w:t>мерки за насърчаване на домакинствата</w:t>
            </w:r>
            <w:r>
              <w:rPr>
                <w:rFonts w:ascii="Times New Roman" w:eastAsiaTheme="majorEastAsia" w:hAnsi="Times New Roman"/>
                <w:noProof/>
                <w:sz w:val="24"/>
              </w:rPr>
              <w:t xml:space="preserve"> да сортират отпадъците, включително по-голяма честота на събирането на разделни потоци спрямо събирането на смесени отпадъци</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b/>
                <w:noProof/>
                <w:sz w:val="24"/>
              </w:rPr>
              <w:t>Подобряване на мониторинга и докладването</w:t>
            </w:r>
            <w:r>
              <w:rPr>
                <w:rFonts w:ascii="Times New Roman" w:eastAsiaTheme="majorEastAsia" w:hAnsi="Times New Roman"/>
                <w:noProof/>
                <w:sz w:val="24"/>
              </w:rPr>
              <w:t>, включително като се гарантира регистриране на данните на общинско равнище</w:t>
            </w:r>
          </w:p>
          <w:p>
            <w:pPr>
              <w:pStyle w:val="ListParagraph"/>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 xml:space="preserve">По-ефективно използване на средства от ЕС с цел разгръщането на инфраструктура за отпадъци, като се гарантира, че чрез съфинансиране </w:t>
            </w:r>
            <w:r>
              <w:rPr>
                <w:rFonts w:ascii="Times New Roman" w:eastAsiaTheme="majorEastAsia" w:hAnsi="Times New Roman"/>
                <w:b/>
                <w:noProof/>
                <w:sz w:val="24"/>
              </w:rPr>
              <w:t>се оказва подкрепа за ефективността на предотвратяването, повторната употреба и рециклирането</w:t>
            </w:r>
          </w:p>
        </w:tc>
      </w:tr>
    </w:tbl>
    <w:p>
      <w:pPr>
        <w:pStyle w:val="ListParagraph"/>
        <w:spacing w:after="120" w:line="240" w:lineRule="auto"/>
        <w:jc w:val="both"/>
        <w:rPr>
          <w:rFonts w:ascii="Times New Roman" w:hAnsi="Times New Roman" w:cs="Times New Roman"/>
          <w:noProof/>
          <w:sz w:val="24"/>
          <w:szCs w:val="24"/>
        </w:rPr>
      </w:pPr>
    </w:p>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Отпадъци от строителство и разрушаване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тегловно отношение отпадъците от строителство и разрушаване са най-големият поток в ЕС — те възлизат на над 800 милиона тона годишно, т.е. около 32 % от общото количество генерирани отпадъци</w:t>
      </w:r>
      <w:r>
        <w:rPr>
          <w:rStyle w:val="FootnoteReference"/>
          <w:rFonts w:ascii="Times New Roman" w:hAnsi="Times New Roman"/>
          <w:noProof/>
          <w:sz w:val="24"/>
        </w:rPr>
        <w:footnoteReference w:id="18"/>
      </w:r>
      <w:r>
        <w:rPr>
          <w:noProof/>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Подобряването на ефективността на ресурсите при управлението на този поток е с голям потенциал. Потокът включва смесица от различни материали, включително инертни и неинертни неопасни и опасни отпадъци. Състои се основно от минерални отломки (тухли, плочки, бетон и др.), които са относително тежки и лесно се рециклират, но нямат голяма стойност. Съдържа също така и материали с положителна пазарна стойност (метали) или с потенциална стойност, ако се събира разделно на чисти фракции (например пластмаса).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Рамковата директива относно отпадъците</w:t>
      </w:r>
      <w:r>
        <w:rPr>
          <w:rStyle w:val="FootnoteReference"/>
          <w:rFonts w:ascii="Times New Roman" w:hAnsi="Times New Roman"/>
          <w:noProof/>
          <w:sz w:val="24"/>
        </w:rPr>
        <w:footnoteReference w:id="19"/>
      </w:r>
      <w:r>
        <w:rPr>
          <w:rFonts w:ascii="Times New Roman" w:hAnsi="Times New Roman"/>
          <w:noProof/>
          <w:sz w:val="24"/>
        </w:rPr>
        <w:t xml:space="preserve"> е определена цел </w:t>
      </w:r>
      <w:r>
        <w:rPr>
          <w:rFonts w:ascii="Times New Roman" w:hAnsi="Times New Roman"/>
          <w:b/>
          <w:noProof/>
          <w:sz w:val="24"/>
        </w:rPr>
        <w:t xml:space="preserve">до 2020 г. подготовката за повторна употреба, рециклиране и друго оползотворяване на материали да достигне до 70 % </w:t>
      </w:r>
      <w:r>
        <w:rPr>
          <w:rFonts w:ascii="Times New Roman" w:hAnsi="Times New Roman"/>
          <w:noProof/>
          <w:sz w:val="24"/>
        </w:rPr>
        <w:t xml:space="preserve">за този поток отпадъци. Постигнатите от държавите членки резултати варират значително, като над половината докладват, че още в периода 2013 — 2015 г. са изпълнили целта за 2020 г., а някои са постигнали оползотворяване дори и над 90 %. Все още обаче </w:t>
      </w:r>
      <w:r>
        <w:rPr>
          <w:rFonts w:ascii="Times New Roman" w:hAnsi="Times New Roman"/>
          <w:b/>
          <w:noProof/>
          <w:sz w:val="24"/>
        </w:rPr>
        <w:t>Гърция</w:t>
      </w:r>
      <w:r>
        <w:rPr>
          <w:rFonts w:ascii="Times New Roman" w:hAnsi="Times New Roman"/>
          <w:noProof/>
          <w:sz w:val="24"/>
        </w:rPr>
        <w:t xml:space="preserve">, </w:t>
      </w:r>
      <w:r>
        <w:rPr>
          <w:rFonts w:ascii="Times New Roman" w:hAnsi="Times New Roman"/>
          <w:b/>
          <w:noProof/>
          <w:sz w:val="24"/>
        </w:rPr>
        <w:t>Кипър</w:t>
      </w:r>
      <w:r>
        <w:rPr>
          <w:rFonts w:ascii="Times New Roman" w:hAnsi="Times New Roman"/>
          <w:noProof/>
          <w:sz w:val="24"/>
        </w:rPr>
        <w:t xml:space="preserve">, </w:t>
      </w:r>
      <w:r>
        <w:rPr>
          <w:rFonts w:ascii="Times New Roman" w:hAnsi="Times New Roman"/>
          <w:b/>
          <w:noProof/>
          <w:sz w:val="24"/>
        </w:rPr>
        <w:t>Словакия</w:t>
      </w:r>
      <w:r>
        <w:rPr>
          <w:rFonts w:ascii="Times New Roman" w:hAnsi="Times New Roman"/>
          <w:noProof/>
          <w:sz w:val="24"/>
        </w:rPr>
        <w:t xml:space="preserve"> и </w:t>
      </w:r>
      <w:r>
        <w:rPr>
          <w:rFonts w:ascii="Times New Roman" w:hAnsi="Times New Roman"/>
          <w:b/>
          <w:noProof/>
          <w:sz w:val="24"/>
        </w:rPr>
        <w:t xml:space="preserve">Швеция </w:t>
      </w:r>
      <w:r>
        <w:rPr>
          <w:rFonts w:ascii="Times New Roman" w:hAnsi="Times New Roman"/>
          <w:noProof/>
          <w:sz w:val="24"/>
        </w:rPr>
        <w:t>са на равнище под 60 %</w:t>
      </w:r>
      <w:r>
        <w:rPr>
          <w:rStyle w:val="FootnoteReference"/>
          <w:rFonts w:ascii="Times New Roman" w:hAnsi="Times New Roman"/>
          <w:noProof/>
          <w:sz w:val="24"/>
        </w:rPr>
        <w:footnoteReference w:id="20"/>
      </w:r>
      <w:r>
        <w:rPr>
          <w:rFonts w:ascii="Times New Roman" w:hAnsi="Times New Roman"/>
          <w:noProof/>
          <w:sz w:val="24"/>
        </w:rPr>
        <w:t>. Налице е все още известна несигурност по отношение на стойностите, докладвани от някои държави членки.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неотдавнашно проучване</w:t>
      </w:r>
      <w:r>
        <w:rPr>
          <w:rStyle w:val="FootnoteReference"/>
          <w:rFonts w:ascii="Times New Roman" w:hAnsi="Times New Roman"/>
          <w:noProof/>
          <w:sz w:val="24"/>
        </w:rPr>
        <w:footnoteReference w:id="21"/>
      </w:r>
      <w:r>
        <w:rPr>
          <w:rFonts w:ascii="Times New Roman" w:hAnsi="Times New Roman"/>
          <w:noProof/>
          <w:sz w:val="24"/>
        </w:rPr>
        <w:t xml:space="preserve"> на начините, по които се управляват отпадъците от строителство и разрушаване в целия ЕС, бяха установени следните ключови действия.</w:t>
      </w:r>
    </w:p>
    <w:tbl>
      <w:tblPr>
        <w:tblStyle w:val="TableGrid"/>
        <w:tblW w:w="0" w:type="auto"/>
        <w:tblInd w:w="108" w:type="dxa"/>
        <w:shd w:val="clear" w:color="auto" w:fill="C6D9F1" w:themeFill="text2" w:themeFillTint="33"/>
        <w:tblLook w:val="04A0" w:firstRow="1" w:lastRow="0" w:firstColumn="1" w:lastColumn="0" w:noHBand="0" w:noVBand="1"/>
      </w:tblPr>
      <w:tblGrid>
        <w:gridCol w:w="9072"/>
      </w:tblGrid>
      <w:tr>
        <w:tc>
          <w:tcPr>
            <w:tcW w:w="9072" w:type="dxa"/>
            <w:shd w:val="clear" w:color="auto" w:fill="C6D9F1" w:themeFill="text2" w:themeFillTint="33"/>
          </w:tcPr>
          <w:p>
            <w:pPr>
              <w:spacing w:before="240" w:after="240" w:line="276" w:lineRule="auto"/>
              <w:jc w:val="center"/>
              <w:rPr>
                <w:rFonts w:ascii="Times New Roman" w:eastAsiaTheme="majorEastAsia" w:hAnsi="Times New Roman" w:cs="Times New Roman"/>
                <w:b/>
                <w:noProof/>
                <w:sz w:val="24"/>
                <w:szCs w:val="24"/>
                <w:u w:val="single"/>
              </w:rPr>
            </w:pPr>
            <w:r>
              <w:rPr>
                <w:rFonts w:ascii="Times New Roman" w:eastAsiaTheme="majorEastAsia" w:hAnsi="Times New Roman"/>
                <w:b/>
                <w:noProof/>
                <w:sz w:val="24"/>
                <w:u w:val="single"/>
              </w:rPr>
              <w:t>Каре 2: Управление на отпадъците от строителство и разрушаване</w:t>
            </w:r>
          </w:p>
          <w:p>
            <w:pPr>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 xml:space="preserve">Насърчаване на предотвратяването на отпадъците </w:t>
            </w:r>
            <w:r>
              <w:rPr>
                <w:rFonts w:ascii="Times New Roman" w:hAnsi="Times New Roman"/>
                <w:noProof/>
                <w:sz w:val="24"/>
              </w:rPr>
              <w:t>посредством интелигентно проектиране, удължаване на живота на строителните съоръжения, повторна употреба и подобряване на планирането и на логистиката на строителните обекти</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Насърчаване на </w:t>
            </w:r>
            <w:r>
              <w:rPr>
                <w:rFonts w:ascii="Times New Roman" w:hAnsi="Times New Roman"/>
                <w:b/>
                <w:noProof/>
                <w:sz w:val="24"/>
              </w:rPr>
              <w:t>селективното разрушаване</w:t>
            </w:r>
            <w:r>
              <w:rPr>
                <w:rFonts w:ascii="Times New Roman" w:hAnsi="Times New Roman"/>
                <w:noProof/>
                <w:sz w:val="24"/>
              </w:rPr>
              <w:t xml:space="preserve"> и на </w:t>
            </w:r>
            <w:r>
              <w:rPr>
                <w:rFonts w:ascii="Times New Roman" w:hAnsi="Times New Roman"/>
                <w:b/>
                <w:noProof/>
                <w:sz w:val="24"/>
              </w:rPr>
              <w:t>сортирането при източника</w:t>
            </w:r>
            <w:r>
              <w:rPr>
                <w:rFonts w:ascii="Times New Roman" w:hAnsi="Times New Roman"/>
                <w:noProof/>
                <w:sz w:val="24"/>
              </w:rPr>
              <w:t xml:space="preserve"> </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Ползване на </w:t>
            </w:r>
            <w:r>
              <w:rPr>
                <w:rFonts w:ascii="Times New Roman" w:hAnsi="Times New Roman"/>
                <w:b/>
                <w:noProof/>
                <w:sz w:val="24"/>
              </w:rPr>
              <w:t>насоките на ЕС</w:t>
            </w:r>
            <w:r>
              <w:rPr>
                <w:rFonts w:ascii="Times New Roman" w:hAnsi="Times New Roman"/>
                <w:noProof/>
                <w:sz w:val="24"/>
              </w:rPr>
              <w:t xml:space="preserve"> (одити преди разрушаването и протокол за управлението)</w:t>
            </w:r>
            <w:r>
              <w:rPr>
                <w:rStyle w:val="FootnoteReference"/>
                <w:rFonts w:ascii="Times New Roman" w:hAnsi="Times New Roman"/>
                <w:noProof/>
                <w:sz w:val="24"/>
              </w:rPr>
              <w:footnoteReference w:id="22"/>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Използване на </w:t>
            </w:r>
            <w:r>
              <w:rPr>
                <w:rFonts w:ascii="Times New Roman" w:hAnsi="Times New Roman"/>
                <w:b/>
                <w:noProof/>
                <w:sz w:val="24"/>
              </w:rPr>
              <w:t>икономически инструменти</w:t>
            </w:r>
            <w:r>
              <w:rPr>
                <w:rFonts w:ascii="Times New Roman" w:hAnsi="Times New Roman"/>
                <w:noProof/>
                <w:sz w:val="24"/>
              </w:rPr>
              <w:t xml:space="preserve"> за отклоняване на този поток отпадъци от депата за отпадъци</w:t>
            </w:r>
          </w:p>
          <w:p>
            <w:pPr>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Ограничаване на дейностите по насипване</w:t>
            </w:r>
            <w:r>
              <w:rPr>
                <w:rFonts w:ascii="Times New Roman" w:hAnsi="Times New Roman"/>
                <w:noProof/>
                <w:sz w:val="24"/>
              </w:rPr>
              <w:t xml:space="preserve"> до съответстващите на определението, включено в Рамковата директива относно отпадъците</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Насърчаване на използването на рециклирани продукти чрез </w:t>
            </w:r>
            <w:r>
              <w:rPr>
                <w:rFonts w:ascii="Times New Roman" w:hAnsi="Times New Roman"/>
                <w:b/>
                <w:noProof/>
                <w:sz w:val="24"/>
              </w:rPr>
              <w:t>сертификати за качество</w:t>
            </w:r>
            <w:r>
              <w:rPr>
                <w:rFonts w:ascii="Times New Roman" w:hAnsi="Times New Roman"/>
                <w:noProof/>
                <w:sz w:val="24"/>
              </w:rPr>
              <w:t xml:space="preserve"> и/или </w:t>
            </w:r>
            <w:r>
              <w:rPr>
                <w:rFonts w:ascii="Times New Roman" w:hAnsi="Times New Roman"/>
                <w:b/>
                <w:noProof/>
                <w:sz w:val="24"/>
              </w:rPr>
              <w:t>критерии за край на отпадъка</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По-масово използване на </w:t>
            </w:r>
            <w:r>
              <w:rPr>
                <w:rFonts w:ascii="Times New Roman" w:hAnsi="Times New Roman"/>
                <w:b/>
                <w:noProof/>
                <w:sz w:val="24"/>
              </w:rPr>
              <w:t>екологосъобразни обществени поръчки</w:t>
            </w:r>
            <w:r>
              <w:rPr>
                <w:rFonts w:ascii="Times New Roman" w:hAnsi="Times New Roman"/>
                <w:noProof/>
                <w:sz w:val="24"/>
              </w:rPr>
              <w:t xml:space="preserve"> с изисквания за рециклирано съдържание</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Подобряване на качеството на </w:t>
            </w:r>
            <w:r>
              <w:rPr>
                <w:rFonts w:ascii="Times New Roman" w:hAnsi="Times New Roman"/>
                <w:b/>
                <w:noProof/>
                <w:sz w:val="24"/>
              </w:rPr>
              <w:t>статистиката</w:t>
            </w:r>
            <w:r>
              <w:rPr>
                <w:rFonts w:ascii="Times New Roman" w:hAnsi="Times New Roman"/>
                <w:noProof/>
                <w:sz w:val="24"/>
              </w:rPr>
              <w:t xml:space="preserve"> </w:t>
            </w:r>
          </w:p>
        </w:tc>
      </w:tr>
    </w:tbl>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Опасни отпадъци</w:t>
      </w:r>
    </w:p>
    <w:p>
      <w:pPr>
        <w:spacing w:after="120" w:line="240" w:lineRule="auto"/>
        <w:jc w:val="both"/>
        <w:rPr>
          <w:rFonts w:ascii="Times New Roman" w:hAnsi="Times New Roman" w:cs="Times New Roman"/>
          <w:iCs/>
          <w:noProof/>
          <w:sz w:val="24"/>
          <w:szCs w:val="24"/>
        </w:rPr>
      </w:pPr>
      <w:r>
        <w:rPr>
          <w:rFonts w:ascii="Times New Roman" w:hAnsi="Times New Roman"/>
          <w:noProof/>
          <w:sz w:val="24"/>
        </w:rPr>
        <w:t>Опасните отпадъци представляват сравнително малък поток (под 4 % от общото количество отпадъци)</w:t>
      </w:r>
      <w:r>
        <w:rPr>
          <w:rStyle w:val="FootnoteReference"/>
          <w:rFonts w:ascii="Times New Roman" w:hAnsi="Times New Roman"/>
          <w:noProof/>
          <w:sz w:val="24"/>
        </w:rPr>
        <w:footnoteReference w:id="23"/>
      </w:r>
      <w:r>
        <w:rPr>
          <w:rFonts w:ascii="Times New Roman" w:hAnsi="Times New Roman"/>
          <w:noProof/>
          <w:sz w:val="24"/>
        </w:rPr>
        <w:t>, но правилното им управление е от решаващо значение за предотвратяване на сериозното им отрицателно въздействие върху околната среда и човешкото здраве.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Рамковата директива относно отпадъците съдържа изисквания относно задълженията за етикетиране, документиране, проследяване и контрол от производството до крайното местоназначение, както и забрана за смесване на опасните отпадъци с други отпадъци, вещества или материали.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Анализът на управлението на опасните отпадъци в рамките на ЕС</w:t>
      </w:r>
      <w:r>
        <w:rPr>
          <w:rStyle w:val="FootnoteReference"/>
          <w:rFonts w:ascii="Times New Roman" w:hAnsi="Times New Roman"/>
          <w:noProof/>
          <w:sz w:val="24"/>
        </w:rPr>
        <w:footnoteReference w:id="24"/>
      </w:r>
      <w:r>
        <w:rPr>
          <w:rFonts w:ascii="Times New Roman" w:hAnsi="Times New Roman"/>
          <w:noProof/>
          <w:sz w:val="24"/>
        </w:rPr>
        <w:t>, включително на ПХБ/ПХТ</w:t>
      </w:r>
      <w:r>
        <w:rPr>
          <w:rStyle w:val="FootnoteReference"/>
          <w:rFonts w:ascii="Times New Roman" w:hAnsi="Times New Roman"/>
          <w:noProof/>
          <w:sz w:val="24"/>
        </w:rPr>
        <w:footnoteReference w:id="25"/>
      </w:r>
      <w:r>
        <w:rPr>
          <w:rFonts w:ascii="Times New Roman" w:hAnsi="Times New Roman"/>
          <w:noProof/>
          <w:sz w:val="24"/>
        </w:rPr>
        <w:t>, показва, че съществуват сериозни пропуски при изпълнението на ключови правни задължения. Сред тях са неправилното планиране, несъответствия в данните и статистически пропуски в процеса между генерирането и третирането, както и погрешното класифициране на отпадъците. Проучването предлага подробни, специфични за всяка държава препоръки, които може да бъдат обобщени в един по-общ списък с приоритетни действия.</w:t>
      </w:r>
    </w:p>
    <w:tbl>
      <w:tblPr>
        <w:tblStyle w:val="TableGrid"/>
        <w:tblW w:w="0" w:type="auto"/>
        <w:tblInd w:w="108" w:type="dxa"/>
        <w:shd w:val="clear" w:color="auto" w:fill="C6D9F1" w:themeFill="text2" w:themeFillTint="33"/>
        <w:tblLook w:val="04A0" w:firstRow="1" w:lastRow="0" w:firstColumn="1" w:lastColumn="0" w:noHBand="0" w:noVBand="1"/>
      </w:tblPr>
      <w:tblGrid>
        <w:gridCol w:w="9072"/>
      </w:tblGrid>
      <w:tr>
        <w:tc>
          <w:tcPr>
            <w:tcW w:w="9072" w:type="dxa"/>
            <w:shd w:val="clear" w:color="auto" w:fill="C6D9F1" w:themeFill="text2" w:themeFillTint="33"/>
          </w:tcPr>
          <w:p>
            <w:pPr>
              <w:spacing w:before="240" w:after="240"/>
              <w:jc w:val="center"/>
              <w:rPr>
                <w:rFonts w:ascii="Times New Roman" w:eastAsiaTheme="majorEastAsia" w:hAnsi="Times New Roman" w:cs="Times New Roman"/>
                <w:b/>
                <w:noProof/>
                <w:sz w:val="24"/>
                <w:szCs w:val="24"/>
                <w:u w:val="single"/>
              </w:rPr>
            </w:pPr>
            <w:r>
              <w:rPr>
                <w:rFonts w:ascii="Times New Roman" w:eastAsiaTheme="majorEastAsia" w:hAnsi="Times New Roman"/>
                <w:b/>
                <w:noProof/>
                <w:sz w:val="24"/>
                <w:u w:val="single"/>
              </w:rPr>
              <w:t>Каре 3: Управление на опасните отпадъци</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Подобряване на </w:t>
            </w:r>
            <w:r>
              <w:rPr>
                <w:rFonts w:ascii="Times New Roman" w:hAnsi="Times New Roman"/>
                <w:b/>
                <w:noProof/>
                <w:sz w:val="24"/>
              </w:rPr>
              <w:t>качеството на плановете за управление на отпадъците</w:t>
            </w:r>
            <w:r>
              <w:rPr>
                <w:rFonts w:ascii="Times New Roman" w:hAnsi="Times New Roman"/>
                <w:noProof/>
                <w:sz w:val="24"/>
              </w:rPr>
              <w:t xml:space="preserve"> въз основа на надеждна и сравнима информация, така че опасните отпадъци да бъдат обхванати по-цялостно и да бъде включена информация за капацитета за третиране </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Възприемане на напълно завършени, надеждни и оперативно съвместими </w:t>
            </w:r>
            <w:r>
              <w:rPr>
                <w:rFonts w:ascii="Times New Roman" w:hAnsi="Times New Roman"/>
                <w:b/>
                <w:noProof/>
                <w:sz w:val="24"/>
              </w:rPr>
              <w:t>електронни системи за документиране и проследяване</w:t>
            </w:r>
            <w:r>
              <w:rPr>
                <w:rFonts w:ascii="Times New Roman" w:hAnsi="Times New Roman"/>
                <w:noProof/>
                <w:sz w:val="24"/>
              </w:rPr>
              <w:t>, интегрирани в националните статистически системи и данните на ЕС за превоз на отпадъците</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Отразяване на </w:t>
            </w:r>
            <w:r>
              <w:rPr>
                <w:rFonts w:ascii="Times New Roman" w:hAnsi="Times New Roman"/>
                <w:b/>
                <w:noProof/>
                <w:sz w:val="24"/>
              </w:rPr>
              <w:t>йерархията на отпадъците и на забраната за смесване</w:t>
            </w:r>
            <w:r>
              <w:rPr>
                <w:rFonts w:ascii="Times New Roman" w:hAnsi="Times New Roman"/>
                <w:noProof/>
                <w:sz w:val="24"/>
              </w:rPr>
              <w:t xml:space="preserve"> в националното законодателство, в насоки за вариантите на третиране и в условията за издаване на разрешителни, като се гарантира тяхното прилагане</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Създаване, публикуване, разпространение и използване на </w:t>
            </w:r>
            <w:r>
              <w:rPr>
                <w:rFonts w:ascii="Times New Roman" w:hAnsi="Times New Roman"/>
                <w:b/>
                <w:noProof/>
                <w:sz w:val="24"/>
              </w:rPr>
              <w:t>ясни и хармонизирани насоки относно класифицирането на отпадъците</w:t>
            </w:r>
            <w:r>
              <w:rPr>
                <w:rFonts w:ascii="Times New Roman" w:hAnsi="Times New Roman"/>
                <w:noProof/>
                <w:sz w:val="24"/>
              </w:rPr>
              <w:t xml:space="preserve"> и тяхното управление, включително относно йерархията на отпадъците; ползване на техническите насоки на Комисията относно класифицирането на отпадъците</w:t>
            </w:r>
            <w:r>
              <w:rPr>
                <w:rStyle w:val="FootnoteReference"/>
                <w:rFonts w:ascii="Times New Roman" w:hAnsi="Times New Roman"/>
                <w:noProof/>
                <w:sz w:val="24"/>
              </w:rPr>
              <w:footnoteReference w:id="26"/>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Създаване на </w:t>
            </w:r>
            <w:r>
              <w:rPr>
                <w:rFonts w:ascii="Times New Roman" w:hAnsi="Times New Roman"/>
                <w:b/>
                <w:noProof/>
                <w:sz w:val="24"/>
              </w:rPr>
              <w:t>всеобхватна система за необявени и координирани проверки</w:t>
            </w:r>
            <w:r>
              <w:rPr>
                <w:rFonts w:ascii="Times New Roman" w:hAnsi="Times New Roman"/>
                <w:noProof/>
                <w:sz w:val="24"/>
              </w:rPr>
              <w:t xml:space="preserve">; предприемане на действия спрямо неоправомощени оператори на всички равнища </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Определяне и цялостно прилагане на </w:t>
            </w:r>
            <w:r>
              <w:rPr>
                <w:rFonts w:ascii="Times New Roman" w:hAnsi="Times New Roman"/>
                <w:b/>
                <w:noProof/>
                <w:sz w:val="24"/>
              </w:rPr>
              <w:t>споделената отговорност на производителите на отпадъци</w:t>
            </w:r>
            <w:r>
              <w:rPr>
                <w:rStyle w:val="FootnoteReference"/>
                <w:rFonts w:ascii="Times New Roman" w:hAnsi="Times New Roman"/>
                <w:b/>
                <w:noProof/>
                <w:sz w:val="24"/>
              </w:rPr>
              <w:footnoteReference w:id="27"/>
            </w:r>
            <w:r>
              <w:rPr>
                <w:rFonts w:ascii="Times New Roman" w:hAnsi="Times New Roman"/>
                <w:noProof/>
                <w:sz w:val="24"/>
              </w:rPr>
              <w:t xml:space="preserve"> и на други оператори по веригата във връзка с управлението на опасните отпадъци</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Продължаване на работата по премахването на </w:t>
            </w:r>
            <w:r>
              <w:rPr>
                <w:rFonts w:ascii="Times New Roman" w:hAnsi="Times New Roman"/>
                <w:b/>
                <w:noProof/>
                <w:sz w:val="24"/>
              </w:rPr>
              <w:t>ПХБ/ПХТ</w:t>
            </w:r>
            <w:r>
              <w:rPr>
                <w:rFonts w:ascii="Times New Roman" w:hAnsi="Times New Roman"/>
                <w:noProof/>
                <w:sz w:val="24"/>
              </w:rPr>
              <w:t xml:space="preserve"> като съставки със затворено и отворено приложение</w:t>
            </w:r>
          </w:p>
        </w:tc>
      </w:tr>
    </w:tbl>
    <w:p>
      <w:pPr>
        <w:pStyle w:val="ListParagraph"/>
        <w:spacing w:after="120" w:line="240" w:lineRule="auto"/>
        <w:ind w:left="792"/>
        <w:jc w:val="both"/>
        <w:rPr>
          <w:rFonts w:ascii="Times New Roman" w:hAnsi="Times New Roman" w:cs="Times New Roman"/>
          <w:b/>
          <w:noProof/>
          <w:sz w:val="24"/>
          <w:szCs w:val="24"/>
        </w:rPr>
      </w:pP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Отпадъци от електрическо и електронно оборудване (ОЕЕО)</w:t>
      </w:r>
    </w:p>
    <w:p>
      <w:pPr>
        <w:spacing w:after="120" w:line="240" w:lineRule="auto"/>
        <w:jc w:val="both"/>
        <w:rPr>
          <w:rFonts w:ascii="Times New Roman" w:eastAsia="Times New Roman" w:hAnsi="Times New Roman" w:cs="Times New Roman"/>
          <w:noProof/>
          <w:color w:val="000000"/>
          <w:sz w:val="24"/>
          <w:szCs w:val="24"/>
          <w:shd w:val="clear" w:color="auto" w:fill="FFFFFF"/>
        </w:rPr>
      </w:pPr>
      <w:r>
        <w:rPr>
          <w:rFonts w:ascii="Times New Roman" w:hAnsi="Times New Roman"/>
          <w:noProof/>
          <w:sz w:val="24"/>
        </w:rPr>
        <w:t>Смята се, че през 2014 г. в ЕС са били генерирани около 10 милиона тона</w:t>
      </w:r>
      <w:r>
        <w:rPr>
          <w:rStyle w:val="FootnoteReference"/>
          <w:rFonts w:ascii="Times New Roman" w:hAnsi="Times New Roman"/>
          <w:noProof/>
          <w:sz w:val="24"/>
        </w:rPr>
        <w:footnoteReference w:id="28"/>
      </w:r>
      <w:r>
        <w:rPr>
          <w:rFonts w:ascii="Times New Roman" w:hAnsi="Times New Roman"/>
          <w:noProof/>
          <w:sz w:val="24"/>
        </w:rPr>
        <w:t xml:space="preserve"> отпадъци от електрическо и електронно оборудване (0,4 % от всички произведени отпадъци). Очаква се до 2020 г. това количество да се покачи до над 12 милиона тона</w:t>
      </w:r>
      <w:r>
        <w:rPr>
          <w:rStyle w:val="FootnoteReference"/>
          <w:rFonts w:ascii="Times New Roman" w:hAnsi="Times New Roman"/>
          <w:noProof/>
          <w:sz w:val="24"/>
        </w:rPr>
        <w:footnoteReference w:id="29"/>
      </w:r>
      <w:r>
        <w:rPr>
          <w:rFonts w:ascii="Times New Roman" w:hAnsi="Times New Roman"/>
          <w:noProof/>
          <w:sz w:val="24"/>
        </w:rPr>
        <w:t xml:space="preserve">. Този поток отпадъци </w:t>
      </w:r>
      <w:r>
        <w:rPr>
          <w:rFonts w:ascii="Times New Roman" w:hAnsi="Times New Roman"/>
          <w:noProof/>
          <w:color w:val="000000"/>
          <w:sz w:val="24"/>
          <w:shd w:val="clear" w:color="auto" w:fill="FFFFFF"/>
        </w:rPr>
        <w:t xml:space="preserve">се състои от сложна смесица от материали и компоненти, </w:t>
      </w:r>
      <w:r>
        <w:rPr>
          <w:rFonts w:ascii="Times New Roman" w:hAnsi="Times New Roman"/>
          <w:noProof/>
          <w:sz w:val="24"/>
        </w:rPr>
        <w:t xml:space="preserve">включително различни субстанции, които при неправилно управление представляват висок риск за околната среда и човешкото здраве. </w:t>
      </w:r>
      <w:r>
        <w:rPr>
          <w:rFonts w:ascii="Times New Roman" w:hAnsi="Times New Roman"/>
          <w:noProof/>
          <w:color w:val="000000"/>
          <w:sz w:val="24"/>
          <w:shd w:val="clear" w:color="auto" w:fill="FFFFFF"/>
        </w:rPr>
        <w:t>Освен това производството на съвременната електроника налага употребата на оскъдни и ценни ресурси.</w:t>
      </w:r>
    </w:p>
    <w:p>
      <w:pPr>
        <w:spacing w:after="120" w:line="240" w:lineRule="auto"/>
        <w:jc w:val="both"/>
        <w:rPr>
          <w:rFonts w:ascii="Times New Roman" w:hAnsi="Times New Roman" w:cs="Times New Roman"/>
          <w:noProof/>
          <w:sz w:val="24"/>
          <w:szCs w:val="24"/>
        </w:rPr>
      </w:pPr>
      <w:r>
        <w:rPr>
          <w:rFonts w:ascii="Times New Roman" w:hAnsi="Times New Roman"/>
          <w:noProof/>
          <w:color w:val="000000"/>
          <w:sz w:val="24"/>
          <w:shd w:val="clear" w:color="auto" w:fill="FFFFFF"/>
        </w:rPr>
        <w:t xml:space="preserve">Целта на Директива </w:t>
      </w:r>
      <w:r>
        <w:rPr>
          <w:rFonts w:ascii="Times New Roman" w:hAnsi="Times New Roman"/>
          <w:noProof/>
          <w:sz w:val="24"/>
        </w:rPr>
        <w:t xml:space="preserve">2012/19/ЕС е подобряването на </w:t>
      </w:r>
      <w:r>
        <w:rPr>
          <w:rFonts w:ascii="Times New Roman" w:hAnsi="Times New Roman"/>
          <w:noProof/>
          <w:color w:val="000000"/>
          <w:sz w:val="24"/>
          <w:shd w:val="clear" w:color="auto" w:fill="FFFFFF"/>
        </w:rPr>
        <w:t>събирането, третирането и рециклирането на ОЕЕО</w:t>
      </w:r>
      <w:r>
        <w:rPr>
          <w:rFonts w:ascii="Times New Roman" w:hAnsi="Times New Roman"/>
          <w:noProof/>
          <w:sz w:val="24"/>
        </w:rPr>
        <w:t>. В периода 2013 — 2015 г. количеството отпадъци от такова оборудване, събрани от частни домакинства в ЕС-28, е нараснало с 8 %.  През 2014 г. от частните домакинства са били събрани средно по 6,21 kg отпадъци от оборудване на човек.</w:t>
      </w:r>
      <w:r>
        <w:rPr>
          <w:rStyle w:val="FootnoteReference"/>
          <w:rFonts w:ascii="Times New Roman" w:hAnsi="Times New Roman"/>
          <w:noProof/>
        </w:rPr>
        <w:t xml:space="preserve"> </w:t>
      </w:r>
      <w:r>
        <w:rPr>
          <w:rFonts w:ascii="Times New Roman" w:hAnsi="Times New Roman"/>
          <w:noProof/>
          <w:sz w:val="24"/>
        </w:rPr>
        <w:t>През 2015 г. 23 държави членки са изпълнили целта за събиране на най-малко 4 kg домакински ОЕЕО на човек</w:t>
      </w:r>
      <w:r>
        <w:rPr>
          <w:rStyle w:val="FootnoteReference"/>
          <w:rFonts w:ascii="Times New Roman" w:hAnsi="Times New Roman"/>
          <w:noProof/>
          <w:sz w:val="24"/>
        </w:rPr>
        <w:footnoteReference w:id="30"/>
      </w:r>
      <w:r>
        <w:rPr>
          <w:rFonts w:ascii="Times New Roman" w:hAnsi="Times New Roman"/>
          <w:noProof/>
          <w:sz w:val="24"/>
        </w:rPr>
        <w:t xml:space="preserve">, като Швеция и Дания са събрали цели 12 kg, а </w:t>
      </w:r>
      <w:r>
        <w:rPr>
          <w:rFonts w:ascii="Times New Roman" w:hAnsi="Times New Roman"/>
          <w:b/>
          <w:noProof/>
          <w:sz w:val="24"/>
        </w:rPr>
        <w:t>Кипър, Латвия, Малта и Румъния не са постигнали целта</w:t>
      </w:r>
      <w:r>
        <w:rPr>
          <w:rFonts w:ascii="Times New Roman" w:hAnsi="Times New Roman"/>
          <w:noProof/>
          <w:sz w:val="24"/>
        </w:rPr>
        <w:t>, и то със значителна разлика</w:t>
      </w:r>
      <w:r>
        <w:rPr>
          <w:rStyle w:val="FootnoteReference"/>
          <w:rFonts w:ascii="Times New Roman" w:hAnsi="Times New Roman"/>
          <w:noProof/>
          <w:sz w:val="24"/>
        </w:rPr>
        <w:footnoteReference w:id="31"/>
      </w:r>
      <w:r>
        <w:rPr>
          <w:noProof/>
        </w:rPr>
        <w:t>.</w:t>
      </w:r>
      <w:r>
        <w:rPr>
          <w:rFonts w:ascii="Times New Roman" w:hAnsi="Times New Roman"/>
          <w:noProof/>
          <w:vertAlign w:val="superscript"/>
        </w:rPr>
        <w:t xml:space="preserve"> </w:t>
      </w:r>
      <w:r>
        <w:rPr>
          <w:rFonts w:ascii="Times New Roman" w:hAnsi="Times New Roman"/>
          <w:noProof/>
          <w:sz w:val="24"/>
          <w:vertAlign w:val="superscript"/>
        </w:rPr>
        <w:footnoteReference w:id="32"/>
      </w:r>
    </w:p>
    <w:p>
      <w:pPr>
        <w:spacing w:after="120" w:line="240" w:lineRule="auto"/>
        <w:jc w:val="both"/>
        <w:rPr>
          <w:rFonts w:ascii="Times New Roman" w:hAnsi="Times New Roman" w:cs="Times New Roman"/>
          <w:bCs/>
          <w:iCs/>
          <w:noProof/>
          <w:sz w:val="24"/>
          <w:szCs w:val="24"/>
        </w:rPr>
      </w:pPr>
      <w:r>
        <w:rPr>
          <w:rFonts w:ascii="Times New Roman" w:hAnsi="Times New Roman"/>
          <w:noProof/>
          <w:sz w:val="24"/>
        </w:rPr>
        <w:t>От 2016 г. насам всяка държава членка е длъжна да изпълнява целта за събиране на 45 % от продаденото оборудване, а от 2019 г. целта ще бъде 65 % от продаденото оборудване или 85 % от годишно генерираните електронни отпадъци</w:t>
      </w:r>
      <w:r>
        <w:rPr>
          <w:rStyle w:val="FootnoteReference"/>
          <w:rFonts w:ascii="Times New Roman" w:hAnsi="Times New Roman"/>
          <w:noProof/>
          <w:sz w:val="24"/>
        </w:rPr>
        <w:footnoteReference w:id="33"/>
      </w:r>
      <w:r>
        <w:rPr>
          <w:rFonts w:ascii="Times New Roman" w:hAnsi="Times New Roman"/>
          <w:noProof/>
          <w:sz w:val="24"/>
        </w:rPr>
        <w:t>. Държавите членки ще може да избират един от тези два равностойни начина за измерване на целта.</w:t>
      </w:r>
    </w:p>
    <w:p>
      <w:pPr>
        <w:spacing w:after="120" w:line="240" w:lineRule="auto"/>
        <w:jc w:val="both"/>
        <w:rPr>
          <w:rFonts w:ascii="Times New Roman" w:hAnsi="Times New Roman" w:cs="Times New Roman"/>
          <w:noProof/>
          <w:snapToGrid w:val="0"/>
          <w:sz w:val="24"/>
          <w:szCs w:val="24"/>
        </w:rPr>
      </w:pPr>
      <w:r>
        <w:rPr>
          <w:rFonts w:ascii="Times New Roman" w:hAnsi="Times New Roman"/>
          <w:noProof/>
          <w:sz w:val="24"/>
        </w:rPr>
        <w:t>Комисията предприе серия от мерки за насърчаване на съответствието</w:t>
      </w:r>
      <w:r>
        <w:rPr>
          <w:rStyle w:val="FootnoteReference"/>
          <w:rFonts w:ascii="Times New Roman" w:hAnsi="Times New Roman"/>
          <w:noProof/>
          <w:snapToGrid w:val="0"/>
          <w:sz w:val="24"/>
        </w:rPr>
        <w:footnoteReference w:id="34"/>
      </w:r>
      <w:r>
        <w:rPr>
          <w:rFonts w:ascii="Times New Roman" w:hAnsi="Times New Roman"/>
          <w:noProof/>
          <w:sz w:val="24"/>
        </w:rPr>
        <w:t xml:space="preserve"> на ОЕЕО, за да се установят основните пропуски при прилагането и да се споделят добри практики. В рамките на това проучване бяха отправени както препоръки, приложими за всички държави членки, така и специфични съвети за някои от тях.</w:t>
      </w:r>
    </w:p>
    <w:tbl>
      <w:tblPr>
        <w:tblStyle w:val="TableGrid"/>
        <w:tblW w:w="0" w:type="auto"/>
        <w:tblInd w:w="108" w:type="dxa"/>
        <w:shd w:val="clear" w:color="auto" w:fill="C6D9F1" w:themeFill="text2" w:themeFillTint="33"/>
        <w:tblLook w:val="04A0" w:firstRow="1" w:lastRow="0" w:firstColumn="1" w:lastColumn="0" w:noHBand="0" w:noVBand="1"/>
      </w:tblPr>
      <w:tblGrid>
        <w:gridCol w:w="8931"/>
      </w:tblGrid>
      <w:tr>
        <w:trPr>
          <w:trHeight w:val="7361"/>
        </w:trPr>
        <w:tc>
          <w:tcPr>
            <w:tcW w:w="8931" w:type="dxa"/>
            <w:shd w:val="clear" w:color="auto" w:fill="C6D9F1" w:themeFill="text2" w:themeFillTint="33"/>
          </w:tcPr>
          <w:p>
            <w:pPr>
              <w:keepNext/>
              <w:spacing w:before="240" w:after="240"/>
              <w:jc w:val="center"/>
              <w:rPr>
                <w:rFonts w:ascii="Times New Roman" w:eastAsiaTheme="majorEastAsia" w:hAnsi="Times New Roman" w:cs="Times New Roman"/>
                <w:b/>
                <w:noProof/>
                <w:sz w:val="24"/>
                <w:szCs w:val="24"/>
                <w:u w:val="single"/>
              </w:rPr>
            </w:pPr>
            <w:r>
              <w:rPr>
                <w:rFonts w:ascii="Times New Roman" w:eastAsiaTheme="majorEastAsia" w:hAnsi="Times New Roman"/>
                <w:b/>
                <w:noProof/>
                <w:sz w:val="24"/>
                <w:u w:val="single"/>
              </w:rPr>
              <w:t>Каре 4: Управление на отпадъците от електрическо и електронно оборудване</w:t>
            </w:r>
          </w:p>
          <w:p>
            <w:pPr>
              <w:keepNext/>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Участие на </w:t>
            </w:r>
            <w:r>
              <w:rPr>
                <w:rFonts w:ascii="Times New Roman" w:hAnsi="Times New Roman"/>
                <w:b/>
                <w:noProof/>
                <w:sz w:val="24"/>
              </w:rPr>
              <w:t>всички съответни нива на управление</w:t>
            </w:r>
            <w:r>
              <w:rPr>
                <w:rFonts w:ascii="Times New Roman" w:hAnsi="Times New Roman"/>
                <w:noProof/>
                <w:sz w:val="24"/>
              </w:rPr>
              <w:t xml:space="preserve"> (общинско, регионално, национално) </w:t>
            </w:r>
          </w:p>
          <w:p>
            <w:pPr>
              <w:keepNext/>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Въвеждане на контрол (или усилване на контрола) на всички етапи от веригата на управление</w:t>
            </w:r>
            <w:r>
              <w:rPr>
                <w:rFonts w:ascii="Times New Roman" w:hAnsi="Times New Roman"/>
                <w:noProof/>
                <w:sz w:val="24"/>
              </w:rPr>
              <w:t xml:space="preserve"> и организиране на проверки срещу незаконни или несъответстващи на правилата дейности </w:t>
            </w:r>
          </w:p>
          <w:p>
            <w:pPr>
              <w:keepNext/>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Повишаване на качеството на данните</w:t>
            </w:r>
            <w:r>
              <w:rPr>
                <w:rFonts w:ascii="Times New Roman" w:hAnsi="Times New Roman"/>
                <w:noProof/>
                <w:sz w:val="24"/>
              </w:rPr>
              <w:t>, включително чрез проверки на качеството и укрепване на процедурите за проследяване с цел обхващане на всички отпадъци от оборудване</w:t>
            </w:r>
          </w:p>
          <w:p>
            <w:pPr>
              <w:keepNext/>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Подобряване на схемите за разширена отговорност на производителя</w:t>
            </w:r>
            <w:r>
              <w:rPr>
                <w:rFonts w:ascii="Times New Roman" w:hAnsi="Times New Roman"/>
                <w:noProof/>
                <w:sz w:val="24"/>
              </w:rPr>
              <w:t>, най-малкото в съответствие с общите минимални изисквания в преразгледаната Рамкова директива относно отпадъците</w:t>
            </w:r>
          </w:p>
          <w:p>
            <w:pPr>
              <w:keepNext/>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Подобряване на събирането</w:t>
            </w:r>
            <w:r>
              <w:rPr>
                <w:rFonts w:ascii="Times New Roman" w:hAnsi="Times New Roman"/>
                <w:noProof/>
                <w:sz w:val="24"/>
              </w:rPr>
              <w:t xml:space="preserve"> чрез:</w:t>
            </w:r>
          </w:p>
          <w:p>
            <w:pPr>
              <w:keepNext/>
              <w:numPr>
                <w:ilvl w:val="1"/>
                <w:numId w:val="39"/>
              </w:numPr>
              <w:spacing w:after="120"/>
              <w:jc w:val="both"/>
              <w:rPr>
                <w:rFonts w:ascii="Times New Roman" w:hAnsi="Times New Roman" w:cs="Times New Roman"/>
                <w:noProof/>
                <w:sz w:val="24"/>
                <w:szCs w:val="24"/>
              </w:rPr>
            </w:pPr>
            <w:r>
              <w:rPr>
                <w:rFonts w:ascii="Times New Roman" w:hAnsi="Times New Roman"/>
                <w:noProof/>
                <w:sz w:val="24"/>
              </w:rPr>
              <w:t xml:space="preserve">разширяване на инфраструктурата за събиране; </w:t>
            </w:r>
          </w:p>
          <w:p>
            <w:pPr>
              <w:keepNext/>
              <w:numPr>
                <w:ilvl w:val="1"/>
                <w:numId w:val="39"/>
              </w:numPr>
              <w:spacing w:after="120"/>
              <w:jc w:val="both"/>
              <w:rPr>
                <w:rFonts w:ascii="Times New Roman" w:hAnsi="Times New Roman" w:cs="Times New Roman"/>
                <w:noProof/>
                <w:sz w:val="24"/>
                <w:szCs w:val="24"/>
              </w:rPr>
            </w:pPr>
            <w:r>
              <w:rPr>
                <w:rFonts w:ascii="Times New Roman" w:hAnsi="Times New Roman"/>
                <w:noProof/>
                <w:sz w:val="24"/>
              </w:rPr>
              <w:t xml:space="preserve">подобряване на осведомеността на потребителите; </w:t>
            </w:r>
          </w:p>
          <w:p>
            <w:pPr>
              <w:keepNext/>
              <w:numPr>
                <w:ilvl w:val="1"/>
                <w:numId w:val="39"/>
              </w:numPr>
              <w:spacing w:after="120"/>
              <w:jc w:val="both"/>
              <w:rPr>
                <w:rFonts w:ascii="Times New Roman" w:hAnsi="Times New Roman" w:cs="Times New Roman"/>
                <w:noProof/>
                <w:sz w:val="24"/>
                <w:szCs w:val="24"/>
              </w:rPr>
            </w:pPr>
            <w:r>
              <w:rPr>
                <w:rFonts w:ascii="Times New Roman" w:hAnsi="Times New Roman"/>
                <w:noProof/>
                <w:sz w:val="24"/>
              </w:rPr>
              <w:t>изясняване на прехвърлянето на собствеността над отпадъците от оборудване в рамките на веригата на управление;</w:t>
            </w:r>
          </w:p>
          <w:p>
            <w:pPr>
              <w:keepNext/>
              <w:numPr>
                <w:ilvl w:val="1"/>
                <w:numId w:val="39"/>
              </w:numPr>
              <w:spacing w:after="120"/>
              <w:jc w:val="both"/>
              <w:rPr>
                <w:rFonts w:ascii="Times New Roman" w:hAnsi="Times New Roman" w:cs="Times New Roman"/>
                <w:noProof/>
                <w:sz w:val="24"/>
                <w:szCs w:val="24"/>
              </w:rPr>
            </w:pPr>
            <w:r>
              <w:rPr>
                <w:rFonts w:ascii="Times New Roman" w:hAnsi="Times New Roman"/>
                <w:noProof/>
                <w:sz w:val="24"/>
              </w:rPr>
              <w:t>изискване всички стопански субекти, събиращи отпадъци, да участват в схема за съответствие</w:t>
            </w:r>
          </w:p>
          <w:p>
            <w:pPr>
              <w:keepNext/>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Прилагане на изискванията за правилно</w:t>
            </w:r>
            <w:r>
              <w:rPr>
                <w:rFonts w:ascii="Times New Roman" w:hAnsi="Times New Roman"/>
                <w:noProof/>
                <w:sz w:val="24"/>
              </w:rPr>
              <w:t xml:space="preserve"> </w:t>
            </w:r>
            <w:r>
              <w:rPr>
                <w:rFonts w:ascii="Times New Roman" w:hAnsi="Times New Roman"/>
                <w:b/>
                <w:noProof/>
                <w:sz w:val="24"/>
              </w:rPr>
              <w:t>третиране</w:t>
            </w:r>
            <w:r>
              <w:rPr>
                <w:rFonts w:ascii="Times New Roman" w:hAnsi="Times New Roman"/>
                <w:noProof/>
                <w:sz w:val="24"/>
              </w:rPr>
              <w:t>, определени в директивата; обмисляне на приемането на минимални стандарти за качество при третирането на ОЕЕО</w:t>
            </w:r>
          </w:p>
          <w:p>
            <w:pPr>
              <w:keepNext/>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Въвеждане/разработване на </w:t>
            </w:r>
            <w:r>
              <w:rPr>
                <w:rFonts w:ascii="Times New Roman" w:hAnsi="Times New Roman"/>
                <w:b/>
                <w:noProof/>
                <w:sz w:val="24"/>
              </w:rPr>
              <w:t>механизми за обмен</w:t>
            </w:r>
            <w:r>
              <w:rPr>
                <w:rFonts w:ascii="Times New Roman" w:hAnsi="Times New Roman"/>
                <w:noProof/>
                <w:sz w:val="24"/>
              </w:rPr>
              <w:t xml:space="preserve"> между производители и рециклиращи стопански субекти на важна за рециклирането и подготовката за повторна употреба </w:t>
            </w:r>
            <w:r>
              <w:rPr>
                <w:rFonts w:ascii="Times New Roman" w:hAnsi="Times New Roman"/>
                <w:b/>
                <w:noProof/>
                <w:sz w:val="24"/>
              </w:rPr>
              <w:t>информация във връзка с продуктите</w:t>
            </w:r>
            <w:r>
              <w:rPr>
                <w:rFonts w:ascii="Times New Roman" w:hAnsi="Times New Roman"/>
                <w:noProof/>
                <w:sz w:val="24"/>
              </w:rPr>
              <w:t xml:space="preserve"> (напр. платформата I4R — „Информация за рециклиращите“</w:t>
            </w:r>
            <w:r>
              <w:rPr>
                <w:rStyle w:val="FootnoteReference"/>
                <w:noProof/>
              </w:rPr>
              <w:footnoteReference w:id="35"/>
            </w:r>
            <w:r>
              <w:rPr>
                <w:rFonts w:ascii="Times New Roman" w:hAnsi="Times New Roman"/>
                <w:noProof/>
                <w:sz w:val="24"/>
              </w:rPr>
              <w:t>)</w:t>
            </w:r>
          </w:p>
          <w:p>
            <w:pPr>
              <w:keepNext/>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 xml:space="preserve">Изграждане на национално равнище на мрежа </w:t>
            </w:r>
            <w:r>
              <w:rPr>
                <w:rFonts w:ascii="Times New Roman" w:hAnsi="Times New Roman"/>
                <w:noProof/>
                <w:sz w:val="24"/>
              </w:rPr>
              <w:t xml:space="preserve">от регистрирани и оправомощени/сертифицирани оператори по въпросите на </w:t>
            </w:r>
            <w:r>
              <w:rPr>
                <w:rFonts w:ascii="Times New Roman" w:hAnsi="Times New Roman"/>
                <w:b/>
                <w:noProof/>
                <w:sz w:val="24"/>
              </w:rPr>
              <w:t>подготовката за повторна употреба</w:t>
            </w:r>
          </w:p>
          <w:p>
            <w:pPr>
              <w:keepNext/>
              <w:numPr>
                <w:ilvl w:val="0"/>
                <w:numId w:val="37"/>
              </w:numPr>
              <w:spacing w:after="120"/>
              <w:jc w:val="both"/>
              <w:rPr>
                <w:rFonts w:ascii="Times New Roman" w:hAnsi="Times New Roman" w:cs="Times New Roman"/>
                <w:noProof/>
                <w:snapToGrid w:val="0"/>
                <w:sz w:val="24"/>
                <w:szCs w:val="24"/>
              </w:rPr>
            </w:pPr>
            <w:r>
              <w:rPr>
                <w:rFonts w:ascii="Times New Roman" w:hAnsi="Times New Roman"/>
                <w:noProof/>
                <w:sz w:val="24"/>
              </w:rPr>
              <w:t xml:space="preserve">Обмисляне на приемането на </w:t>
            </w:r>
            <w:r>
              <w:rPr>
                <w:rFonts w:ascii="Times New Roman" w:hAnsi="Times New Roman"/>
                <w:b/>
                <w:noProof/>
                <w:sz w:val="24"/>
              </w:rPr>
              <w:t>отделна цел</w:t>
            </w:r>
            <w:r>
              <w:rPr>
                <w:rFonts w:ascii="Times New Roman" w:hAnsi="Times New Roman"/>
                <w:noProof/>
                <w:sz w:val="24"/>
              </w:rPr>
              <w:t xml:space="preserve"> </w:t>
            </w:r>
            <w:r>
              <w:rPr>
                <w:rFonts w:ascii="Times New Roman" w:hAnsi="Times New Roman"/>
                <w:b/>
                <w:noProof/>
                <w:sz w:val="24"/>
              </w:rPr>
              <w:t>за подготовката за повторна употреба</w:t>
            </w:r>
            <w:r>
              <w:rPr>
                <w:rFonts w:ascii="Times New Roman" w:hAnsi="Times New Roman"/>
                <w:noProof/>
                <w:sz w:val="24"/>
              </w:rPr>
              <w:t xml:space="preserve"> на национално равнище</w:t>
            </w:r>
          </w:p>
        </w:tc>
      </w:tr>
    </w:tbl>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Отпадъци от опаковки</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noProof/>
        </w:rPr>
        <w:t>През 2015 г. общото количество отпадъци от опаковки, генерирани в ЕС, се е равнявало на около 85 милиона тона, което е около 3,4 % от всички генерирани отпадъци</w:t>
      </w:r>
      <w:r>
        <w:rPr>
          <w:rStyle w:val="FootnoteReference"/>
          <w:rFonts w:ascii="Times New Roman" w:hAnsi="Times New Roman"/>
          <w:noProof/>
        </w:rPr>
        <w:footnoteReference w:id="36"/>
      </w:r>
      <w:r>
        <w:rPr>
          <w:rFonts w:ascii="Times New Roman" w:hAnsi="Times New Roman"/>
          <w:noProof/>
        </w:rPr>
        <w:t>. През последните години се отчита бавно повишение.</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noProof/>
        </w:rPr>
        <w:t xml:space="preserve">В Директивата относно опаковките са определени конкретни цели за отпадъците от опаковки, които трябваше да бъдат изпълнени до края на 2008 г. (за някои държави членки сроковете бяха удължени, но всички те изтекоха през 2015 г.): глобални цели за оползотворяване и за рециклиране (съответно 60 % и 55 %) наред с цели за рециклиране на отделните материали (60 % за хартията и картона, 60 % за стъклото, 50 % за металите, 22,5 % за пластмасата и 15 % за дървесината). </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noProof/>
        </w:rPr>
        <w:t>От 2005 г. насам средният общ процент на рециклираните опаковки в ЕС трайно е нараствал (до 65,8 % през 2015 г.</w:t>
      </w:r>
      <w:r>
        <w:rPr>
          <w:rStyle w:val="FootnoteReference"/>
          <w:rFonts w:ascii="Times New Roman" w:hAnsi="Times New Roman"/>
          <w:noProof/>
        </w:rPr>
        <w:footnoteReference w:id="37"/>
      </w:r>
      <w:r>
        <w:rPr>
          <w:rFonts w:ascii="Times New Roman" w:hAnsi="Times New Roman"/>
          <w:noProof/>
        </w:rPr>
        <w:t xml:space="preserve">). Между 2013 г. и 2015 г. обаче генерираното количество отпадъци от опаковки се е повишило с 6 % в целия ЕС, което навежда на мисълта, че е </w:t>
      </w:r>
      <w:r>
        <w:rPr>
          <w:rFonts w:ascii="Times New Roman" w:hAnsi="Times New Roman"/>
          <w:b/>
          <w:noProof/>
        </w:rPr>
        <w:t>необходима повече работа по предотвратяване на отпадъците</w:t>
      </w:r>
      <w:r>
        <w:rPr>
          <w:rFonts w:ascii="Times New Roman" w:hAnsi="Times New Roman"/>
          <w:noProof/>
        </w:rPr>
        <w:t>. В проучването във връзка с ранното предупреждение също бяха изтъкнати несъответствия в данните за опаковките в редица държави членки, като бе посочено, че докладваните количества пуснати на пазара опаковки може да са занижени.</w:t>
      </w:r>
    </w:p>
    <w:p>
      <w:pPr>
        <w:keepNext/>
        <w:spacing w:after="120" w:line="240" w:lineRule="auto"/>
        <w:jc w:val="both"/>
        <w:rPr>
          <w:rFonts w:ascii="Times New Roman" w:hAnsi="Times New Roman" w:cs="Times New Roman"/>
          <w:noProof/>
        </w:rPr>
      </w:pPr>
      <w:r>
        <w:rPr>
          <w:rFonts w:ascii="Times New Roman" w:hAnsi="Times New Roman"/>
          <w:noProof/>
          <w:sz w:val="24"/>
        </w:rPr>
        <w:t>С преразгледаната Директива относно опаковките</w:t>
      </w:r>
      <w:r>
        <w:rPr>
          <w:rStyle w:val="FootnoteReference"/>
          <w:rFonts w:ascii="Times New Roman" w:hAnsi="Times New Roman"/>
          <w:noProof/>
          <w:sz w:val="24"/>
        </w:rPr>
        <w:footnoteReference w:id="38"/>
      </w:r>
      <w:r>
        <w:rPr>
          <w:rFonts w:ascii="Times New Roman" w:hAnsi="Times New Roman"/>
          <w:noProof/>
          <w:sz w:val="24"/>
        </w:rPr>
        <w:t xml:space="preserve"> бяха въведени по-амбициозни глобални цели за рециклирането на опаковки (65 % през 2025 г. и 70 % през 2030 г.), както и по-високи цели за рециклирането на отделните материали (например 55 % през 2030 г. за пластмасата). Поради това ще са необходими повече усилия в целия ЕС за по-ефикасно организиране на </w:t>
      </w:r>
      <w:r>
        <w:rPr>
          <w:rFonts w:ascii="Times New Roman" w:hAnsi="Times New Roman"/>
          <w:b/>
          <w:noProof/>
          <w:sz w:val="24"/>
        </w:rPr>
        <w:t>схеми за разделно събиране</w:t>
      </w:r>
      <w:r>
        <w:rPr>
          <w:rFonts w:ascii="Times New Roman" w:hAnsi="Times New Roman"/>
          <w:noProof/>
          <w:sz w:val="24"/>
        </w:rPr>
        <w:t xml:space="preserve">, за да се включат повече подлежащи на рециклиране опаковки, включително чрез усъвършенствани схеми за разширена отговорност на производителя. </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noProof/>
        </w:rPr>
        <w:t xml:space="preserve">Повечето държави членки изпълняват текущите общи цели за рециклиране, въпреки че </w:t>
      </w:r>
      <w:r>
        <w:rPr>
          <w:rFonts w:ascii="Times New Roman" w:hAnsi="Times New Roman"/>
          <w:b/>
          <w:noProof/>
        </w:rPr>
        <w:t xml:space="preserve">Унгария </w:t>
      </w:r>
      <w:r>
        <w:rPr>
          <w:rFonts w:ascii="Times New Roman" w:hAnsi="Times New Roman"/>
          <w:noProof/>
        </w:rPr>
        <w:t xml:space="preserve">(от 2012 г.) и </w:t>
      </w:r>
      <w:r>
        <w:rPr>
          <w:rFonts w:ascii="Times New Roman" w:hAnsi="Times New Roman"/>
          <w:b/>
          <w:noProof/>
        </w:rPr>
        <w:t xml:space="preserve">Малта </w:t>
      </w:r>
      <w:r>
        <w:rPr>
          <w:rFonts w:ascii="Times New Roman" w:hAnsi="Times New Roman"/>
          <w:noProof/>
        </w:rPr>
        <w:t>(от 2013 г.</w:t>
      </w:r>
      <w:r>
        <w:rPr>
          <w:rStyle w:val="FootnoteReference"/>
          <w:rFonts w:ascii="Times New Roman" w:hAnsi="Times New Roman"/>
          <w:noProof/>
        </w:rPr>
        <w:footnoteReference w:id="39"/>
      </w:r>
      <w:r>
        <w:rPr>
          <w:rFonts w:ascii="Times New Roman" w:hAnsi="Times New Roman"/>
          <w:noProof/>
        </w:rPr>
        <w:t>)</w:t>
      </w:r>
      <w:r>
        <w:rPr>
          <w:rFonts w:ascii="Times New Roman" w:hAnsi="Times New Roman"/>
          <w:b/>
          <w:noProof/>
        </w:rPr>
        <w:t xml:space="preserve"> не успяват да ги постигнат</w:t>
      </w:r>
      <w:r>
        <w:rPr>
          <w:rFonts w:ascii="Times New Roman" w:hAnsi="Times New Roman"/>
          <w:noProof/>
        </w:rPr>
        <w:t>,</w:t>
      </w:r>
      <w:r>
        <w:rPr>
          <w:rFonts w:ascii="Times New Roman" w:hAnsi="Times New Roman"/>
          <w:b/>
          <w:noProof/>
        </w:rPr>
        <w:t xml:space="preserve"> </w:t>
      </w:r>
      <w:r>
        <w:rPr>
          <w:rFonts w:ascii="Times New Roman" w:hAnsi="Times New Roman"/>
          <w:noProof/>
        </w:rPr>
        <w:t>и то със значителна разлика. Редица държави членки не са постигнали една или повече цели за отделните материали: за хартията и картона (</w:t>
      </w:r>
      <w:r>
        <w:rPr>
          <w:rFonts w:ascii="Times New Roman" w:hAnsi="Times New Roman"/>
          <w:b/>
          <w:noProof/>
        </w:rPr>
        <w:t>Малта</w:t>
      </w:r>
      <w:r>
        <w:rPr>
          <w:rFonts w:ascii="Times New Roman" w:hAnsi="Times New Roman"/>
          <w:noProof/>
        </w:rPr>
        <w:t>), за дървесината (</w:t>
      </w:r>
      <w:r>
        <w:rPr>
          <w:rFonts w:ascii="Times New Roman" w:hAnsi="Times New Roman"/>
          <w:b/>
          <w:noProof/>
        </w:rPr>
        <w:t>Хърватия</w:t>
      </w:r>
      <w:r>
        <w:rPr>
          <w:rFonts w:ascii="Times New Roman" w:hAnsi="Times New Roman"/>
          <w:noProof/>
        </w:rPr>
        <w:t xml:space="preserve">, </w:t>
      </w:r>
      <w:r>
        <w:rPr>
          <w:rFonts w:ascii="Times New Roman" w:hAnsi="Times New Roman"/>
          <w:b/>
          <w:noProof/>
        </w:rPr>
        <w:t>Малта</w:t>
      </w:r>
      <w:r>
        <w:rPr>
          <w:rFonts w:ascii="Times New Roman" w:hAnsi="Times New Roman"/>
          <w:noProof/>
        </w:rPr>
        <w:t xml:space="preserve">, </w:t>
      </w:r>
      <w:r>
        <w:rPr>
          <w:rFonts w:ascii="Times New Roman" w:hAnsi="Times New Roman"/>
          <w:b/>
          <w:noProof/>
        </w:rPr>
        <w:t>Кипър</w:t>
      </w:r>
      <w:r>
        <w:rPr>
          <w:rFonts w:ascii="Times New Roman" w:hAnsi="Times New Roman"/>
          <w:noProof/>
        </w:rPr>
        <w:t xml:space="preserve">, </w:t>
      </w:r>
      <w:r>
        <w:rPr>
          <w:rFonts w:ascii="Times New Roman" w:hAnsi="Times New Roman"/>
          <w:b/>
          <w:noProof/>
        </w:rPr>
        <w:t>Финландия</w:t>
      </w:r>
      <w:r>
        <w:rPr>
          <w:rFonts w:ascii="Times New Roman" w:hAnsi="Times New Roman"/>
          <w:noProof/>
        </w:rPr>
        <w:t>), за металите (</w:t>
      </w:r>
      <w:r>
        <w:rPr>
          <w:rFonts w:ascii="Times New Roman" w:hAnsi="Times New Roman"/>
          <w:b/>
          <w:noProof/>
        </w:rPr>
        <w:t>Хърватия</w:t>
      </w:r>
      <w:r>
        <w:rPr>
          <w:rFonts w:ascii="Times New Roman" w:hAnsi="Times New Roman"/>
          <w:noProof/>
        </w:rPr>
        <w:t xml:space="preserve">, </w:t>
      </w:r>
      <w:r>
        <w:rPr>
          <w:rFonts w:ascii="Times New Roman" w:hAnsi="Times New Roman"/>
          <w:b/>
          <w:noProof/>
        </w:rPr>
        <w:t>Малта</w:t>
      </w:r>
      <w:r>
        <w:rPr>
          <w:rFonts w:ascii="Times New Roman" w:hAnsi="Times New Roman"/>
          <w:noProof/>
        </w:rPr>
        <w:t>) и за стъклото (</w:t>
      </w:r>
      <w:r>
        <w:rPr>
          <w:rFonts w:ascii="Times New Roman" w:hAnsi="Times New Roman"/>
          <w:b/>
          <w:noProof/>
        </w:rPr>
        <w:t>Гърция</w:t>
      </w:r>
      <w:r>
        <w:rPr>
          <w:rFonts w:ascii="Times New Roman" w:hAnsi="Times New Roman"/>
          <w:noProof/>
        </w:rPr>
        <w:t xml:space="preserve">, </w:t>
      </w:r>
      <w:r>
        <w:rPr>
          <w:rFonts w:ascii="Times New Roman" w:hAnsi="Times New Roman"/>
          <w:b/>
          <w:noProof/>
        </w:rPr>
        <w:t>Малта</w:t>
      </w:r>
      <w:r>
        <w:rPr>
          <w:rFonts w:ascii="Times New Roman" w:hAnsi="Times New Roman"/>
          <w:noProof/>
        </w:rPr>
        <w:t xml:space="preserve">, </w:t>
      </w:r>
      <w:r>
        <w:rPr>
          <w:rFonts w:ascii="Times New Roman" w:hAnsi="Times New Roman"/>
          <w:b/>
          <w:noProof/>
        </w:rPr>
        <w:t>Кипър</w:t>
      </w:r>
      <w:r>
        <w:rPr>
          <w:rFonts w:ascii="Times New Roman" w:hAnsi="Times New Roman"/>
          <w:noProof/>
        </w:rPr>
        <w:t>,</w:t>
      </w:r>
      <w:r>
        <w:rPr>
          <w:rFonts w:ascii="Times New Roman" w:hAnsi="Times New Roman"/>
          <w:b/>
          <w:noProof/>
        </w:rPr>
        <w:t xml:space="preserve"> Унгария</w:t>
      </w:r>
      <w:r>
        <w:rPr>
          <w:rFonts w:ascii="Times New Roman" w:hAnsi="Times New Roman"/>
          <w:noProof/>
        </w:rPr>
        <w:t xml:space="preserve">, </w:t>
      </w:r>
      <w:r>
        <w:rPr>
          <w:rFonts w:ascii="Times New Roman" w:hAnsi="Times New Roman"/>
          <w:b/>
          <w:noProof/>
        </w:rPr>
        <w:t>Португалия</w:t>
      </w:r>
      <w:r>
        <w:rPr>
          <w:rFonts w:ascii="Times New Roman" w:hAnsi="Times New Roman"/>
          <w:noProof/>
        </w:rPr>
        <w:t xml:space="preserve">, </w:t>
      </w:r>
      <w:r>
        <w:rPr>
          <w:rFonts w:ascii="Times New Roman" w:hAnsi="Times New Roman"/>
          <w:b/>
          <w:noProof/>
        </w:rPr>
        <w:t>Полша</w:t>
      </w:r>
      <w:r>
        <w:rPr>
          <w:rFonts w:ascii="Times New Roman" w:hAnsi="Times New Roman"/>
          <w:noProof/>
        </w:rPr>
        <w:t xml:space="preserve"> и </w:t>
      </w:r>
      <w:r>
        <w:rPr>
          <w:rFonts w:ascii="Times New Roman" w:hAnsi="Times New Roman"/>
          <w:b/>
          <w:noProof/>
        </w:rPr>
        <w:t>Румъния</w:t>
      </w:r>
      <w:r>
        <w:rPr>
          <w:rFonts w:ascii="Times New Roman" w:hAnsi="Times New Roman"/>
          <w:noProof/>
        </w:rPr>
        <w:t>). Комисията е влязла във връзка със съответните държави членки и е разработила целенасочени съвети чрез насърчаването на съответствието и други дейности за подобряване на резултатите.</w:t>
      </w: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Депониране на отпадъци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Депонирането на отпадъци е вариантът за третиране, който е най-малко за предпочитане. Въпреки че в ЕС като цяло депонираните количества битови отпадъци трайно са намалели (в периода 2013 — 2016 г. те са спаднали с 18 %</w:t>
      </w:r>
      <w:r>
        <w:rPr>
          <w:rStyle w:val="FootnoteReference"/>
          <w:rFonts w:ascii="Times New Roman" w:hAnsi="Times New Roman"/>
          <w:noProof/>
          <w:sz w:val="24"/>
        </w:rPr>
        <w:footnoteReference w:id="40"/>
      </w:r>
      <w:r>
        <w:rPr>
          <w:rFonts w:ascii="Times New Roman" w:hAnsi="Times New Roman"/>
          <w:noProof/>
          <w:sz w:val="24"/>
        </w:rPr>
        <w:t xml:space="preserve">), през 2016 г. средният дял на депонираните битови отпадъци в ЕС все още е 24 %. Продължават да съществуват големи разлики в рамките на ЕС: през 2016 г. </w:t>
      </w:r>
      <w:r>
        <w:rPr>
          <w:rFonts w:ascii="Times New Roman" w:hAnsi="Times New Roman"/>
          <w:b/>
          <w:noProof/>
          <w:sz w:val="24"/>
        </w:rPr>
        <w:t>10 държави членки все още са депонирали над 50 %</w:t>
      </w:r>
      <w:r>
        <w:rPr>
          <w:rFonts w:ascii="Times New Roman" w:hAnsi="Times New Roman"/>
          <w:noProof/>
          <w:sz w:val="24"/>
        </w:rPr>
        <w:t xml:space="preserve"> от </w:t>
      </w:r>
      <w:r>
        <w:rPr>
          <w:rFonts w:ascii="Times New Roman" w:hAnsi="Times New Roman"/>
          <w:b/>
          <w:noProof/>
          <w:sz w:val="24"/>
        </w:rPr>
        <w:t>битовите отпадъци</w:t>
      </w:r>
      <w:r>
        <w:rPr>
          <w:rFonts w:ascii="Times New Roman" w:hAnsi="Times New Roman"/>
          <w:noProof/>
          <w:sz w:val="24"/>
        </w:rPr>
        <w:t xml:space="preserve">, а 5 са докладвали стойности от </w:t>
      </w:r>
      <w:r>
        <w:rPr>
          <w:rFonts w:ascii="Times New Roman" w:hAnsi="Times New Roman"/>
          <w:b/>
          <w:noProof/>
          <w:sz w:val="24"/>
        </w:rPr>
        <w:t>над 70 %</w:t>
      </w:r>
      <w:r>
        <w:rPr>
          <w:rFonts w:ascii="Times New Roman" w:hAnsi="Times New Roman"/>
          <w:noProof/>
          <w:sz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 силата на Директивата относно депонирането държавите членки бяха задължени да намалят депонирането на биоразградими битови отпадъци до най-много 75 % до 2006 г., 50 % до 2009 г. и 35 % до 2016 г. в сравнение с базовата 1995 г.</w:t>
      </w:r>
      <w:r>
        <w:rPr>
          <w:rStyle w:val="FootnoteReference"/>
          <w:rFonts w:ascii="Times New Roman" w:hAnsi="Times New Roman"/>
          <w:noProof/>
          <w:sz w:val="24"/>
        </w:rPr>
        <w:footnoteReference w:id="41"/>
      </w:r>
      <w:r>
        <w:rPr>
          <w:rFonts w:ascii="Times New Roman" w:hAnsi="Times New Roman"/>
          <w:noProof/>
          <w:sz w:val="24"/>
        </w:rPr>
        <w:t>. С преразгледаната Директива</w:t>
      </w:r>
      <w:r>
        <w:rPr>
          <w:rStyle w:val="FootnoteReference"/>
          <w:rFonts w:ascii="Times New Roman" w:hAnsi="Times New Roman"/>
          <w:noProof/>
          <w:sz w:val="24"/>
        </w:rPr>
        <w:footnoteReference w:id="42"/>
      </w:r>
      <w:r>
        <w:rPr>
          <w:rFonts w:ascii="Times New Roman" w:hAnsi="Times New Roman"/>
          <w:noProof/>
          <w:sz w:val="24"/>
        </w:rPr>
        <w:t xml:space="preserve"> от държавите членки се изисква да намалят депонирането на битови отпадъци до най-много 10 % до 2035 г. и се въвежда забрана за депониране на разделно събирани, включително биоразградими отпадъци.</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noProof/>
        </w:rPr>
        <w:t xml:space="preserve">Що се отнася до изпълнението на целите за намаляване на биоразградимите отпадъци, пълнотата на подадените от държавите членки данни варира. Съгласно докладваните данни през 2015 г. половината от държавите членки вече са изпълнили целта от 35 %, определена за 2016 г. </w:t>
      </w:r>
      <w:r>
        <w:rPr>
          <w:rFonts w:ascii="Times New Roman" w:hAnsi="Times New Roman"/>
          <w:b/>
          <w:noProof/>
        </w:rPr>
        <w:t xml:space="preserve">Хърватия </w:t>
      </w:r>
      <w:r>
        <w:rPr>
          <w:rFonts w:ascii="Times New Roman" w:hAnsi="Times New Roman"/>
          <w:noProof/>
        </w:rPr>
        <w:t xml:space="preserve">не е постигнала целта си от 75 %, крайният срок за която беше през 2013 г. </w:t>
      </w:r>
      <w:r>
        <w:rPr>
          <w:rFonts w:ascii="Times New Roman" w:hAnsi="Times New Roman"/>
          <w:b/>
          <w:noProof/>
        </w:rPr>
        <w:t xml:space="preserve">Гърция, Кипър, Латвия, Словакия </w:t>
      </w:r>
      <w:r>
        <w:rPr>
          <w:rFonts w:ascii="Times New Roman" w:hAnsi="Times New Roman"/>
          <w:noProof/>
        </w:rPr>
        <w:t xml:space="preserve">и </w:t>
      </w:r>
      <w:r>
        <w:rPr>
          <w:rFonts w:ascii="Times New Roman" w:hAnsi="Times New Roman"/>
          <w:b/>
          <w:noProof/>
        </w:rPr>
        <w:t xml:space="preserve">Чешката република </w:t>
      </w:r>
      <w:r>
        <w:rPr>
          <w:rFonts w:ascii="Times New Roman" w:hAnsi="Times New Roman"/>
          <w:noProof/>
        </w:rPr>
        <w:t>не са постигнали</w:t>
      </w:r>
      <w:r>
        <w:rPr>
          <w:rFonts w:ascii="Times New Roman" w:hAnsi="Times New Roman"/>
          <w:b/>
          <w:noProof/>
        </w:rPr>
        <w:t xml:space="preserve"> </w:t>
      </w:r>
      <w:r>
        <w:rPr>
          <w:rFonts w:ascii="Times New Roman" w:hAnsi="Times New Roman"/>
          <w:noProof/>
        </w:rPr>
        <w:t>целта от 50 %, чийто краен срок също беше през 2013 г.</w:t>
      </w:r>
      <w:r>
        <w:rPr>
          <w:rFonts w:ascii="Times New Roman" w:hAnsi="Times New Roman"/>
          <w:b/>
          <w:noProof/>
        </w:rPr>
        <w:t xml:space="preserve"> Малта</w:t>
      </w:r>
      <w:r>
        <w:rPr>
          <w:rFonts w:ascii="Times New Roman" w:hAnsi="Times New Roman"/>
          <w:noProof/>
        </w:rPr>
        <w:t>, чийто общ дял на депонираните битови отпадъци е висок,</w:t>
      </w:r>
      <w:r>
        <w:rPr>
          <w:rFonts w:ascii="Times New Roman" w:hAnsi="Times New Roman"/>
          <w:b/>
          <w:noProof/>
        </w:rPr>
        <w:t xml:space="preserve"> не е докладвала</w:t>
      </w:r>
      <w:r>
        <w:rPr>
          <w:rFonts w:ascii="Times New Roman" w:hAnsi="Times New Roman"/>
          <w:noProof/>
        </w:rPr>
        <w:t xml:space="preserve"> скорошни данни. Комисията е влязла във връзка със съответните държави членки и е разработила целенасочени съвети чрез насърчаването на съответствието и други дейности за подобряване на резултатите.</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При неотдавнашно проучване, проведено по поръчка на Комисията</w:t>
      </w:r>
      <w:r>
        <w:rPr>
          <w:rStyle w:val="FootnoteReference"/>
          <w:rFonts w:ascii="Times New Roman" w:hAnsi="Times New Roman"/>
          <w:noProof/>
          <w:sz w:val="24"/>
        </w:rPr>
        <w:footnoteReference w:id="43"/>
      </w:r>
      <w:r>
        <w:rPr>
          <w:rFonts w:ascii="Times New Roman" w:hAnsi="Times New Roman"/>
          <w:noProof/>
          <w:sz w:val="24"/>
        </w:rPr>
        <w:t>, бе установено, че 15 държави членки не са изпълнили напълно предвиденото в директивата задължение</w:t>
      </w:r>
      <w:r>
        <w:rPr>
          <w:rStyle w:val="FootnoteReference"/>
          <w:rFonts w:ascii="Times New Roman" w:hAnsi="Times New Roman"/>
          <w:noProof/>
          <w:sz w:val="24"/>
        </w:rPr>
        <w:footnoteReference w:id="44"/>
      </w:r>
      <w:r>
        <w:rPr>
          <w:rFonts w:ascii="Times New Roman" w:hAnsi="Times New Roman"/>
          <w:noProof/>
          <w:sz w:val="24"/>
        </w:rPr>
        <w:t xml:space="preserve"> да преработват отпадъците, преди да ги депонират.</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Въпреки докладваното от държавите членки закриване на депа за отпадъци, неотговарящи на нормите, броят на съоръженията, които </w:t>
      </w:r>
      <w:r>
        <w:rPr>
          <w:rFonts w:ascii="Times New Roman" w:hAnsi="Times New Roman"/>
          <w:b/>
          <w:noProof/>
          <w:sz w:val="24"/>
        </w:rPr>
        <w:t>не са в съответствие с изискванията</w:t>
      </w:r>
      <w:r>
        <w:rPr>
          <w:rFonts w:ascii="Times New Roman" w:hAnsi="Times New Roman"/>
          <w:noProof/>
          <w:sz w:val="24"/>
        </w:rPr>
        <w:t xml:space="preserve"> на директивата, продължава да буди загриженост.</w:t>
      </w:r>
    </w:p>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Утайки от отпадъчни води</w:t>
      </w:r>
    </w:p>
    <w:p>
      <w:pPr>
        <w:spacing w:line="240" w:lineRule="auto"/>
        <w:jc w:val="both"/>
        <w:rPr>
          <w:rFonts w:ascii="Times New Roman" w:hAnsi="Times New Roman" w:cs="Times New Roman"/>
          <w:noProof/>
          <w:sz w:val="24"/>
          <w:szCs w:val="24"/>
        </w:rPr>
      </w:pPr>
      <w:r>
        <w:rPr>
          <w:rFonts w:ascii="Times New Roman" w:hAnsi="Times New Roman"/>
          <w:noProof/>
          <w:sz w:val="24"/>
        </w:rPr>
        <w:t>С Директивата относно утайките от отпадъчни води се цели контрол на употребата на утайките от отпадъчни води в земеделието. В директивата се определят гранични стойности за концентрацията на тежки метали в утайките, предназначени за използване в земеделието и за обработка на почвата.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Директивата е в сила от над 30 години и прилагането ѝ в целия ЕС е добро. </w:t>
      </w:r>
      <w:r>
        <w:rPr>
          <w:rFonts w:ascii="Times New Roman" w:hAnsi="Times New Roman"/>
          <w:b/>
          <w:noProof/>
          <w:sz w:val="24"/>
        </w:rPr>
        <w:t>Всички държави членки са определили</w:t>
      </w:r>
      <w:r>
        <w:rPr>
          <w:rFonts w:ascii="Times New Roman" w:hAnsi="Times New Roman"/>
          <w:noProof/>
          <w:sz w:val="24"/>
        </w:rPr>
        <w:t xml:space="preserve"> </w:t>
      </w:r>
      <w:r>
        <w:rPr>
          <w:rFonts w:ascii="Times New Roman" w:hAnsi="Times New Roman"/>
          <w:b/>
          <w:noProof/>
          <w:sz w:val="24"/>
        </w:rPr>
        <w:t>гранични стойности за концентрацията</w:t>
      </w:r>
      <w:r>
        <w:rPr>
          <w:rFonts w:ascii="Times New Roman" w:hAnsi="Times New Roman"/>
          <w:noProof/>
          <w:sz w:val="24"/>
        </w:rPr>
        <w:t xml:space="preserve"> на тежки метали в почвата, които са </w:t>
      </w:r>
      <w:r>
        <w:rPr>
          <w:rFonts w:ascii="Times New Roman" w:hAnsi="Times New Roman"/>
          <w:b/>
          <w:noProof/>
          <w:sz w:val="24"/>
        </w:rPr>
        <w:t>в съответствие с изискванията на директивата — или дори много по-строги</w:t>
      </w:r>
      <w:r>
        <w:rPr>
          <w:rFonts w:ascii="Times New Roman" w:hAnsi="Times New Roman"/>
          <w:noProof/>
          <w:sz w:val="24"/>
        </w:rPr>
        <w:t>.</w:t>
      </w: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Заключения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Благодарение на законодателството на ЕС за отпадъците при управлението им се постигат значителни подобрения. Пълното прилагане на това законодателство обаче е от решаващо значение, за да извлече ЕС екологичните и икономическите ползи от кръговата икономика и да се конкурира в свят на все по-оскъдни ресурси.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Докладите за ранно предупреждение относно битовите отпадъци и описаните в настоящия доклад усилия на Комисията за насърчаване на съответствието показват непрестанния напредък в държавите членки, но също така и сериозни пропуски и предизвикателства, които се нуждаят от неотложно решаване.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Добрият напредък е възможен, ако съответните държави членки предприемат спешно мерки за изпълнението на действията, установени в настоящия доклад и в придружаващите доклади по държави. По-ефективно разделно събиране, ефикасни схеми за разширена отговорност на производителя, икономически инструменти, като данъци за депониране и изгаряне, и подобрено качество на данните — всичко това е от решаващо значение за гарантиране на съответствието със законодателството на ЕС за отпадъците сега и в бъдеще.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продължение на настоящия доклад Комисията ще предприеме посещения на високо равнище по въпроси на кръговата икономика/отпадъците в държавите членки, в които съществува риск да не се постигнат целите за битовите отпадъци до 2020 г. Във връзка с това тя ще установи сътрудничество със съответните заинтересовани страни, включително с асоциации на местни и регионални участници.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ще продължи да отделя значителни ресурси в подкрепа на усилията на държавите членки за прилагане на законодателството, включително като предоставя техническа помощ (напр. чрез прегледа на изпълнението на политиките за околната среда</w:t>
      </w:r>
      <w:r>
        <w:rPr>
          <w:rStyle w:val="FootnoteReference"/>
          <w:rFonts w:ascii="Times New Roman" w:hAnsi="Times New Roman"/>
          <w:noProof/>
          <w:sz w:val="24"/>
        </w:rPr>
        <w:footnoteReference w:id="45"/>
      </w:r>
      <w:r>
        <w:rPr>
          <w:rFonts w:ascii="Times New Roman" w:hAnsi="Times New Roman"/>
          <w:noProof/>
          <w:sz w:val="24"/>
        </w:rPr>
        <w:t xml:space="preserve"> и чрез обмен на най-добри практики</w:t>
      </w:r>
      <w:r>
        <w:rPr>
          <w:rStyle w:val="FootnoteReference"/>
          <w:rFonts w:ascii="Times New Roman" w:hAnsi="Times New Roman"/>
          <w:noProof/>
          <w:sz w:val="24"/>
        </w:rPr>
        <w:footnoteReference w:id="46"/>
      </w:r>
      <w:r>
        <w:rPr>
          <w:rFonts w:ascii="Times New Roman" w:hAnsi="Times New Roman"/>
          <w:noProof/>
          <w:sz w:val="24"/>
        </w:rPr>
        <w:t>) и финансови средства от ЕС. Задължение на националните органи обаче е да засилят процеса на необходимите реформи в политиката и да ускорят действията по места.</w:t>
      </w:r>
    </w:p>
    <w:p>
      <w:pPr>
        <w:spacing w:after="120" w:line="240" w:lineRule="auto"/>
        <w:jc w:val="both"/>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tabs>
          <w:tab w:val="left" w:pos="6285"/>
        </w:tabs>
        <w:rPr>
          <w:rFonts w:ascii="Times New Roman" w:hAnsi="Times New Roman" w:cs="Times New Roman"/>
          <w:noProof/>
          <w:sz w:val="24"/>
          <w:szCs w:val="24"/>
        </w:rPr>
      </w:pPr>
      <w:r>
        <w:rPr>
          <w:rFonts w:ascii="Times New Roman" w:hAnsi="Times New Roman" w:cs="Times New Roman"/>
          <w:noProof/>
          <w:sz w:val="24"/>
          <w:szCs w:val="24"/>
        </w:rPr>
        <w:tab/>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7676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Подробна информация за тези доклади за всяка от директивите е на разположение на адрес: </w:t>
      </w:r>
      <w:hyperlink r:id="rId1">
        <w:r>
          <w:rPr>
            <w:rStyle w:val="Hyperlink"/>
          </w:rPr>
          <w:t>http://ec.europa.eu/environment/waste/reporting/index.htm</w:t>
        </w:r>
      </w:hyperlink>
      <w:r>
        <w:t xml:space="preserve">. </w:t>
      </w:r>
    </w:p>
  </w:footnote>
  <w:footnote w:id="2">
    <w:p>
      <w:pPr>
        <w:pStyle w:val="FootnoteText"/>
      </w:pPr>
      <w:r>
        <w:rPr>
          <w:rStyle w:val="FootnoteReference"/>
        </w:rPr>
        <w:footnoteRef/>
      </w:r>
      <w:r>
        <w:t xml:space="preserve"> Предходният доклад за прилагането СОМ/2017/088 final обхваща периода 2010 — 2012 г. Комисията има правно задължение да публикува този доклад.</w:t>
      </w:r>
    </w:p>
  </w:footnote>
  <w:footnote w:id="3">
    <w:p>
      <w:pPr>
        <w:pStyle w:val="FootnoteText"/>
      </w:pPr>
      <w:r>
        <w:rPr>
          <w:rStyle w:val="FootnoteReference"/>
        </w:rPr>
        <w:footnoteRef/>
      </w:r>
      <w:r>
        <w:t xml:space="preserve"> Държавите членки трябва да представят на Комисията доклади за прилагането и на други правни актове. Крайните срокове за предаването на тези въпросници обаче са различни.</w:t>
      </w:r>
    </w:p>
  </w:footnote>
  <w:footnote w:id="4">
    <w:p>
      <w:pPr>
        <w:pStyle w:val="FootnoteText"/>
      </w:pPr>
      <w:r>
        <w:rPr>
          <w:rStyle w:val="FootnoteReference"/>
        </w:rPr>
        <w:footnoteRef/>
      </w:r>
      <w:r>
        <w:t xml:space="preserve"> Eunomia Research and Consulting Ltd и др. (2018 г.), Study to identify Member States at risk of non-compliance with the 2020 target of the Waste Framework Directive and to follow-up phase 1 and 2 of the compliance promotion exercise (Проучване за установяване на държавите членки, за които съществува риск да не постигнат съответствие с целта за 2020 г. по Рамковата директива за отпадъците, и за набелязване на последващи действия по фази 1 и 2 от серията от мерки за насърчаване на съответствието).</w:t>
      </w:r>
    </w:p>
  </w:footnote>
  <w:footnote w:id="5">
    <w:p>
      <w:pPr>
        <w:pStyle w:val="FootnoteText"/>
      </w:pPr>
      <w:r>
        <w:rPr>
          <w:rStyle w:val="FootnoteReference"/>
        </w:rPr>
        <w:footnoteRef/>
      </w:r>
      <w:r>
        <w:t xml:space="preserve"> Европейски тематичен център относно отпадъците и материалите в екологичната икономика (ETC/WMGE), по поръчка на Европейската агенция за околна среда (2018 г.), Scenarios for municipal waste recycling based on the European Reference Model on Municipal Waste. Contribution to the first Early Warning report (Сценарии за рециклиране на битовите отпадъци съгласно европейския референтен модел за битовите отпадъци. Принос към първия доклад относно ранното предупреждение).</w:t>
      </w:r>
    </w:p>
  </w:footnote>
  <w:footnote w:id="6">
    <w:p>
      <w:pPr>
        <w:pStyle w:val="FootnoteText"/>
      </w:pPr>
      <w:r>
        <w:rPr>
          <w:rStyle w:val="FootnoteReference"/>
        </w:rPr>
        <w:footnoteRef/>
      </w:r>
      <w:r>
        <w:t xml:space="preserve"> BIO by Deloitte (2017 г.), Resource efficient use of mixed wastes. Improving management of construction and demolition waste (Ресурсоефективно използване на смесените отпадъци. Подобряване на управлението на отпадъците от строителство и разрушаване).</w:t>
      </w:r>
    </w:p>
  </w:footnote>
  <w:footnote w:id="7">
    <w:p>
      <w:pPr>
        <w:pStyle w:val="FootnoteText"/>
      </w:pPr>
      <w:r>
        <w:rPr>
          <w:rStyle w:val="FootnoteReference"/>
        </w:rPr>
        <w:footnoteRef/>
      </w:r>
      <w:r>
        <w:t xml:space="preserve"> BiPRO GmbH (2017 г.), Support to selected Member States in improving hazardous waste management based on assessment of Member States' performance (Подкрепа за избрани държави членки за подобряване на управлението на опасни отпадъци въз основа на оценката на постигнатите от държавите членки резултати).</w:t>
      </w:r>
    </w:p>
  </w:footnote>
  <w:footnote w:id="8">
    <w:p>
      <w:pPr>
        <w:pStyle w:val="FootnoteText"/>
      </w:pPr>
      <w:r>
        <w:rPr>
          <w:rStyle w:val="FootnoteReference"/>
        </w:rPr>
        <w:footnoteRef/>
      </w:r>
      <w:r>
        <w:t xml:space="preserve"> BiPRO GmbH (2018 г.), WEEE compliance promotion exercise (Серия от мерки за насърчаване на съответствието на ОЕЕО).</w:t>
      </w:r>
    </w:p>
  </w:footnote>
  <w:footnote w:id="9">
    <w:p>
      <w:pPr>
        <w:pStyle w:val="FootnoteText"/>
      </w:pPr>
      <w:r>
        <w:rPr>
          <w:rStyle w:val="FootnoteReference"/>
        </w:rPr>
        <w:footnoteRef/>
      </w:r>
      <w:r>
        <w:t xml:space="preserve"> Евростат: </w:t>
      </w:r>
      <w:hyperlink r:id="rId2">
        <w:r>
          <w:rPr>
            <w:rStyle w:val="Hyperlink"/>
          </w:rPr>
          <w:t>http://ec.europa.eu/eurostat/web/waste/data/database</w:t>
        </w:r>
      </w:hyperlink>
      <w:r>
        <w:t>, масив от данни (env_wasmun)</w:t>
      </w:r>
    </w:p>
  </w:footnote>
  <w:footnote w:id="10">
    <w:p>
      <w:pPr>
        <w:pStyle w:val="FootnoteText"/>
      </w:pPr>
      <w:r>
        <w:rPr>
          <w:rStyle w:val="FootnoteReference"/>
        </w:rPr>
        <w:footnoteRef/>
      </w:r>
      <w:r>
        <w:t xml:space="preserve"> Член 11, параграф 2, буква а) от Рамковата директива относно отпадъците.</w:t>
      </w:r>
    </w:p>
  </w:footnote>
  <w:footnote w:id="11">
    <w:p>
      <w:pPr>
        <w:pStyle w:val="FootnoteText"/>
      </w:pPr>
      <w:r>
        <w:rPr>
          <w:rStyle w:val="FootnoteReference"/>
        </w:rPr>
        <w:footnoteRef/>
      </w:r>
      <w:r>
        <w:t xml:space="preserve"> Директива (ЕС) 2018/851, наричана по-нататък „преразгледана Рамкова директива относно отпадъците“.</w:t>
      </w:r>
    </w:p>
  </w:footnote>
  <w:footnote w:id="12">
    <w:p>
      <w:pPr>
        <w:pStyle w:val="FootnoteText"/>
      </w:pPr>
      <w:r>
        <w:rPr>
          <w:rStyle w:val="FootnoteReference"/>
        </w:rPr>
        <w:footnoteRef/>
      </w:r>
      <w:r>
        <w:t xml:space="preserve"> Член 11, параграф 2, букви в) — д) от Директива (ЕС) 2018/851.</w:t>
      </w:r>
    </w:p>
  </w:footnote>
  <w:footnote w:id="13">
    <w:p>
      <w:pPr>
        <w:pStyle w:val="FootnoteText"/>
      </w:pPr>
      <w:r>
        <w:rPr>
          <w:rStyle w:val="FootnoteReference"/>
        </w:rPr>
        <w:footnoteRef/>
      </w:r>
      <w:r>
        <w:t xml:space="preserve"> Eunomia (2018 г.) и ETC/WMGE (2018 г.). </w:t>
      </w:r>
    </w:p>
  </w:footnote>
  <w:footnote w:id="14">
    <w:p>
      <w:pPr>
        <w:pStyle w:val="FootnoteText"/>
        <w:rPr>
          <w:rFonts w:cs="Times New Roman"/>
          <w:color w:val="000000"/>
        </w:rPr>
      </w:pPr>
      <w:r>
        <w:rPr>
          <w:rStyle w:val="FootnoteReference"/>
        </w:rPr>
        <w:footnoteRef/>
      </w:r>
      <w:r>
        <w:t xml:space="preserve"> Въз основа на избрания от тях изчислителен метод. </w:t>
      </w:r>
      <w:r>
        <w:rPr>
          <w:color w:val="000000"/>
        </w:rPr>
        <w:t>За целите на проверката на постигнатото съответствие с целта съгласно член 11, параграф 2, буква а) от Рамковата директива относно отпадъците в Решение 2011/753/ЕС се определят четири алтернативни изчислителни метода за докладването на темповете на „подготовката за повторна употреба и рециклиране“ на домакинските отпадъци.</w:t>
      </w:r>
    </w:p>
  </w:footnote>
  <w:footnote w:id="15">
    <w:p>
      <w:pPr>
        <w:pStyle w:val="FootnoteText"/>
        <w:rPr>
          <w:lang w:val="fr-BE"/>
        </w:rPr>
      </w:pPr>
      <w:r>
        <w:rPr>
          <w:rStyle w:val="FootnoteReference"/>
        </w:rPr>
        <w:footnoteRef/>
      </w:r>
      <w:r>
        <w:t xml:space="preserve"> ETC/WMGE (2018 г.).</w:t>
      </w:r>
    </w:p>
  </w:footnote>
  <w:footnote w:id="16">
    <w:p>
      <w:pPr>
        <w:pStyle w:val="FootnoteText"/>
        <w:rPr>
          <w:lang w:val="fr-BE"/>
        </w:rPr>
      </w:pPr>
      <w:r>
        <w:rPr>
          <w:rStyle w:val="FootnoteReference"/>
        </w:rPr>
        <w:footnoteRef/>
      </w:r>
      <w:r>
        <w:t xml:space="preserve"> http://ec.europa.eu/environment/waste/framework/support_implementation.htm.</w:t>
      </w:r>
    </w:p>
  </w:footnote>
  <w:footnote w:id="17">
    <w:p>
      <w:pPr>
        <w:pStyle w:val="FootnoteText"/>
      </w:pPr>
      <w:r>
        <w:rPr>
          <w:rStyle w:val="FootnoteReference"/>
        </w:rPr>
        <w:footnoteRef/>
      </w:r>
      <w:r>
        <w:t xml:space="preserve"> Съгласно йерархията на отпадъците вариантите за управление на отпадъците се степенуват в зависимост от тяхната устойчивост, като най-голям приоритет се отдава на предотвратяването на отпадъците, последвано от рециклирането, оползотворяването на енергия и на най-ниското ниво на стълбицата — изхвърлянето (напр. депонирането).</w:t>
      </w:r>
    </w:p>
  </w:footnote>
  <w:footnote w:id="18">
    <w:p>
      <w:pPr>
        <w:pStyle w:val="FootnoteText"/>
      </w:pPr>
      <w:r>
        <w:rPr>
          <w:rStyle w:val="FootnoteReference"/>
        </w:rPr>
        <w:footnoteRef/>
      </w:r>
      <w:r>
        <w:t xml:space="preserve"> Евростат, масив от данни (env_wasgen)</w:t>
      </w:r>
    </w:p>
  </w:footnote>
  <w:footnote w:id="19">
    <w:p>
      <w:pPr>
        <w:pStyle w:val="FootnoteText"/>
      </w:pPr>
      <w:r>
        <w:rPr>
          <w:rStyle w:val="FootnoteReference"/>
        </w:rPr>
        <w:footnoteRef/>
      </w:r>
      <w:r>
        <w:t xml:space="preserve"> Член 11, параграф 2, буква б).</w:t>
      </w:r>
    </w:p>
  </w:footnote>
  <w:footnote w:id="20">
    <w:p>
      <w:pPr>
        <w:pStyle w:val="FootnoteText"/>
      </w:pPr>
      <w:r>
        <w:rPr>
          <w:rStyle w:val="FootnoteReference"/>
        </w:rPr>
        <w:footnoteRef/>
      </w:r>
      <w:r>
        <w:t xml:space="preserve"> </w:t>
      </w:r>
      <w:r>
        <w:rPr>
          <w:rFonts w:ascii="Times New Roman" w:hAnsi="Times New Roman"/>
          <w:sz w:val="24"/>
        </w:rPr>
        <w:t xml:space="preserve"> </w:t>
      </w:r>
      <w:r>
        <w:t>ARGUS (2017 г.), Compliance reporting on Waste Framework Directive — material recovery rates for construction &amp; demolition waste for reporting period 2013 – 2015. Validation report 2017 (Докладване за постигнатото съответствие по Рамковата директива относно отпадъците — степен на оползотворяване на материалите при отпадъците от строителство и разрушаване за периода на докладване 2013 — 2015 г. Доклад за валидиране, 2017 г.).</w:t>
      </w:r>
    </w:p>
  </w:footnote>
  <w:footnote w:id="21">
    <w:p>
      <w:pPr>
        <w:pStyle w:val="FootnoteText"/>
      </w:pPr>
      <w:r>
        <w:rPr>
          <w:rStyle w:val="FootnoteReference"/>
        </w:rPr>
        <w:footnoteRef/>
      </w:r>
      <w:r>
        <w:t xml:space="preserve"> BIO by Deloitte (2017 г.); Евростат, масив от данни (</w:t>
      </w:r>
      <w:hyperlink r:id="rId3">
        <w:r>
          <w:rPr>
            <w:rStyle w:val="Hyperlink"/>
          </w:rPr>
          <w:t>cei_wm040</w:t>
        </w:r>
      </w:hyperlink>
      <w:r>
        <w:t>)</w:t>
      </w:r>
    </w:p>
  </w:footnote>
  <w:footnote w:id="22">
    <w:p>
      <w:pPr>
        <w:pStyle w:val="FootnoteText"/>
      </w:pPr>
      <w:r>
        <w:rPr>
          <w:rStyle w:val="FootnoteReference"/>
        </w:rPr>
        <w:footnoteRef/>
      </w:r>
      <w:r>
        <w:t xml:space="preserve"> https://ec.europa.eu/docsroom/documents/20509/attachments/1/translations/en/renditions/native.</w:t>
      </w:r>
    </w:p>
  </w:footnote>
  <w:footnote w:id="23">
    <w:p>
      <w:pPr>
        <w:pStyle w:val="FootnoteText"/>
      </w:pPr>
      <w:r>
        <w:rPr>
          <w:rStyle w:val="FootnoteReference"/>
        </w:rPr>
        <w:footnoteRef/>
      </w:r>
      <w:r>
        <w:t xml:space="preserve"> Евростат; масив от данни (env_wasgen)</w:t>
      </w:r>
    </w:p>
  </w:footnote>
  <w:footnote w:id="24">
    <w:p>
      <w:pPr>
        <w:pStyle w:val="FootnoteText"/>
      </w:pPr>
      <w:r>
        <w:rPr>
          <w:rStyle w:val="FootnoteReference"/>
        </w:rPr>
        <w:footnoteRef/>
      </w:r>
      <w:r>
        <w:t xml:space="preserve"> BiPRO (2015 г.), Support to selected Member States in improving hazardous waste management based on assessment of Member States' performance (Подкрепа за избрани държави членки за подобряване на управлението на опасни отпадъци въз основа на оценката на постигнатите от държавите членки резултати) — извършен е анализ в 10 държави членки; BiPRO (2017 г.) — извършен е анализ в 14 държави членки.</w:t>
      </w:r>
    </w:p>
  </w:footnote>
  <w:footnote w:id="25">
    <w:p>
      <w:pPr>
        <w:pStyle w:val="FootnoteText"/>
      </w:pPr>
      <w:r>
        <w:rPr>
          <w:rStyle w:val="FootnoteReference"/>
        </w:rPr>
        <w:footnoteRef/>
      </w:r>
      <w:r>
        <w:t xml:space="preserve"> Полихлорирани бифенили/полихлорирани терфенили.</w:t>
      </w:r>
    </w:p>
  </w:footnote>
  <w:footnote w:id="26">
    <w:p>
      <w:pPr>
        <w:pStyle w:val="FootnoteText"/>
        <w:rPr>
          <w:highlight w:val="yellow"/>
        </w:rPr>
      </w:pPr>
      <w:r>
        <w:rPr>
          <w:rStyle w:val="FootnoteReference"/>
        </w:rPr>
        <w:footnoteRef/>
      </w:r>
      <w:r>
        <w:t xml:space="preserve"> На разположение на всички езици на ЕС на адрес: </w:t>
      </w:r>
      <w:hyperlink r:id="rId4">
        <w:r>
          <w:rPr>
            <w:rStyle w:val="Hyperlink"/>
          </w:rPr>
          <w:t>https://eur-lex.europa.eu/legal-content/BG/TXT/?uri=uriserv:OJ.C_.2018.124.01.0001.01.BUL&amp;toc=OJ:C:2018:124:TOC</w:t>
        </w:r>
      </w:hyperlink>
      <w:r>
        <w:t>.</w:t>
      </w:r>
    </w:p>
  </w:footnote>
  <w:footnote w:id="27">
    <w:p>
      <w:pPr>
        <w:pStyle w:val="FootnoteText"/>
      </w:pPr>
      <w:r>
        <w:rPr>
          <w:rStyle w:val="FootnoteReference"/>
        </w:rPr>
        <w:footnoteRef/>
      </w:r>
      <w:r>
        <w:t xml:space="preserve"> Съгласно определеното в член 15, параграф 2 от Рамковата директива относно отпадъците.</w:t>
      </w:r>
    </w:p>
  </w:footnote>
  <w:footnote w:id="28">
    <w:p>
      <w:pPr>
        <w:pStyle w:val="FootnoteText"/>
      </w:pPr>
      <w:r>
        <w:rPr>
          <w:rStyle w:val="FootnoteReference"/>
        </w:rPr>
        <w:footnoteRef/>
      </w:r>
      <w:r>
        <w:t xml:space="preserve"> Въз основа на инструментите за изчисляване на ОЕЕО, налични на адрес: http://ec.europa.eu/environment/waste/weee/data_en.htm. </w:t>
      </w:r>
    </w:p>
  </w:footnote>
  <w:footnote w:id="29">
    <w:p>
      <w:pPr>
        <w:pStyle w:val="FootnoteText"/>
      </w:pPr>
      <w:r>
        <w:rPr>
          <w:rStyle w:val="FootnoteReference"/>
        </w:rPr>
        <w:footnoteRef/>
      </w:r>
      <w:r>
        <w:t xml:space="preserve"> Университет на Обединените нации (2007 г.), 2008 Review of Directive 2002/96/EC on waste electrical and electronic equipment (WEEE) (Преглед на Директива 2002/96/ЕО относно отпадъците от електрическо и електронно оборудване (ОЕЕО) през 2008 г.).</w:t>
      </w:r>
    </w:p>
  </w:footnote>
  <w:footnote w:id="30">
    <w:p>
      <w:pPr>
        <w:pStyle w:val="FootnoteText"/>
      </w:pPr>
      <w:r>
        <w:rPr>
          <w:rStyle w:val="FootnoteReference"/>
        </w:rPr>
        <w:footnoteRef/>
      </w:r>
      <w:r>
        <w:t xml:space="preserve"> Целта е трябвало да бъде постигната до края на 2015 г.</w:t>
      </w:r>
    </w:p>
  </w:footnote>
  <w:footnote w:id="31">
    <w:p>
      <w:pPr>
        <w:pStyle w:val="FootnoteText"/>
      </w:pPr>
      <w:r>
        <w:rPr>
          <w:rStyle w:val="FootnoteReference"/>
        </w:rPr>
        <w:footnoteRef/>
      </w:r>
      <w:r>
        <w:t xml:space="preserve"> Латвия не е постигнала целта през 2015 г., а другите държави членки не са я изпълнили през 2014 г. (последно докладвани данни) или през предходните години.</w:t>
      </w:r>
    </w:p>
  </w:footnote>
  <w:footnote w:id="32">
    <w:p>
      <w:pPr>
        <w:pStyle w:val="FootnoteText"/>
      </w:pPr>
      <w:r>
        <w:rPr>
          <w:rStyle w:val="FootnoteReference"/>
        </w:rPr>
        <w:footnoteRef/>
      </w:r>
      <w:r>
        <w:t xml:space="preserve"> </w:t>
      </w:r>
      <w:r>
        <w:fldChar w:fldCharType="begin"/>
      </w:r>
      <w:r>
        <w:instrText xml:space="preserve"> ADDIN ZOTERO_ITEM CSL_CITATION {"citationID":"1i7b52v7n9","properties":{"formattedCitation":"{\\rtf EUROSTAT (2017) {\\i{}Waste Electrical and Electronic Equipment (WEEE) Database (env_waselee)}, accessed 1 August 2017, {\\ul{}http://appsso.eurostat.ec.europa.eu/nui/show.do?dataset=env_waselee&amp;lang=en}}","plainCitation":"EUROSTAT (2017) Waste Electrical and Electronic Equipment (WEEE) Database (env_waselee), accessed 1 August 2017, http://appsso.eurostat.ec.europa.eu/nui/show.do?dataset=env_waselee&amp;lang=en"},"citationItems":[{"id":21343,"uris":["http://zotero.org/groups/162180/items/5TH3JXAZ"],"uri":["http://zotero.org/groups/162180/items/5TH3JXAZ"],"itemData":{"id":21343,"type":"webpage","title":"Waste Electrical and Electronic Equipment (WEEE) Database (env_waselee)","URL":"http://appsso.eurostat.ec.europa.eu/nui/show.do?dataset=env_waselee&amp;lang=en","author":[{"literal":"EUROSTAT"}],"issued":{"date-parts":[["2017",8,1]]},"accessed":{"date-parts":[["2017",8,1]]}}}],"schema":"https://github.com/citation-style-language/schema/raw/master/csl-citation.json"} </w:instrText>
      </w:r>
      <w:r>
        <w:fldChar w:fldCharType="separate"/>
      </w:r>
      <w:r>
        <w:rPr>
          <w:rFonts w:cs="Times New Roman"/>
          <w:szCs w:val="24"/>
        </w:rPr>
        <w:t>Eurostat</w:t>
      </w:r>
      <w:r>
        <w:fldChar w:fldCharType="end"/>
      </w:r>
      <w:r>
        <w:t>; масив от данни (env_waselee)</w:t>
      </w:r>
    </w:p>
  </w:footnote>
  <w:footnote w:id="33">
    <w:p>
      <w:pPr>
        <w:pStyle w:val="FootnoteText"/>
      </w:pPr>
      <w:r>
        <w:rPr>
          <w:rStyle w:val="FootnoteReference"/>
        </w:rPr>
        <w:footnoteRef/>
      </w:r>
      <w:r>
        <w:t xml:space="preserve"> По време на изготвянето на настоящия доклад данните за 2016 г. не бяха налични.</w:t>
      </w:r>
    </w:p>
  </w:footnote>
  <w:footnote w:id="34">
    <w:p>
      <w:pPr>
        <w:pStyle w:val="FootnoteText"/>
        <w:rPr>
          <w:lang w:val="it-IT"/>
        </w:rPr>
      </w:pPr>
      <w:r>
        <w:rPr>
          <w:rStyle w:val="FootnoteReference"/>
        </w:rPr>
        <w:footnoteRef/>
      </w:r>
      <w:r>
        <w:t xml:space="preserve"> BiPRO (2018 г.).</w:t>
      </w:r>
    </w:p>
  </w:footnote>
  <w:footnote w:id="35">
    <w:p>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w:t>
      </w:r>
      <w:hyperlink r:id="rId5">
        <w:r>
          <w:rPr>
            <w:rStyle w:val="Hyperlink"/>
          </w:rPr>
          <w:t>https://i4r-platform.eu/</w:t>
        </w:r>
        <w:r>
          <w:rPr>
            <w:rStyle w:val="Hyperlink"/>
            <w:u w:val="none"/>
          </w:rPr>
          <w:t>.</w:t>
        </w:r>
      </w:hyperlink>
    </w:p>
  </w:footnote>
  <w:footnote w:id="36">
    <w:p>
      <w:pPr>
        <w:pStyle w:val="FootnoteText"/>
      </w:pPr>
      <w:r>
        <w:rPr>
          <w:rStyle w:val="FootnoteReference"/>
        </w:rPr>
        <w:footnoteRef/>
      </w:r>
      <w:r>
        <w:t xml:space="preserve"> </w:t>
      </w:r>
      <w:r>
        <w:fldChar w:fldCharType="begin"/>
      </w:r>
      <w:r>
        <w:instrText xml:space="preserve"> ADDIN ZOTERO_ITEM CSL_CITATION {"citationID":"1i7b52v7n9","properties":{"formattedCitation":"{\\rtf EUROSTAT (2017) {\\i{}Waste Electrical and Electronic Equipment (WEEE) Database (env_waselee)}, accessed 1 August 2017, {\\ul{}http://appsso.eurostat.ec.europa.eu/nui/show.do?dataset=env_waselee&amp;lang=en}}","plainCitation":"EUROSTAT (2017) Waste Electrical and Electronic Equipment (WEEE) Database (env_waselee), accessed 1 August 2017, http://appsso.eurostat.ec.europa.eu/nui/show.do?dataset=env_waselee&amp;lang=en"},"citationItems":[{"id":21343,"uris":["http://zotero.org/groups/162180/items/5TH3JXAZ"],"uri":["http://zotero.org/groups/162180/items/5TH3JXAZ"],"itemData":{"id":21343,"type":"webpage","title":"Waste Electrical and Electronic Equipment (WEEE) Database (env_waselee)","URL":"http://appsso.eurostat.ec.europa.eu/nui/show.do?dataset=env_waselee&amp;lang=en","author":[{"literal":"EUROSTAT"}],"issued":{"date-parts":[["2017",8,1]]},"accessed":{"date-parts":[["2017",8,1]]}}}],"schema":"https://github.com/citation-style-language/schema/raw/master/csl-citation.json"} </w:instrText>
      </w:r>
      <w:r>
        <w:fldChar w:fldCharType="separate"/>
      </w:r>
      <w:r>
        <w:rPr>
          <w:rFonts w:cs="Times New Roman"/>
          <w:szCs w:val="24"/>
        </w:rPr>
        <w:t>Eurostat; dataset (env_wasgen) and (env_waspac)</w:t>
      </w:r>
      <w:r>
        <w:fldChar w:fldCharType="end"/>
      </w:r>
    </w:p>
  </w:footnote>
  <w:footnote w:id="37">
    <w:p>
      <w:pPr>
        <w:pStyle w:val="FootnoteText"/>
      </w:pPr>
      <w:r>
        <w:rPr>
          <w:rStyle w:val="FootnoteReference"/>
        </w:rPr>
        <w:footnoteRef/>
      </w:r>
      <w:r>
        <w:t xml:space="preserve"> Пак там.</w:t>
      </w:r>
    </w:p>
  </w:footnote>
  <w:footnote w:id="38">
    <w:p>
      <w:pPr>
        <w:pStyle w:val="FootnoteText"/>
      </w:pPr>
      <w:r>
        <w:rPr>
          <w:rStyle w:val="FootnoteReference"/>
        </w:rPr>
        <w:footnoteRef/>
      </w:r>
      <w:r>
        <w:t xml:space="preserve"> Директива (ЕС) 2018/852.</w:t>
      </w:r>
    </w:p>
  </w:footnote>
  <w:footnote w:id="39">
    <w:p>
      <w:pPr>
        <w:pStyle w:val="FootnoteText"/>
      </w:pPr>
      <w:r>
        <w:rPr>
          <w:rStyle w:val="FootnoteReference"/>
        </w:rPr>
        <w:footnoteRef/>
      </w:r>
      <w:r>
        <w:t xml:space="preserve"> Данните за 2015 г. все още не са докладвани.</w:t>
      </w:r>
    </w:p>
  </w:footnote>
  <w:footnote w:id="40">
    <w:p>
      <w:pPr>
        <w:pStyle w:val="FootnoteText"/>
      </w:pPr>
      <w:r>
        <w:rPr>
          <w:rStyle w:val="FootnoteReference"/>
        </w:rPr>
        <w:footnoteRef/>
      </w:r>
      <w:r>
        <w:t xml:space="preserve"> Евростат; масив от данни (emv_wasmun)</w:t>
      </w:r>
    </w:p>
  </w:footnote>
  <w:footnote w:id="41">
    <w:p>
      <w:pPr>
        <w:pStyle w:val="FootnoteText"/>
      </w:pPr>
      <w:r>
        <w:rPr>
          <w:rStyle w:val="FootnoteReference"/>
        </w:rPr>
        <w:footnoteRef/>
      </w:r>
      <w:r>
        <w:t xml:space="preserve"> С член 5, параграф 2 от Директивата относно депонирането се допуска удължаване на срока с четири години в случаите, когато през 1995 г. държавите членки са депонирали над 80 % от своите битови отпадъци.</w:t>
      </w:r>
    </w:p>
  </w:footnote>
  <w:footnote w:id="42">
    <w:p>
      <w:pPr>
        <w:pStyle w:val="FootnoteText"/>
      </w:pPr>
      <w:r>
        <w:rPr>
          <w:rStyle w:val="FootnoteReference"/>
        </w:rPr>
        <w:footnoteRef/>
      </w:r>
      <w:r>
        <w:t xml:space="preserve"> Директива (ЕС) 2018/850.</w:t>
      </w:r>
    </w:p>
  </w:footnote>
  <w:footnote w:id="43">
    <w:p>
      <w:pPr>
        <w:pStyle w:val="FootnoteText"/>
        <w:rPr>
          <w:b/>
          <w:bCs/>
        </w:rPr>
      </w:pPr>
      <w:r>
        <w:rPr>
          <w:rStyle w:val="FootnoteReference"/>
        </w:rPr>
        <w:footnoteRef/>
      </w:r>
      <w:r>
        <w:t xml:space="preserve"> Milieu (2017 г.), Study to assess the implementation by the EU Member States of certain provisions of Directive 1999/31/EC on the landfill of waste (Проучване за оценка на изпълнението от страна на държавите — членки на ЕС, на някои разпоредби на Директива 1999/31/ЕО относно депонирането на отпадъци).</w:t>
      </w:r>
    </w:p>
  </w:footnote>
  <w:footnote w:id="44">
    <w:p>
      <w:pPr>
        <w:pStyle w:val="FootnoteText"/>
      </w:pPr>
      <w:r>
        <w:rPr>
          <w:rStyle w:val="FootnoteReference"/>
        </w:rPr>
        <w:footnoteRef/>
      </w:r>
      <w:r>
        <w:t xml:space="preserve"> Член 6, буква а) от Директивата относно депонирането.</w:t>
      </w:r>
    </w:p>
  </w:footnote>
  <w:footnote w:id="45">
    <w:p>
      <w:pPr>
        <w:pStyle w:val="FootnoteText"/>
      </w:pPr>
      <w:r>
        <w:rPr>
          <w:rStyle w:val="FootnoteReference"/>
        </w:rPr>
        <w:footnoteRef/>
      </w:r>
      <w:r>
        <w:t xml:space="preserve"> http://ec.europa.eu/environment/eir/index_en.htm.</w:t>
      </w:r>
    </w:p>
  </w:footnote>
  <w:footnote w:id="46">
    <w:p>
      <w:pPr>
        <w:pStyle w:val="FootnoteText"/>
      </w:pPr>
      <w:r>
        <w:rPr>
          <w:rStyle w:val="FootnoteReference"/>
        </w:rPr>
        <w:footnoteRef/>
      </w:r>
      <w:r>
        <w:t xml:space="preserve"> TAIEX-EIR Peer2Peer — http://ec.europa.eu/environment/eir/p2p/index_en.htm.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E81"/>
    <w:multiLevelType w:val="hybridMultilevel"/>
    <w:tmpl w:val="D338AA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B35F77"/>
    <w:multiLevelType w:val="hybridMultilevel"/>
    <w:tmpl w:val="2408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B0D6B"/>
    <w:multiLevelType w:val="hybridMultilevel"/>
    <w:tmpl w:val="D696B2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620F85"/>
    <w:multiLevelType w:val="hybridMultilevel"/>
    <w:tmpl w:val="13865E66"/>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B134A4"/>
    <w:multiLevelType w:val="hybridMultilevel"/>
    <w:tmpl w:val="52F636DC"/>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3B3E18"/>
    <w:multiLevelType w:val="hybridMultilevel"/>
    <w:tmpl w:val="C994C3D4"/>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55222C"/>
    <w:multiLevelType w:val="hybridMultilevel"/>
    <w:tmpl w:val="316074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5B46CF"/>
    <w:multiLevelType w:val="hybridMultilevel"/>
    <w:tmpl w:val="5C1C1B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594C90"/>
    <w:multiLevelType w:val="hybridMultilevel"/>
    <w:tmpl w:val="CB9238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2F5688"/>
    <w:multiLevelType w:val="hybridMultilevel"/>
    <w:tmpl w:val="D0108D50"/>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076C82"/>
    <w:multiLevelType w:val="hybridMultilevel"/>
    <w:tmpl w:val="074C30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6F5689"/>
    <w:multiLevelType w:val="hybridMultilevel"/>
    <w:tmpl w:val="147E62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AD2F35"/>
    <w:multiLevelType w:val="hybridMultilevel"/>
    <w:tmpl w:val="6D780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4D055A"/>
    <w:multiLevelType w:val="multilevel"/>
    <w:tmpl w:val="17CAE162"/>
    <w:lvl w:ilvl="0">
      <w:start w:val="1"/>
      <w:numFmt w:val="bullet"/>
      <w:pStyle w:val="List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hint="default"/>
        <w:color w:val="F15D25"/>
      </w:rPr>
    </w:lvl>
    <w:lvl w:ilvl="2">
      <w:start w:val="1"/>
      <w:numFmt w:val="bullet"/>
      <w:lvlText w:val=""/>
      <w:lvlJc w:val="left"/>
      <w:pPr>
        <w:ind w:left="2520" w:hanging="360"/>
      </w:pPr>
      <w:rPr>
        <w:rFonts w:ascii="Wingdings" w:hAnsi="Wingdings" w:hint="default"/>
        <w:color w:val="F15D25"/>
      </w:rPr>
    </w:lvl>
    <w:lvl w:ilvl="3">
      <w:start w:val="1"/>
      <w:numFmt w:val="bullet"/>
      <w:lvlText w:val=""/>
      <w:lvlJc w:val="left"/>
      <w:pPr>
        <w:ind w:left="3240" w:hanging="360"/>
      </w:pPr>
      <w:rPr>
        <w:rFonts w:ascii="Symbol" w:hAnsi="Symbol" w:hint="default"/>
        <w:color w:val="F15D25"/>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472D44C9"/>
    <w:multiLevelType w:val="hybridMultilevel"/>
    <w:tmpl w:val="24E6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7C1B95"/>
    <w:multiLevelType w:val="hybridMultilevel"/>
    <w:tmpl w:val="CB08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433D11"/>
    <w:multiLevelType w:val="multilevel"/>
    <w:tmpl w:val="FB20AE8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5E02BF1"/>
    <w:multiLevelType w:val="hybridMultilevel"/>
    <w:tmpl w:val="EDEE7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520DB7"/>
    <w:multiLevelType w:val="hybridMultilevel"/>
    <w:tmpl w:val="8D625276"/>
    <w:lvl w:ilvl="0" w:tplc="BB0EAA0E">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nsid w:val="602E0305"/>
    <w:multiLevelType w:val="hybridMultilevel"/>
    <w:tmpl w:val="0C0A37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5436C2"/>
    <w:multiLevelType w:val="hybridMultilevel"/>
    <w:tmpl w:val="C0DA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E42025"/>
    <w:multiLevelType w:val="hybridMultilevel"/>
    <w:tmpl w:val="A67673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6732A7"/>
    <w:multiLevelType w:val="hybridMultilevel"/>
    <w:tmpl w:val="DF90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5C6D10"/>
    <w:multiLevelType w:val="hybridMultilevel"/>
    <w:tmpl w:val="99002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B5304E2"/>
    <w:multiLevelType w:val="hybridMultilevel"/>
    <w:tmpl w:val="0C184AA0"/>
    <w:lvl w:ilvl="0" w:tplc="68DAE3C4">
      <w:start w:val="1"/>
      <w:numFmt w:val="bullet"/>
      <w:lvlText w:val="•"/>
      <w:lvlJc w:val="left"/>
      <w:pPr>
        <w:tabs>
          <w:tab w:val="num" w:pos="720"/>
        </w:tabs>
        <w:ind w:left="720" w:hanging="360"/>
      </w:pPr>
      <w:rPr>
        <w:rFonts w:ascii="Arial" w:hAnsi="Arial" w:hint="default"/>
      </w:rPr>
    </w:lvl>
    <w:lvl w:ilvl="1" w:tplc="693ECFAC" w:tentative="1">
      <w:start w:val="1"/>
      <w:numFmt w:val="bullet"/>
      <w:lvlText w:val="•"/>
      <w:lvlJc w:val="left"/>
      <w:pPr>
        <w:tabs>
          <w:tab w:val="num" w:pos="1440"/>
        </w:tabs>
        <w:ind w:left="1440" w:hanging="360"/>
      </w:pPr>
      <w:rPr>
        <w:rFonts w:ascii="Arial" w:hAnsi="Arial" w:hint="default"/>
      </w:rPr>
    </w:lvl>
    <w:lvl w:ilvl="2" w:tplc="B41065A0" w:tentative="1">
      <w:start w:val="1"/>
      <w:numFmt w:val="bullet"/>
      <w:lvlText w:val="•"/>
      <w:lvlJc w:val="left"/>
      <w:pPr>
        <w:tabs>
          <w:tab w:val="num" w:pos="2160"/>
        </w:tabs>
        <w:ind w:left="2160" w:hanging="360"/>
      </w:pPr>
      <w:rPr>
        <w:rFonts w:ascii="Arial" w:hAnsi="Arial" w:hint="default"/>
      </w:rPr>
    </w:lvl>
    <w:lvl w:ilvl="3" w:tplc="40E85F02" w:tentative="1">
      <w:start w:val="1"/>
      <w:numFmt w:val="bullet"/>
      <w:lvlText w:val="•"/>
      <w:lvlJc w:val="left"/>
      <w:pPr>
        <w:tabs>
          <w:tab w:val="num" w:pos="2880"/>
        </w:tabs>
        <w:ind w:left="2880" w:hanging="360"/>
      </w:pPr>
      <w:rPr>
        <w:rFonts w:ascii="Arial" w:hAnsi="Arial" w:hint="default"/>
      </w:rPr>
    </w:lvl>
    <w:lvl w:ilvl="4" w:tplc="4AD097A8" w:tentative="1">
      <w:start w:val="1"/>
      <w:numFmt w:val="bullet"/>
      <w:lvlText w:val="•"/>
      <w:lvlJc w:val="left"/>
      <w:pPr>
        <w:tabs>
          <w:tab w:val="num" w:pos="3600"/>
        </w:tabs>
        <w:ind w:left="3600" w:hanging="360"/>
      </w:pPr>
      <w:rPr>
        <w:rFonts w:ascii="Arial" w:hAnsi="Arial" w:hint="default"/>
      </w:rPr>
    </w:lvl>
    <w:lvl w:ilvl="5" w:tplc="A29A9186" w:tentative="1">
      <w:start w:val="1"/>
      <w:numFmt w:val="bullet"/>
      <w:lvlText w:val="•"/>
      <w:lvlJc w:val="left"/>
      <w:pPr>
        <w:tabs>
          <w:tab w:val="num" w:pos="4320"/>
        </w:tabs>
        <w:ind w:left="4320" w:hanging="360"/>
      </w:pPr>
      <w:rPr>
        <w:rFonts w:ascii="Arial" w:hAnsi="Arial" w:hint="default"/>
      </w:rPr>
    </w:lvl>
    <w:lvl w:ilvl="6" w:tplc="2F6CC430" w:tentative="1">
      <w:start w:val="1"/>
      <w:numFmt w:val="bullet"/>
      <w:lvlText w:val="•"/>
      <w:lvlJc w:val="left"/>
      <w:pPr>
        <w:tabs>
          <w:tab w:val="num" w:pos="5040"/>
        </w:tabs>
        <w:ind w:left="5040" w:hanging="360"/>
      </w:pPr>
      <w:rPr>
        <w:rFonts w:ascii="Arial" w:hAnsi="Arial" w:hint="default"/>
      </w:rPr>
    </w:lvl>
    <w:lvl w:ilvl="7" w:tplc="E7B46436" w:tentative="1">
      <w:start w:val="1"/>
      <w:numFmt w:val="bullet"/>
      <w:lvlText w:val="•"/>
      <w:lvlJc w:val="left"/>
      <w:pPr>
        <w:tabs>
          <w:tab w:val="num" w:pos="5760"/>
        </w:tabs>
        <w:ind w:left="5760" w:hanging="360"/>
      </w:pPr>
      <w:rPr>
        <w:rFonts w:ascii="Arial" w:hAnsi="Arial" w:hint="default"/>
      </w:rPr>
    </w:lvl>
    <w:lvl w:ilvl="8" w:tplc="CFD4A7A2" w:tentative="1">
      <w:start w:val="1"/>
      <w:numFmt w:val="bullet"/>
      <w:lvlText w:val="•"/>
      <w:lvlJc w:val="left"/>
      <w:pPr>
        <w:tabs>
          <w:tab w:val="num" w:pos="6480"/>
        </w:tabs>
        <w:ind w:left="6480" w:hanging="360"/>
      </w:pPr>
      <w:rPr>
        <w:rFonts w:ascii="Arial" w:hAnsi="Arial" w:hint="default"/>
      </w:rPr>
    </w:lvl>
  </w:abstractNum>
  <w:abstractNum w:abstractNumId="25">
    <w:nsid w:val="7B5B128D"/>
    <w:multiLevelType w:val="hybridMultilevel"/>
    <w:tmpl w:val="C71C3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22"/>
  </w:num>
  <w:num w:numId="14">
    <w:abstractNumId w:val="7"/>
  </w:num>
  <w:num w:numId="15">
    <w:abstractNumId w:val="21"/>
  </w:num>
  <w:num w:numId="16">
    <w:abstractNumId w:val="24"/>
  </w:num>
  <w:num w:numId="17">
    <w:abstractNumId w:val="23"/>
  </w:num>
  <w:num w:numId="18">
    <w:abstractNumId w:val="14"/>
  </w:num>
  <w:num w:numId="19">
    <w:abstractNumId w:val="13"/>
  </w:num>
  <w:num w:numId="20">
    <w:abstractNumId w:val="3"/>
  </w:num>
  <w:num w:numId="21">
    <w:abstractNumId w:val="13"/>
  </w:num>
  <w:num w:numId="22">
    <w:abstractNumId w:val="11"/>
  </w:num>
  <w:num w:numId="23">
    <w:abstractNumId w:val="8"/>
  </w:num>
  <w:num w:numId="24">
    <w:abstractNumId w:val="0"/>
  </w:num>
  <w:num w:numId="25">
    <w:abstractNumId w:val="2"/>
  </w:num>
  <w:num w:numId="26">
    <w:abstractNumId w:val="13"/>
  </w:num>
  <w:num w:numId="27">
    <w:abstractNumId w:val="13"/>
  </w:num>
  <w:num w:numId="28">
    <w:abstractNumId w:val="4"/>
  </w:num>
  <w:num w:numId="29">
    <w:abstractNumId w:val="18"/>
  </w:num>
  <w:num w:numId="30">
    <w:abstractNumId w:val="12"/>
  </w:num>
  <w:num w:numId="31">
    <w:abstractNumId w:val="15"/>
  </w:num>
  <w:num w:numId="32">
    <w:abstractNumId w:val="17"/>
  </w:num>
  <w:num w:numId="33">
    <w:abstractNumId w:val="6"/>
  </w:num>
  <w:num w:numId="34">
    <w:abstractNumId w:val="20"/>
  </w:num>
  <w:num w:numId="35">
    <w:abstractNumId w:val="10"/>
  </w:num>
  <w:num w:numId="36">
    <w:abstractNumId w:val="9"/>
  </w:num>
  <w:num w:numId="37">
    <w:abstractNumId w:val="25"/>
  </w:num>
  <w:num w:numId="38">
    <w:abstractNumId w:val="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4315F26-A09D-4AEC-A882-D3058087A0D3"/>
    <w:docVar w:name="LW_COVERPAGE_TYPE" w:val="1"/>
    <w:docVar w:name="LW_CROSSREFERENCE" w:val="{SWD(2018) 413 final}_x000b_{SWD(2018) 414 final}_x000b_{SWD(2018) 415 final}_x000b_{SWD(2018) 416 final}_x000b_{SWD(2018) 417 final}_x000b_{SWD(2018) 418 final}_x000b_{SWD(2018) 419 final}_x000b_{SWD(2018) 420 final}_x000b_{SWD(2018) 421 final}_x000b_{SWD(2018) 422 final}_x000b_{SWD(2018) 423 final}_x000b_{SWD(2018) 424 final}_x000b_{SWD(2018) 425 final}_x000b_{SWD(2018) 426 final}"/>
    <w:docVar w:name="LW_DocType" w:val="NORMAL"/>
    <w:docVar w:name="LW_EMISSION" w:val="24.9.2018"/>
    <w:docVar w:name="LW_EMISSION_ISODATE" w:val="2018-09-24"/>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79?\u1072? \u1087?\u1088?\u1080?\u1083?\u1072?\u1075?\u1072?\u1085?\u1077?\u1090?\u1086? \u1085?\u1072? \u1079?\u1072?\u1082?\u1086?\u1085?\u1086?\u1076?\u1072?\u1090?\u1077?\u1083?\u1089?\u1090?\u1074?\u1086?\u1090?\u1086? \u1085?\u1072? \u1045?\u1057? \u1086?\u1090?\u1085?\u1086?\u1089?\u1085?\u1086? \u1086?\u1090?\u1087?\u1072?\u1076?\u1098?\u1094?\u1080?\u1090?\u1077?, \u1074?\u1082?\u1083?\u1102?\u1095?\u1080?\u1090?\u1077?\u1083?\u1085?\u1086? \u1079?\u1072? \u1076?\u1086?\u1082?\u1083?\u1072?\u1076?\u1072? \u1079?\u1072? \u1088?\u1072?\u1085?\u1085?\u1086? \u1087?\u1088?\u1077?\u1076?\u1091?\u1087?\u1088?\u1077?\u1078?\u1076?\u1077?\u1085?\u1080?\u1077? \u1079?\u1072? \u1076?\u1098?\u1088?\u1078?\u1072?\u1074?\u1080?\u1090?\u1077? \u1095?\u1083?\u1077?\u1085?\u1082?\u1080?, \u1082?\u1086?\u1080?\u1090?\u1086? \u1089?\u1072? \u1080?\u1079?\u1083?\u1086?\u1078?\u1077?\u1085?\u1080? \u1085?\u1072? \u1088?\u1080?\u1089?\u1082? \u1076?\u1072? \u1085?\u1077? \u1087?\u1086?\u1089?\u1090?\u1080?\u1075?\u1085?\u1072?\u1090? \u1094?\u1077?\u1083?\u1090?\u1072? \u1079?\u1072? 2020 \u1075?. \u1087?\u1086? \u1086?\u1090?\u1085?\u1086?\u1096?\u1077?\u1085?\u1080?\u1077? \u1085?\u1072? \u1094?\u1077?\u1083?\u1090?\u1072? \u1079?\u1072? \u1087?\u1086?\u1076?\u1075?\u1086?\u1090?\u1086?\u1074?\u1082?\u1072?\u1090?\u1072? \u1079?\u1072? \u1087?\u1086?\u1074?\u1090?\u1086?\u1088?\u1085?\u1086? \u1080?\u1079?\u1087?\u1086?\u1083?\u1079?\u1074?\u1072?\u1085?\u1077?/\u1088?\u1077?\u1094?\u1080?\u1082?\u1083?\u1080?\u1088?\u1072?\u1085?\u1077? \u1085?\u1072? \u1073?\u1080?\u1090?\u1086?\u1074?\u1080?\u1090?\u1077? \u1086?\u1090?\u1087?\u1072?\u1076?\u1098?\u1094?\u1080? &lt;/FMT&gt;"/>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autoRedefine/>
    <w:uiPriority w:val="99"/>
    <w:qFormat/>
    <w:pPr>
      <w:spacing w:before="120" w:after="120" w:line="240" w:lineRule="auto"/>
      <w:contextualSpacing/>
    </w:pPr>
    <w:rPr>
      <w:rFonts w:ascii="Calibri" w:eastAsia="Times New Roman" w:hAnsi="Calibri" w:cs="Arial"/>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Calibri" w:eastAsia="Times New Roman" w:hAnsi="Calibri" w:cs="Arial"/>
      <w:sz w:val="20"/>
      <w:szCs w:val="20"/>
      <w:lang w:eastAsia="bg-BG"/>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vertAlign w:val="superscript"/>
    </w:rPr>
  </w:style>
  <w:style w:type="paragraph" w:styleId="ListBullet">
    <w:name w:val="List Bullet"/>
    <w:basedOn w:val="Normal"/>
    <w:qFormat/>
    <w:pPr>
      <w:numPr>
        <w:numId w:val="1"/>
      </w:numPr>
      <w:spacing w:before="120" w:after="120" w:line="240" w:lineRule="auto"/>
      <w:contextualSpacing/>
    </w:pPr>
    <w:rPr>
      <w:rFonts w:ascii="Calibri" w:eastAsia="Times New Roman" w:hAnsi="Calibri" w:cs="Arial"/>
      <w:sz w:val="24"/>
      <w:szCs w:val="24"/>
    </w:rPr>
  </w:style>
  <w:style w:type="paragraph" w:styleId="ListParagraph">
    <w:name w:val="List Paragraph"/>
    <w:aliases w:val="Paragraph,Paragraphe de liste PBLH,Normal bullet 2,Bullet list,Figure_name,Equipment,Numbered Indented Text,List Paragraph1,lp1,List Paragraph11,List Paragraph Char Char Char,List Paragraph Char Char,Citation List,List Paragraph2,Ha,Body"/>
    <w:basedOn w:val="Normal"/>
    <w:link w:val="ListParagraphChar"/>
    <w:uiPriority w:val="34"/>
    <w:qFormat/>
    <w:pPr>
      <w:ind w:left="720"/>
      <w:contextualSpacing/>
    </w:pPr>
  </w:style>
  <w:style w:type="paragraph" w:styleId="TOC7">
    <w:name w:val="toc 7"/>
    <w:basedOn w:val="Normal"/>
    <w:next w:val="Normal"/>
    <w:autoRedefine/>
    <w:uiPriority w:val="39"/>
    <w:semiHidden/>
    <w:unhideWhenUsed/>
    <w:pPr>
      <w:spacing w:after="100"/>
      <w:ind w:left="13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before="120" w:after="120" w:line="240" w:lineRule="auto"/>
    </w:pPr>
    <w:rPr>
      <w:rFonts w:eastAsia="Times New Roman" w:cs="Arial"/>
      <w:sz w:val="20"/>
      <w:szCs w:val="20"/>
    </w:rPr>
  </w:style>
  <w:style w:type="character" w:customStyle="1" w:styleId="CommentTextChar">
    <w:name w:val="Comment Text Char"/>
    <w:basedOn w:val="DefaultParagraphFont"/>
    <w:link w:val="CommentText"/>
    <w:uiPriority w:val="99"/>
    <w:rPr>
      <w:rFonts w:eastAsia="Times New Roman" w:cs="Arial"/>
      <w:sz w:val="20"/>
      <w:szCs w:val="20"/>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pPr>
      <w:spacing w:before="0" w:after="200"/>
    </w:pPr>
    <w:rPr>
      <w:rFonts w:eastAsiaTheme="minorHAnsi" w:cstheme="minorBidi"/>
      <w:b/>
      <w:bCs/>
    </w:rPr>
  </w:style>
  <w:style w:type="character" w:customStyle="1" w:styleId="CommentSubjectChar">
    <w:name w:val="Comment Subject Char"/>
    <w:basedOn w:val="CommentTextChar"/>
    <w:link w:val="CommentSubject"/>
    <w:uiPriority w:val="99"/>
    <w:semiHidden/>
    <w:rPr>
      <w:rFonts w:eastAsia="Times New Roman" w:cs="Arial"/>
      <w:b/>
      <w:bCs/>
      <w:sz w:val="20"/>
      <w:szCs w:val="20"/>
      <w:lang w:eastAsia="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ListParagraphChar">
    <w:name w:val="List Paragraph Char"/>
    <w:aliases w:val="Paragraph Char,Paragraphe de liste PBLH Char,Normal bullet 2 Char,Bullet list Char,Figure_name Char,Equipment Char,Numbered Indented Text Char,List Paragraph1 Char,lp1 Char,List Paragraph11 Char,List Paragraph Char Char Char Char"/>
    <w:basedOn w:val="DefaultParagraphFont"/>
    <w:link w:val="ListParagraph"/>
    <w:uiPriority w:val="34"/>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autoRedefine/>
    <w:uiPriority w:val="99"/>
    <w:qFormat/>
    <w:pPr>
      <w:spacing w:before="120" w:after="120" w:line="240" w:lineRule="auto"/>
      <w:contextualSpacing/>
    </w:pPr>
    <w:rPr>
      <w:rFonts w:ascii="Calibri" w:eastAsia="Times New Roman" w:hAnsi="Calibri" w:cs="Arial"/>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Calibri" w:eastAsia="Times New Roman" w:hAnsi="Calibri" w:cs="Arial"/>
      <w:sz w:val="20"/>
      <w:szCs w:val="20"/>
      <w:lang w:eastAsia="bg-BG"/>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vertAlign w:val="superscript"/>
    </w:rPr>
  </w:style>
  <w:style w:type="paragraph" w:styleId="ListBullet">
    <w:name w:val="List Bullet"/>
    <w:basedOn w:val="Normal"/>
    <w:qFormat/>
    <w:pPr>
      <w:numPr>
        <w:numId w:val="1"/>
      </w:numPr>
      <w:spacing w:before="120" w:after="120" w:line="240" w:lineRule="auto"/>
      <w:contextualSpacing/>
    </w:pPr>
    <w:rPr>
      <w:rFonts w:ascii="Calibri" w:eastAsia="Times New Roman" w:hAnsi="Calibri" w:cs="Arial"/>
      <w:sz w:val="24"/>
      <w:szCs w:val="24"/>
    </w:rPr>
  </w:style>
  <w:style w:type="paragraph" w:styleId="ListParagraph">
    <w:name w:val="List Paragraph"/>
    <w:aliases w:val="Paragraph,Paragraphe de liste PBLH,Normal bullet 2,Bullet list,Figure_name,Equipment,Numbered Indented Text,List Paragraph1,lp1,List Paragraph11,List Paragraph Char Char Char,List Paragraph Char Char,Citation List,List Paragraph2,Ha,Body"/>
    <w:basedOn w:val="Normal"/>
    <w:link w:val="ListParagraphChar"/>
    <w:uiPriority w:val="34"/>
    <w:qFormat/>
    <w:pPr>
      <w:ind w:left="720"/>
      <w:contextualSpacing/>
    </w:pPr>
  </w:style>
  <w:style w:type="paragraph" w:styleId="TOC7">
    <w:name w:val="toc 7"/>
    <w:basedOn w:val="Normal"/>
    <w:next w:val="Normal"/>
    <w:autoRedefine/>
    <w:uiPriority w:val="39"/>
    <w:semiHidden/>
    <w:unhideWhenUsed/>
    <w:pPr>
      <w:spacing w:after="100"/>
      <w:ind w:left="13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before="120" w:after="120" w:line="240" w:lineRule="auto"/>
    </w:pPr>
    <w:rPr>
      <w:rFonts w:eastAsia="Times New Roman" w:cs="Arial"/>
      <w:sz w:val="20"/>
      <w:szCs w:val="20"/>
    </w:rPr>
  </w:style>
  <w:style w:type="character" w:customStyle="1" w:styleId="CommentTextChar">
    <w:name w:val="Comment Text Char"/>
    <w:basedOn w:val="DefaultParagraphFont"/>
    <w:link w:val="CommentText"/>
    <w:uiPriority w:val="99"/>
    <w:rPr>
      <w:rFonts w:eastAsia="Times New Roman" w:cs="Arial"/>
      <w:sz w:val="20"/>
      <w:szCs w:val="20"/>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pPr>
      <w:spacing w:before="0" w:after="200"/>
    </w:pPr>
    <w:rPr>
      <w:rFonts w:eastAsiaTheme="minorHAnsi" w:cstheme="minorBidi"/>
      <w:b/>
      <w:bCs/>
    </w:rPr>
  </w:style>
  <w:style w:type="character" w:customStyle="1" w:styleId="CommentSubjectChar">
    <w:name w:val="Comment Subject Char"/>
    <w:basedOn w:val="CommentTextChar"/>
    <w:link w:val="CommentSubject"/>
    <w:uiPriority w:val="99"/>
    <w:semiHidden/>
    <w:rPr>
      <w:rFonts w:eastAsia="Times New Roman" w:cs="Arial"/>
      <w:b/>
      <w:bCs/>
      <w:sz w:val="20"/>
      <w:szCs w:val="20"/>
      <w:lang w:eastAsia="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ListParagraphChar">
    <w:name w:val="List Paragraph Char"/>
    <w:aliases w:val="Paragraph Char,Paragraphe de liste PBLH Char,Normal bullet 2 Char,Bullet list Char,Figure_name Char,Equipment Char,Numbered Indented Text Char,List Paragraph1 Char,lp1 Char,List Paragraph11 Char,List Paragraph Char Char Char Char"/>
    <w:basedOn w:val="DefaultParagraphFont"/>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25250">
      <w:bodyDiv w:val="1"/>
      <w:marLeft w:val="0"/>
      <w:marRight w:val="0"/>
      <w:marTop w:val="0"/>
      <w:marBottom w:val="0"/>
      <w:divBdr>
        <w:top w:val="none" w:sz="0" w:space="0" w:color="auto"/>
        <w:left w:val="none" w:sz="0" w:space="0" w:color="auto"/>
        <w:bottom w:val="none" w:sz="0" w:space="0" w:color="auto"/>
        <w:right w:val="none" w:sz="0" w:space="0" w:color="auto"/>
      </w:divBdr>
    </w:div>
    <w:div w:id="640424880">
      <w:bodyDiv w:val="1"/>
      <w:marLeft w:val="0"/>
      <w:marRight w:val="0"/>
      <w:marTop w:val="0"/>
      <w:marBottom w:val="0"/>
      <w:divBdr>
        <w:top w:val="none" w:sz="0" w:space="0" w:color="auto"/>
        <w:left w:val="none" w:sz="0" w:space="0" w:color="auto"/>
        <w:bottom w:val="none" w:sz="0" w:space="0" w:color="auto"/>
        <w:right w:val="none" w:sz="0" w:space="0" w:color="auto"/>
      </w:divBdr>
    </w:div>
    <w:div w:id="943221888">
      <w:bodyDiv w:val="1"/>
      <w:marLeft w:val="0"/>
      <w:marRight w:val="0"/>
      <w:marTop w:val="0"/>
      <w:marBottom w:val="0"/>
      <w:divBdr>
        <w:top w:val="none" w:sz="0" w:space="0" w:color="auto"/>
        <w:left w:val="none" w:sz="0" w:space="0" w:color="auto"/>
        <w:bottom w:val="none" w:sz="0" w:space="0" w:color="auto"/>
        <w:right w:val="none" w:sz="0" w:space="0" w:color="auto"/>
      </w:divBdr>
    </w:div>
    <w:div w:id="1086421402">
      <w:bodyDiv w:val="1"/>
      <w:marLeft w:val="0"/>
      <w:marRight w:val="0"/>
      <w:marTop w:val="0"/>
      <w:marBottom w:val="0"/>
      <w:divBdr>
        <w:top w:val="none" w:sz="0" w:space="0" w:color="auto"/>
        <w:left w:val="none" w:sz="0" w:space="0" w:color="auto"/>
        <w:bottom w:val="none" w:sz="0" w:space="0" w:color="auto"/>
        <w:right w:val="none" w:sz="0" w:space="0" w:color="auto"/>
      </w:divBdr>
    </w:div>
    <w:div w:id="1432358376">
      <w:bodyDiv w:val="1"/>
      <w:marLeft w:val="0"/>
      <w:marRight w:val="0"/>
      <w:marTop w:val="0"/>
      <w:marBottom w:val="0"/>
      <w:divBdr>
        <w:top w:val="none" w:sz="0" w:space="0" w:color="auto"/>
        <w:left w:val="none" w:sz="0" w:space="0" w:color="auto"/>
        <w:bottom w:val="none" w:sz="0" w:space="0" w:color="auto"/>
        <w:right w:val="none" w:sz="0" w:space="0" w:color="auto"/>
      </w:divBdr>
      <w:divsChild>
        <w:div w:id="1149446070">
          <w:marLeft w:val="1166"/>
          <w:marRight w:val="0"/>
          <w:marTop w:val="0"/>
          <w:marBottom w:val="0"/>
          <w:divBdr>
            <w:top w:val="none" w:sz="0" w:space="0" w:color="auto"/>
            <w:left w:val="none" w:sz="0" w:space="0" w:color="auto"/>
            <w:bottom w:val="none" w:sz="0" w:space="0" w:color="auto"/>
            <w:right w:val="none" w:sz="0" w:space="0" w:color="auto"/>
          </w:divBdr>
        </w:div>
        <w:div w:id="1771120857">
          <w:marLeft w:val="1166"/>
          <w:marRight w:val="0"/>
          <w:marTop w:val="0"/>
          <w:marBottom w:val="0"/>
          <w:divBdr>
            <w:top w:val="none" w:sz="0" w:space="0" w:color="auto"/>
            <w:left w:val="none" w:sz="0" w:space="0" w:color="auto"/>
            <w:bottom w:val="none" w:sz="0" w:space="0" w:color="auto"/>
            <w:right w:val="none" w:sz="0" w:space="0" w:color="auto"/>
          </w:divBdr>
        </w:div>
        <w:div w:id="2083064655">
          <w:marLeft w:val="1166"/>
          <w:marRight w:val="0"/>
          <w:marTop w:val="0"/>
          <w:marBottom w:val="0"/>
          <w:divBdr>
            <w:top w:val="none" w:sz="0" w:space="0" w:color="auto"/>
            <w:left w:val="none" w:sz="0" w:space="0" w:color="auto"/>
            <w:bottom w:val="none" w:sz="0" w:space="0" w:color="auto"/>
            <w:right w:val="none" w:sz="0" w:space="0" w:color="auto"/>
          </w:divBdr>
        </w:div>
      </w:divsChild>
    </w:div>
    <w:div w:id="1434977086">
      <w:bodyDiv w:val="1"/>
      <w:marLeft w:val="0"/>
      <w:marRight w:val="0"/>
      <w:marTop w:val="0"/>
      <w:marBottom w:val="0"/>
      <w:divBdr>
        <w:top w:val="none" w:sz="0" w:space="0" w:color="auto"/>
        <w:left w:val="none" w:sz="0" w:space="0" w:color="auto"/>
        <w:bottom w:val="none" w:sz="0" w:space="0" w:color="auto"/>
        <w:right w:val="none" w:sz="0" w:space="0" w:color="auto"/>
      </w:divBdr>
    </w:div>
    <w:div w:id="1609238462">
      <w:bodyDiv w:val="1"/>
      <w:marLeft w:val="0"/>
      <w:marRight w:val="0"/>
      <w:marTop w:val="0"/>
      <w:marBottom w:val="0"/>
      <w:divBdr>
        <w:top w:val="none" w:sz="0" w:space="0" w:color="auto"/>
        <w:left w:val="none" w:sz="0" w:space="0" w:color="auto"/>
        <w:bottom w:val="none" w:sz="0" w:space="0" w:color="auto"/>
        <w:right w:val="none" w:sz="0" w:space="0" w:color="auto"/>
      </w:divBdr>
    </w:div>
    <w:div w:id="1894148564">
      <w:bodyDiv w:val="1"/>
      <w:marLeft w:val="0"/>
      <w:marRight w:val="0"/>
      <w:marTop w:val="0"/>
      <w:marBottom w:val="0"/>
      <w:divBdr>
        <w:top w:val="none" w:sz="0" w:space="0" w:color="auto"/>
        <w:left w:val="none" w:sz="0" w:space="0" w:color="auto"/>
        <w:bottom w:val="none" w:sz="0" w:space="0" w:color="auto"/>
        <w:right w:val="none" w:sz="0" w:space="0" w:color="auto"/>
      </w:divBdr>
      <w:divsChild>
        <w:div w:id="506293245">
          <w:marLeft w:val="504"/>
          <w:marRight w:val="0"/>
          <w:marTop w:val="280"/>
          <w:marBottom w:val="0"/>
          <w:divBdr>
            <w:top w:val="none" w:sz="0" w:space="0" w:color="auto"/>
            <w:left w:val="none" w:sz="0" w:space="0" w:color="auto"/>
            <w:bottom w:val="none" w:sz="0" w:space="0" w:color="auto"/>
            <w:right w:val="none" w:sz="0" w:space="0" w:color="auto"/>
          </w:divBdr>
        </w:div>
        <w:div w:id="107966915">
          <w:marLeft w:val="504"/>
          <w:marRight w:val="0"/>
          <w:marTop w:val="280"/>
          <w:marBottom w:val="0"/>
          <w:divBdr>
            <w:top w:val="none" w:sz="0" w:space="0" w:color="auto"/>
            <w:left w:val="none" w:sz="0" w:space="0" w:color="auto"/>
            <w:bottom w:val="none" w:sz="0" w:space="0" w:color="auto"/>
            <w:right w:val="none" w:sz="0" w:space="0" w:color="auto"/>
          </w:divBdr>
        </w:div>
        <w:div w:id="1880122616">
          <w:marLeft w:val="504"/>
          <w:marRight w:val="0"/>
          <w:marTop w:val="280"/>
          <w:marBottom w:val="0"/>
          <w:divBdr>
            <w:top w:val="none" w:sz="0" w:space="0" w:color="auto"/>
            <w:left w:val="none" w:sz="0" w:space="0" w:color="auto"/>
            <w:bottom w:val="none" w:sz="0" w:space="0" w:color="auto"/>
            <w:right w:val="none" w:sz="0" w:space="0" w:color="auto"/>
          </w:divBdr>
        </w:div>
        <w:div w:id="1918712544">
          <w:marLeft w:val="504"/>
          <w:marRight w:val="0"/>
          <w:marTop w:val="280"/>
          <w:marBottom w:val="0"/>
          <w:divBdr>
            <w:top w:val="none" w:sz="0" w:space="0" w:color="auto"/>
            <w:left w:val="none" w:sz="0" w:space="0" w:color="auto"/>
            <w:bottom w:val="none" w:sz="0" w:space="0" w:color="auto"/>
            <w:right w:val="none" w:sz="0" w:space="0" w:color="auto"/>
          </w:divBdr>
        </w:div>
        <w:div w:id="228467431">
          <w:marLeft w:val="504"/>
          <w:marRight w:val="0"/>
          <w:marTop w:val="280"/>
          <w:marBottom w:val="0"/>
          <w:divBdr>
            <w:top w:val="none" w:sz="0" w:space="0" w:color="auto"/>
            <w:left w:val="none" w:sz="0" w:space="0" w:color="auto"/>
            <w:bottom w:val="none" w:sz="0" w:space="0" w:color="auto"/>
            <w:right w:val="none" w:sz="0" w:space="0" w:color="auto"/>
          </w:divBdr>
        </w:div>
        <w:div w:id="1762919636">
          <w:marLeft w:val="504"/>
          <w:marRight w:val="0"/>
          <w:marTop w:val="280"/>
          <w:marBottom w:val="0"/>
          <w:divBdr>
            <w:top w:val="none" w:sz="0" w:space="0" w:color="auto"/>
            <w:left w:val="none" w:sz="0" w:space="0" w:color="auto"/>
            <w:bottom w:val="none" w:sz="0" w:space="0" w:color="auto"/>
            <w:right w:val="none" w:sz="0" w:space="0" w:color="auto"/>
          </w:divBdr>
        </w:div>
        <w:div w:id="708064569">
          <w:marLeft w:val="504"/>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tgm/table.do?tab=table&amp;plugin=1&amp;language=en&amp;pcode=cei_wm040" TargetMode="External"/><Relationship Id="rId2" Type="http://schemas.openxmlformats.org/officeDocument/2006/relationships/hyperlink" Target="http://ec.europa.eu/eurostat/web/waste/data/database" TargetMode="External"/><Relationship Id="rId1" Type="http://schemas.openxmlformats.org/officeDocument/2006/relationships/hyperlink" Target="http://ec.europa.eu/environment/waste/reporting/index.htm" TargetMode="External"/><Relationship Id="rId5" Type="http://schemas.openxmlformats.org/officeDocument/2006/relationships/hyperlink" Target="https://i4r-platform.eu/" TargetMode="External"/><Relationship Id="rId4" Type="http://schemas.openxmlformats.org/officeDocument/2006/relationships/hyperlink" Target="https://eur-lex.europa.eu/legal-content/BG/TXT/?uri=uriserv:OJ.C_.2018.124.01.0001.01.BUL&amp;toc=OJ:C:2018: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A8F2-34E8-46D4-B028-EEF21EC8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3218</Words>
  <Characters>18536</Characters>
  <Application>Microsoft Office Word</Application>
  <DocSecurity>0</DocSecurity>
  <Lines>349</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2018-08-17T10:19:00Z</dcterms:created>
  <dcterms:modified xsi:type="dcterms:W3CDTF">2018-09-17T10:17:00Z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Last edited using">
    <vt:lpwstr>LW 6.0.1, Build 20180503</vt:lpwstr>
  </property>
  <property fmtid="{D5CDD505-2E9C-101B-9397-08002B2CF9AE}" pid="7" name="Created using">
    <vt:lpwstr>LW 6.0.1, Build 20180503</vt:lpwstr>
  </property>
</Properties>
</file>