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1F8D1B-FCC4-4705-8973-A2CF6E1B32CB"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8"/>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8"/>
        </w:numPr>
        <w:jc w:val="both"/>
        <w:rPr>
          <w:rFonts w:ascii="Times New Roman" w:hAnsi="Times New Roman" w:cs="Times New Roman"/>
          <w:b/>
          <w:noProof/>
        </w:rPr>
      </w:pPr>
      <w:r>
        <w:rPr>
          <w:rFonts w:ascii="Times New Roman" w:hAnsi="Times New Roman" w:cs="Times New Roman"/>
          <w:b/>
          <w:noProof/>
        </w:rPr>
        <w:t xml:space="preserve">Key findings </w:t>
      </w:r>
    </w:p>
    <w:p>
      <w:pPr>
        <w:jc w:val="both"/>
        <w:rPr>
          <w:rFonts w:ascii="Times New Roman" w:hAnsi="Times New Roman" w:cs="Times New Roman"/>
          <w:noProof/>
          <w:sz w:val="24"/>
          <w:szCs w:val="24"/>
        </w:rPr>
      </w:pPr>
      <w:r>
        <w:rPr>
          <w:rFonts w:ascii="Times New Roman" w:hAnsi="Times New Roman" w:cs="Times New Roman"/>
          <w:noProof/>
          <w:sz w:val="24"/>
          <w:szCs w:val="24"/>
        </w:rPr>
        <w:t>In 2016, Estonia’s municipal waste recycling rate (including composting) reported to Eurostat was 28 %, while its landfilling rate was 10 %. Based on an analysis of existing and firmly planned policies in the area of waste management, Estonia is considered at risk of missing the 2020 target of 50 % preparation for re-use/recycling of municipal waste.</w:t>
      </w:r>
    </w:p>
    <w:p>
      <w:pPr>
        <w:jc w:val="both"/>
        <w:rPr>
          <w:rFonts w:ascii="Times New Roman" w:hAnsi="Times New Roman" w:cs="Times New Roman"/>
          <w:iCs/>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there are some</w:t>
      </w:r>
      <w:r>
        <w:rPr>
          <w:rFonts w:ascii="Times New Roman" w:hAnsi="Times New Roman" w:cs="Times New Roman"/>
          <w:iCs/>
          <w:noProof/>
          <w:sz w:val="24"/>
          <w:szCs w:val="24"/>
        </w:rPr>
        <w:t xml:space="preserve"> structural problems in Estonia leading to slow progress in recycling. These structural problems include regulatory barriers that cause uncertainty (for example, the fact that municipalities can choose between tendering for the market and competition in the market) and the lack of effective instruments in place to force municipalities to comply with the recycling targets. Separate collection is not yet being carried out efficiently, the extended producer responsibility (EPR) schemes for packaging are not sufficiently integrated with municipal collection services, and there are insufficient incentives for households to separate waste. Moreover, there is no incineration tax to shift waste disposal towards recycling.</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Estonia's efforts to improve its performance in waste management..</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rPr>
                <w:rFonts w:ascii="Times New Roman" w:hAnsi="Times New Roman" w:cs="Times New Roman"/>
                <w:noProof/>
              </w:rPr>
            </w:pPr>
            <w:r>
              <w:rPr>
                <w:rFonts w:ascii="Times New Roman" w:hAnsi="Times New Roman" w:cs="Times New Roman"/>
                <w:noProof/>
              </w:rPr>
              <w:t>Economic incentives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Setting mandatory targets at municipal level either for recycling or potentially for residual waste (depending on the availability of data) with financial penalties for municipalities that fail to meet the targets.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Removing regulatory uncertainty around the potential ways in which municipalities can operate waste services. This would help the municipalities implement waste recycling targets. Different solutions will be required in the ‘free market’ approach where households can choose the waste collection company, and in the ‘tender-based’ approach where all households within one municipality are served by one contractor selected via tender.</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Implementation of a residual waste tax to increase costs of disposal and provide a clear economic incentive to introduce recycling services. The tax should include landfill, incineration and any other mixed waste treatment activity in order to support re-use, preparation for re-use, recycling and composting of separately collected bio-waste.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rPr>
                <w:rFonts w:ascii="Times New Roman" w:hAnsi="Times New Roman" w:cs="Times New Roman"/>
                <w:noProof/>
              </w:rPr>
            </w:pPr>
            <w:r>
              <w:rPr>
                <w:rFonts w:ascii="Times New Roman" w:hAnsi="Times New Roman" w:cs="Times New Roman"/>
                <w:noProof/>
              </w:rPr>
              <w:t>Extended producer responsibility</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Clear distribution of responsibilities for the management of packaging waste between municipalities and producer responsibility organisations (PROs). The contractual arrangements between them should allow the municipalities to influence decisions regarding the packaging collection systems’ performance (which is the responsibility of the PROs).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Ensuring the fees paid by producers cover the full cost of collection of packaging waste. This will provide the price signal to those running the collection service to increase recycling performance, and thus avoid taxes on residual waste (implemented in line with action 3).</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style2a2betc"/>
              <w:keepNext/>
              <w:numPr>
                <w:ilvl w:val="0"/>
                <w:numId w:val="0"/>
              </w:numPr>
              <w:spacing w:before="0" w:after="0"/>
              <w:jc w:val="both"/>
              <w:rPr>
                <w:rFonts w:ascii="Times New Roman" w:hAnsi="Times New Roman" w:cs="Times New Roman"/>
                <w:noProof/>
              </w:rPr>
            </w:pPr>
            <w:r>
              <w:rPr>
                <w:rFonts w:ascii="Times New Roman" w:hAnsi="Times New Roman" w:cs="Times New Roman"/>
                <w:noProof/>
              </w:rPr>
              <w:t>Separate collection</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noProof/>
              </w:rPr>
            </w:pPr>
            <w:r>
              <w:rPr>
                <w:rFonts w:ascii="Times New Roman" w:hAnsi="Times New Roman" w:cs="Times New Roman"/>
                <w:b w:val="0"/>
                <w:noProof/>
              </w:rPr>
              <w:t>Further implementation of pay-as-you-throw through national legislation. Research studies and trials should be carried out to ensure the most effective schemes are designed and operated.</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Development of national minimum service standards for waste collection to specify, for example, the type and volume of containers, frequency of collection and type of vehicle used, taking into account the type of housing stock, how rural the area is, typical climate, etc.</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noProof/>
              </w:rPr>
            </w:pPr>
            <w:r>
              <w:rPr>
                <w:rFonts w:ascii="Times New Roman" w:hAnsi="Times New Roman" w:cs="Times New Roman"/>
                <w:b w:val="0"/>
                <w:noProof/>
              </w:rPr>
              <w:t>Setting up civic amenity sites (using national/EU funds), starting in municipalities where the collection service is most advanced (for example, where door-to-door separate collection is becoming well established) to maximise the likely effectiveness of the sites. This would also allow best practices to be identified and used as a model for other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pct5" w:color="auto" w:fill="FFFFFF" w:themeFill="background1"/>
          </w:tcPr>
          <w:p>
            <w:pPr>
              <w:keepNext/>
              <w:rPr>
                <w:rFonts w:ascii="Times New Roman" w:hAnsi="Times New Roman"/>
                <w:noProof/>
              </w:rPr>
            </w:pPr>
            <w:r>
              <w:rPr>
                <w:rFonts w:ascii="Times New Roman" w:hAnsi="Times New Roman"/>
                <w:noProof/>
              </w:rPr>
              <w:t>Communication and awareness-raising programmes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rPr>
                <w:rFonts w:ascii="Times New Roman" w:hAnsi="Times New Roman" w:cs="Times New Roman"/>
                <w:b w:val="0"/>
                <w:noProof/>
              </w:rPr>
            </w:pPr>
            <w:r>
              <w:rPr>
                <w:rFonts w:ascii="Times New Roman" w:hAnsi="Times New Roman" w:cs="Times New Roman"/>
                <w:b w:val="0"/>
                <w:noProof/>
              </w:rPr>
              <w:t>Development of a set of national communications materials addressed to the public for use at local level, with clear and consistent messages. These materials should be used as part of awareness-raising campaigns, in leaflets, and at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style2a2betc"/>
              <w:keepNext/>
              <w:numPr>
                <w:ilvl w:val="0"/>
                <w:numId w:val="0"/>
              </w:numPr>
              <w:spacing w:before="0" w:after="0"/>
              <w:jc w:val="both"/>
              <w:rPr>
                <w:rFonts w:ascii="Times New Roman" w:hAnsi="Times New Roman" w:cs="Times New Roman"/>
                <w:b w:val="0"/>
                <w:noProof/>
              </w:rPr>
            </w:pPr>
            <w:r>
              <w:rPr>
                <w:rFonts w:ascii="Times New Roman" w:hAnsi="Times New Roman" w:cs="Times New Roman"/>
                <w:noProof/>
              </w:rPr>
              <w:t>Technical support to municipalities</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jc w:val="both"/>
              <w:rPr>
                <w:rFonts w:ascii="Times New Roman" w:hAnsi="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822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Roadmap for Estonia: </w:t>
      </w:r>
      <w:hyperlink r:id="rId1" w:history="1">
        <w:r>
          <w:rPr>
            <w:rStyle w:val="Hyperlink"/>
          </w:rPr>
          <w:t>http://ec.europa.eu/environment/waste/framework/pdf/EE_Roadmap_FINAL.pdf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Estonia.’.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1"/>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 w:numId="16">
    <w:abstractNumId w:val="4"/>
  </w:num>
  <w:num w:numId="17">
    <w:abstractNumId w:val="6"/>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01F8D1B-FCC4-4705-8973-A2CF6E1B32CB"/>
    <w:docVar w:name="LW_COVERPAGE_TYPE" w:val="1"/>
    <w:docVar w:name="LW_CROSSREFERENCE" w:val="{COM(2018) 656 final}_x000b_{SWD(2018) 413 final}_x000b_{SWD(2018) 414 final}_x000b_{SWD(2018) 415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
    <w:docVar w:name="LW_PART_NBR" w:val="1"/>
    <w:docVar w:name="LW_PART_NBR_TOTAL" w:val="1"/>
    <w:docVar w:name="LW_REF.INST.NEW" w:val="SWD"/>
    <w:docVar w:name="LW_REF.INST.NEW_ADOPTED" w:val="final"/>
    <w:docVar w:name="LW_REF.INST.NEW_TEXT" w:val="(2018)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Estonia"/>
    <w:docVar w:name="LW_TYPE.DOC.CP" w:val="COMMISSION STAFF WORKING DOCUMENT"/>
    <w:docVar w:name="LW_TYPEACTEPRINCIPAL.CP" w:val="REPORT FROM THE COMMISSION TO THE EUROPEAN PARLIAMENT, THE COUNCIL, THE EUROPEAN ECONOMIC AND SOCIAL COMMITTEE AND THE COMMITTEE OF THE REGIONS"/>
    <w:docVar w:name="Stamp" w:val="\\dossiers.dgt.cec.eu.int\dossiers\ENV\ENV-2018-00422\ENV-2018-00422-00-04-EN-EDT-00.20180627143004537937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waste/framework/pdf/EE_Roadmap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D5AB-EEF7-4C17-A6D6-FB7FA3E8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5061</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2018-07-25T10:55:00Z</dcterms:created>
  <dcterms:modified xsi:type="dcterms:W3CDTF">2018-09-17T10:18:00Z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