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79FFE32-A1BA-4A15-811D-A1839A06C415" style="width:450.75pt;height:489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b/>
          <w:noProof/>
        </w:rPr>
        <w:lastRenderedPageBreak/>
        <w:t>Table 1</w:t>
      </w:r>
      <w:r>
        <w:rPr>
          <w:noProof/>
        </w:rPr>
        <w:t xml:space="preserve"> Summary of EU Member States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at risk of missing the 2020 preparation for re-use / recycling target on municipal waste, not on track towards meeting the 2020 construction and demolition waste (CDW) recovery target, and/or not meeting the mandatory targets in force set out in the relevant waste legislation. Based on data reported by the Member States.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1488"/>
        <w:gridCol w:w="1559"/>
        <w:gridCol w:w="1559"/>
        <w:gridCol w:w="1908"/>
        <w:gridCol w:w="1556"/>
      </w:tblGrid>
      <w:tr>
        <w:trPr>
          <w:trHeight w:val="2378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Member State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Risk of missing the 2020 target on municipal waste </w:t>
            </w:r>
            <w:r>
              <w:rPr>
                <w:b/>
                <w:noProof/>
              </w:rPr>
              <w:br/>
            </w:r>
            <w:r>
              <w:rPr>
                <w:noProof/>
              </w:rPr>
              <w:t>(2015 data)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Progress towards CDW 70% recovery target for 2020 </w:t>
            </w:r>
            <w:r>
              <w:rPr>
                <w:b/>
                <w:noProof/>
              </w:rPr>
              <w:br/>
            </w:r>
            <w:r>
              <w:rPr>
                <w:noProof/>
              </w:rPr>
              <w:t>(2014 data)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WEEE collection target </w:t>
            </w:r>
            <w:r>
              <w:rPr>
                <w:b/>
                <w:noProof/>
              </w:rPr>
              <w:br/>
            </w:r>
            <w:r>
              <w:rPr>
                <w:noProof/>
              </w:rPr>
              <w:t>(2015 data)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Packaging targets: </w:t>
            </w:r>
            <w:r>
              <w:rPr>
                <w:noProof/>
              </w:rPr>
              <w:t>general recycling target; material-specific targets (2015 data)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Landfill targets </w:t>
            </w:r>
            <w:r>
              <w:rPr>
                <w:b/>
                <w:noProof/>
              </w:rPr>
              <w:br/>
            </w:r>
            <w:r>
              <w:rPr>
                <w:noProof/>
              </w:rPr>
              <w:t>(date of application; data for reporting period 2013-2015)</w:t>
            </w:r>
          </w:p>
        </w:tc>
      </w:tr>
      <w:tr>
        <w:trPr>
          <w:trHeight w:val="634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BG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CY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C000"/>
          </w:tcPr>
          <w:p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Below 60% recovery</w:t>
            </w:r>
          </w:p>
        </w:tc>
        <w:tc>
          <w:tcPr>
            <w:tcW w:w="1559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2014 data</w:t>
            </w: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- general recycling target </w:t>
            </w:r>
            <w:r>
              <w:rPr>
                <w:noProof/>
              </w:rPr>
              <w:br/>
              <w:t xml:space="preserve">- wood </w:t>
            </w:r>
            <w:r>
              <w:rPr>
                <w:noProof/>
              </w:rPr>
              <w:br/>
              <w:t>- glass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(2014 data)</w:t>
            </w:r>
          </w:p>
        </w:tc>
        <w:tc>
          <w:tcPr>
            <w:tcW w:w="1556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50% (2013)</w:t>
            </w:r>
          </w:p>
        </w:tc>
      </w:tr>
      <w:tr>
        <w:trPr>
          <w:trHeight w:val="696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HR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 wood</w:t>
            </w:r>
            <w:r>
              <w:rPr>
                <w:noProof/>
              </w:rPr>
              <w:br/>
              <w:t>- metal</w:t>
            </w:r>
          </w:p>
        </w:tc>
        <w:tc>
          <w:tcPr>
            <w:tcW w:w="1556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75% (2013)</w:t>
            </w:r>
          </w:p>
        </w:tc>
      </w:tr>
      <w:tr>
        <w:trPr>
          <w:trHeight w:val="608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EE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86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FI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wood</w:t>
            </w: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94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EL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C000"/>
          </w:tcPr>
          <w:p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Below 60% recovery</w:t>
            </w: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glass</w:t>
            </w:r>
          </w:p>
        </w:tc>
        <w:tc>
          <w:tcPr>
            <w:tcW w:w="1556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50% (2013)</w:t>
            </w:r>
          </w:p>
        </w:tc>
      </w:tr>
      <w:tr>
        <w:trPr>
          <w:trHeight w:val="702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HU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- general recycling </w:t>
            </w:r>
            <w:r>
              <w:rPr>
                <w:noProof/>
              </w:rPr>
              <w:br/>
              <w:t>- glass</w:t>
            </w: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583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LV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FF0000"/>
          </w:tcPr>
          <w:p>
            <w:pPr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50% (2013)</w:t>
            </w:r>
          </w:p>
        </w:tc>
      </w:tr>
      <w:tr>
        <w:trPr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MT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2014 data</w:t>
            </w: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 general recycling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 paper</w:t>
            </w:r>
            <w:r>
              <w:rPr>
                <w:noProof/>
              </w:rPr>
              <w:br/>
              <w:t>- wood</w:t>
            </w:r>
            <w:r>
              <w:rPr>
                <w:noProof/>
              </w:rPr>
              <w:br/>
              <w:t>- metal</w:t>
            </w:r>
            <w:r>
              <w:rPr>
                <w:noProof/>
              </w:rPr>
              <w:br/>
              <w:t>- glass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(2014 data)</w:t>
            </w:r>
          </w:p>
        </w:tc>
        <w:tc>
          <w:tcPr>
            <w:tcW w:w="1556" w:type="dxa"/>
            <w:shd w:val="pct20" w:color="auto" w:fill="auto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No data reported</w:t>
            </w:r>
          </w:p>
        </w:tc>
      </w:tr>
      <w:tr>
        <w:trPr>
          <w:trHeight w:val="610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PL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glass</w:t>
            </w: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588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PT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glass</w:t>
            </w: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99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RO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2014 data</w:t>
            </w:r>
          </w:p>
        </w:tc>
        <w:tc>
          <w:tcPr>
            <w:tcW w:w="1908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glass (2014 data)</w:t>
            </w: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06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SK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color w:val="000000" w:themeColor="text1"/>
              </w:rPr>
              <w:t>Below 60% recovery</w:t>
            </w: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50% (2013)</w:t>
            </w:r>
          </w:p>
        </w:tc>
      </w:tr>
      <w:tr>
        <w:trPr>
          <w:trHeight w:val="648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ES</w:t>
            </w:r>
          </w:p>
        </w:tc>
        <w:tc>
          <w:tcPr>
            <w:tcW w:w="1488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612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SE</w:t>
            </w:r>
          </w:p>
        </w:tc>
        <w:tc>
          <w:tcPr>
            <w:tcW w:w="148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C000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color w:val="000000" w:themeColor="text1"/>
              </w:rPr>
              <w:t>Below 60% recovery</w:t>
            </w: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744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FR</w:t>
            </w:r>
          </w:p>
        </w:tc>
        <w:tc>
          <w:tcPr>
            <w:tcW w:w="148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  <w:shd w:val="pct20" w:color="auto" w:fill="auto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No data reported</w:t>
            </w:r>
          </w:p>
        </w:tc>
      </w:tr>
      <w:tr>
        <w:trPr>
          <w:trHeight w:val="780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IT</w:t>
            </w:r>
          </w:p>
        </w:tc>
        <w:tc>
          <w:tcPr>
            <w:tcW w:w="148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  <w:shd w:val="pct20" w:color="auto" w:fill="auto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No data reported</w:t>
            </w:r>
          </w:p>
        </w:tc>
      </w:tr>
      <w:tr>
        <w:trPr>
          <w:trHeight w:val="770"/>
          <w:jc w:val="center"/>
        </w:trPr>
        <w:tc>
          <w:tcPr>
            <w:tcW w:w="1030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CZ</w:t>
            </w:r>
          </w:p>
        </w:tc>
        <w:tc>
          <w:tcPr>
            <w:tcW w:w="148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56" w:type="dxa"/>
            <w:shd w:val="clear" w:color="auto" w:fill="FF0000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50% (2013)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2553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The other 10 Member States not listed in Table 1 are not considered at risk of missing the 2020 municipal waste target, report 60% or higher recovery rates of C&amp;D waste, and are in compliance with the other targets in force analysed in the table.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79FFE32-A1BA-4A15-811D-A1839A06C415"/>
    <w:docVar w:name="LW_COVERPAGE_TYPE" w:val="1"/>
    <w:docVar w:name="LW_CROSSREFERENCE" w:val="{SWD(2018) 413 final}_x000b_{SWD(2018) 414 final}_x000b_{SWD(2018) 415 final}_x000b_{SWD(2018) 416 final}_x000b_{SWD(2018) 417 final}_x000b_{SWD(2018) 418 final}_x000b_{SWD(2018) 419 final}_x000b_{SWD(2018) 420 final}_x000b_{SWD(2018) 421 final}_x000b_{SWD(2018) 422 final}_x000b_{SWD(2018) 423 final}_x000b_{SWD(2018) 424 final}_x000b_{SWD(2018) 425 final}_x000b_{SWD(2018) 426 final}"/>
    <w:docVar w:name="LW_DocType" w:val="NORMAL"/>
    <w:docVar w:name="LW_EMISSION" w:val="24.9.2018"/>
    <w:docVar w:name="LW_EMISSION_ISODATE" w:val="2018-09-24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implementation of EU waste legislation, including the early warning report for Member States at risk of non-compliance with the 2020 preparation for re-use / recycling target on municipal waste"/>
    <w:docVar w:name="LW_PART_NBR" w:val="1"/>
    <w:docVar w:name="LW_PART_NBR_TOTAL" w:val="1"/>
    <w:docVar w:name="LW_REF.INST.NEW" w:val="COM"/>
    <w:docVar w:name="LW_REF.INST.NEW_ADOPTED" w:val="final"/>
    <w:docVar w:name="LW_REF.INST.NEW_TEXT" w:val="(2018) 6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COUNCIL, THE EUROPEAN ECONOMIC AND SOCIAL COMMITTEE AND THE COMMITTEE OF THE RE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8A7F-7C16-4490-AC62-F4DA91F9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1047</Characters>
  <Application>Microsoft Office Word</Application>
  <DocSecurity>0</DocSecurity>
  <Lines>209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GOLEBIEWSKA Malgorzata (CLIMA)</dc:creator>
  <cp:lastModifiedBy>DIGIT/A3</cp:lastModifiedBy>
  <cp:revision>8</cp:revision>
  <cp:lastPrinted>2018-07-24T07:51:00Z</cp:lastPrinted>
  <dcterms:created xsi:type="dcterms:W3CDTF">2018-09-13T09:52:00Z</dcterms:created>
  <dcterms:modified xsi:type="dcterms:W3CDTF">2018-09-17T10:19:00Z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</Properties>
</file>