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E3814D0-D82E-4EE1-BFD2-039FAB6DCA0C" style="width:450.75pt;height:498.75pt">
            <v:imagedata r:id="rId9" o:title=""/>
          </v:shape>
        </w:pict>
      </w:r>
    </w:p>
    <w:bookmarkEnd w:id="0"/>
    <w:p>
      <w:pPr>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18"/>
        </w:numPr>
        <w:jc w:val="both"/>
        <w:rPr>
          <w:rFonts w:ascii="Times New Roman" w:hAnsi="Times New Roman" w:cs="Times New Roman"/>
          <w:b/>
          <w:noProof/>
        </w:rPr>
      </w:pPr>
      <w:bookmarkStart w:id="1" w:name="_GoBack"/>
      <w:bookmarkEnd w:id="1"/>
      <w:r>
        <w:rPr>
          <w:rFonts w:ascii="Times New Roman" w:hAnsi="Times New Roman" w:cs="Times New Roman"/>
          <w:b/>
          <w:noProof/>
        </w:rPr>
        <w:lastRenderedPageBreak/>
        <w:t>Introduction</w:t>
      </w:r>
    </w:p>
    <w:p>
      <w:pPr>
        <w:jc w:val="both"/>
        <w:rPr>
          <w:rFonts w:ascii="Times New Roman" w:hAnsi="Times New Roman" w:cs="Times New Roman"/>
          <w:noProof/>
          <w:sz w:val="24"/>
          <w:szCs w:val="24"/>
        </w:rPr>
      </w:pPr>
      <w:r>
        <w:rPr>
          <w:rFonts w:ascii="Times New Roman" w:hAnsi="Times New Roman" w:cs="Times New Roman"/>
          <w:noProof/>
          <w:sz w:val="24"/>
          <w:szCs w:val="24"/>
        </w:rPr>
        <w:t>This early warning report is part of the Commission's overall implementation report and aims to assist Member States at risk of failing to meet the 2020 target of 50 % preparation for re-use/recycling of municipal waste set out in Article 11(2)(a) of Directive 2008/98/EC. It builds on previous support provided by the Commission to help Member States comply</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xml:space="preserve"> with EU law in the area of municipal waste management. This resulted in country-specific roadmaps</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being drawn up for the relevant Member States.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assessment underpinning the early warning report is based on a collaborative and transparent process involving the Member States concerned and an in-depth analysis of their most recent policy developments. This also involved extensive consultation with the authorities in charge of waste management. </w:t>
      </w:r>
    </w:p>
    <w:p>
      <w:pPr>
        <w:jc w:val="both"/>
        <w:rPr>
          <w:rFonts w:ascii="Times New Roman" w:hAnsi="Times New Roman" w:cs="Times New Roman"/>
          <w:noProof/>
          <w:sz w:val="24"/>
          <w:szCs w:val="24"/>
        </w:rPr>
      </w:pPr>
      <w:r>
        <w:rPr>
          <w:rFonts w:ascii="Times New Roman" w:hAnsi="Times New Roman" w:cs="Times New Roman"/>
          <w:noProof/>
          <w:sz w:val="24"/>
          <w:szCs w:val="24"/>
        </w:rPr>
        <w:t>The possible actions identified during this process are based on the existing best practices and aim to help Member States in meeting the 2020 municipal waste preparation for re-use/recycling target; they therefore focus on policy measures that can be taken forward in the short term. These actions should be seen as complementary to those recommended in the roadmaps that were drawn up as part of the preceding compliance promotion activities and to the recommendations made in the Environmental Implementation Review</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w:t>
      </w:r>
    </w:p>
    <w:p>
      <w:pPr>
        <w:pStyle w:val="ListParagraph"/>
        <w:numPr>
          <w:ilvl w:val="0"/>
          <w:numId w:val="18"/>
        </w:numPr>
        <w:jc w:val="both"/>
        <w:rPr>
          <w:rFonts w:ascii="Times New Roman" w:hAnsi="Times New Roman" w:cs="Times New Roman"/>
          <w:b/>
          <w:noProof/>
        </w:rPr>
      </w:pPr>
      <w:r>
        <w:rPr>
          <w:rFonts w:ascii="Times New Roman" w:hAnsi="Times New Roman" w:cs="Times New Roman"/>
          <w:b/>
          <w:noProof/>
        </w:rPr>
        <w:t xml:space="preserve">Key findings </w:t>
      </w:r>
    </w:p>
    <w:p>
      <w:pPr>
        <w:jc w:val="both"/>
        <w:rPr>
          <w:rFonts w:ascii="Times New Roman" w:hAnsi="Times New Roman" w:cs="Times New Roman"/>
          <w:noProof/>
          <w:sz w:val="24"/>
          <w:szCs w:val="24"/>
        </w:rPr>
      </w:pPr>
      <w:r>
        <w:rPr>
          <w:rFonts w:ascii="Times New Roman" w:hAnsi="Times New Roman" w:cs="Times New Roman"/>
          <w:noProof/>
          <w:sz w:val="24"/>
          <w:szCs w:val="24"/>
        </w:rPr>
        <w:t>In 2016, Cyprus’ municipal waste recycling rate (including composting) reported to Eurostat was 17 % while the landfilling rate was 75 %. Based on an analysis of existing and firmly planned policies in the area of waste management, Cyprus is considered at risk of missing the 2020 target of 50 % preparation for re-use/recycling of municipal waste.</w:t>
      </w:r>
    </w:p>
    <w:p>
      <w:pPr>
        <w:jc w:val="both"/>
        <w:rPr>
          <w:rFonts w:ascii="Times New Roman" w:hAnsi="Times New Roman" w:cs="Times New Roman"/>
          <w:noProof/>
          <w:sz w:val="24"/>
          <w:szCs w:val="24"/>
        </w:rPr>
      </w:pPr>
      <w:r>
        <w:rPr>
          <w:rFonts w:ascii="Times New Roman" w:hAnsi="Times New Roman" w:cs="Times New Roman"/>
          <w:noProof/>
          <w:sz w:val="24"/>
          <w:szCs w:val="24"/>
        </w:rPr>
        <w:t>The assessment</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that underpins the early warning report concludes that Cyprus’ continued difficulties in implementing EU waste law are mainly due to:</w:t>
      </w:r>
    </w:p>
    <w:p>
      <w:pPr>
        <w:pStyle w:val="ListParagraph"/>
        <w:numPr>
          <w:ilvl w:val="0"/>
          <w:numId w:val="19"/>
        </w:numPr>
        <w:jc w:val="both"/>
        <w:rPr>
          <w:rFonts w:ascii="Times New Roman" w:hAnsi="Times New Roman" w:cs="Times New Roman"/>
          <w:noProof/>
        </w:rPr>
      </w:pPr>
      <w:r>
        <w:rPr>
          <w:rFonts w:ascii="Times New Roman" w:hAnsi="Times New Roman" w:cs="Times New Roman"/>
          <w:noProof/>
        </w:rPr>
        <w:t>the lack of infrastructure and collection systems for recyclables and for diverting biodegradable waste away from landfills;</w:t>
      </w:r>
    </w:p>
    <w:p>
      <w:pPr>
        <w:pStyle w:val="ListParagraph"/>
        <w:numPr>
          <w:ilvl w:val="0"/>
          <w:numId w:val="19"/>
        </w:numPr>
        <w:jc w:val="both"/>
        <w:rPr>
          <w:rFonts w:ascii="Times New Roman" w:hAnsi="Times New Roman" w:cs="Times New Roman"/>
          <w:noProof/>
        </w:rPr>
      </w:pPr>
      <w:r>
        <w:rPr>
          <w:rFonts w:ascii="Times New Roman" w:hAnsi="Times New Roman" w:cs="Times New Roman"/>
          <w:noProof/>
        </w:rPr>
        <w:t xml:space="preserve">the lack of coordination between different administrative levels and insufficient capacity at the local level; and </w:t>
      </w:r>
    </w:p>
    <w:p>
      <w:pPr>
        <w:pStyle w:val="ListParagraph"/>
        <w:numPr>
          <w:ilvl w:val="0"/>
          <w:numId w:val="19"/>
        </w:numPr>
        <w:jc w:val="both"/>
        <w:rPr>
          <w:rFonts w:ascii="Times New Roman" w:hAnsi="Times New Roman" w:cs="Times New Roman"/>
          <w:noProof/>
        </w:rPr>
      </w:pPr>
      <w:r>
        <w:rPr>
          <w:rFonts w:ascii="Times New Roman" w:hAnsi="Times New Roman" w:cs="Times New Roman"/>
          <w:noProof/>
        </w:rPr>
        <w:t xml:space="preserve">the lack of incentives (including the absence of economic instruments) to prevent waste and improve recycling. </w:t>
      </w:r>
    </w:p>
    <w:p>
      <w:pPr>
        <w:jc w:val="both"/>
        <w:rPr>
          <w:rFonts w:ascii="Times New Roman" w:hAnsi="Times New Roman" w:cs="Times New Roman"/>
          <w:noProof/>
          <w:sz w:val="24"/>
          <w:szCs w:val="24"/>
        </w:rPr>
      </w:pPr>
      <w:r>
        <w:rPr>
          <w:rFonts w:ascii="Times New Roman" w:hAnsi="Times New Roman" w:cs="Times New Roman"/>
          <w:noProof/>
          <w:sz w:val="24"/>
          <w:szCs w:val="24"/>
        </w:rPr>
        <w:t>Moreover, the extended producer responsibility (EPR) scheme for packaging in Cyprus is not effective and the monitoring and enforcement of its activity is insufficient.</w:t>
      </w:r>
    </w:p>
    <w:p>
      <w:pPr>
        <w:jc w:val="both"/>
        <w:rPr>
          <w:rFonts w:ascii="Times New Roman" w:hAnsi="Times New Roman" w:cs="Times New Roman"/>
          <w:noProof/>
          <w:sz w:val="24"/>
          <w:szCs w:val="24"/>
        </w:rPr>
      </w:pPr>
      <w:r>
        <w:rPr>
          <w:rFonts w:ascii="Times New Roman" w:hAnsi="Times New Roman" w:cs="Times New Roman"/>
          <w:noProof/>
          <w:sz w:val="24"/>
          <w:szCs w:val="24"/>
        </w:rPr>
        <w:t>The table below lists possible actions to support Cyprus’ efforts to improve its waste management.</w:t>
      </w:r>
    </w:p>
    <w:p>
      <w:pPr>
        <w:jc w:val="both"/>
        <w:rPr>
          <w:rFonts w:ascii="Times New Roman" w:hAnsi="Times New Roman" w:cs="Times New Roman"/>
          <w:noProof/>
          <w:sz w:val="24"/>
          <w:szCs w:val="24"/>
        </w:rPr>
      </w:pPr>
    </w:p>
    <w:tbl>
      <w:tblPr>
        <w:tblStyle w:val="Eunomia-NoTotals"/>
        <w:tblW w:w="0" w:type="auto"/>
        <w:tblLook w:val="05E0" w:firstRow="1" w:lastRow="1" w:firstColumn="1" w:lastColumn="1" w:noHBand="0" w:noVBand="1"/>
      </w:tblPr>
      <w:tblGrid>
        <w:gridCol w:w="9072"/>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dotted" w:sz="4" w:space="0" w:color="BFBFBF" w:themeColor="background1" w:themeShade="BF"/>
            </w:tcBorders>
          </w:tcPr>
          <w:p>
            <w:pPr>
              <w:keepNext/>
              <w:spacing w:before="120" w:after="120"/>
              <w:jc w:val="center"/>
              <w:rPr>
                <w:rFonts w:ascii="Times New Roman" w:hAnsi="Times New Roman"/>
                <w:smallCaps/>
                <w:noProof/>
                <w:szCs w:val="24"/>
              </w:rPr>
            </w:pPr>
            <w:r>
              <w:rPr>
                <w:rFonts w:ascii="Times New Roman" w:hAnsi="Times New Roman"/>
                <w:bCs/>
                <w:smallCaps/>
                <w:noProof/>
                <w:szCs w:val="24"/>
              </w:rPr>
              <w:t>Overview of possible actions to improve performance</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tcPr>
          <w:p>
            <w:pPr>
              <w:pStyle w:val="ListBullet"/>
              <w:keepNext/>
              <w:numPr>
                <w:ilvl w:val="0"/>
                <w:numId w:val="0"/>
              </w:numPr>
              <w:rPr>
                <w:rFonts w:ascii="Times New Roman" w:hAnsi="Times New Roman" w:cs="Times New Roman"/>
                <w:noProof/>
              </w:rPr>
            </w:pPr>
            <w:r>
              <w:rPr>
                <w:rFonts w:ascii="Times New Roman" w:hAnsi="Times New Roman" w:cs="Times New Roman"/>
                <w:noProof/>
              </w:rPr>
              <w:t>Improving separate collection</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tcBorders>
            <w:shd w:val="clear" w:color="auto" w:fill="FFFFFF" w:themeFill="background1"/>
          </w:tcPr>
          <w:p>
            <w:pPr>
              <w:pStyle w:val="ListBullet"/>
              <w:numPr>
                <w:ilvl w:val="0"/>
                <w:numId w:val="7"/>
              </w:numPr>
              <w:rPr>
                <w:rFonts w:ascii="Times New Roman" w:hAnsi="Times New Roman" w:cs="Times New Roman"/>
                <w:b w:val="0"/>
                <w:noProof/>
              </w:rPr>
            </w:pPr>
            <w:r>
              <w:rPr>
                <w:rFonts w:ascii="Times New Roman" w:hAnsi="Times New Roman" w:cs="Times New Roman"/>
                <w:b w:val="0"/>
                <w:noProof/>
              </w:rPr>
              <w:t>To ensure that reporting on packaging recycling</w:t>
            </w:r>
            <w:r>
              <w:rPr>
                <w:rFonts w:ascii="Times New Roman" w:hAnsi="Times New Roman" w:cs="Times New Roman"/>
                <w:noProof/>
              </w:rPr>
              <w:t xml:space="preserve"> </w:t>
            </w:r>
            <w:r>
              <w:rPr>
                <w:rFonts w:ascii="Times New Roman" w:hAnsi="Times New Roman" w:cs="Times New Roman"/>
                <w:b w:val="0"/>
                <w:noProof/>
              </w:rPr>
              <w:t>by producers putting goods on the market is accurate and consistent:</w:t>
            </w:r>
          </w:p>
          <w:p>
            <w:pPr>
              <w:pStyle w:val="ListBullet"/>
              <w:numPr>
                <w:ilvl w:val="1"/>
                <w:numId w:val="7"/>
              </w:numPr>
              <w:rPr>
                <w:rFonts w:ascii="Times New Roman" w:hAnsi="Times New Roman" w:cs="Times New Roman"/>
                <w:b w:val="0"/>
                <w:noProof/>
              </w:rPr>
            </w:pPr>
            <w:r>
              <w:rPr>
                <w:rFonts w:ascii="Times New Roman" w:hAnsi="Times New Roman" w:cs="Times New Roman"/>
                <w:b w:val="0"/>
                <w:noProof/>
              </w:rPr>
              <w:t>systematic audits on companies that provide data on the amount of packaging placed on the market are necessary;</w:t>
            </w:r>
          </w:p>
          <w:p>
            <w:pPr>
              <w:pStyle w:val="ListBullet"/>
              <w:numPr>
                <w:ilvl w:val="1"/>
                <w:numId w:val="7"/>
              </w:numPr>
              <w:rPr>
                <w:rFonts w:ascii="Times New Roman" w:hAnsi="Times New Roman" w:cs="Times New Roman"/>
                <w:b w:val="0"/>
                <w:noProof/>
              </w:rPr>
            </w:pPr>
            <w:r>
              <w:rPr>
                <w:rFonts w:ascii="Times New Roman" w:hAnsi="Times New Roman" w:cs="Times New Roman"/>
                <w:b w:val="0"/>
                <w:noProof/>
              </w:rPr>
              <w:t>a statistically representative compositional analysis of municipal waste would be needed to estimate how much packaging waste is generated and to compare that estimate with the amount reported as placed on the market; and</w:t>
            </w:r>
          </w:p>
          <w:p>
            <w:pPr>
              <w:pStyle w:val="ListBullet"/>
              <w:numPr>
                <w:ilvl w:val="1"/>
                <w:numId w:val="7"/>
              </w:numPr>
              <w:rPr>
                <w:rFonts w:ascii="Times New Roman" w:hAnsi="Times New Roman" w:cs="Times New Roman"/>
                <w:b w:val="0"/>
                <w:noProof/>
              </w:rPr>
            </w:pPr>
            <w:r>
              <w:rPr>
                <w:rFonts w:ascii="Times New Roman" w:hAnsi="Times New Roman" w:cs="Times New Roman"/>
                <w:b w:val="0"/>
                <w:noProof/>
              </w:rPr>
              <w:t>reconciliation of the remaining differences between the two sources to follow.</w:t>
            </w:r>
          </w:p>
        </w:tc>
      </w:tr>
      <w:tr>
        <w:tc>
          <w:tcPr>
            <w:cnfStyle w:val="001000000000" w:firstRow="0" w:lastRow="0" w:firstColumn="1" w:lastColumn="0" w:oddVBand="0" w:evenVBand="0" w:oddHBand="0" w:evenHBand="0" w:firstRowFirstColumn="0" w:firstRowLastColumn="0" w:lastRowFirstColumn="0" w:lastRowLastColumn="0"/>
            <w:tcW w:w="9072" w:type="dxa"/>
            <w:tcBorders>
              <w:bottom w:val="dotted" w:sz="4" w:space="0" w:color="BFBFBF" w:themeColor="background1" w:themeShade="BF"/>
            </w:tcBorders>
            <w:shd w:val="clear" w:color="auto" w:fill="FFFFFF" w:themeFill="background1"/>
            <w:vAlign w:val="top"/>
          </w:tcPr>
          <w:p>
            <w:pPr>
              <w:pStyle w:val="ListBullet"/>
              <w:numPr>
                <w:ilvl w:val="0"/>
                <w:numId w:val="7"/>
              </w:numPr>
              <w:rPr>
                <w:rFonts w:ascii="Times New Roman" w:hAnsi="Times New Roman" w:cs="Times New Roman"/>
                <w:b w:val="0"/>
                <w:noProof/>
              </w:rPr>
            </w:pPr>
            <w:r>
              <w:rPr>
                <w:rFonts w:ascii="Times New Roman" w:hAnsi="Times New Roman" w:cs="Times New Roman"/>
                <w:b w:val="0"/>
                <w:noProof/>
              </w:rPr>
              <w:t>Development of national minimum service standards for waste collection (including bio-waste) to specify, for example, the type and volume of containers, frequency of collection and type of vehicle used, taking into account the type of housing stock, how rural the area is, typical climate, etc.</w:t>
            </w:r>
          </w:p>
        </w:tc>
      </w:tr>
      <w:tr>
        <w:trPr>
          <w:trHeight w:val="476"/>
        </w:trP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Bullet"/>
              <w:numPr>
                <w:ilvl w:val="0"/>
                <w:numId w:val="7"/>
              </w:numPr>
              <w:rPr>
                <w:rFonts w:ascii="Times New Roman" w:hAnsi="Times New Roman" w:cs="Times New Roman"/>
                <w:b w:val="0"/>
                <w:noProof/>
              </w:rPr>
            </w:pPr>
            <w:r>
              <w:rPr>
                <w:rFonts w:ascii="Times New Roman" w:hAnsi="Times New Roman" w:cs="Times New Roman"/>
                <w:b w:val="0"/>
                <w:noProof/>
              </w:rPr>
              <w:t>The possibility of designing and implementing a deposit refund scheme for beverage containers to increase the packaging collection rate could be explored.</w:t>
            </w:r>
          </w:p>
        </w:tc>
      </w:tr>
      <w:tr>
        <w:trPr>
          <w:trHeight w:val="476"/>
        </w:trP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Bullet"/>
              <w:numPr>
                <w:ilvl w:val="0"/>
                <w:numId w:val="7"/>
              </w:numPr>
              <w:rPr>
                <w:rFonts w:ascii="Times New Roman" w:hAnsi="Times New Roman" w:cs="Times New Roman"/>
                <w:b w:val="0"/>
                <w:noProof/>
              </w:rPr>
            </w:pPr>
            <w:r>
              <w:rPr>
                <w:rFonts w:ascii="Times New Roman" w:hAnsi="Times New Roman" w:cs="Times New Roman"/>
                <w:b w:val="0"/>
                <w:noProof/>
              </w:rPr>
              <w:t>Review of the EPR scheme for packaging and the extent to which the cost of collection is covered by the fees paid by the producers.</w:t>
            </w:r>
          </w:p>
        </w:tc>
      </w:tr>
      <w:tr>
        <w:trPr>
          <w:trHeight w:val="476"/>
        </w:trP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Bullet"/>
              <w:numPr>
                <w:ilvl w:val="0"/>
                <w:numId w:val="7"/>
              </w:numPr>
              <w:rPr>
                <w:rFonts w:ascii="Times New Roman" w:hAnsi="Times New Roman" w:cs="Times New Roman"/>
                <w:noProof/>
              </w:rPr>
            </w:pPr>
            <w:r>
              <w:rPr>
                <w:rFonts w:ascii="Times New Roman" w:hAnsi="Times New Roman" w:cs="Times New Roman"/>
                <w:b w:val="0"/>
                <w:noProof/>
              </w:rPr>
              <w:t>Roll out of bio-waste collections to public spaces.</w:t>
            </w:r>
          </w:p>
        </w:tc>
      </w:tr>
      <w:tr>
        <w:trPr>
          <w:trHeight w:val="476"/>
        </w:trP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Bullet"/>
              <w:numPr>
                <w:ilvl w:val="0"/>
                <w:numId w:val="7"/>
              </w:numPr>
              <w:rPr>
                <w:rFonts w:ascii="Times New Roman" w:hAnsi="Times New Roman" w:cs="Times New Roman"/>
                <w:noProof/>
              </w:rPr>
            </w:pPr>
            <w:r>
              <w:rPr>
                <w:rFonts w:ascii="Times New Roman" w:hAnsi="Times New Roman" w:cs="Times New Roman"/>
                <w:b w:val="0"/>
                <w:noProof/>
              </w:rPr>
              <w:t>Support to municipalities to design bio-waste collection systems that are efficient and capture high-quality material. Carrying out trials to ensure a good understanding of the likely yields of the different systems would be beneficial.</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tcPr>
          <w:p>
            <w:pPr>
              <w:pStyle w:val="ListBullet"/>
              <w:numPr>
                <w:ilvl w:val="0"/>
                <w:numId w:val="0"/>
              </w:numPr>
              <w:rPr>
                <w:noProof/>
              </w:rPr>
            </w:pPr>
            <w:r>
              <w:rPr>
                <w:rFonts w:ascii="Times New Roman" w:hAnsi="Times New Roman" w:cs="Times New Roman"/>
                <w:noProof/>
              </w:rPr>
              <w:t>Financial incentives</w:t>
            </w:r>
          </w:p>
        </w:tc>
      </w:tr>
      <w:tr>
        <w:trPr>
          <w:trHeight w:val="540"/>
        </w:trP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Bullet"/>
              <w:numPr>
                <w:ilvl w:val="0"/>
                <w:numId w:val="7"/>
              </w:numPr>
              <w:rPr>
                <w:rFonts w:ascii="Times New Roman" w:hAnsi="Times New Roman" w:cs="Times New Roman"/>
                <w:b w:val="0"/>
                <w:noProof/>
              </w:rPr>
            </w:pPr>
            <w:r>
              <w:rPr>
                <w:rFonts w:ascii="Times New Roman" w:hAnsi="Times New Roman" w:cs="Times New Roman"/>
                <w:b w:val="0"/>
                <w:noProof/>
              </w:rPr>
              <w:t>Introduction of a landfill tax, while ensuring that all stakeholders are aware of the rate of the tax and the fact that it will be applied for at least 5 years. The final tax level to be sufficiently high to act as an incentive to recycle.</w:t>
            </w:r>
          </w:p>
        </w:tc>
      </w:tr>
      <w:tr>
        <w:trPr>
          <w:trHeight w:val="540"/>
        </w:trP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Bullet"/>
              <w:numPr>
                <w:ilvl w:val="0"/>
                <w:numId w:val="7"/>
              </w:numPr>
              <w:rPr>
                <w:rFonts w:ascii="Times New Roman" w:hAnsi="Times New Roman" w:cs="Times New Roman"/>
                <w:b w:val="0"/>
                <w:noProof/>
              </w:rPr>
            </w:pPr>
            <w:r>
              <w:rPr>
                <w:rFonts w:ascii="Times New Roman" w:hAnsi="Times New Roman" w:cs="Times New Roman"/>
                <w:b w:val="0"/>
                <w:noProof/>
              </w:rPr>
              <w:t>Adoption of binding municipal waste recycling targets for municipalities, with financial penalties if they are not met.</w:t>
            </w:r>
          </w:p>
        </w:tc>
      </w:tr>
      <w:tr>
        <w:tc>
          <w:tcPr>
            <w:cnfStyle w:val="001000000000" w:firstRow="0" w:lastRow="0" w:firstColumn="1" w:lastColumn="0" w:oddVBand="0" w:evenVBand="0" w:oddHBand="0" w:evenHBand="0" w:firstRowFirstColumn="0" w:firstRowLastColumn="0" w:lastRowFirstColumn="0" w:lastRowLastColumn="0"/>
            <w:tcW w:w="9072" w:type="dxa"/>
            <w:tcBorders>
              <w:bottom w:val="dotted" w:sz="4" w:space="0" w:color="BFBFBF" w:themeColor="background1" w:themeShade="BF"/>
            </w:tcBorders>
            <w:shd w:val="clear" w:color="auto" w:fill="FFFFFF" w:themeFill="background1"/>
          </w:tcPr>
          <w:p>
            <w:pPr>
              <w:pStyle w:val="ListBullet"/>
              <w:numPr>
                <w:ilvl w:val="0"/>
                <w:numId w:val="7"/>
              </w:numPr>
              <w:rPr>
                <w:rFonts w:ascii="Times New Roman" w:hAnsi="Times New Roman" w:cs="Times New Roman"/>
                <w:b w:val="0"/>
                <w:noProof/>
              </w:rPr>
            </w:pPr>
            <w:r>
              <w:rPr>
                <w:rFonts w:ascii="Times New Roman" w:hAnsi="Times New Roman" w:cs="Times New Roman"/>
                <w:b w:val="0"/>
                <w:noProof/>
              </w:rPr>
              <w:t>Roll out of pay-as-you-throw schemes while ensuring :</w:t>
            </w:r>
          </w:p>
          <w:p>
            <w:pPr>
              <w:pStyle w:val="ListParagraph"/>
              <w:numPr>
                <w:ilvl w:val="0"/>
                <w:numId w:val="16"/>
              </w:numPr>
              <w:rPr>
                <w:rFonts w:ascii="Times New Roman" w:hAnsi="Times New Roman" w:cs="Times New Roman"/>
                <w:b w:val="0"/>
                <w:noProof/>
              </w:rPr>
            </w:pPr>
            <w:r>
              <w:rPr>
                <w:rFonts w:ascii="Times New Roman" w:hAnsi="Times New Roman" w:cs="Times New Roman"/>
                <w:b w:val="0"/>
                <w:noProof/>
              </w:rPr>
              <w:t>source segregation, including for bio-waste, as stipulated in the national waste management plan;</w:t>
            </w:r>
          </w:p>
          <w:p>
            <w:pPr>
              <w:pStyle w:val="ListParagraph"/>
              <w:numPr>
                <w:ilvl w:val="0"/>
                <w:numId w:val="16"/>
              </w:numPr>
              <w:rPr>
                <w:rFonts w:ascii="Times New Roman" w:hAnsi="Times New Roman" w:cs="Times New Roman"/>
                <w:b w:val="0"/>
                <w:noProof/>
              </w:rPr>
            </w:pPr>
            <w:r>
              <w:rPr>
                <w:rFonts w:ascii="Times New Roman" w:hAnsi="Times New Roman" w:cs="Times New Roman"/>
                <w:b w:val="0"/>
                <w:noProof/>
              </w:rPr>
              <w:t>higher frequency door-to-door collection for food waste; and</w:t>
            </w:r>
          </w:p>
          <w:p>
            <w:pPr>
              <w:pStyle w:val="ListParagraph"/>
              <w:numPr>
                <w:ilvl w:val="0"/>
                <w:numId w:val="16"/>
              </w:numPr>
              <w:rPr>
                <w:rFonts w:ascii="Times New Roman" w:hAnsi="Times New Roman" w:cs="Times New Roman"/>
                <w:b w:val="0"/>
                <w:noProof/>
              </w:rPr>
            </w:pPr>
            <w:r>
              <w:rPr>
                <w:rFonts w:ascii="Times New Roman" w:hAnsi="Times New Roman" w:cs="Times New Roman"/>
                <w:b w:val="0"/>
                <w:noProof/>
              </w:rPr>
              <w:t>integration of collection locations within the system of green points.</w:t>
            </w:r>
          </w:p>
        </w:tc>
      </w:tr>
      <w:tr>
        <w:tc>
          <w:tcPr>
            <w:cnfStyle w:val="001000000000" w:firstRow="0" w:lastRow="0" w:firstColumn="1" w:lastColumn="0" w:oddVBand="0" w:evenVBand="0" w:oddHBand="0" w:evenHBand="0" w:firstRowFirstColumn="0" w:firstRowLastColumn="0" w:lastRowFirstColumn="0" w:lastRowLastColumn="0"/>
            <w:tcW w:w="9072" w:type="dxa"/>
            <w:tcBorders>
              <w:bottom w:val="dotted" w:sz="4" w:space="0" w:color="BFBFBF" w:themeColor="background1" w:themeShade="BF"/>
            </w:tcBorders>
            <w:shd w:val="clear" w:color="auto" w:fill="FFFFFF" w:themeFill="background1"/>
          </w:tcPr>
          <w:p>
            <w:pPr>
              <w:pStyle w:val="ListBullet"/>
              <w:numPr>
                <w:ilvl w:val="0"/>
                <w:numId w:val="7"/>
              </w:numPr>
              <w:rPr>
                <w:rFonts w:ascii="Times New Roman" w:hAnsi="Times New Roman" w:cs="Times New Roman"/>
                <w:noProof/>
              </w:rPr>
            </w:pPr>
            <w:r>
              <w:rPr>
                <w:rFonts w:ascii="Times New Roman" w:hAnsi="Times New Roman" w:cs="Times New Roman"/>
                <w:b w:val="0"/>
                <w:noProof/>
              </w:rPr>
              <w:t>Repeal, or at least an increase in line with the consumer price index, of the maximum legal waste fee level that citizens can be charged.</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tcPr>
          <w:p>
            <w:pPr>
              <w:rPr>
                <w:rFonts w:ascii="Times New Roman" w:hAnsi="Times New Roman"/>
                <w:noProof/>
              </w:rPr>
            </w:pPr>
            <w:r>
              <w:rPr>
                <w:rFonts w:ascii="Times New Roman" w:hAnsi="Times New Roman"/>
                <w:noProof/>
              </w:rPr>
              <w:t>EU funding</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Paragraph"/>
              <w:numPr>
                <w:ilvl w:val="0"/>
                <w:numId w:val="7"/>
              </w:numPr>
              <w:rPr>
                <w:rFonts w:ascii="Times New Roman" w:hAnsi="Times New Roman" w:cs="Times New Roman"/>
                <w:b w:val="0"/>
                <w:noProof/>
              </w:rPr>
            </w:pPr>
            <w:r>
              <w:rPr>
                <w:rFonts w:ascii="Times New Roman" w:hAnsi="Times New Roman" w:cs="Times New Roman"/>
                <w:b w:val="0"/>
                <w:noProof/>
              </w:rPr>
              <w:t>EU funds to support recycling activities, including separate collection.</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tcPr>
          <w:p>
            <w:pPr>
              <w:rPr>
                <w:rFonts w:ascii="Times New Roman" w:hAnsi="Times New Roman"/>
                <w:noProof/>
              </w:rPr>
            </w:pPr>
            <w:r>
              <w:rPr>
                <w:rFonts w:ascii="Times New Roman" w:hAnsi="Times New Roman"/>
                <w:noProof/>
              </w:rPr>
              <w:t>Communication and awareness-raising</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Paragraph"/>
              <w:numPr>
                <w:ilvl w:val="0"/>
                <w:numId w:val="7"/>
              </w:numPr>
              <w:rPr>
                <w:rFonts w:ascii="Times New Roman" w:hAnsi="Times New Roman" w:cs="Times New Roman"/>
                <w:b w:val="0"/>
                <w:noProof/>
              </w:rPr>
            </w:pPr>
            <w:r>
              <w:rPr>
                <w:rFonts w:ascii="Times New Roman" w:hAnsi="Times New Roman" w:cs="Times New Roman"/>
                <w:b w:val="0"/>
                <w:noProof/>
              </w:rPr>
              <w:t>Development of a set of national communications materials addressed to the public for use at local level, with clear and consistent messages. These materials should be used as part of awareness-raising campaigns, in leaflets, and at green points.</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pct5" w:color="auto" w:fill="FFFFFF" w:themeFill="background1"/>
          </w:tcPr>
          <w:p>
            <w:pPr>
              <w:rPr>
                <w:rFonts w:ascii="Times New Roman" w:hAnsi="Times New Roman"/>
                <w:noProof/>
              </w:rPr>
            </w:pPr>
            <w:r>
              <w:rPr>
                <w:rFonts w:ascii="Times New Roman" w:hAnsi="Times New Roman"/>
                <w:noProof/>
              </w:rPr>
              <w:t>Technical support to municipalities</w:t>
            </w:r>
          </w:p>
        </w:tc>
      </w:tr>
      <w:tr>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tcBorders>
            <w:shd w:val="clear" w:color="auto" w:fill="FFFFFF" w:themeFill="background1"/>
          </w:tcPr>
          <w:p>
            <w:pPr>
              <w:pStyle w:val="ListBullet"/>
              <w:numPr>
                <w:ilvl w:val="0"/>
                <w:numId w:val="7"/>
              </w:numPr>
              <w:jc w:val="both"/>
              <w:rPr>
                <w:rFonts w:ascii="Times New Roman" w:hAnsi="Times New Roman" w:cs="Times New Roman"/>
                <w:b w:val="0"/>
                <w:noProof/>
              </w:rPr>
            </w:pPr>
            <w:r>
              <w:rPr>
                <w:rFonts w:ascii="Times New Roman" w:hAnsi="Times New Roman" w:cs="Times New Roman"/>
                <w:b w:val="0"/>
                <w:noProof/>
              </w:rPr>
              <w:t>Development of a system at national level that provides technical support for municipalities, specifically in the following areas:</w:t>
            </w:r>
          </w:p>
          <w:p>
            <w:pPr>
              <w:pStyle w:val="ListBullet"/>
              <w:numPr>
                <w:ilvl w:val="1"/>
                <w:numId w:val="7"/>
              </w:numPr>
              <w:jc w:val="both"/>
              <w:rPr>
                <w:rFonts w:ascii="Times New Roman" w:hAnsi="Times New Roman" w:cs="Times New Roman"/>
                <w:b w:val="0"/>
                <w:noProof/>
              </w:rPr>
            </w:pPr>
            <w:r>
              <w:rPr>
                <w:rFonts w:ascii="Times New Roman" w:hAnsi="Times New Roman" w:cs="Times New Roman"/>
                <w:b w:val="0"/>
                <w:noProof/>
              </w:rPr>
              <w:t xml:space="preserve">choosing collection services; </w:t>
            </w:r>
          </w:p>
          <w:p>
            <w:pPr>
              <w:pStyle w:val="ListBullet"/>
              <w:numPr>
                <w:ilvl w:val="1"/>
                <w:numId w:val="7"/>
              </w:numPr>
              <w:jc w:val="both"/>
              <w:rPr>
                <w:rFonts w:ascii="Times New Roman" w:hAnsi="Times New Roman" w:cs="Times New Roman"/>
                <w:b w:val="0"/>
                <w:noProof/>
              </w:rPr>
            </w:pPr>
            <w:r>
              <w:rPr>
                <w:rFonts w:ascii="Times New Roman" w:hAnsi="Times New Roman" w:cs="Times New Roman"/>
                <w:b w:val="0"/>
                <w:noProof/>
              </w:rPr>
              <w:t>service procurement;</w:t>
            </w:r>
          </w:p>
          <w:p>
            <w:pPr>
              <w:pStyle w:val="ListBullet"/>
              <w:numPr>
                <w:ilvl w:val="1"/>
                <w:numId w:val="7"/>
              </w:numPr>
              <w:jc w:val="both"/>
              <w:rPr>
                <w:rFonts w:ascii="Times New Roman" w:hAnsi="Times New Roman" w:cs="Times New Roman"/>
                <w:b w:val="0"/>
                <w:noProof/>
              </w:rPr>
            </w:pPr>
            <w:r>
              <w:rPr>
                <w:rFonts w:ascii="Times New Roman" w:hAnsi="Times New Roman" w:cs="Times New Roman"/>
                <w:b w:val="0"/>
                <w:noProof/>
              </w:rPr>
              <w:t>service management;</w:t>
            </w:r>
          </w:p>
          <w:p>
            <w:pPr>
              <w:pStyle w:val="ListBullet"/>
              <w:numPr>
                <w:ilvl w:val="1"/>
                <w:numId w:val="7"/>
              </w:numPr>
              <w:jc w:val="both"/>
              <w:rPr>
                <w:rFonts w:ascii="Times New Roman" w:hAnsi="Times New Roman" w:cs="Times New Roman"/>
                <w:b w:val="0"/>
                <w:noProof/>
              </w:rPr>
            </w:pPr>
            <w:r>
              <w:rPr>
                <w:rFonts w:ascii="Times New Roman" w:hAnsi="Times New Roman" w:cs="Times New Roman"/>
                <w:b w:val="0"/>
                <w:noProof/>
              </w:rPr>
              <w:t>communication campaigns;</w:t>
            </w:r>
          </w:p>
          <w:p>
            <w:pPr>
              <w:pStyle w:val="ListBullet"/>
              <w:numPr>
                <w:ilvl w:val="0"/>
                <w:numId w:val="0"/>
              </w:numPr>
              <w:ind w:left="720"/>
              <w:jc w:val="both"/>
              <w:rPr>
                <w:rFonts w:ascii="Times New Roman" w:hAnsi="Times New Roman" w:cs="Times New Roman"/>
                <w:b w:val="0"/>
                <w:noProof/>
              </w:rPr>
            </w:pPr>
            <w:r>
              <w:rPr>
                <w:rFonts w:ascii="Times New Roman" w:hAnsi="Times New Roman"/>
                <w:b w:val="0"/>
                <w:noProof/>
              </w:rPr>
              <w:t>coupled with active sharing of good ideas and practices that can improve efficiency in terms of cost reduction and improvement in performance.</w:t>
            </w:r>
          </w:p>
        </w:tc>
      </w:tr>
    </w:tbl>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5125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hyperlink r:id="rId1" w:history="1">
        <w:r>
          <w:rPr>
            <w:rStyle w:val="Hyperlink"/>
          </w:rPr>
          <w:t>http://ec.europa.eu/environment/waste/framework/support_implementation.htm</w:t>
        </w:r>
      </w:hyperlink>
    </w:p>
  </w:footnote>
  <w:footnote w:id="2">
    <w:p>
      <w:pPr>
        <w:pStyle w:val="FootnoteText"/>
      </w:pPr>
      <w:r>
        <w:rPr>
          <w:rStyle w:val="FootnoteReference"/>
        </w:rPr>
        <w:footnoteRef/>
      </w:r>
      <w:r>
        <w:t xml:space="preserve"> Roadmap for Cyprus: </w:t>
      </w:r>
      <w:hyperlink r:id="rId2" w:history="1">
        <w:r>
          <w:rPr>
            <w:rStyle w:val="Hyperlink"/>
          </w:rPr>
          <w:t>http://ec.europa.eu/environment/waste/framework/pdf/facsheets%20and%20roadmaps/Roadmap_Cyprus.pdf</w:t>
        </w:r>
      </w:hyperlink>
    </w:p>
  </w:footnote>
  <w:footnote w:id="3">
    <w:p>
      <w:pPr>
        <w:pStyle w:val="FootnoteText"/>
      </w:pPr>
      <w:r>
        <w:rPr>
          <w:rStyle w:val="FootnoteReference"/>
        </w:rPr>
        <w:footnoteRef/>
      </w:r>
      <w:r>
        <w:t xml:space="preserve"> http://ec.europa.eu/environment/eir/country-reports/index2_en.htm</w:t>
      </w:r>
    </w:p>
  </w:footnote>
  <w:footnote w:id="4">
    <w:p>
      <w:pPr>
        <w:pStyle w:val="FootnoteText"/>
        <w:rPr>
          <w:b/>
          <w:i/>
        </w:rPr>
      </w:pPr>
      <w:r>
        <w:rPr>
          <w:rStyle w:val="FootnoteReference"/>
        </w:rPr>
        <w:footnoteRef/>
      </w:r>
      <w:r>
        <w:t xml:space="preserve"> Eunomia Research &amp; Consulting </w:t>
      </w:r>
      <w:r>
        <w:rPr>
          <w:i/>
        </w:rPr>
        <w:t>et al.</w:t>
      </w:r>
      <w:r>
        <w:t xml:space="preserve"> (2018) ‘Study to identify Member States at risk of non-compliance with the 2020 target of the Waste Framework Directive and to follow-up phase 1 and 2 of the compliance promotion exercise. The early warning report: Cyprus.’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7C8"/>
    <w:multiLevelType w:val="multilevel"/>
    <w:tmpl w:val="7674CA30"/>
    <w:lvl w:ilvl="0">
      <w:start w:val="3"/>
      <w:numFmt w:val="decimal"/>
      <w:lvlText w:val="%1)"/>
      <w:lvlJc w:val="left"/>
      <w:pPr>
        <w:ind w:left="360" w:hanging="360"/>
      </w:pPr>
      <w:rPr>
        <w:rFonts w:hint="default"/>
        <w:color w:val="8064A2" w:themeColor="accent4"/>
      </w:rPr>
    </w:lvl>
    <w:lvl w:ilvl="1">
      <w:start w:val="1"/>
      <w:numFmt w:val="lowerLetter"/>
      <w:pStyle w:val="Liststyle3a3betc"/>
      <w:lvlText w:val="%1%2)"/>
      <w:lvlJc w:val="left"/>
      <w:pPr>
        <w:ind w:left="720" w:hanging="360"/>
      </w:pPr>
      <w:rPr>
        <w:rFonts w:hint="default"/>
        <w:color w:val="8064A2" w:themeColor="accent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9C4A68"/>
    <w:multiLevelType w:val="hybridMultilevel"/>
    <w:tmpl w:val="44CCC402"/>
    <w:lvl w:ilvl="0" w:tplc="FE941192">
      <w:start w:val="1"/>
      <w:numFmt w:val="decimal"/>
      <w:pStyle w:val="StyleNumbering"/>
      <w:lvlText w:val="%1)"/>
      <w:lvlJc w:val="left"/>
      <w:pPr>
        <w:ind w:left="720" w:hanging="360"/>
      </w:pPr>
      <w:rPr>
        <w:rFonts w:hint="default"/>
        <w:color w:val="8064A2" w:themeColor="accent4"/>
      </w:rPr>
    </w:lvl>
    <w:lvl w:ilvl="1" w:tplc="CB60A54C">
      <w:start w:val="1"/>
      <w:numFmt w:val="lowerLetter"/>
      <w:lvlText w:val="%2."/>
      <w:lvlJc w:val="left"/>
      <w:pPr>
        <w:ind w:left="1440" w:hanging="360"/>
      </w:pPr>
      <w:rPr>
        <w:rFonts w:hint="default"/>
        <w:color w:val="8064A2" w:themeColor="accent4"/>
      </w:rPr>
    </w:lvl>
    <w:lvl w:ilvl="2" w:tplc="93B29D46">
      <w:start w:val="1"/>
      <w:numFmt w:val="lowerRoman"/>
      <w:lvlText w:val="%3."/>
      <w:lvlJc w:val="right"/>
      <w:pPr>
        <w:ind w:left="2160" w:hanging="180"/>
      </w:pPr>
      <w:rPr>
        <w:rFonts w:hint="default"/>
        <w:color w:val="8064A2" w:themeColor="accent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D85F8F"/>
    <w:multiLevelType w:val="hybridMultilevel"/>
    <w:tmpl w:val="AC3C0B40"/>
    <w:lvl w:ilvl="0" w:tplc="E7A4FC24">
      <w:start w:val="1"/>
      <w:numFmt w:val="lowerLetter"/>
      <w:lvlText w:val="%1."/>
      <w:lvlJc w:val="left"/>
      <w:pPr>
        <w:ind w:left="927" w:hanging="360"/>
      </w:pPr>
      <w:rPr>
        <w:rFonts w:hint="default"/>
        <w:b/>
        <w:i w:val="0"/>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28742F61"/>
    <w:multiLevelType w:val="hybridMultilevel"/>
    <w:tmpl w:val="1394677A"/>
    <w:lvl w:ilvl="0" w:tplc="12522B28">
      <w:start w:val="1"/>
      <w:numFmt w:val="decimal"/>
      <w:lvlText w:val="%1)"/>
      <w:lvlJc w:val="left"/>
      <w:pPr>
        <w:ind w:left="360" w:hanging="360"/>
      </w:pPr>
      <w:rPr>
        <w:rFonts w:hint="default"/>
        <w:b/>
        <w:color w:val="auto"/>
      </w:rPr>
    </w:lvl>
    <w:lvl w:ilvl="1" w:tplc="29503B20">
      <w:start w:val="1"/>
      <w:numFmt w:val="lowerLetter"/>
      <w:lvlText w:val="%2."/>
      <w:lvlJc w:val="left"/>
      <w:pPr>
        <w:ind w:left="1080" w:hanging="360"/>
      </w:pPr>
      <w:rPr>
        <w:rFonts w:hint="default"/>
        <w:b/>
        <w:color w:val="auto"/>
      </w:rPr>
    </w:lvl>
    <w:lvl w:ilvl="2" w:tplc="93B29D46">
      <w:start w:val="1"/>
      <w:numFmt w:val="lowerRoman"/>
      <w:lvlText w:val="%3."/>
      <w:lvlJc w:val="right"/>
      <w:pPr>
        <w:ind w:left="1800" w:hanging="180"/>
      </w:pPr>
      <w:rPr>
        <w:rFonts w:hint="default"/>
        <w:color w:val="8064A2" w:themeColor="accent4"/>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E68002A"/>
    <w:multiLevelType w:val="multilevel"/>
    <w:tmpl w:val="C2CEF784"/>
    <w:styleLink w:val="AlphaNumericliststyle"/>
    <w:lvl w:ilvl="0">
      <w:start w:val="1"/>
      <w:numFmt w:val="decimal"/>
      <w:lvlText w:val="%1)"/>
      <w:lvlJc w:val="left"/>
      <w:pPr>
        <w:ind w:left="360" w:hanging="360"/>
      </w:pPr>
      <w:rPr>
        <w:rFonts w:hint="default"/>
        <w:color w:val="8064A2" w:themeColor="accent4"/>
      </w:rPr>
    </w:lvl>
    <w:lvl w:ilvl="1">
      <w:start w:val="1"/>
      <w:numFmt w:val="lowerLetter"/>
      <w:pStyle w:val="Liststyle1a1betc"/>
      <w:lvlText w:val="%1%2)"/>
      <w:lvlJc w:val="left"/>
      <w:pPr>
        <w:ind w:left="720" w:hanging="360"/>
      </w:pPr>
      <w:rPr>
        <w:rFonts w:hint="default"/>
        <w:color w:val="8064A2" w:themeColor="accent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04D055A"/>
    <w:multiLevelType w:val="multilevel"/>
    <w:tmpl w:val="F6F8333A"/>
    <w:lvl w:ilvl="0">
      <w:start w:val="1"/>
      <w:numFmt w:val="bullet"/>
      <w:pStyle w:val="ListBullet"/>
      <w:lvlText w:val=""/>
      <w:lvlJc w:val="left"/>
      <w:pPr>
        <w:ind w:left="1080" w:hanging="360"/>
      </w:pPr>
      <w:rPr>
        <w:rFonts w:ascii="Symbol" w:hAnsi="Symbol" w:hint="default"/>
        <w:color w:val="8064A2" w:themeColor="accent4"/>
      </w:rPr>
    </w:lvl>
    <w:lvl w:ilvl="1">
      <w:start w:val="1"/>
      <w:numFmt w:val="bullet"/>
      <w:lvlText w:val="o"/>
      <w:lvlJc w:val="left"/>
      <w:pPr>
        <w:ind w:left="1800" w:hanging="360"/>
      </w:pPr>
      <w:rPr>
        <w:rFonts w:ascii="Courier New" w:hAnsi="Courier New" w:hint="default"/>
        <w:color w:val="8064A2" w:themeColor="accent4"/>
      </w:rPr>
    </w:lvl>
    <w:lvl w:ilvl="2">
      <w:start w:val="1"/>
      <w:numFmt w:val="bullet"/>
      <w:lvlText w:val=""/>
      <w:lvlJc w:val="left"/>
      <w:pPr>
        <w:ind w:left="2520" w:hanging="360"/>
      </w:pPr>
      <w:rPr>
        <w:rFonts w:ascii="Wingdings" w:hAnsi="Wingdings" w:hint="default"/>
        <w:color w:val="8064A2" w:themeColor="accent4"/>
      </w:rPr>
    </w:lvl>
    <w:lvl w:ilvl="3">
      <w:start w:val="1"/>
      <w:numFmt w:val="bullet"/>
      <w:lvlText w:val=""/>
      <w:lvlJc w:val="left"/>
      <w:pPr>
        <w:ind w:left="3240" w:hanging="360"/>
      </w:pPr>
      <w:rPr>
        <w:rFonts w:ascii="Symbol" w:hAnsi="Symbol" w:hint="default"/>
        <w:color w:val="8064A2" w:themeColor="accent4"/>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48B50742"/>
    <w:multiLevelType w:val="multilevel"/>
    <w:tmpl w:val="C2CEF784"/>
    <w:numStyleLink w:val="AlphaNumericliststyle"/>
  </w:abstractNum>
  <w:abstractNum w:abstractNumId="7">
    <w:nsid w:val="7ACE0DEA"/>
    <w:multiLevelType w:val="hybridMultilevel"/>
    <w:tmpl w:val="DB1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2D518D"/>
    <w:multiLevelType w:val="multilevel"/>
    <w:tmpl w:val="A5B22C44"/>
    <w:lvl w:ilvl="0">
      <w:start w:val="2"/>
      <w:numFmt w:val="decimal"/>
      <w:lvlText w:val="%1)"/>
      <w:lvlJc w:val="left"/>
      <w:pPr>
        <w:ind w:left="360" w:hanging="360"/>
      </w:pPr>
      <w:rPr>
        <w:rFonts w:hint="default"/>
        <w:color w:val="8064A2" w:themeColor="accent4"/>
      </w:rPr>
    </w:lvl>
    <w:lvl w:ilvl="1">
      <w:start w:val="1"/>
      <w:numFmt w:val="lowerLetter"/>
      <w:pStyle w:val="Liststyle2a2betc"/>
      <w:lvlText w:val="%1%2)"/>
      <w:lvlJc w:val="left"/>
      <w:pPr>
        <w:ind w:left="720" w:hanging="360"/>
      </w:pPr>
      <w:rPr>
        <w:rFonts w:hint="default"/>
        <w:color w:val="8064A2" w:themeColor="accent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7CEF30B7"/>
    <w:multiLevelType w:val="hybridMultilevel"/>
    <w:tmpl w:val="1D74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8"/>
  </w:num>
  <w:num w:numId="6">
    <w:abstractNumId w:val="0"/>
  </w:num>
  <w:num w:numId="7">
    <w:abstractNumId w:val="3"/>
  </w:num>
  <w:num w:numId="8">
    <w:abstractNumId w:val="1"/>
    <w:lvlOverride w:ilvl="0">
      <w:startOverride w:val="1"/>
    </w:lvlOverride>
  </w:num>
  <w:num w:numId="9">
    <w:abstractNumId w:val="8"/>
  </w:num>
  <w:num w:numId="10">
    <w:abstractNumId w:val="8"/>
  </w:num>
  <w:num w:numId="11">
    <w:abstractNumId w:val="8"/>
  </w:num>
  <w:num w:numId="12">
    <w:abstractNumId w:val="8"/>
  </w:num>
  <w:num w:numId="13">
    <w:abstractNumId w:val="8"/>
  </w:num>
  <w:num w:numId="14">
    <w:abstractNumId w:val="8"/>
  </w:num>
  <w:num w:numId="15">
    <w:abstractNumId w:val="5"/>
  </w:num>
  <w:num w:numId="16">
    <w:abstractNumId w:val="2"/>
  </w:num>
  <w:num w:numId="17">
    <w:abstractNumId w:val="5"/>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AE3814D0-D82E-4EE1-BFD2-039FAB6DCA0C"/>
    <w:docVar w:name="LW_COVERPAGE_TYPE" w:val="1"/>
    <w:docVar w:name="LW_CROSSREFERENCE" w:val="{COM(2018) 656 final}_x000b_{SWD(2018) 413 final}_x000b_{SWD(2018) 414 final}_x000b_{SWD(2018) 416 final}_x000b_{SWD(2018) 417 final}_x000b_{SWD(2018) 418 final}_x000b_{SWD(2018) 419 final}_x000b_{SWD(2018) 420 final}_x000b_{SWD(2018) 421 final}_x000b_{SWD(2018) 422 final}_x000b_{SWD(2018) 423 final}_x000b_{SWD(2018) 424 final}_x000b_{SWD(2018) 425 final}_x000b_{SWD(2018) 426 final}"/>
    <w:docVar w:name="LW_DocType" w:val="NORMAL"/>
    <w:docVar w:name="LW_EMISSION" w:val="24.9.2018"/>
    <w:docVar w:name="LW_EMISSION_ISODATE" w:val="2018-09-24"/>
    <w:docVar w:name="LW_EMISSION_LOCATION" w:val="BRX"/>
    <w:docVar w:name="LW_EMISSION_PREFIX" w:val="Brussels, "/>
    <w:docVar w:name="LW_EMISSION_SUFFIX" w:val="&lt;EMPTY&gt;"/>
    <w:docVar w:name="LW_ID_DOCTYPE_NONLW" w:val="CP-025"/>
    <w:docVar w:name="LW_LANGUE" w:val="EN"/>
    <w:docVar w:name="LW_LEVEL_OF_SENSITIVITY" w:val="Standard treatment"/>
    <w:docVar w:name="LW_NOM.INST" w:val="EUROPEAN COMMISSION"/>
    <w:docVar w:name="LW_NOM.INST_JOINTDOC" w:val="&lt;EMPTY&gt;"/>
    <w:docVar w:name="LW_OBJETACTEPRINCIPAL.CP" w:val="on the implementation of EU waste legislation, including the early warning report for the Member States at risk of meeting the preparation for re-use/recycling target on municipal waste"/>
    <w:docVar w:name="LW_PART_NBR" w:val="1"/>
    <w:docVar w:name="LW_PART_NBR_TOTAL" w:val="1"/>
    <w:docVar w:name="LW_REF.INST.NEW" w:val="SWD"/>
    <w:docVar w:name="LW_REF.INST.NEW_ADOPTED" w:val="final"/>
    <w:docVar w:name="LW_REF.INST.NEW_TEXT" w:val="(2018) 4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The early warning report for Cyprus"/>
    <w:docVar w:name="LW_TYPE.DOC.CP" w:val="COMMISSION STAFF WORKING DOCUMENT"/>
    <w:docVar w:name="LW_TYPEACTEPRINCIPAL.CP" w:val="REPORT FROM THE COMMISSION TO THE EUROPEAN PARLIAMENT, THE COUNCIL, THE EUROPEAN ECONOMIC AND SOCIAL COMMITTEE AND THE COMMITTEE OF THE REGIONS"/>
    <w:docVar w:name="Stamp" w:val="\\dossiers.dgt.cec.eu.int\dossiers\ENV\ENV-2018-00422\ENV-2018-00422-00-03-EN-EDT-00.201806291326054119213.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aliases w:val="Style Bullet,Numbered Para 1,Dot pt,No Spacing1,List Paragraph Char Char Char,Indicator Text,List Paragraph1,Bullet Points,Bullet 1,MAIN CONTENT,List Paragraph12,F5 List Paragraph,OBC Bullet,Colorful List - Accent 11,Normal numbered"/>
    <w:basedOn w:val="Normal"/>
    <w:link w:val="ListParagraphChar"/>
    <w:uiPriority w:val="34"/>
    <w:qFormat/>
    <w:pPr>
      <w:spacing w:before="120" w:after="120" w:line="240" w:lineRule="auto"/>
      <w:ind w:left="720"/>
      <w:contextualSpacing/>
    </w:pPr>
    <w:rPr>
      <w:rFonts w:eastAsia="Times New Roman" w:cs="Arial"/>
      <w:sz w:val="24"/>
      <w:szCs w:val="24"/>
      <w:lang w:eastAsia="en-GB"/>
    </w:rPr>
  </w:style>
  <w:style w:type="paragraph" w:customStyle="1" w:styleId="StyleNumbering">
    <w:name w:val="Style Numbering"/>
    <w:basedOn w:val="ListParagraph"/>
    <w:link w:val="StyleNumberingChar"/>
    <w:qFormat/>
    <w:pPr>
      <w:numPr>
        <w:numId w:val="2"/>
      </w:numPr>
    </w:pPr>
  </w:style>
  <w:style w:type="paragraph" w:styleId="ListBullet">
    <w:name w:val="List Bullet"/>
    <w:basedOn w:val="Normal"/>
    <w:qFormat/>
    <w:pPr>
      <w:numPr>
        <w:numId w:val="1"/>
      </w:numPr>
      <w:spacing w:before="120" w:after="120" w:line="240" w:lineRule="auto"/>
      <w:contextualSpacing/>
    </w:pPr>
    <w:rPr>
      <w:rFonts w:eastAsia="Times New Roman" w:cs="Arial"/>
      <w:sz w:val="24"/>
      <w:szCs w:val="24"/>
      <w:lang w:eastAsia="en-GB"/>
    </w:rPr>
  </w:style>
  <w:style w:type="character" w:customStyle="1" w:styleId="ListParagraphChar">
    <w:name w:val="List Paragraph Char"/>
    <w:aliases w:val="Style Bullet Char,Numbered Para 1 Char,Dot pt Char,No Spacing1 Char,List Paragraph Char Char Char Char,Indicator Text Char,List Paragraph1 Char,Bullet Points Char,Bullet 1 Char,MAIN CONTENT Char,List Paragraph12 Char,OBC Bullet Char"/>
    <w:basedOn w:val="DefaultParagraphFont"/>
    <w:link w:val="ListParagraph"/>
    <w:uiPriority w:val="34"/>
    <w:qFormat/>
    <w:rPr>
      <w:rFonts w:eastAsia="Times New Roman" w:cs="Arial"/>
      <w:sz w:val="24"/>
      <w:szCs w:val="24"/>
      <w:lang w:eastAsia="en-GB"/>
    </w:rPr>
  </w:style>
  <w:style w:type="character" w:customStyle="1" w:styleId="StyleNumberingChar">
    <w:name w:val="Style Numbering Char"/>
    <w:basedOn w:val="ListParagraphChar"/>
    <w:link w:val="StyleNumbering"/>
    <w:rPr>
      <w:rFonts w:eastAsia="Times New Roman" w:cs="Arial"/>
      <w:sz w:val="24"/>
      <w:szCs w:val="24"/>
      <w:lang w:eastAsia="en-GB"/>
    </w:rPr>
  </w:style>
  <w:style w:type="table" w:customStyle="1" w:styleId="Eunomia-NoTotals">
    <w:name w:val="Eunomia - No Totals"/>
    <w:basedOn w:val="TableNormal"/>
    <w:uiPriority w:val="99"/>
    <w:pPr>
      <w:spacing w:before="60" w:after="60" w:line="240" w:lineRule="auto"/>
      <w:jc w:val="right"/>
    </w:pPr>
    <w:rPr>
      <w:rFonts w:ascii="Calibri" w:eastAsia="Times New Roman" w:hAnsi="Calibri" w:cs="Times New Roman"/>
      <w:sz w:val="24"/>
      <w:szCs w:val="20"/>
      <w:lang w:eastAsia="en-GB"/>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dotted" w:sz="4" w:space="0" w:color="BFBFBF" w:themeColor="background1" w:themeShade="BF"/>
        <w:insideV w:val="single" w:sz="4" w:space="0" w:color="9BBB59" w:themeColor="accent3"/>
      </w:tblBorders>
      <w:tblCellMar>
        <w:top w:w="0" w:type="dxa"/>
        <w:left w:w="108" w:type="dxa"/>
        <w:bottom w:w="0" w:type="dxa"/>
        <w:right w:w="108" w:type="dxa"/>
      </w:tblCellMar>
    </w:tblPr>
    <w:trPr>
      <w:cantSplit/>
    </w:trPr>
    <w:tcPr>
      <w:vAlign w:val="center"/>
    </w:tcPr>
    <w:tblStylePr w:type="firstRow">
      <w:rPr>
        <w:b/>
      </w:rPr>
      <w:tblPr/>
      <w:tcPr>
        <w:tcBorders>
          <w:top w:val="single" w:sz="4" w:space="0" w:color="A6A6A6" w:themeColor="background1" w:themeShade="A6"/>
        </w:tcBorders>
        <w:shd w:val="clear" w:color="auto" w:fill="BFBFBF" w:themeFill="background1" w:themeFillShade="BF"/>
      </w:tcPr>
    </w:tblStylePr>
    <w:tblStylePr w:type="lastRow">
      <w:tblPr/>
      <w:tcPr>
        <w:tcBorders>
          <w:bottom w:val="single" w:sz="4" w:space="0" w:color="A6A6A6" w:themeColor="background1" w:themeShade="A6"/>
        </w:tcBorders>
      </w:tcPr>
    </w:tblStylePr>
    <w:tblStylePr w:type="firstCol">
      <w:pPr>
        <w:jc w:val="left"/>
      </w:pPr>
      <w:rPr>
        <w:b/>
      </w:rPr>
      <w:tblPr/>
      <w:tcPr>
        <w:tcBorders>
          <w:left w:val="single" w:sz="4" w:space="0" w:color="A6A6A6" w:themeColor="background1" w:themeShade="A6"/>
        </w:tcBorders>
        <w:shd w:val="clear" w:color="auto" w:fill="F2F2F2" w:themeFill="background1" w:themeFillShade="F2"/>
      </w:tcPr>
    </w:tblStylePr>
    <w:tblStylePr w:type="lastCol">
      <w:tblPr/>
      <w:tcPr>
        <w:tcBorders>
          <w:right w:val="single" w:sz="4" w:space="0" w:color="A6A6A6" w:themeColor="background1" w:themeShade="A6"/>
        </w:tcBorders>
      </w:tcPr>
    </w:tblStylePr>
  </w:style>
  <w:style w:type="numbering" w:customStyle="1" w:styleId="AlphaNumericliststyle">
    <w:name w:val="AlphaNumeric list style"/>
    <w:uiPriority w:val="99"/>
    <w:pPr>
      <w:numPr>
        <w:numId w:val="3"/>
      </w:numPr>
    </w:pPr>
  </w:style>
  <w:style w:type="paragraph" w:customStyle="1" w:styleId="Liststyle1a1betc">
    <w:name w:val="List style 1a 1b etc"/>
    <w:basedOn w:val="ListParagraph"/>
    <w:qFormat/>
    <w:pPr>
      <w:numPr>
        <w:ilvl w:val="1"/>
        <w:numId w:val="4"/>
      </w:numPr>
      <w:tabs>
        <w:tab w:val="num" w:pos="360"/>
      </w:tabs>
      <w:ind w:firstLine="0"/>
      <w:contextualSpacing w:val="0"/>
    </w:pPr>
  </w:style>
  <w:style w:type="paragraph" w:customStyle="1" w:styleId="Liststyle2a2betc">
    <w:name w:val="List style 2a 2b etc"/>
    <w:basedOn w:val="ListParagraph"/>
    <w:qFormat/>
    <w:pPr>
      <w:numPr>
        <w:ilvl w:val="1"/>
        <w:numId w:val="5"/>
      </w:numPr>
      <w:contextualSpacing w:val="0"/>
    </w:pPr>
  </w:style>
  <w:style w:type="paragraph" w:customStyle="1" w:styleId="Liststyle3a3betc">
    <w:name w:val="List style 3a 3b etc"/>
    <w:basedOn w:val="ListBullet"/>
    <w:qFormat/>
    <w:pPr>
      <w:numPr>
        <w:ilvl w:val="1"/>
        <w:numId w:val="6"/>
      </w:numPr>
      <w:tabs>
        <w:tab w:val="left" w:pos="357"/>
        <w:tab w:val="left" w:pos="720"/>
      </w:tabs>
      <w:contextualSpacing w:val="0"/>
    </w:p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aliases w:val="Style Bullet,Numbered Para 1,Dot pt,No Spacing1,List Paragraph Char Char Char,Indicator Text,List Paragraph1,Bullet Points,Bullet 1,MAIN CONTENT,List Paragraph12,F5 List Paragraph,OBC Bullet,Colorful List - Accent 11,Normal numbered"/>
    <w:basedOn w:val="Normal"/>
    <w:link w:val="ListParagraphChar"/>
    <w:uiPriority w:val="34"/>
    <w:qFormat/>
    <w:pPr>
      <w:spacing w:before="120" w:after="120" w:line="240" w:lineRule="auto"/>
      <w:ind w:left="720"/>
      <w:contextualSpacing/>
    </w:pPr>
    <w:rPr>
      <w:rFonts w:eastAsia="Times New Roman" w:cs="Arial"/>
      <w:sz w:val="24"/>
      <w:szCs w:val="24"/>
      <w:lang w:eastAsia="en-GB"/>
    </w:rPr>
  </w:style>
  <w:style w:type="paragraph" w:customStyle="1" w:styleId="StyleNumbering">
    <w:name w:val="Style Numbering"/>
    <w:basedOn w:val="ListParagraph"/>
    <w:link w:val="StyleNumberingChar"/>
    <w:qFormat/>
    <w:pPr>
      <w:numPr>
        <w:numId w:val="2"/>
      </w:numPr>
    </w:pPr>
  </w:style>
  <w:style w:type="paragraph" w:styleId="ListBullet">
    <w:name w:val="List Bullet"/>
    <w:basedOn w:val="Normal"/>
    <w:qFormat/>
    <w:pPr>
      <w:numPr>
        <w:numId w:val="1"/>
      </w:numPr>
      <w:spacing w:before="120" w:after="120" w:line="240" w:lineRule="auto"/>
      <w:contextualSpacing/>
    </w:pPr>
    <w:rPr>
      <w:rFonts w:eastAsia="Times New Roman" w:cs="Arial"/>
      <w:sz w:val="24"/>
      <w:szCs w:val="24"/>
      <w:lang w:eastAsia="en-GB"/>
    </w:rPr>
  </w:style>
  <w:style w:type="character" w:customStyle="1" w:styleId="ListParagraphChar">
    <w:name w:val="List Paragraph Char"/>
    <w:aliases w:val="Style Bullet Char,Numbered Para 1 Char,Dot pt Char,No Spacing1 Char,List Paragraph Char Char Char Char,Indicator Text Char,List Paragraph1 Char,Bullet Points Char,Bullet 1 Char,MAIN CONTENT Char,List Paragraph12 Char,OBC Bullet Char"/>
    <w:basedOn w:val="DefaultParagraphFont"/>
    <w:link w:val="ListParagraph"/>
    <w:uiPriority w:val="34"/>
    <w:qFormat/>
    <w:rPr>
      <w:rFonts w:eastAsia="Times New Roman" w:cs="Arial"/>
      <w:sz w:val="24"/>
      <w:szCs w:val="24"/>
      <w:lang w:eastAsia="en-GB"/>
    </w:rPr>
  </w:style>
  <w:style w:type="character" w:customStyle="1" w:styleId="StyleNumberingChar">
    <w:name w:val="Style Numbering Char"/>
    <w:basedOn w:val="ListParagraphChar"/>
    <w:link w:val="StyleNumbering"/>
    <w:rPr>
      <w:rFonts w:eastAsia="Times New Roman" w:cs="Arial"/>
      <w:sz w:val="24"/>
      <w:szCs w:val="24"/>
      <w:lang w:eastAsia="en-GB"/>
    </w:rPr>
  </w:style>
  <w:style w:type="table" w:customStyle="1" w:styleId="Eunomia-NoTotals">
    <w:name w:val="Eunomia - No Totals"/>
    <w:basedOn w:val="TableNormal"/>
    <w:uiPriority w:val="99"/>
    <w:pPr>
      <w:spacing w:before="60" w:after="60" w:line="240" w:lineRule="auto"/>
      <w:jc w:val="right"/>
    </w:pPr>
    <w:rPr>
      <w:rFonts w:ascii="Calibri" w:eastAsia="Times New Roman" w:hAnsi="Calibri" w:cs="Times New Roman"/>
      <w:sz w:val="24"/>
      <w:szCs w:val="20"/>
      <w:lang w:eastAsia="en-GB"/>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dotted" w:sz="4" w:space="0" w:color="BFBFBF" w:themeColor="background1" w:themeShade="BF"/>
        <w:insideV w:val="single" w:sz="4" w:space="0" w:color="9BBB59" w:themeColor="accent3"/>
      </w:tblBorders>
      <w:tblCellMar>
        <w:top w:w="0" w:type="dxa"/>
        <w:left w:w="108" w:type="dxa"/>
        <w:bottom w:w="0" w:type="dxa"/>
        <w:right w:w="108" w:type="dxa"/>
      </w:tblCellMar>
    </w:tblPr>
    <w:trPr>
      <w:cantSplit/>
    </w:trPr>
    <w:tcPr>
      <w:vAlign w:val="center"/>
    </w:tcPr>
    <w:tblStylePr w:type="firstRow">
      <w:rPr>
        <w:b/>
      </w:rPr>
      <w:tblPr/>
      <w:tcPr>
        <w:tcBorders>
          <w:top w:val="single" w:sz="4" w:space="0" w:color="A6A6A6" w:themeColor="background1" w:themeShade="A6"/>
        </w:tcBorders>
        <w:shd w:val="clear" w:color="auto" w:fill="BFBFBF" w:themeFill="background1" w:themeFillShade="BF"/>
      </w:tcPr>
    </w:tblStylePr>
    <w:tblStylePr w:type="lastRow">
      <w:tblPr/>
      <w:tcPr>
        <w:tcBorders>
          <w:bottom w:val="single" w:sz="4" w:space="0" w:color="A6A6A6" w:themeColor="background1" w:themeShade="A6"/>
        </w:tcBorders>
      </w:tcPr>
    </w:tblStylePr>
    <w:tblStylePr w:type="firstCol">
      <w:pPr>
        <w:jc w:val="left"/>
      </w:pPr>
      <w:rPr>
        <w:b/>
      </w:rPr>
      <w:tblPr/>
      <w:tcPr>
        <w:tcBorders>
          <w:left w:val="single" w:sz="4" w:space="0" w:color="A6A6A6" w:themeColor="background1" w:themeShade="A6"/>
        </w:tcBorders>
        <w:shd w:val="clear" w:color="auto" w:fill="F2F2F2" w:themeFill="background1" w:themeFillShade="F2"/>
      </w:tcPr>
    </w:tblStylePr>
    <w:tblStylePr w:type="lastCol">
      <w:tblPr/>
      <w:tcPr>
        <w:tcBorders>
          <w:right w:val="single" w:sz="4" w:space="0" w:color="A6A6A6" w:themeColor="background1" w:themeShade="A6"/>
        </w:tcBorders>
      </w:tcPr>
    </w:tblStylePr>
  </w:style>
  <w:style w:type="numbering" w:customStyle="1" w:styleId="AlphaNumericliststyle">
    <w:name w:val="AlphaNumeric list style"/>
    <w:uiPriority w:val="99"/>
    <w:pPr>
      <w:numPr>
        <w:numId w:val="3"/>
      </w:numPr>
    </w:pPr>
  </w:style>
  <w:style w:type="paragraph" w:customStyle="1" w:styleId="Liststyle1a1betc">
    <w:name w:val="List style 1a 1b etc"/>
    <w:basedOn w:val="ListParagraph"/>
    <w:qFormat/>
    <w:pPr>
      <w:numPr>
        <w:ilvl w:val="1"/>
        <w:numId w:val="4"/>
      </w:numPr>
      <w:tabs>
        <w:tab w:val="num" w:pos="360"/>
      </w:tabs>
      <w:ind w:firstLine="0"/>
      <w:contextualSpacing w:val="0"/>
    </w:pPr>
  </w:style>
  <w:style w:type="paragraph" w:customStyle="1" w:styleId="Liststyle2a2betc">
    <w:name w:val="List style 2a 2b etc"/>
    <w:basedOn w:val="ListParagraph"/>
    <w:qFormat/>
    <w:pPr>
      <w:numPr>
        <w:ilvl w:val="1"/>
        <w:numId w:val="5"/>
      </w:numPr>
      <w:contextualSpacing w:val="0"/>
    </w:pPr>
  </w:style>
  <w:style w:type="paragraph" w:customStyle="1" w:styleId="Liststyle3a3betc">
    <w:name w:val="List style 3a 3b etc"/>
    <w:basedOn w:val="ListBullet"/>
    <w:qFormat/>
    <w:pPr>
      <w:numPr>
        <w:ilvl w:val="1"/>
        <w:numId w:val="6"/>
      </w:numPr>
      <w:tabs>
        <w:tab w:val="left" w:pos="357"/>
        <w:tab w:val="left" w:pos="720"/>
      </w:tabs>
      <w:contextualSpacing w:val="0"/>
    </w:p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nvironment/waste/framework/pdf/facsheets%20and%20roadmaps/Roadmap_Cyprus.pdf" TargetMode="External"/><Relationship Id="rId1" Type="http://schemas.openxmlformats.org/officeDocument/2006/relationships/hyperlink" Target="http://ec.europa.eu/environment/waste/framework/support_implement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AE4A7-8FA1-48F4-9176-94CD19A2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4714</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dcterms:created xsi:type="dcterms:W3CDTF">2018-07-25T10:53:00Z</dcterms:created>
  <dcterms:modified xsi:type="dcterms:W3CDTF">2018-09-17T10:18:00Z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ies>
</file>