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6308EDA-79E1-483D-B329-504B43267560" style="width:450.75pt;height:498.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5"/>
        </w:numPr>
        <w:jc w:val="both"/>
        <w:rPr>
          <w:rFonts w:ascii="Times New Roman" w:hAnsi="Times New Roman" w:cs="Times New Roman"/>
          <w:b/>
          <w:noProof/>
        </w:rPr>
      </w:pPr>
      <w:bookmarkStart w:id="1" w:name="_GoBack"/>
      <w:bookmarkEnd w:id="1"/>
      <w:r>
        <w:rPr>
          <w:rFonts w:ascii="Times New Roman" w:hAnsi="Times New Roman" w:cs="Times New Roman"/>
          <w:b/>
          <w:noProof/>
        </w:rPr>
        <w:lastRenderedPageBreak/>
        <w:t>Introduction</w:t>
      </w:r>
    </w:p>
    <w:p>
      <w:pPr>
        <w:jc w:val="both"/>
        <w:rPr>
          <w:rFonts w:ascii="Times New Roman" w:hAnsi="Times New Roman" w:cs="Times New Roman"/>
          <w:noProof/>
          <w:sz w:val="24"/>
          <w:szCs w:val="24"/>
        </w:rPr>
      </w:pPr>
      <w:r>
        <w:rPr>
          <w:rFonts w:ascii="Times New Roman" w:hAnsi="Times New Roman" w:cs="Times New Roman"/>
          <w:noProof/>
          <w:sz w:val="24"/>
          <w:szCs w:val="24"/>
        </w:rPr>
        <w:t>This early warning report is part of the Commission's overall implementation report and aims to assist Member States at risk of failing to meet the 2020 target of 50 % preparation for re-use/recycling of municipal waste set out in Article 11(2)(a) of Directive 2008/98/EC. It builds on previous support provided by the Commission to help Member States comply</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with EU law in the area of municipal waste management. This resulted in country-specific roadmaps</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being drawn up for the relevant Member States.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assessment underpinning the early warning report is based on a collaborative and transparent process involving the Member States concerned and an in-depth analysis of their most recent policy developments. This also involved extensive consultation with the authorities in charge of waste management. </w:t>
      </w:r>
    </w:p>
    <w:p>
      <w:pPr>
        <w:jc w:val="both"/>
        <w:rPr>
          <w:rFonts w:ascii="Times New Roman" w:hAnsi="Times New Roman" w:cs="Times New Roman"/>
          <w:noProof/>
          <w:sz w:val="24"/>
          <w:szCs w:val="24"/>
        </w:rPr>
      </w:pPr>
      <w:r>
        <w:rPr>
          <w:rFonts w:ascii="Times New Roman" w:hAnsi="Times New Roman" w:cs="Times New Roman"/>
          <w:noProof/>
          <w:sz w:val="24"/>
          <w:szCs w:val="24"/>
        </w:rPr>
        <w:t>The possible actions identified during this process are based on the existing best practices and aim to help Member States in meeting the 2020 municipal waste preparation for re-use/recycling target; they therefore focus on policy measures that can be taken forward in the short term. These actions should be seen as complementary to those recommended in the roadmaps that were drawn up as part of the preceding compliance promotion activities and to the recommendations made in the Environmental Implementation Review</w:t>
      </w:r>
      <w:r>
        <w:rPr>
          <w:rStyle w:val="FootnoteReference"/>
          <w:rFonts w:ascii="Times New Roman" w:hAnsi="Times New Roman" w:cs="Times New Roman"/>
          <w:noProof/>
          <w:sz w:val="24"/>
          <w:szCs w:val="24"/>
        </w:rPr>
        <w:footnoteReference w:id="3"/>
      </w:r>
    </w:p>
    <w:p>
      <w:pPr>
        <w:pStyle w:val="ListParagraph"/>
        <w:numPr>
          <w:ilvl w:val="0"/>
          <w:numId w:val="15"/>
        </w:numPr>
        <w:jc w:val="both"/>
        <w:rPr>
          <w:rFonts w:ascii="Times New Roman" w:hAnsi="Times New Roman" w:cs="Times New Roman"/>
          <w:b/>
          <w:noProof/>
        </w:rPr>
      </w:pPr>
      <w:r>
        <w:rPr>
          <w:rFonts w:ascii="Times New Roman" w:hAnsi="Times New Roman" w:cs="Times New Roman"/>
          <w:b/>
          <w:noProof/>
        </w:rPr>
        <w:t>Key findings</w:t>
      </w:r>
    </w:p>
    <w:p>
      <w:pPr>
        <w:jc w:val="both"/>
        <w:rPr>
          <w:rFonts w:ascii="Times New Roman" w:hAnsi="Times New Roman" w:cs="Times New Roman"/>
          <w:noProof/>
          <w:sz w:val="24"/>
          <w:szCs w:val="24"/>
        </w:rPr>
      </w:pPr>
      <w:r>
        <w:rPr>
          <w:rFonts w:ascii="Times New Roman" w:hAnsi="Times New Roman" w:cs="Times New Roman"/>
          <w:noProof/>
          <w:sz w:val="24"/>
          <w:szCs w:val="24"/>
        </w:rPr>
        <w:t>In 2016, the recycling rate (including composting) reported to Eurostat was 21 %. The rate of municipal waste landfilling was 77 %, making it among the highest in the EU. Based on an analysis of existing and firmly planned policies in the area of waste management, Croatia is considered at risk of failing to meet the 2020 target of 50 % preparation for re-use/recycling for municipal waste.</w:t>
      </w:r>
    </w:p>
    <w:p>
      <w:pPr>
        <w:jc w:val="both"/>
        <w:rPr>
          <w:rFonts w:ascii="Times New Roman" w:hAnsi="Times New Roman" w:cs="Times New Roman"/>
          <w:noProof/>
          <w:sz w:val="24"/>
          <w:szCs w:val="24"/>
        </w:rPr>
      </w:pPr>
      <w:r>
        <w:rPr>
          <w:rFonts w:ascii="Times New Roman" w:hAnsi="Times New Roman" w:cs="Times New Roman"/>
          <w:noProof/>
          <w:sz w:val="24"/>
          <w:szCs w:val="24"/>
        </w:rPr>
        <w:t>The assessment</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that underpins the early warning report concludes that:</w:t>
      </w:r>
    </w:p>
    <w:p>
      <w:pPr>
        <w:pStyle w:val="ListParagraph"/>
        <w:numPr>
          <w:ilvl w:val="0"/>
          <w:numId w:val="17"/>
        </w:numPr>
        <w:jc w:val="both"/>
        <w:rPr>
          <w:rFonts w:ascii="Times New Roman" w:hAnsi="Times New Roman" w:cs="Times New Roman"/>
          <w:noProof/>
        </w:rPr>
      </w:pPr>
      <w:r>
        <w:rPr>
          <w:rFonts w:ascii="Times New Roman" w:hAnsi="Times New Roman" w:cs="Times New Roman"/>
          <w:noProof/>
        </w:rPr>
        <w:t>the separate collection of recyclables, including bio-waste, is not yet being carried out effectively;</w:t>
      </w:r>
    </w:p>
    <w:p>
      <w:pPr>
        <w:pStyle w:val="ListParagraph"/>
        <w:numPr>
          <w:ilvl w:val="0"/>
          <w:numId w:val="17"/>
        </w:numPr>
        <w:jc w:val="both"/>
        <w:rPr>
          <w:rFonts w:ascii="Times New Roman" w:hAnsi="Times New Roman" w:cs="Times New Roman"/>
          <w:noProof/>
        </w:rPr>
      </w:pPr>
      <w:r>
        <w:rPr>
          <w:rFonts w:ascii="Times New Roman" w:hAnsi="Times New Roman" w:cs="Times New Roman"/>
          <w:noProof/>
        </w:rPr>
        <w:t>economic incentives for citizens and municipalities are yet to be implemented;</w:t>
      </w:r>
    </w:p>
    <w:p>
      <w:pPr>
        <w:pStyle w:val="ListParagraph"/>
        <w:numPr>
          <w:ilvl w:val="0"/>
          <w:numId w:val="17"/>
        </w:numPr>
        <w:jc w:val="both"/>
        <w:rPr>
          <w:rFonts w:ascii="Times New Roman" w:hAnsi="Times New Roman" w:cs="Times New Roman"/>
          <w:noProof/>
        </w:rPr>
      </w:pPr>
      <w:r>
        <w:rPr>
          <w:rFonts w:ascii="Times New Roman" w:hAnsi="Times New Roman" w:cs="Times New Roman"/>
          <w:noProof/>
        </w:rPr>
        <w:t>the extended producer responsibility schemes in Croatia do not fully cover the costs of separate collection; and</w:t>
      </w:r>
    </w:p>
    <w:p>
      <w:pPr>
        <w:pStyle w:val="ListParagraph"/>
        <w:numPr>
          <w:ilvl w:val="0"/>
          <w:numId w:val="17"/>
        </w:numPr>
        <w:jc w:val="both"/>
        <w:rPr>
          <w:rFonts w:ascii="Times New Roman" w:hAnsi="Times New Roman" w:cs="Times New Roman"/>
          <w:noProof/>
        </w:rPr>
      </w:pPr>
      <w:r>
        <w:rPr>
          <w:rFonts w:ascii="Times New Roman" w:hAnsi="Times New Roman" w:cs="Times New Roman"/>
          <w:noProof/>
        </w:rPr>
        <w:t>more investment is needed in projects higher up the waste hierarchy that go beyond the treatment of residual waste.</w:t>
      </w:r>
    </w:p>
    <w:p>
      <w:pPr>
        <w:jc w:val="both"/>
        <w:rPr>
          <w:rFonts w:ascii="Times New Roman" w:hAnsi="Times New Roman" w:cs="Times New Roman"/>
          <w:noProof/>
          <w:sz w:val="24"/>
          <w:szCs w:val="24"/>
        </w:rPr>
      </w:pPr>
      <w:r>
        <w:rPr>
          <w:rFonts w:ascii="Times New Roman" w:hAnsi="Times New Roman" w:cs="Times New Roman"/>
          <w:noProof/>
          <w:sz w:val="24"/>
          <w:szCs w:val="24"/>
        </w:rPr>
        <w:t>The table below lists possible actions to support Croatia's efforts to improve its performance in waste management.</w:t>
      </w:r>
    </w:p>
    <w:tbl>
      <w:tblPr>
        <w:tblStyle w:val="Eunomia-NoTotals"/>
        <w:tblW w:w="0" w:type="auto"/>
        <w:tblLook w:val="05E0" w:firstRow="1" w:lastRow="1" w:firstColumn="1" w:lastColumn="1" w:noHBand="0" w:noVBand="1"/>
      </w:tblPr>
      <w:tblGrid>
        <w:gridCol w:w="907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pPr>
              <w:spacing w:before="120" w:after="120"/>
              <w:jc w:val="center"/>
              <w:rPr>
                <w:rFonts w:ascii="Times New Roman" w:hAnsi="Times New Roman"/>
                <w:smallCaps/>
                <w:noProof/>
                <w:szCs w:val="24"/>
              </w:rPr>
            </w:pPr>
            <w:r>
              <w:rPr>
                <w:rFonts w:ascii="Times New Roman" w:hAnsi="Times New Roman"/>
                <w:bCs/>
                <w:smallCaps/>
                <w:noProof/>
                <w:szCs w:val="24"/>
              </w:rPr>
              <w:t>Overview of possible actions to improve performance</w:t>
            </w:r>
          </w:p>
        </w:tc>
      </w:tr>
      <w:tr>
        <w:tc>
          <w:tcPr>
            <w:cnfStyle w:val="001000000000" w:firstRow="0" w:lastRow="0" w:firstColumn="1" w:lastColumn="0" w:oddVBand="0" w:evenVBand="0" w:oddHBand="0" w:evenHBand="0" w:firstRowFirstColumn="0" w:firstRowLastColumn="0" w:lastRowFirstColumn="0" w:lastRowLastColumn="0"/>
            <w:tcW w:w="9072" w:type="dxa"/>
          </w:tcPr>
          <w:p>
            <w:pPr>
              <w:spacing w:before="120" w:after="120"/>
              <w:rPr>
                <w:rFonts w:ascii="Times New Roman" w:hAnsi="Times New Roman"/>
                <w:noProof/>
                <w:szCs w:val="24"/>
              </w:rPr>
            </w:pPr>
            <w:r>
              <w:rPr>
                <w:rFonts w:ascii="Times New Roman" w:hAnsi="Times New Roman"/>
                <w:noProof/>
                <w:szCs w:val="24"/>
              </w:rPr>
              <w:t>Data reporting</w:t>
            </w:r>
          </w:p>
        </w:tc>
      </w:tr>
      <w:tr>
        <w:tc>
          <w:tcPr>
            <w:cnfStyle w:val="001000000000" w:firstRow="0" w:lastRow="0" w:firstColumn="1" w:lastColumn="0" w:oddVBand="0" w:evenVBand="0" w:oddHBand="0" w:evenHBand="0" w:firstRowFirstColumn="0" w:firstRowLastColumn="0" w:lastRowFirstColumn="0" w:lastRowLastColumn="0"/>
            <w:tcW w:w="9072" w:type="dxa"/>
            <w:shd w:val="clear" w:color="auto" w:fill="FFFFFF" w:themeFill="background1"/>
          </w:tcPr>
          <w:p>
            <w:pPr>
              <w:pStyle w:val="ListParagraph"/>
              <w:numPr>
                <w:ilvl w:val="0"/>
                <w:numId w:val="7"/>
              </w:numPr>
              <w:rPr>
                <w:rFonts w:ascii="Times New Roman" w:hAnsi="Times New Roman" w:cs="Times New Roman"/>
                <w:b w:val="0"/>
                <w:noProof/>
              </w:rPr>
            </w:pPr>
            <w:r>
              <w:rPr>
                <w:rFonts w:ascii="Times New Roman" w:hAnsi="Times New Roman" w:cs="Times New Roman"/>
                <w:b w:val="0"/>
                <w:noProof/>
              </w:rPr>
              <w:t>Systematic audits on companies providing data on the amounts of packaging placed on the market (producers or producer responsibility organisations — PROs) to ensure that it is in line with the data on municipal waste. Reconciliation of differences between the municipal waste and packaging waste datasets.</w:t>
            </w:r>
          </w:p>
        </w:tc>
      </w:tr>
      <w:tr>
        <w:tc>
          <w:tcPr>
            <w:cnfStyle w:val="001000000000" w:firstRow="0" w:lastRow="0" w:firstColumn="1" w:lastColumn="0" w:oddVBand="0" w:evenVBand="0" w:oddHBand="0" w:evenHBand="0" w:firstRowFirstColumn="0" w:firstRowLastColumn="0" w:lastRowFirstColumn="0" w:lastRowLastColumn="0"/>
            <w:tcW w:w="9072" w:type="dxa"/>
            <w:shd w:val="clear" w:color="auto" w:fill="FFFFFF" w:themeFill="background1"/>
          </w:tcPr>
          <w:p>
            <w:pPr>
              <w:pStyle w:val="ListParagraph"/>
              <w:numPr>
                <w:ilvl w:val="0"/>
                <w:numId w:val="7"/>
              </w:numPr>
              <w:rPr>
                <w:rFonts w:ascii="Times New Roman" w:hAnsi="Times New Roman" w:cs="Times New Roman"/>
                <w:b w:val="0"/>
                <w:noProof/>
              </w:rPr>
            </w:pPr>
            <w:r>
              <w:rPr>
                <w:rFonts w:ascii="Times New Roman" w:hAnsi="Times New Roman" w:cs="Times New Roman"/>
                <w:b w:val="0"/>
                <w:noProof/>
              </w:rPr>
              <w:t>Monitoring more closely the amounts of waste landfilled at those landfills which are still without weighbridges.</w:t>
            </w:r>
          </w:p>
        </w:tc>
      </w:tr>
      <w:tr>
        <w:tc>
          <w:tcPr>
            <w:cnfStyle w:val="001000000000" w:firstRow="0" w:lastRow="0" w:firstColumn="1" w:lastColumn="0" w:oddVBand="0" w:evenVBand="0" w:oddHBand="0" w:evenHBand="0" w:firstRowFirstColumn="0" w:firstRowLastColumn="0" w:lastRowFirstColumn="0" w:lastRowLastColumn="0"/>
            <w:tcW w:w="9072" w:type="dxa"/>
            <w:shd w:val="clear" w:color="auto" w:fill="FFFFFF" w:themeFill="background1"/>
          </w:tcPr>
          <w:p>
            <w:pPr>
              <w:pStyle w:val="ListParagraph"/>
              <w:numPr>
                <w:ilvl w:val="0"/>
                <w:numId w:val="7"/>
              </w:numPr>
              <w:rPr>
                <w:rFonts w:ascii="Times New Roman" w:hAnsi="Times New Roman" w:cs="Times New Roman"/>
                <w:b w:val="0"/>
                <w:noProof/>
              </w:rPr>
            </w:pPr>
            <w:r>
              <w:rPr>
                <w:rFonts w:ascii="Times New Roman" w:hAnsi="Times New Roman" w:cs="Times New Roman"/>
                <w:b w:val="0"/>
                <w:noProof/>
              </w:rPr>
              <w:t>Statistically representative compositional analysis of municipal waste.</w:t>
            </w:r>
          </w:p>
        </w:tc>
      </w:tr>
      <w:tr>
        <w:trPr>
          <w:trHeight w:val="476"/>
        </w:trPr>
        <w:tc>
          <w:tcPr>
            <w:cnfStyle w:val="001000000000" w:firstRow="0" w:lastRow="0" w:firstColumn="1" w:lastColumn="0" w:oddVBand="0" w:evenVBand="0" w:oddHBand="0" w:evenHBand="0" w:firstRowFirstColumn="0" w:firstRowLastColumn="0" w:lastRowFirstColumn="0" w:lastRowLastColumn="0"/>
            <w:tcW w:w="9072" w:type="dxa"/>
          </w:tcPr>
          <w:p>
            <w:pPr>
              <w:pStyle w:val="Liststyle1a1betc"/>
              <w:numPr>
                <w:ilvl w:val="0"/>
                <w:numId w:val="0"/>
              </w:numPr>
              <w:rPr>
                <w:rFonts w:ascii="Times New Roman" w:hAnsi="Times New Roman" w:cs="Times New Roman"/>
                <w:noProof/>
              </w:rPr>
            </w:pPr>
            <w:r>
              <w:rPr>
                <w:rFonts w:ascii="Times New Roman" w:hAnsi="Times New Roman" w:cs="Times New Roman"/>
                <w:noProof/>
              </w:rPr>
              <w:t>Extended producer responsibility</w:t>
            </w:r>
          </w:p>
        </w:tc>
      </w:tr>
      <w:tr>
        <w:tc>
          <w:tcPr>
            <w:cnfStyle w:val="001000000000" w:firstRow="0" w:lastRow="0" w:firstColumn="1" w:lastColumn="0" w:oddVBand="0" w:evenVBand="0" w:oddHBand="0" w:evenHBand="0" w:firstRowFirstColumn="0" w:firstRowLastColumn="0" w:lastRowFirstColumn="0" w:lastRowLastColumn="0"/>
            <w:tcW w:w="9072" w:type="dxa"/>
            <w:shd w:val="clear" w:color="auto" w:fill="FFFFFF" w:themeFill="background1"/>
          </w:tcPr>
          <w:p>
            <w:pPr>
              <w:pStyle w:val="Liststyle1a1betc"/>
              <w:numPr>
                <w:ilvl w:val="0"/>
                <w:numId w:val="7"/>
              </w:numPr>
              <w:rPr>
                <w:rFonts w:ascii="Times New Roman" w:hAnsi="Times New Roman" w:cs="Times New Roman"/>
                <w:b w:val="0"/>
                <w:noProof/>
              </w:rPr>
            </w:pPr>
            <w:r>
              <w:rPr>
                <w:rFonts w:ascii="Times New Roman" w:hAnsi="Times New Roman" w:cs="Times New Roman"/>
                <w:b w:val="0"/>
                <w:noProof/>
              </w:rPr>
              <w:t>Improvements to the functioning of the EPR by either:</w:t>
            </w:r>
          </w:p>
          <w:p>
            <w:pPr>
              <w:pStyle w:val="Liststyle1a1betc"/>
              <w:numPr>
                <w:ilvl w:val="0"/>
                <w:numId w:val="0"/>
              </w:numPr>
              <w:ind w:left="360"/>
              <w:rPr>
                <w:rFonts w:ascii="Times New Roman" w:hAnsi="Times New Roman" w:cs="Times New Roman"/>
                <w:b w:val="0"/>
                <w:noProof/>
              </w:rPr>
            </w:pPr>
            <w:r>
              <w:rPr>
                <w:rFonts w:ascii="Times New Roman" w:hAnsi="Times New Roman" w:cs="Times New Roman"/>
                <w:b w:val="0"/>
                <w:noProof/>
              </w:rPr>
              <w:t>– specifying in detail a minimum level of collection service (see action 6) that producers are required to fund for the local self-government units (LSGUs) so that there is a focus on quality collection services, including door-to-door collection wherever appropriate; or</w:t>
            </w:r>
          </w:p>
          <w:p>
            <w:pPr>
              <w:pStyle w:val="Liststyle1a1betc"/>
              <w:numPr>
                <w:ilvl w:val="0"/>
                <w:numId w:val="0"/>
              </w:numPr>
              <w:ind w:left="360"/>
              <w:rPr>
                <w:rFonts w:ascii="Times New Roman" w:hAnsi="Times New Roman" w:cs="Times New Roman"/>
                <w:b w:val="0"/>
                <w:noProof/>
              </w:rPr>
            </w:pPr>
            <w:r>
              <w:rPr>
                <w:rFonts w:ascii="Times New Roman" w:hAnsi="Times New Roman" w:cs="Times New Roman"/>
                <w:b w:val="0"/>
                <w:noProof/>
              </w:rPr>
              <w:t>– restructuring the existing approach by making producers set up their own not-for-profit PRO, which would be tasked with collecting the fees from producers and distributing them to LSGUs, while ensuring these fees are not more than necessary for the service.</w:t>
            </w:r>
          </w:p>
        </w:tc>
      </w:tr>
      <w:tr>
        <w:tc>
          <w:tcPr>
            <w:cnfStyle w:val="001000000000" w:firstRow="0" w:lastRow="0" w:firstColumn="1" w:lastColumn="0" w:oddVBand="0" w:evenVBand="0" w:oddHBand="0" w:evenHBand="0" w:firstRowFirstColumn="0" w:firstRowLastColumn="0" w:lastRowFirstColumn="0" w:lastRowLastColumn="0"/>
            <w:tcW w:w="9072" w:type="dxa"/>
            <w:shd w:val="clear" w:color="auto" w:fill="FFFFFF" w:themeFill="background1"/>
          </w:tcPr>
          <w:p>
            <w:pPr>
              <w:pStyle w:val="ListParagraph"/>
              <w:numPr>
                <w:ilvl w:val="0"/>
                <w:numId w:val="7"/>
              </w:numPr>
              <w:rPr>
                <w:rFonts w:ascii="Times New Roman" w:hAnsi="Times New Roman" w:cs="Times New Roman"/>
                <w:b w:val="0"/>
                <w:noProof/>
              </w:rPr>
            </w:pPr>
            <w:r>
              <w:rPr>
                <w:rFonts w:ascii="Times New Roman" w:hAnsi="Times New Roman" w:cs="Times New Roman"/>
                <w:b w:val="0"/>
                <w:noProof/>
              </w:rPr>
              <w:t>In both options outlined in point 4, increases to the fees paid by producers or PROs to ensure that they cover the full costs of the collection service.</w:t>
            </w:r>
          </w:p>
        </w:tc>
      </w:tr>
      <w:tr>
        <w:trPr>
          <w:trHeight w:val="540"/>
        </w:trPr>
        <w:tc>
          <w:tcPr>
            <w:cnfStyle w:val="001000000000" w:firstRow="0" w:lastRow="0" w:firstColumn="1" w:lastColumn="0" w:oddVBand="0" w:evenVBand="0" w:oddHBand="0" w:evenHBand="0" w:firstRowFirstColumn="0" w:firstRowLastColumn="0" w:lastRowFirstColumn="0" w:lastRowLastColumn="0"/>
            <w:tcW w:w="9072" w:type="dxa"/>
          </w:tcPr>
          <w:p>
            <w:pPr>
              <w:pStyle w:val="Liststyle2a2betc"/>
              <w:keepNext/>
              <w:numPr>
                <w:ilvl w:val="0"/>
                <w:numId w:val="0"/>
              </w:numPr>
              <w:rPr>
                <w:rFonts w:ascii="Times New Roman" w:hAnsi="Times New Roman" w:cs="Times New Roman"/>
                <w:noProof/>
              </w:rPr>
            </w:pPr>
            <w:r>
              <w:rPr>
                <w:rFonts w:ascii="Times New Roman" w:hAnsi="Times New Roman" w:cs="Times New Roman"/>
                <w:noProof/>
              </w:rPr>
              <w:t>Separate collection</w:t>
            </w:r>
          </w:p>
        </w:tc>
      </w:tr>
      <w:tr>
        <w:trPr>
          <w:trHeight w:val="1375"/>
        </w:trPr>
        <w:tc>
          <w:tcPr>
            <w:cnfStyle w:val="001000000000" w:firstRow="0" w:lastRow="0" w:firstColumn="1" w:lastColumn="0" w:oddVBand="0" w:evenVBand="0" w:oddHBand="0" w:evenHBand="0" w:firstRowFirstColumn="0" w:firstRowLastColumn="0" w:lastRowFirstColumn="0" w:lastRowLastColumn="0"/>
            <w:tcW w:w="9072" w:type="dxa"/>
            <w:shd w:val="clear" w:color="auto" w:fill="FFFFFF" w:themeFill="background1"/>
            <w:vAlign w:val="top"/>
          </w:tcPr>
          <w:p>
            <w:pPr>
              <w:pStyle w:val="Liststyle1a1betc"/>
              <w:numPr>
                <w:ilvl w:val="0"/>
                <w:numId w:val="7"/>
              </w:numPr>
              <w:rPr>
                <w:rFonts w:ascii="Times New Roman" w:hAnsi="Times New Roman" w:cs="Times New Roman"/>
                <w:b w:val="0"/>
                <w:noProof/>
              </w:rPr>
            </w:pPr>
            <w:r>
              <w:rPr>
                <w:rFonts w:ascii="Times New Roman" w:hAnsi="Times New Roman" w:cs="Times New Roman"/>
                <w:b w:val="0"/>
                <w:noProof/>
              </w:rPr>
              <w:t xml:space="preserve">Development of a more prescriptive collection service standard for implementation by LSGUs to ensure a high level of recycling, emphasising door-to-door separate collection, and ensuring a more rapid spread of door-to-door service throughout Croatia. </w:t>
            </w:r>
          </w:p>
        </w:tc>
      </w:tr>
      <w:tr>
        <w:trPr>
          <w:trHeight w:val="558"/>
        </w:trPr>
        <w:tc>
          <w:tcPr>
            <w:cnfStyle w:val="001000000000" w:firstRow="0" w:lastRow="0" w:firstColumn="1" w:lastColumn="0" w:oddVBand="0" w:evenVBand="0" w:oddHBand="0" w:evenHBand="0" w:firstRowFirstColumn="0" w:firstRowLastColumn="0" w:lastRowFirstColumn="0" w:lastRowLastColumn="0"/>
            <w:tcW w:w="9072" w:type="dxa"/>
          </w:tcPr>
          <w:p>
            <w:pPr>
              <w:pStyle w:val="Liststyle2a2betc"/>
              <w:numPr>
                <w:ilvl w:val="0"/>
                <w:numId w:val="0"/>
              </w:numPr>
              <w:rPr>
                <w:rFonts w:ascii="Times New Roman" w:hAnsi="Times New Roman" w:cs="Times New Roman"/>
                <w:noProof/>
              </w:rPr>
            </w:pPr>
            <w:r>
              <w:rPr>
                <w:rFonts w:ascii="Times New Roman" w:hAnsi="Times New Roman" w:cs="Times New Roman"/>
                <w:noProof/>
              </w:rPr>
              <w:t>Regulation and incentives for local authorities</w:t>
            </w:r>
          </w:p>
        </w:tc>
      </w:tr>
      <w:tr>
        <w:tc>
          <w:tcPr>
            <w:cnfStyle w:val="001000000000" w:firstRow="0" w:lastRow="0" w:firstColumn="1" w:lastColumn="0" w:oddVBand="0" w:evenVBand="0" w:oddHBand="0" w:evenHBand="0" w:firstRowFirstColumn="0" w:firstRowLastColumn="0" w:lastRowFirstColumn="0" w:lastRowLastColumn="0"/>
            <w:tcW w:w="9072" w:type="dxa"/>
            <w:shd w:val="clear" w:color="auto" w:fill="FFFFFF" w:themeFill="background1"/>
          </w:tcPr>
          <w:p>
            <w:pPr>
              <w:pStyle w:val="Liststyle2a2betc"/>
              <w:numPr>
                <w:ilvl w:val="0"/>
                <w:numId w:val="7"/>
              </w:numPr>
              <w:rPr>
                <w:rFonts w:ascii="Times New Roman" w:hAnsi="Times New Roman" w:cs="Times New Roman"/>
                <w:b w:val="0"/>
                <w:noProof/>
              </w:rPr>
            </w:pPr>
            <w:r>
              <w:rPr>
                <w:rFonts w:ascii="Times New Roman" w:hAnsi="Times New Roman" w:cs="Times New Roman"/>
                <w:b w:val="0"/>
                <w:noProof/>
              </w:rPr>
              <w:t>Consideration of review of fines for LSGUs that fail to meet the targets - currently the fines are too low and most likely below the costs of achieving the targets while potential increases of fines to a more punitive level over several years would be more effective.</w:t>
            </w:r>
          </w:p>
        </w:tc>
      </w:tr>
      <w:tr>
        <w:tc>
          <w:tcPr>
            <w:cnfStyle w:val="001000000000" w:firstRow="0" w:lastRow="0" w:firstColumn="1" w:lastColumn="0" w:oddVBand="0" w:evenVBand="0" w:oddHBand="0" w:evenHBand="0" w:firstRowFirstColumn="0" w:firstRowLastColumn="0" w:lastRowFirstColumn="0" w:lastRowLastColumn="0"/>
            <w:tcW w:w="9072" w:type="dxa"/>
            <w:shd w:val="clear" w:color="auto" w:fill="FFFFFF" w:themeFill="background1"/>
          </w:tcPr>
          <w:p>
            <w:pPr>
              <w:pStyle w:val="Liststyle2a2betc"/>
              <w:numPr>
                <w:ilvl w:val="0"/>
                <w:numId w:val="7"/>
              </w:numPr>
              <w:rPr>
                <w:rFonts w:ascii="Times New Roman" w:hAnsi="Times New Roman" w:cs="Times New Roman"/>
                <w:b w:val="0"/>
                <w:noProof/>
              </w:rPr>
            </w:pPr>
            <w:r>
              <w:rPr>
                <w:rFonts w:ascii="Times New Roman" w:hAnsi="Times New Roman" w:cs="Times New Roman"/>
                <w:b w:val="0"/>
                <w:noProof/>
              </w:rPr>
              <w:t>Implementation of measures to ensure that those LSGUs that were already achieving high rates of recycling in 2015 are not penalised.</w:t>
            </w:r>
          </w:p>
        </w:tc>
      </w:tr>
      <w:tr>
        <w:tc>
          <w:tcPr>
            <w:cnfStyle w:val="001000000000" w:firstRow="0" w:lastRow="0" w:firstColumn="1" w:lastColumn="0" w:oddVBand="0" w:evenVBand="0" w:oddHBand="0" w:evenHBand="0" w:firstRowFirstColumn="0" w:firstRowLastColumn="0" w:lastRowFirstColumn="0" w:lastRowLastColumn="0"/>
            <w:tcW w:w="9072" w:type="dxa"/>
            <w:shd w:val="clear" w:color="auto" w:fill="FFFFFF" w:themeFill="background1"/>
          </w:tcPr>
          <w:p>
            <w:pPr>
              <w:pStyle w:val="StyleNumbering"/>
              <w:numPr>
                <w:ilvl w:val="0"/>
                <w:numId w:val="7"/>
              </w:numPr>
              <w:rPr>
                <w:rFonts w:ascii="Times New Roman" w:hAnsi="Times New Roman" w:cs="Times New Roman"/>
                <w:b w:val="0"/>
                <w:noProof/>
              </w:rPr>
            </w:pPr>
            <w:r>
              <w:rPr>
                <w:rFonts w:ascii="Times New Roman" w:hAnsi="Times New Roman" w:cs="Times New Roman"/>
                <w:b w:val="0"/>
                <w:noProof/>
              </w:rPr>
              <w:t>Ensuring the definition of residual waste clearly indicates that residual waste is defined as all mixed municipal waste, minus any materials which are sorted from mixed waste for recycling. This is important since the target for LSGUs is linked to the amount of residual waste generated</w:t>
            </w:r>
          </w:p>
        </w:tc>
      </w:tr>
      <w:tr>
        <w:tc>
          <w:tcPr>
            <w:cnfStyle w:val="001000000000" w:firstRow="0" w:lastRow="0" w:firstColumn="1" w:lastColumn="0" w:oddVBand="0" w:evenVBand="0" w:oddHBand="0" w:evenHBand="0" w:firstRowFirstColumn="0" w:firstRowLastColumn="0" w:lastRowFirstColumn="0" w:lastRowLastColumn="0"/>
            <w:tcW w:w="9072" w:type="dxa"/>
          </w:tcPr>
          <w:p>
            <w:pPr>
              <w:spacing w:before="120" w:after="120"/>
              <w:rPr>
                <w:rFonts w:ascii="Times New Roman" w:hAnsi="Times New Roman"/>
                <w:noProof/>
                <w:szCs w:val="24"/>
              </w:rPr>
            </w:pPr>
            <w:r>
              <w:rPr>
                <w:rFonts w:ascii="Times New Roman" w:hAnsi="Times New Roman"/>
                <w:noProof/>
                <w:szCs w:val="24"/>
              </w:rPr>
              <w:t>Pay-as-you-throw schemes</w:t>
            </w:r>
          </w:p>
        </w:tc>
      </w:tr>
      <w:tr>
        <w:tc>
          <w:tcPr>
            <w:cnfStyle w:val="001000000000" w:firstRow="0" w:lastRow="0" w:firstColumn="1" w:lastColumn="0" w:oddVBand="0" w:evenVBand="0" w:oddHBand="0" w:evenHBand="0" w:firstRowFirstColumn="0" w:firstRowLastColumn="0" w:lastRowFirstColumn="0" w:lastRowLastColumn="0"/>
            <w:tcW w:w="9072" w:type="dxa"/>
            <w:shd w:val="clear" w:color="auto" w:fill="FFFFFF" w:themeFill="background1"/>
          </w:tcPr>
          <w:p>
            <w:pPr>
              <w:pStyle w:val="ListParagraph"/>
              <w:numPr>
                <w:ilvl w:val="0"/>
                <w:numId w:val="7"/>
              </w:numPr>
              <w:rPr>
                <w:rFonts w:ascii="Times New Roman" w:hAnsi="Times New Roman" w:cs="Times New Roman"/>
                <w:b w:val="0"/>
                <w:noProof/>
              </w:rPr>
            </w:pPr>
            <w:r>
              <w:rPr>
                <w:rFonts w:ascii="Times New Roman" w:hAnsi="Times New Roman" w:cs="Times New Roman"/>
                <w:b w:val="0"/>
                <w:noProof/>
              </w:rPr>
              <w:t xml:space="preserve">Development of guidelines with technical and organisational details with a view to speeding up the implementation of such schemes throughout the country. </w:t>
            </w:r>
          </w:p>
        </w:tc>
      </w:tr>
      <w:tr>
        <w:tc>
          <w:tcPr>
            <w:cnfStyle w:val="001000000000" w:firstRow="0" w:lastRow="0" w:firstColumn="1" w:lastColumn="0" w:oddVBand="0" w:evenVBand="0" w:oddHBand="0" w:evenHBand="0" w:firstRowFirstColumn="0" w:firstRowLastColumn="0" w:lastRowFirstColumn="0" w:lastRowLastColumn="0"/>
            <w:tcW w:w="9072" w:type="dxa"/>
          </w:tcPr>
          <w:p>
            <w:pPr>
              <w:pStyle w:val="ListBullet"/>
              <w:numPr>
                <w:ilvl w:val="0"/>
                <w:numId w:val="0"/>
              </w:numPr>
              <w:rPr>
                <w:rFonts w:ascii="Times New Roman" w:hAnsi="Times New Roman" w:cs="Times New Roman"/>
                <w:bCs/>
                <w:noProof/>
              </w:rPr>
            </w:pPr>
            <w:r>
              <w:rPr>
                <w:rFonts w:ascii="Times New Roman" w:hAnsi="Times New Roman" w:cs="Times New Roman"/>
                <w:bCs/>
                <w:noProof/>
              </w:rPr>
              <w:t>Communication and awareness-raising</w:t>
            </w:r>
          </w:p>
        </w:tc>
      </w:tr>
      <w:tr>
        <w:tc>
          <w:tcPr>
            <w:cnfStyle w:val="001000000000" w:firstRow="0" w:lastRow="0" w:firstColumn="1" w:lastColumn="0" w:oddVBand="0" w:evenVBand="0" w:oddHBand="0" w:evenHBand="0" w:firstRowFirstColumn="0" w:firstRowLastColumn="0" w:lastRowFirstColumn="0" w:lastRowLastColumn="0"/>
            <w:tcW w:w="9072" w:type="dxa"/>
            <w:shd w:val="clear" w:color="auto" w:fill="FFFFFF" w:themeFill="background1"/>
          </w:tcPr>
          <w:p>
            <w:pPr>
              <w:pStyle w:val="ListBullet"/>
              <w:numPr>
                <w:ilvl w:val="0"/>
                <w:numId w:val="7"/>
              </w:numPr>
              <w:rPr>
                <w:rFonts w:ascii="Times New Roman" w:hAnsi="Times New Roman" w:cs="Times New Roman"/>
                <w:b w:val="0"/>
                <w:bCs/>
                <w:noProof/>
              </w:rPr>
            </w:pPr>
            <w:r>
              <w:rPr>
                <w:rFonts w:ascii="Times New Roman" w:hAnsi="Times New Roman" w:cs="Times New Roman"/>
                <w:b w:val="0"/>
                <w:noProof/>
              </w:rPr>
              <w:t>Development of a set of national communications materials addressed to the public for use at local level, with clear and consistent messages. These materials should be used as part of awareness-raising campaigns, in leaflets, and at civic amenity sites (green points).</w:t>
            </w:r>
          </w:p>
        </w:tc>
      </w:tr>
      <w:tr>
        <w:tc>
          <w:tcPr>
            <w:cnfStyle w:val="001000000000" w:firstRow="0" w:lastRow="0" w:firstColumn="1" w:lastColumn="0" w:oddVBand="0" w:evenVBand="0" w:oddHBand="0" w:evenHBand="0" w:firstRowFirstColumn="0" w:firstRowLastColumn="0" w:lastRowFirstColumn="0" w:lastRowLastColumn="0"/>
            <w:tcW w:w="9072" w:type="dxa"/>
          </w:tcPr>
          <w:p>
            <w:pPr>
              <w:pStyle w:val="ListBullet"/>
              <w:numPr>
                <w:ilvl w:val="0"/>
                <w:numId w:val="0"/>
              </w:numPr>
              <w:rPr>
                <w:rFonts w:ascii="Times New Roman" w:hAnsi="Times New Roman" w:cs="Times New Roman"/>
                <w:noProof/>
              </w:rPr>
            </w:pPr>
            <w:r>
              <w:rPr>
                <w:rFonts w:ascii="Times New Roman" w:hAnsi="Times New Roman" w:cs="Times New Roman"/>
                <w:noProof/>
              </w:rPr>
              <w:t>Technical support to municipalities</w:t>
            </w:r>
          </w:p>
        </w:tc>
      </w:tr>
      <w:tr>
        <w:tc>
          <w:tcPr>
            <w:cnfStyle w:val="001000000000" w:firstRow="0" w:lastRow="0" w:firstColumn="1" w:lastColumn="0" w:oddVBand="0" w:evenVBand="0" w:oddHBand="0" w:evenHBand="0" w:firstRowFirstColumn="0" w:firstRowLastColumn="0" w:lastRowFirstColumn="0" w:lastRowLastColumn="0"/>
            <w:tcW w:w="9072" w:type="dxa"/>
            <w:shd w:val="clear" w:color="auto" w:fill="FFFFFF" w:themeFill="background1"/>
          </w:tcPr>
          <w:p>
            <w:pPr>
              <w:pStyle w:val="ListBullet"/>
              <w:numPr>
                <w:ilvl w:val="0"/>
                <w:numId w:val="7"/>
              </w:numPr>
              <w:jc w:val="both"/>
              <w:rPr>
                <w:rFonts w:ascii="Times New Roman" w:hAnsi="Times New Roman" w:cs="Times New Roman"/>
                <w:b w:val="0"/>
                <w:noProof/>
              </w:rPr>
            </w:pPr>
            <w:r>
              <w:rPr>
                <w:rFonts w:ascii="Times New Roman" w:hAnsi="Times New Roman" w:cs="Times New Roman"/>
                <w:b w:val="0"/>
                <w:noProof/>
              </w:rPr>
              <w:t>Development of a system at national level that provides technical support for municipalities, specifically in the following areas:</w:t>
            </w:r>
          </w:p>
          <w:p>
            <w:pPr>
              <w:pStyle w:val="ListBullet"/>
              <w:numPr>
                <w:ilvl w:val="1"/>
                <w:numId w:val="7"/>
              </w:numPr>
              <w:jc w:val="both"/>
              <w:rPr>
                <w:rFonts w:ascii="Times New Roman" w:hAnsi="Times New Roman" w:cs="Times New Roman"/>
                <w:b w:val="0"/>
                <w:noProof/>
              </w:rPr>
            </w:pPr>
            <w:r>
              <w:rPr>
                <w:rFonts w:ascii="Times New Roman" w:hAnsi="Times New Roman" w:cs="Times New Roman"/>
                <w:b w:val="0"/>
                <w:noProof/>
              </w:rPr>
              <w:t xml:space="preserve">choosing collection services; </w:t>
            </w:r>
          </w:p>
          <w:p>
            <w:pPr>
              <w:pStyle w:val="ListBullet"/>
              <w:numPr>
                <w:ilvl w:val="1"/>
                <w:numId w:val="7"/>
              </w:numPr>
              <w:jc w:val="both"/>
              <w:rPr>
                <w:rFonts w:ascii="Times New Roman" w:hAnsi="Times New Roman" w:cs="Times New Roman"/>
                <w:b w:val="0"/>
                <w:noProof/>
              </w:rPr>
            </w:pPr>
            <w:r>
              <w:rPr>
                <w:rFonts w:ascii="Times New Roman" w:hAnsi="Times New Roman" w:cs="Times New Roman"/>
                <w:b w:val="0"/>
                <w:noProof/>
              </w:rPr>
              <w:t>service procurement;</w:t>
            </w:r>
          </w:p>
          <w:p>
            <w:pPr>
              <w:pStyle w:val="ListBullet"/>
              <w:numPr>
                <w:ilvl w:val="1"/>
                <w:numId w:val="7"/>
              </w:numPr>
              <w:jc w:val="both"/>
              <w:rPr>
                <w:rFonts w:ascii="Times New Roman" w:hAnsi="Times New Roman" w:cs="Times New Roman"/>
                <w:b w:val="0"/>
                <w:noProof/>
              </w:rPr>
            </w:pPr>
            <w:r>
              <w:rPr>
                <w:rFonts w:ascii="Times New Roman" w:hAnsi="Times New Roman" w:cs="Times New Roman"/>
                <w:b w:val="0"/>
                <w:noProof/>
              </w:rPr>
              <w:t>service management;</w:t>
            </w:r>
          </w:p>
          <w:p>
            <w:pPr>
              <w:pStyle w:val="ListBullet"/>
              <w:numPr>
                <w:ilvl w:val="1"/>
                <w:numId w:val="7"/>
              </w:numPr>
              <w:jc w:val="both"/>
              <w:rPr>
                <w:rFonts w:ascii="Times New Roman" w:hAnsi="Times New Roman" w:cs="Times New Roman"/>
                <w:b w:val="0"/>
                <w:noProof/>
              </w:rPr>
            </w:pPr>
            <w:r>
              <w:rPr>
                <w:rFonts w:ascii="Times New Roman" w:hAnsi="Times New Roman" w:cs="Times New Roman"/>
                <w:b w:val="0"/>
                <w:noProof/>
              </w:rPr>
              <w:t>communication campaigns;</w:t>
            </w:r>
          </w:p>
          <w:p>
            <w:pPr>
              <w:pStyle w:val="ListBullet"/>
              <w:numPr>
                <w:ilvl w:val="0"/>
                <w:numId w:val="0"/>
              </w:numPr>
              <w:rPr>
                <w:rFonts w:ascii="Times New Roman" w:hAnsi="Times New Roman" w:cs="Times New Roman"/>
                <w:b w:val="0"/>
                <w:bCs/>
                <w:noProof/>
              </w:rPr>
            </w:pPr>
            <w:r>
              <w:rPr>
                <w:rFonts w:ascii="Times New Roman" w:hAnsi="Times New Roman"/>
                <w:b w:val="0"/>
                <w:noProof/>
              </w:rPr>
              <w:t>coupled with active sharing of good ideas and practices that can improve efficiency in terms of cost reduction and improvement in performance.</w:t>
            </w:r>
          </w:p>
        </w:tc>
      </w:tr>
      <w:tr>
        <w:tc>
          <w:tcPr>
            <w:cnfStyle w:val="001000000000" w:firstRow="0" w:lastRow="0" w:firstColumn="1" w:lastColumn="0" w:oddVBand="0" w:evenVBand="0" w:oddHBand="0" w:evenHBand="0" w:firstRowFirstColumn="0" w:firstRowLastColumn="0" w:lastRowFirstColumn="0" w:lastRowLastColumn="0"/>
            <w:tcW w:w="9072" w:type="dxa"/>
          </w:tcPr>
          <w:p>
            <w:pPr>
              <w:pStyle w:val="ListBullet"/>
              <w:keepNext/>
              <w:numPr>
                <w:ilvl w:val="0"/>
                <w:numId w:val="0"/>
              </w:numPr>
              <w:rPr>
                <w:rFonts w:ascii="Times New Roman" w:hAnsi="Times New Roman" w:cs="Times New Roman"/>
                <w:noProof/>
              </w:rPr>
            </w:pPr>
            <w:r>
              <w:rPr>
                <w:rFonts w:ascii="Times New Roman" w:hAnsi="Times New Roman" w:cs="Times New Roman"/>
                <w:noProof/>
              </w:rPr>
              <w:t>Use of EU funds</w:t>
            </w:r>
          </w:p>
        </w:tc>
      </w:tr>
      <w:tr>
        <w:tc>
          <w:tcPr>
            <w:cnfStyle w:val="001000000000" w:firstRow="0" w:lastRow="0" w:firstColumn="1" w:lastColumn="0" w:oddVBand="0" w:evenVBand="0" w:oddHBand="0" w:evenHBand="0" w:firstRowFirstColumn="0" w:firstRowLastColumn="0" w:lastRowFirstColumn="0" w:lastRowLastColumn="0"/>
            <w:tcW w:w="9072" w:type="dxa"/>
            <w:shd w:val="clear" w:color="auto" w:fill="FFFFFF" w:themeFill="background1"/>
          </w:tcPr>
          <w:p>
            <w:pPr>
              <w:pStyle w:val="ListBullet"/>
              <w:numPr>
                <w:ilvl w:val="0"/>
                <w:numId w:val="7"/>
              </w:numPr>
              <w:rPr>
                <w:rFonts w:ascii="Times New Roman" w:hAnsi="Times New Roman" w:cs="Times New Roman"/>
                <w:b w:val="0"/>
                <w:noProof/>
              </w:rPr>
            </w:pPr>
            <w:r>
              <w:rPr>
                <w:rFonts w:ascii="Times New Roman" w:hAnsi="Times New Roman" w:cs="Times New Roman"/>
                <w:b w:val="0"/>
                <w:noProof/>
              </w:rPr>
              <w:t>Review of spending priorities / fund allocation from EU funds to align the relevant operational programme for cohesion policy funds with the 2017 national waste management plan and waste prevention programme. Current allocation remains too heavily focused on residual waste treatment infrastructure to be provided at the regional waste management centres instead of support for separate collection of dry recyclables and of bio-waste.</w:t>
            </w:r>
          </w:p>
        </w:tc>
      </w:tr>
      <w:tr>
        <w:tc>
          <w:tcPr>
            <w:cnfStyle w:val="001000000000" w:firstRow="0" w:lastRow="0" w:firstColumn="1" w:lastColumn="0" w:oddVBand="0" w:evenVBand="0" w:oddHBand="0" w:evenHBand="0" w:firstRowFirstColumn="0" w:firstRowLastColumn="0" w:lastRowFirstColumn="0" w:lastRowLastColumn="0"/>
            <w:tcW w:w="9072" w:type="dxa"/>
            <w:shd w:val="clear" w:color="auto" w:fill="FFFFFF" w:themeFill="background1"/>
          </w:tcPr>
          <w:p>
            <w:pPr>
              <w:pStyle w:val="ListBullet"/>
              <w:numPr>
                <w:ilvl w:val="0"/>
                <w:numId w:val="7"/>
              </w:numPr>
              <w:rPr>
                <w:rFonts w:ascii="Times New Roman" w:hAnsi="Times New Roman" w:cs="Times New Roman"/>
                <w:b w:val="0"/>
                <w:noProof/>
              </w:rPr>
            </w:pPr>
            <w:r>
              <w:rPr>
                <w:rFonts w:ascii="Times New Roman" w:hAnsi="Times New Roman" w:cs="Times New Roman"/>
                <w:b w:val="0"/>
                <w:noProof/>
              </w:rPr>
              <w:t>Prioritising funding of ‘whole system’ changes while avoiding funding of ad hoc projects - ensuring a more structural approach that improves the whole system, rather than just some components of a good system.</w:t>
            </w:r>
          </w:p>
        </w:tc>
      </w:tr>
      <w:tr>
        <w:tc>
          <w:tcPr>
            <w:cnfStyle w:val="001000000000" w:firstRow="0" w:lastRow="0" w:firstColumn="1" w:lastColumn="0" w:oddVBand="0" w:evenVBand="0" w:oddHBand="0" w:evenHBand="0" w:firstRowFirstColumn="0" w:firstRowLastColumn="0" w:lastRowFirstColumn="0" w:lastRowLastColumn="0"/>
            <w:tcW w:w="9072" w:type="dxa"/>
            <w:shd w:val="clear" w:color="auto" w:fill="FFFFFF" w:themeFill="background1"/>
          </w:tcPr>
          <w:p>
            <w:pPr>
              <w:pStyle w:val="ListBullet"/>
              <w:numPr>
                <w:ilvl w:val="0"/>
                <w:numId w:val="7"/>
              </w:numPr>
              <w:rPr>
                <w:rFonts w:ascii="Times New Roman" w:hAnsi="Times New Roman" w:cs="Times New Roman"/>
                <w:b w:val="0"/>
                <w:noProof/>
              </w:rPr>
            </w:pPr>
            <w:r>
              <w:rPr>
                <w:rFonts w:ascii="Times New Roman" w:hAnsi="Times New Roman" w:cs="Times New Roman"/>
                <w:b w:val="0"/>
                <w:noProof/>
              </w:rPr>
              <w:t>Awarding  funding on the condition that the LSGUs commit to implementing high quality collection services in line with the minimum service standards (see action 6), so that the funding is oriented towards delivering results and sub-standard and underperforming systems do not get funded.</w:t>
            </w:r>
          </w:p>
        </w:tc>
      </w:tr>
      <w:tr>
        <w:tc>
          <w:tcPr>
            <w:cnfStyle w:val="001000000000" w:firstRow="0" w:lastRow="0" w:firstColumn="1" w:lastColumn="0" w:oddVBand="0" w:evenVBand="0" w:oddHBand="0" w:evenHBand="0" w:firstRowFirstColumn="0" w:firstRowLastColumn="0" w:lastRowFirstColumn="0" w:lastRowLastColumn="0"/>
            <w:tcW w:w="9072" w:type="dxa"/>
          </w:tcPr>
          <w:p>
            <w:pPr>
              <w:keepNext/>
              <w:spacing w:before="120" w:after="120"/>
              <w:rPr>
                <w:rFonts w:ascii="Times New Roman" w:hAnsi="Times New Roman"/>
                <w:noProof/>
                <w:szCs w:val="24"/>
              </w:rPr>
            </w:pPr>
            <w:r>
              <w:rPr>
                <w:rFonts w:ascii="Times New Roman" w:hAnsi="Times New Roman"/>
                <w:noProof/>
                <w:szCs w:val="24"/>
              </w:rPr>
              <w:t>Regional approach to waste management</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FFFFFF" w:themeFill="background1"/>
          </w:tcPr>
          <w:p>
            <w:pPr>
              <w:pStyle w:val="ListParagraph"/>
              <w:numPr>
                <w:ilvl w:val="0"/>
                <w:numId w:val="7"/>
              </w:numPr>
              <w:rPr>
                <w:rFonts w:ascii="Times New Roman" w:hAnsi="Times New Roman" w:cs="Times New Roman"/>
                <w:b w:val="0"/>
                <w:noProof/>
              </w:rPr>
            </w:pPr>
            <w:r>
              <w:rPr>
                <w:rFonts w:ascii="Times New Roman" w:hAnsi="Times New Roman" w:cs="Times New Roman"/>
                <w:b w:val="0"/>
                <w:noProof/>
              </w:rPr>
              <w:t>Consideration of a regional approach to achieving the targets. Differences in their current performance (due to geography, tourism) suggest the regions may require quite specific operational considerations to be taken into account to improve waste management.</w:t>
            </w:r>
          </w:p>
        </w:tc>
      </w:tr>
    </w:tbl>
    <w:p>
      <w:pPr>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60B2CA" w16cid:durableId="1EDE89FA"/>
  <w16cid:commentId w16cid:paraId="39B7B7D7" w16cid:durableId="1EDE8AB0"/>
  <w16cid:commentId w16cid:paraId="58147F62" w16cid:durableId="1EDE85B1"/>
  <w16cid:commentId w16cid:paraId="2567A8FF" w16cid:durableId="1EDE85B2"/>
  <w16cid:commentId w16cid:paraId="14CB02AD" w16cid:durableId="1EDE85B3"/>
  <w16cid:commentId w16cid:paraId="4B3257A0" w16cid:durableId="1EDE85B4"/>
  <w16cid:commentId w16cid:paraId="6558787A" w16cid:durableId="1EDE85B5"/>
  <w16cid:commentId w16cid:paraId="0E12DAFB" w16cid:durableId="1EDE85B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62995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hyperlink r:id="rId1" w:history="1">
        <w:r>
          <w:rPr>
            <w:rStyle w:val="Hyperlink"/>
          </w:rPr>
          <w:t>http://ec.europa.eu/environment/waste/framework/support_implementation.htm</w:t>
        </w:r>
      </w:hyperlink>
    </w:p>
  </w:footnote>
  <w:footnote w:id="2">
    <w:p>
      <w:pPr>
        <w:pStyle w:val="FootnoteText"/>
      </w:pPr>
      <w:r>
        <w:rPr>
          <w:rStyle w:val="FootnoteReference"/>
        </w:rPr>
        <w:footnoteRef/>
      </w:r>
      <w:r>
        <w:t xml:space="preserve"> Roadmap for Croatia </w:t>
      </w:r>
      <w:hyperlink r:id="rId2" w:history="1">
        <w:r>
          <w:rPr>
            <w:rStyle w:val="Hyperlink"/>
          </w:rPr>
          <w:t>http://ec.europa.eu/environment/waste/framework/pdf/facsheets%20and%20roadmaps/Roadmap_Croatia.pdf</w:t>
        </w:r>
      </w:hyperlink>
    </w:p>
  </w:footnote>
  <w:footnote w:id="3">
    <w:p>
      <w:pPr>
        <w:pStyle w:val="FootnoteText"/>
      </w:pPr>
      <w:r>
        <w:rPr>
          <w:rStyle w:val="FootnoteReference"/>
        </w:rPr>
        <w:footnoteRef/>
      </w:r>
      <w:r>
        <w:t xml:space="preserve"> http://ec.europa.eu/environment/eir/country-reports/index2_en.htm</w:t>
      </w:r>
    </w:p>
  </w:footnote>
  <w:footnote w:id="4">
    <w:p>
      <w:pPr>
        <w:pStyle w:val="FootnoteText"/>
        <w:rPr>
          <w:b/>
          <w:i/>
        </w:rPr>
      </w:pPr>
      <w:r>
        <w:rPr>
          <w:rStyle w:val="FootnoteReference"/>
        </w:rPr>
        <w:footnoteRef/>
      </w:r>
      <w:r>
        <w:t xml:space="preserve"> Eunomia Research &amp; Consulting </w:t>
      </w:r>
      <w:r>
        <w:rPr>
          <w:i/>
        </w:rPr>
        <w:t>et al.</w:t>
      </w:r>
      <w:r>
        <w:t xml:space="preserve"> (2018) ‘Study to identify Member States at risk of non-compliance with the 2020 target of the Waste Framework Directive and to follow-up phase 1 and 2 of the compliance promotion exercise. The early warning report: Croatia.’.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457C8"/>
    <w:multiLevelType w:val="multilevel"/>
    <w:tmpl w:val="7674CA30"/>
    <w:lvl w:ilvl="0">
      <w:start w:val="3"/>
      <w:numFmt w:val="decimal"/>
      <w:lvlText w:val="%1)"/>
      <w:lvlJc w:val="left"/>
      <w:pPr>
        <w:ind w:left="360" w:hanging="360"/>
      </w:pPr>
      <w:rPr>
        <w:rFonts w:hint="default"/>
        <w:color w:val="8064A2" w:themeColor="accent4"/>
      </w:rPr>
    </w:lvl>
    <w:lvl w:ilvl="1">
      <w:start w:val="1"/>
      <w:numFmt w:val="lowerLetter"/>
      <w:pStyle w:val="Liststyle3a3betc"/>
      <w:lvlText w:val="%1%2)"/>
      <w:lvlJc w:val="left"/>
      <w:pPr>
        <w:ind w:left="720" w:hanging="360"/>
      </w:pPr>
      <w:rPr>
        <w:rFonts w:hint="default"/>
        <w:color w:val="8064A2" w:themeColor="accent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49C4A68"/>
    <w:multiLevelType w:val="hybridMultilevel"/>
    <w:tmpl w:val="44CCC402"/>
    <w:lvl w:ilvl="0" w:tplc="FE941192">
      <w:start w:val="1"/>
      <w:numFmt w:val="decimal"/>
      <w:pStyle w:val="StyleNumbering"/>
      <w:lvlText w:val="%1)"/>
      <w:lvlJc w:val="left"/>
      <w:pPr>
        <w:ind w:left="720" w:hanging="360"/>
      </w:pPr>
      <w:rPr>
        <w:rFonts w:hint="default"/>
        <w:color w:val="8064A2" w:themeColor="accent4"/>
      </w:rPr>
    </w:lvl>
    <w:lvl w:ilvl="1" w:tplc="CB60A54C">
      <w:start w:val="1"/>
      <w:numFmt w:val="lowerLetter"/>
      <w:lvlText w:val="%2."/>
      <w:lvlJc w:val="left"/>
      <w:pPr>
        <w:ind w:left="1440" w:hanging="360"/>
      </w:pPr>
      <w:rPr>
        <w:rFonts w:hint="default"/>
        <w:color w:val="8064A2" w:themeColor="accent4"/>
      </w:rPr>
    </w:lvl>
    <w:lvl w:ilvl="2" w:tplc="93B29D46">
      <w:start w:val="1"/>
      <w:numFmt w:val="lowerRoman"/>
      <w:lvlText w:val="%3."/>
      <w:lvlJc w:val="right"/>
      <w:pPr>
        <w:ind w:left="2160" w:hanging="180"/>
      </w:pPr>
      <w:rPr>
        <w:rFonts w:hint="default"/>
        <w:color w:val="8064A2" w:themeColor="accent4"/>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EEF5E32"/>
    <w:multiLevelType w:val="hybridMultilevel"/>
    <w:tmpl w:val="CD84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742F61"/>
    <w:multiLevelType w:val="hybridMultilevel"/>
    <w:tmpl w:val="1394677A"/>
    <w:lvl w:ilvl="0" w:tplc="12522B28">
      <w:start w:val="1"/>
      <w:numFmt w:val="decimal"/>
      <w:lvlText w:val="%1)"/>
      <w:lvlJc w:val="left"/>
      <w:pPr>
        <w:ind w:left="360" w:hanging="360"/>
      </w:pPr>
      <w:rPr>
        <w:rFonts w:hint="default"/>
        <w:b/>
        <w:color w:val="auto"/>
      </w:rPr>
    </w:lvl>
    <w:lvl w:ilvl="1" w:tplc="29503B20">
      <w:start w:val="1"/>
      <w:numFmt w:val="lowerLetter"/>
      <w:lvlText w:val="%2."/>
      <w:lvlJc w:val="left"/>
      <w:pPr>
        <w:ind w:left="1080" w:hanging="360"/>
      </w:pPr>
      <w:rPr>
        <w:rFonts w:hint="default"/>
        <w:b/>
        <w:color w:val="auto"/>
      </w:rPr>
    </w:lvl>
    <w:lvl w:ilvl="2" w:tplc="93B29D46">
      <w:start w:val="1"/>
      <w:numFmt w:val="lowerRoman"/>
      <w:lvlText w:val="%3."/>
      <w:lvlJc w:val="right"/>
      <w:pPr>
        <w:ind w:left="1800" w:hanging="180"/>
      </w:pPr>
      <w:rPr>
        <w:rFonts w:hint="default"/>
        <w:color w:val="8064A2" w:themeColor="accent4"/>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E68002A"/>
    <w:multiLevelType w:val="multilevel"/>
    <w:tmpl w:val="C2CEF784"/>
    <w:styleLink w:val="AlphaNumericliststyle"/>
    <w:lvl w:ilvl="0">
      <w:start w:val="1"/>
      <w:numFmt w:val="decimal"/>
      <w:lvlText w:val="%1)"/>
      <w:lvlJc w:val="left"/>
      <w:pPr>
        <w:ind w:left="360" w:hanging="360"/>
      </w:pPr>
      <w:rPr>
        <w:rFonts w:hint="default"/>
        <w:color w:val="8064A2" w:themeColor="accent4"/>
      </w:rPr>
    </w:lvl>
    <w:lvl w:ilvl="1">
      <w:start w:val="1"/>
      <w:numFmt w:val="lowerLetter"/>
      <w:pStyle w:val="Liststyle1a1betc"/>
      <w:lvlText w:val="%1%2)"/>
      <w:lvlJc w:val="left"/>
      <w:pPr>
        <w:ind w:left="720" w:hanging="360"/>
      </w:pPr>
      <w:rPr>
        <w:rFonts w:hint="default"/>
        <w:color w:val="8064A2" w:themeColor="accent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404D055A"/>
    <w:multiLevelType w:val="multilevel"/>
    <w:tmpl w:val="F6F8333A"/>
    <w:lvl w:ilvl="0">
      <w:start w:val="1"/>
      <w:numFmt w:val="bullet"/>
      <w:pStyle w:val="ListBullet"/>
      <w:lvlText w:val=""/>
      <w:lvlJc w:val="left"/>
      <w:pPr>
        <w:ind w:left="1080" w:hanging="360"/>
      </w:pPr>
      <w:rPr>
        <w:rFonts w:ascii="Symbol" w:hAnsi="Symbol" w:hint="default"/>
        <w:color w:val="8064A2" w:themeColor="accent4"/>
      </w:rPr>
    </w:lvl>
    <w:lvl w:ilvl="1">
      <w:start w:val="1"/>
      <w:numFmt w:val="bullet"/>
      <w:lvlText w:val="o"/>
      <w:lvlJc w:val="left"/>
      <w:pPr>
        <w:ind w:left="1800" w:hanging="360"/>
      </w:pPr>
      <w:rPr>
        <w:rFonts w:ascii="Courier New" w:hAnsi="Courier New" w:hint="default"/>
        <w:color w:val="8064A2" w:themeColor="accent4"/>
      </w:rPr>
    </w:lvl>
    <w:lvl w:ilvl="2">
      <w:start w:val="1"/>
      <w:numFmt w:val="bullet"/>
      <w:lvlText w:val=""/>
      <w:lvlJc w:val="left"/>
      <w:pPr>
        <w:ind w:left="2520" w:hanging="360"/>
      </w:pPr>
      <w:rPr>
        <w:rFonts w:ascii="Wingdings" w:hAnsi="Wingdings" w:hint="default"/>
        <w:color w:val="8064A2" w:themeColor="accent4"/>
      </w:rPr>
    </w:lvl>
    <w:lvl w:ilvl="3">
      <w:start w:val="1"/>
      <w:numFmt w:val="bullet"/>
      <w:lvlText w:val=""/>
      <w:lvlJc w:val="left"/>
      <w:pPr>
        <w:ind w:left="3240" w:hanging="360"/>
      </w:pPr>
      <w:rPr>
        <w:rFonts w:ascii="Symbol" w:hAnsi="Symbol" w:hint="default"/>
        <w:color w:val="8064A2" w:themeColor="accent4"/>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nsid w:val="48B50742"/>
    <w:multiLevelType w:val="multilevel"/>
    <w:tmpl w:val="C2CEF784"/>
    <w:numStyleLink w:val="AlphaNumericliststyle"/>
  </w:abstractNum>
  <w:abstractNum w:abstractNumId="7">
    <w:nsid w:val="7B2D518D"/>
    <w:multiLevelType w:val="multilevel"/>
    <w:tmpl w:val="A5B22C44"/>
    <w:lvl w:ilvl="0">
      <w:start w:val="2"/>
      <w:numFmt w:val="decimal"/>
      <w:lvlText w:val="%1)"/>
      <w:lvlJc w:val="left"/>
      <w:pPr>
        <w:ind w:left="360" w:hanging="360"/>
      </w:pPr>
      <w:rPr>
        <w:rFonts w:hint="default"/>
        <w:color w:val="8064A2" w:themeColor="accent4"/>
      </w:rPr>
    </w:lvl>
    <w:lvl w:ilvl="1">
      <w:start w:val="1"/>
      <w:numFmt w:val="lowerLetter"/>
      <w:pStyle w:val="Liststyle2a2betc"/>
      <w:lvlText w:val="%1%2)"/>
      <w:lvlJc w:val="left"/>
      <w:pPr>
        <w:ind w:left="720" w:hanging="360"/>
      </w:pPr>
      <w:rPr>
        <w:rFonts w:hint="default"/>
        <w:color w:val="8064A2" w:themeColor="accent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7CEF30B7"/>
    <w:multiLevelType w:val="hybridMultilevel"/>
    <w:tmpl w:val="1D7459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6"/>
  </w:num>
  <w:num w:numId="5">
    <w:abstractNumId w:val="7"/>
  </w:num>
  <w:num w:numId="6">
    <w:abstractNumId w:val="0"/>
  </w:num>
  <w:num w:numId="7">
    <w:abstractNumId w:val="3"/>
  </w:num>
  <w:num w:numId="8">
    <w:abstractNumId w:val="1"/>
    <w:lvlOverride w:ilvl="0">
      <w:startOverride w:val="1"/>
    </w:lvlOverride>
  </w:num>
  <w:num w:numId="9">
    <w:abstractNumId w:val="7"/>
  </w:num>
  <w:num w:numId="10">
    <w:abstractNumId w:val="7"/>
  </w:num>
  <w:num w:numId="11">
    <w:abstractNumId w:val="7"/>
  </w:num>
  <w:num w:numId="12">
    <w:abstractNumId w:val="7"/>
  </w:num>
  <w:num w:numId="13">
    <w:abstractNumId w:val="7"/>
  </w:num>
  <w:num w:numId="14">
    <w:abstractNumId w:val="7"/>
  </w:num>
  <w:num w:numId="15">
    <w:abstractNumId w:val="8"/>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76308EDA-79E1-483D-B329-504B43267560"/>
    <w:docVar w:name="LW_COVERPAGE_TYPE" w:val="1"/>
    <w:docVar w:name="LW_CROSSREFERENCE" w:val="{COM(2018) 656 final}_x000b_{SWD(2018) 413 final}_x000b_{SWD(2018) 415 final}_x000b_{SWD(2018) 416 final}_x000b_{SWD(2018) 417 final}_x000b_{SWD(2018) 418 final}_x000b_{SWD(2018) 419 final}_x000b_{SWD(2018) 420 final}_x000b_{SWD(2018) 421 final}_x000b_{SWD(2018) 422 final}_x000b_{SWD(2018) 423 final}_x000b_{SWD(2018) 424 final}_x000b_{SWD(2018) 425 final}_x000b_{SWD(2018) 426 final}"/>
    <w:docVar w:name="LW_DocType" w:val="NORMAL"/>
    <w:docVar w:name="LW_EMISSION" w:val="24.9.2018"/>
    <w:docVar w:name="LW_EMISSION_ISODATE" w:val="2018-09-24"/>
    <w:docVar w:name="LW_EMISSION_LOCATION" w:val="BRX"/>
    <w:docVar w:name="LW_EMISSION_PREFIX" w:val="Brussels, "/>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on the implementation of EU waste legislation, including the early warning report for Member States at risk of missing the 2020 preparation for re-use/recycling target on municipal waste"/>
    <w:docVar w:name="LW_PART_NBR" w:val="1"/>
    <w:docVar w:name="LW_PART_NBR_TOTAL" w:val="1"/>
    <w:docVar w:name="LW_REF.INST.NEW" w:val="SWD"/>
    <w:docVar w:name="LW_REF.INST.NEW_ADOPTED" w:val="final"/>
    <w:docVar w:name="LW_REF.INST.NEW_TEXT" w:val="(2018) 4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The early warning report for Croatia"/>
    <w:docVar w:name="LW_TYPE.DOC.CP" w:val="COMMISSION STAFF WORKING DOCUMENT"/>
    <w:docVar w:name="LW_TYPEACTEPRINCIPAL.CP" w:val="REPORT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aliases w:val="Style Bullet,Numbered Para 1,Dot pt,No Spacing1,List Paragraph Char Char Char,Indicator Text,List Paragraph1,Bullet Points,Bullet 1,MAIN CONTENT,List Paragraph12,F5 List Paragraph,OBC Bullet,Colorful List - Accent 11,Normal numbered"/>
    <w:basedOn w:val="Normal"/>
    <w:link w:val="ListParagraphChar"/>
    <w:uiPriority w:val="34"/>
    <w:qFormat/>
    <w:pPr>
      <w:spacing w:before="120" w:after="120" w:line="240" w:lineRule="auto"/>
      <w:ind w:left="720"/>
      <w:contextualSpacing/>
    </w:pPr>
    <w:rPr>
      <w:rFonts w:eastAsia="Times New Roman" w:cs="Arial"/>
      <w:sz w:val="24"/>
      <w:szCs w:val="24"/>
      <w:lang w:eastAsia="en-GB"/>
    </w:rPr>
  </w:style>
  <w:style w:type="paragraph" w:customStyle="1" w:styleId="StyleNumbering">
    <w:name w:val="Style Numbering"/>
    <w:basedOn w:val="ListParagraph"/>
    <w:link w:val="StyleNumberingChar"/>
    <w:qFormat/>
    <w:pPr>
      <w:numPr>
        <w:numId w:val="2"/>
      </w:numPr>
    </w:pPr>
  </w:style>
  <w:style w:type="paragraph" w:styleId="ListBullet">
    <w:name w:val="List Bullet"/>
    <w:basedOn w:val="Normal"/>
    <w:qFormat/>
    <w:pPr>
      <w:numPr>
        <w:numId w:val="1"/>
      </w:numPr>
      <w:spacing w:before="120" w:after="120" w:line="240" w:lineRule="auto"/>
      <w:contextualSpacing/>
    </w:pPr>
    <w:rPr>
      <w:rFonts w:eastAsia="Times New Roman" w:cs="Arial"/>
      <w:sz w:val="24"/>
      <w:szCs w:val="24"/>
      <w:lang w:eastAsia="en-GB"/>
    </w:rPr>
  </w:style>
  <w:style w:type="character" w:customStyle="1" w:styleId="ListParagraphChar">
    <w:name w:val="List Paragraph Char"/>
    <w:aliases w:val="Style Bullet Char,Numbered Para 1 Char,Dot pt Char,No Spacing1 Char,List Paragraph Char Char Char Char,Indicator Text Char,List Paragraph1 Char,Bullet Points Char,Bullet 1 Char,MAIN CONTENT Char,List Paragraph12 Char,OBC Bullet Char"/>
    <w:basedOn w:val="DefaultParagraphFont"/>
    <w:link w:val="ListParagraph"/>
    <w:uiPriority w:val="34"/>
    <w:qFormat/>
    <w:rPr>
      <w:rFonts w:eastAsia="Times New Roman" w:cs="Arial"/>
      <w:sz w:val="24"/>
      <w:szCs w:val="24"/>
      <w:lang w:eastAsia="en-GB"/>
    </w:rPr>
  </w:style>
  <w:style w:type="character" w:customStyle="1" w:styleId="StyleNumberingChar">
    <w:name w:val="Style Numbering Char"/>
    <w:basedOn w:val="ListParagraphChar"/>
    <w:link w:val="StyleNumbering"/>
    <w:rPr>
      <w:rFonts w:eastAsia="Times New Roman" w:cs="Arial"/>
      <w:sz w:val="24"/>
      <w:szCs w:val="24"/>
      <w:lang w:eastAsia="en-GB"/>
    </w:rPr>
  </w:style>
  <w:style w:type="table" w:customStyle="1" w:styleId="Eunomia-NoTotals">
    <w:name w:val="Eunomia - No Totals"/>
    <w:basedOn w:val="TableNormal"/>
    <w:uiPriority w:val="99"/>
    <w:pPr>
      <w:spacing w:before="60" w:after="60" w:line="240" w:lineRule="auto"/>
      <w:jc w:val="right"/>
    </w:pPr>
    <w:rPr>
      <w:rFonts w:ascii="Calibri" w:eastAsia="Times New Roman" w:hAnsi="Calibri" w:cs="Times New Roman"/>
      <w:sz w:val="24"/>
      <w:szCs w:val="20"/>
      <w:lang w:eastAsia="en-GB"/>
    </w:rPr>
    <w:tblPr>
      <w:tblInd w:w="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dotted" w:sz="4" w:space="0" w:color="BFBFBF" w:themeColor="background1" w:themeShade="BF"/>
        <w:insideV w:val="single" w:sz="4" w:space="0" w:color="9BBB59" w:themeColor="accent3"/>
      </w:tblBorders>
      <w:tblCellMar>
        <w:top w:w="0" w:type="dxa"/>
        <w:left w:w="108" w:type="dxa"/>
        <w:bottom w:w="0" w:type="dxa"/>
        <w:right w:w="108" w:type="dxa"/>
      </w:tblCellMar>
    </w:tblPr>
    <w:trPr>
      <w:cantSplit/>
    </w:trPr>
    <w:tcPr>
      <w:vAlign w:val="center"/>
    </w:tcPr>
    <w:tblStylePr w:type="firstRow">
      <w:rPr>
        <w:b/>
      </w:rPr>
      <w:tblPr/>
      <w:tcPr>
        <w:tcBorders>
          <w:top w:val="single" w:sz="4" w:space="0" w:color="A6A6A6" w:themeColor="background1" w:themeShade="A6"/>
        </w:tcBorders>
        <w:shd w:val="clear" w:color="auto" w:fill="BFBFBF" w:themeFill="background1" w:themeFillShade="BF"/>
      </w:tcPr>
    </w:tblStylePr>
    <w:tblStylePr w:type="lastRow">
      <w:tblPr/>
      <w:tcPr>
        <w:tcBorders>
          <w:bottom w:val="single" w:sz="4" w:space="0" w:color="A6A6A6" w:themeColor="background1" w:themeShade="A6"/>
        </w:tcBorders>
      </w:tcPr>
    </w:tblStylePr>
    <w:tblStylePr w:type="firstCol">
      <w:pPr>
        <w:jc w:val="left"/>
      </w:pPr>
      <w:rPr>
        <w:b/>
      </w:rPr>
      <w:tblPr/>
      <w:tcPr>
        <w:tcBorders>
          <w:left w:val="single" w:sz="4" w:space="0" w:color="A6A6A6" w:themeColor="background1" w:themeShade="A6"/>
        </w:tcBorders>
        <w:shd w:val="clear" w:color="auto" w:fill="F2F2F2" w:themeFill="background1" w:themeFillShade="F2"/>
      </w:tcPr>
    </w:tblStylePr>
    <w:tblStylePr w:type="lastCol">
      <w:tblPr/>
      <w:tcPr>
        <w:tcBorders>
          <w:right w:val="single" w:sz="4" w:space="0" w:color="A6A6A6" w:themeColor="background1" w:themeShade="A6"/>
        </w:tcBorders>
      </w:tcPr>
    </w:tblStylePr>
  </w:style>
  <w:style w:type="numbering" w:customStyle="1" w:styleId="AlphaNumericliststyle">
    <w:name w:val="AlphaNumeric list style"/>
    <w:uiPriority w:val="99"/>
    <w:pPr>
      <w:numPr>
        <w:numId w:val="3"/>
      </w:numPr>
    </w:pPr>
  </w:style>
  <w:style w:type="paragraph" w:customStyle="1" w:styleId="Liststyle1a1betc">
    <w:name w:val="List style 1a 1b etc"/>
    <w:basedOn w:val="ListParagraph"/>
    <w:qFormat/>
    <w:pPr>
      <w:numPr>
        <w:ilvl w:val="1"/>
        <w:numId w:val="4"/>
      </w:numPr>
      <w:contextualSpacing w:val="0"/>
    </w:pPr>
  </w:style>
  <w:style w:type="paragraph" w:customStyle="1" w:styleId="Liststyle2a2betc">
    <w:name w:val="List style 2a 2b etc"/>
    <w:basedOn w:val="ListParagraph"/>
    <w:qFormat/>
    <w:pPr>
      <w:numPr>
        <w:ilvl w:val="1"/>
        <w:numId w:val="5"/>
      </w:numPr>
      <w:contextualSpacing w:val="0"/>
    </w:pPr>
  </w:style>
  <w:style w:type="paragraph" w:customStyle="1" w:styleId="Liststyle3a3betc">
    <w:name w:val="List style 3a 3b etc"/>
    <w:basedOn w:val="ListBullet"/>
    <w:qFormat/>
    <w:pPr>
      <w:numPr>
        <w:ilvl w:val="1"/>
        <w:numId w:val="6"/>
      </w:numPr>
      <w:tabs>
        <w:tab w:val="left" w:pos="357"/>
        <w:tab w:val="left" w:pos="720"/>
      </w:tabs>
      <w:contextualSpacing w:val="0"/>
    </w:p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aliases w:val="Style Bullet,Numbered Para 1,Dot pt,No Spacing1,List Paragraph Char Char Char,Indicator Text,List Paragraph1,Bullet Points,Bullet 1,MAIN CONTENT,List Paragraph12,F5 List Paragraph,OBC Bullet,Colorful List - Accent 11,Normal numbered"/>
    <w:basedOn w:val="Normal"/>
    <w:link w:val="ListParagraphChar"/>
    <w:uiPriority w:val="34"/>
    <w:qFormat/>
    <w:pPr>
      <w:spacing w:before="120" w:after="120" w:line="240" w:lineRule="auto"/>
      <w:ind w:left="720"/>
      <w:contextualSpacing/>
    </w:pPr>
    <w:rPr>
      <w:rFonts w:eastAsia="Times New Roman" w:cs="Arial"/>
      <w:sz w:val="24"/>
      <w:szCs w:val="24"/>
      <w:lang w:eastAsia="en-GB"/>
    </w:rPr>
  </w:style>
  <w:style w:type="paragraph" w:customStyle="1" w:styleId="StyleNumbering">
    <w:name w:val="Style Numbering"/>
    <w:basedOn w:val="ListParagraph"/>
    <w:link w:val="StyleNumberingChar"/>
    <w:qFormat/>
    <w:pPr>
      <w:numPr>
        <w:numId w:val="2"/>
      </w:numPr>
    </w:pPr>
  </w:style>
  <w:style w:type="paragraph" w:styleId="ListBullet">
    <w:name w:val="List Bullet"/>
    <w:basedOn w:val="Normal"/>
    <w:qFormat/>
    <w:pPr>
      <w:numPr>
        <w:numId w:val="1"/>
      </w:numPr>
      <w:spacing w:before="120" w:after="120" w:line="240" w:lineRule="auto"/>
      <w:contextualSpacing/>
    </w:pPr>
    <w:rPr>
      <w:rFonts w:eastAsia="Times New Roman" w:cs="Arial"/>
      <w:sz w:val="24"/>
      <w:szCs w:val="24"/>
      <w:lang w:eastAsia="en-GB"/>
    </w:rPr>
  </w:style>
  <w:style w:type="character" w:customStyle="1" w:styleId="ListParagraphChar">
    <w:name w:val="List Paragraph Char"/>
    <w:aliases w:val="Style Bullet Char,Numbered Para 1 Char,Dot pt Char,No Spacing1 Char,List Paragraph Char Char Char Char,Indicator Text Char,List Paragraph1 Char,Bullet Points Char,Bullet 1 Char,MAIN CONTENT Char,List Paragraph12 Char,OBC Bullet Char"/>
    <w:basedOn w:val="DefaultParagraphFont"/>
    <w:link w:val="ListParagraph"/>
    <w:uiPriority w:val="34"/>
    <w:qFormat/>
    <w:rPr>
      <w:rFonts w:eastAsia="Times New Roman" w:cs="Arial"/>
      <w:sz w:val="24"/>
      <w:szCs w:val="24"/>
      <w:lang w:eastAsia="en-GB"/>
    </w:rPr>
  </w:style>
  <w:style w:type="character" w:customStyle="1" w:styleId="StyleNumberingChar">
    <w:name w:val="Style Numbering Char"/>
    <w:basedOn w:val="ListParagraphChar"/>
    <w:link w:val="StyleNumbering"/>
    <w:rPr>
      <w:rFonts w:eastAsia="Times New Roman" w:cs="Arial"/>
      <w:sz w:val="24"/>
      <w:szCs w:val="24"/>
      <w:lang w:eastAsia="en-GB"/>
    </w:rPr>
  </w:style>
  <w:style w:type="table" w:customStyle="1" w:styleId="Eunomia-NoTotals">
    <w:name w:val="Eunomia - No Totals"/>
    <w:basedOn w:val="TableNormal"/>
    <w:uiPriority w:val="99"/>
    <w:pPr>
      <w:spacing w:before="60" w:after="60" w:line="240" w:lineRule="auto"/>
      <w:jc w:val="right"/>
    </w:pPr>
    <w:rPr>
      <w:rFonts w:ascii="Calibri" w:eastAsia="Times New Roman" w:hAnsi="Calibri" w:cs="Times New Roman"/>
      <w:sz w:val="24"/>
      <w:szCs w:val="20"/>
      <w:lang w:eastAsia="en-GB"/>
    </w:rPr>
    <w:tblPr>
      <w:tblInd w:w="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dotted" w:sz="4" w:space="0" w:color="BFBFBF" w:themeColor="background1" w:themeShade="BF"/>
        <w:insideV w:val="single" w:sz="4" w:space="0" w:color="9BBB59" w:themeColor="accent3"/>
      </w:tblBorders>
      <w:tblCellMar>
        <w:top w:w="0" w:type="dxa"/>
        <w:left w:w="108" w:type="dxa"/>
        <w:bottom w:w="0" w:type="dxa"/>
        <w:right w:w="108" w:type="dxa"/>
      </w:tblCellMar>
    </w:tblPr>
    <w:trPr>
      <w:cantSplit/>
    </w:trPr>
    <w:tcPr>
      <w:vAlign w:val="center"/>
    </w:tcPr>
    <w:tblStylePr w:type="firstRow">
      <w:rPr>
        <w:b/>
      </w:rPr>
      <w:tblPr/>
      <w:tcPr>
        <w:tcBorders>
          <w:top w:val="single" w:sz="4" w:space="0" w:color="A6A6A6" w:themeColor="background1" w:themeShade="A6"/>
        </w:tcBorders>
        <w:shd w:val="clear" w:color="auto" w:fill="BFBFBF" w:themeFill="background1" w:themeFillShade="BF"/>
      </w:tcPr>
    </w:tblStylePr>
    <w:tblStylePr w:type="lastRow">
      <w:tblPr/>
      <w:tcPr>
        <w:tcBorders>
          <w:bottom w:val="single" w:sz="4" w:space="0" w:color="A6A6A6" w:themeColor="background1" w:themeShade="A6"/>
        </w:tcBorders>
      </w:tcPr>
    </w:tblStylePr>
    <w:tblStylePr w:type="firstCol">
      <w:pPr>
        <w:jc w:val="left"/>
      </w:pPr>
      <w:rPr>
        <w:b/>
      </w:rPr>
      <w:tblPr/>
      <w:tcPr>
        <w:tcBorders>
          <w:left w:val="single" w:sz="4" w:space="0" w:color="A6A6A6" w:themeColor="background1" w:themeShade="A6"/>
        </w:tcBorders>
        <w:shd w:val="clear" w:color="auto" w:fill="F2F2F2" w:themeFill="background1" w:themeFillShade="F2"/>
      </w:tcPr>
    </w:tblStylePr>
    <w:tblStylePr w:type="lastCol">
      <w:tblPr/>
      <w:tcPr>
        <w:tcBorders>
          <w:right w:val="single" w:sz="4" w:space="0" w:color="A6A6A6" w:themeColor="background1" w:themeShade="A6"/>
        </w:tcBorders>
      </w:tcPr>
    </w:tblStylePr>
  </w:style>
  <w:style w:type="numbering" w:customStyle="1" w:styleId="AlphaNumericliststyle">
    <w:name w:val="AlphaNumeric list style"/>
    <w:uiPriority w:val="99"/>
    <w:pPr>
      <w:numPr>
        <w:numId w:val="3"/>
      </w:numPr>
    </w:pPr>
  </w:style>
  <w:style w:type="paragraph" w:customStyle="1" w:styleId="Liststyle1a1betc">
    <w:name w:val="List style 1a 1b etc"/>
    <w:basedOn w:val="ListParagraph"/>
    <w:qFormat/>
    <w:pPr>
      <w:numPr>
        <w:ilvl w:val="1"/>
        <w:numId w:val="4"/>
      </w:numPr>
      <w:contextualSpacing w:val="0"/>
    </w:pPr>
  </w:style>
  <w:style w:type="paragraph" w:customStyle="1" w:styleId="Liststyle2a2betc">
    <w:name w:val="List style 2a 2b etc"/>
    <w:basedOn w:val="ListParagraph"/>
    <w:qFormat/>
    <w:pPr>
      <w:numPr>
        <w:ilvl w:val="1"/>
        <w:numId w:val="5"/>
      </w:numPr>
      <w:contextualSpacing w:val="0"/>
    </w:pPr>
  </w:style>
  <w:style w:type="paragraph" w:customStyle="1" w:styleId="Liststyle3a3betc">
    <w:name w:val="List style 3a 3b etc"/>
    <w:basedOn w:val="ListBullet"/>
    <w:qFormat/>
    <w:pPr>
      <w:numPr>
        <w:ilvl w:val="1"/>
        <w:numId w:val="6"/>
      </w:numPr>
      <w:tabs>
        <w:tab w:val="left" w:pos="357"/>
        <w:tab w:val="left" w:pos="720"/>
      </w:tabs>
      <w:contextualSpacing w:val="0"/>
    </w:p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nvironment/waste/framework/pdf/facsheets%20and%20roadmaps/Roadmap_Croatia.pdf" TargetMode="External"/><Relationship Id="rId1" Type="http://schemas.openxmlformats.org/officeDocument/2006/relationships/hyperlink" Target="http://ec.europa.eu/environment/waste/framework/support_implementa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90EDD-ED76-42D0-9CA9-CF97084E3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1037</Words>
  <Characters>5819</Characters>
  <Application>Microsoft Office Word</Application>
  <DocSecurity>0</DocSecurity>
  <Lines>105</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dcterms:created xsi:type="dcterms:W3CDTF">2018-07-25T10:49:00Z</dcterms:created>
  <dcterms:modified xsi:type="dcterms:W3CDTF">2018-09-17T10:18:00Z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ies>
</file>