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E202217-CB97-4F11-8E83-94363B8A0980" style="width:450.8pt;height:488.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rPr>
          <w:noProof/>
        </w:rPr>
      </w:pPr>
      <w:bookmarkStart w:id="1" w:name="_GoBack"/>
      <w:bookmarkEnd w:id="1"/>
      <w:r>
        <w:rPr>
          <w:b/>
          <w:noProof/>
        </w:rPr>
        <w:lastRenderedPageBreak/>
        <w:t>Tableau 1</w:t>
      </w:r>
      <w:r>
        <w:rPr>
          <w:noProof/>
        </w:rPr>
        <w:t xml:space="preserve"> Récapitulatif des États membres de l’UE</w:t>
      </w:r>
      <w:r>
        <w:rPr>
          <w:rStyle w:val="FootnoteReference"/>
          <w:noProof/>
        </w:rPr>
        <w:footnoteReference w:id="1"/>
      </w:r>
      <w:r>
        <w:rPr>
          <w:noProof/>
        </w:rPr>
        <w:t xml:space="preserve"> risquant de ne pas atteindre l’objectif 2020 de préparation au réemploi/recyclage des déchets municipaux, qui ne sont pas sur la bonne voie pour atteindre l’objectif 2020 de valorisation des déchets de construction et de démolition ou qui ne respectent pas les objectifs contraignants fixés par la législation en vigueur en matière de déchets. Sur la base des données fournies par les États membres</w:t>
      </w:r>
    </w:p>
    <w:tbl>
      <w:tblPr>
        <w:tblStyle w:val="TableGrid"/>
        <w:tblW w:w="0" w:type="auto"/>
        <w:jc w:val="center"/>
        <w:tblLayout w:type="fixed"/>
        <w:tblLook w:val="04A0" w:firstRow="1" w:lastRow="0" w:firstColumn="1" w:lastColumn="0" w:noHBand="0" w:noVBand="1"/>
      </w:tblPr>
      <w:tblGrid>
        <w:gridCol w:w="1030"/>
        <w:gridCol w:w="1488"/>
        <w:gridCol w:w="1559"/>
        <w:gridCol w:w="1559"/>
        <w:gridCol w:w="1908"/>
        <w:gridCol w:w="1556"/>
      </w:tblGrid>
      <w:tr>
        <w:trPr>
          <w:trHeight w:val="2378"/>
          <w:jc w:val="center"/>
        </w:trPr>
        <w:tc>
          <w:tcPr>
            <w:tcW w:w="1030" w:type="dxa"/>
            <w:vAlign w:val="center"/>
          </w:tcPr>
          <w:p>
            <w:pPr>
              <w:jc w:val="center"/>
              <w:rPr>
                <w:b/>
                <w:noProof/>
              </w:rPr>
            </w:pPr>
            <w:r>
              <w:rPr>
                <w:b/>
                <w:noProof/>
              </w:rPr>
              <w:t>État membre</w:t>
            </w:r>
          </w:p>
        </w:tc>
        <w:tc>
          <w:tcPr>
            <w:tcW w:w="1488" w:type="dxa"/>
            <w:tcBorders>
              <w:bottom w:val="single" w:sz="4" w:space="0" w:color="auto"/>
            </w:tcBorders>
            <w:vAlign w:val="center"/>
          </w:tcPr>
          <w:p>
            <w:pPr>
              <w:jc w:val="center"/>
              <w:rPr>
                <w:b/>
                <w:noProof/>
              </w:rPr>
            </w:pPr>
            <w:r>
              <w:rPr>
                <w:b/>
                <w:noProof/>
              </w:rPr>
              <w:t xml:space="preserve">Risque de ne pas atteindre l’objectif 2020 pour les déchets municipaux </w:t>
            </w:r>
            <w:r>
              <w:rPr>
                <w:b/>
                <w:noProof/>
              </w:rPr>
              <w:br/>
            </w:r>
            <w:r>
              <w:rPr>
                <w:noProof/>
              </w:rPr>
              <w:t>(Données de 2015)</w:t>
            </w:r>
          </w:p>
        </w:tc>
        <w:tc>
          <w:tcPr>
            <w:tcW w:w="1559" w:type="dxa"/>
            <w:vAlign w:val="center"/>
          </w:tcPr>
          <w:p>
            <w:pPr>
              <w:jc w:val="center"/>
              <w:rPr>
                <w:b/>
                <w:noProof/>
              </w:rPr>
            </w:pPr>
            <w:r>
              <w:rPr>
                <w:b/>
                <w:noProof/>
              </w:rPr>
              <w:t xml:space="preserve">Progrès vers l’objectif de valorisation des déchets de construction et de démolition de 70 % fixé pour 2020 </w:t>
            </w:r>
            <w:r>
              <w:rPr>
                <w:noProof/>
              </w:rPr>
              <w:br/>
              <w:t>(Données de 2014)</w:t>
            </w:r>
          </w:p>
        </w:tc>
        <w:tc>
          <w:tcPr>
            <w:tcW w:w="1559" w:type="dxa"/>
            <w:vAlign w:val="center"/>
          </w:tcPr>
          <w:p>
            <w:pPr>
              <w:jc w:val="center"/>
              <w:rPr>
                <w:b/>
                <w:noProof/>
              </w:rPr>
            </w:pPr>
            <w:r>
              <w:rPr>
                <w:b/>
                <w:noProof/>
              </w:rPr>
              <w:t xml:space="preserve">Objectif de collecte des DEEE </w:t>
            </w:r>
            <w:r>
              <w:rPr>
                <w:b/>
                <w:noProof/>
              </w:rPr>
              <w:br/>
            </w:r>
            <w:r>
              <w:rPr>
                <w:noProof/>
              </w:rPr>
              <w:t>(Données de 2015)</w:t>
            </w:r>
          </w:p>
        </w:tc>
        <w:tc>
          <w:tcPr>
            <w:tcW w:w="1908" w:type="dxa"/>
            <w:vAlign w:val="center"/>
          </w:tcPr>
          <w:p>
            <w:pPr>
              <w:jc w:val="center"/>
              <w:rPr>
                <w:b/>
                <w:noProof/>
              </w:rPr>
            </w:pPr>
            <w:r>
              <w:rPr>
                <w:b/>
                <w:noProof/>
              </w:rPr>
              <w:t xml:space="preserve">Objectifs pour les déchets d’emballages: </w:t>
            </w:r>
            <w:r>
              <w:rPr>
                <w:noProof/>
              </w:rPr>
              <w:t>objectif de recyclage général; objectifs spécifiques par matière (données de 2015)</w:t>
            </w:r>
          </w:p>
        </w:tc>
        <w:tc>
          <w:tcPr>
            <w:tcW w:w="1556" w:type="dxa"/>
            <w:vAlign w:val="center"/>
          </w:tcPr>
          <w:p>
            <w:pPr>
              <w:jc w:val="center"/>
              <w:rPr>
                <w:b/>
                <w:noProof/>
              </w:rPr>
            </w:pPr>
            <w:r>
              <w:rPr>
                <w:b/>
                <w:noProof/>
              </w:rPr>
              <w:t xml:space="preserve">Objectifs pour la mise en décharge </w:t>
            </w:r>
            <w:r>
              <w:rPr>
                <w:b/>
                <w:noProof/>
              </w:rPr>
              <w:br/>
            </w:r>
            <w:r>
              <w:rPr>
                <w:noProof/>
              </w:rPr>
              <w:t>(date d'application; données pour la période de référence 2013-2015)</w:t>
            </w:r>
          </w:p>
        </w:tc>
      </w:tr>
      <w:tr>
        <w:trPr>
          <w:trHeight w:val="634"/>
          <w:jc w:val="center"/>
        </w:trPr>
        <w:tc>
          <w:tcPr>
            <w:tcW w:w="1030" w:type="dxa"/>
          </w:tcPr>
          <w:p>
            <w:pPr>
              <w:jc w:val="center"/>
              <w:rPr>
                <w:b/>
                <w:noProof/>
              </w:rPr>
            </w:pPr>
            <w:r>
              <w:rPr>
                <w:b/>
                <w:noProof/>
              </w:rPr>
              <w:t>BG</w:t>
            </w:r>
          </w:p>
        </w:tc>
        <w:tc>
          <w:tcPr>
            <w:tcW w:w="1488" w:type="dxa"/>
            <w:shd w:val="clear" w:color="auto" w:fill="FFC000"/>
          </w:tcPr>
          <w:p>
            <w:pPr>
              <w:jc w:val="center"/>
              <w:rPr>
                <w:noProof/>
              </w:rPr>
            </w:pPr>
          </w:p>
        </w:tc>
        <w:tc>
          <w:tcPr>
            <w:tcW w:w="1559" w:type="dxa"/>
            <w:tcBorders>
              <w:bottom w:val="single" w:sz="4" w:space="0" w:color="auto"/>
            </w:tcBorders>
          </w:tcPr>
          <w:p>
            <w:pPr>
              <w:jc w:val="center"/>
              <w:rPr>
                <w:noProof/>
              </w:rPr>
            </w:pPr>
          </w:p>
        </w:tc>
        <w:tc>
          <w:tcPr>
            <w:tcW w:w="1559" w:type="dxa"/>
          </w:tcPr>
          <w:p>
            <w:pPr>
              <w:jc w:val="center"/>
              <w:rPr>
                <w:noProof/>
              </w:rPr>
            </w:pPr>
          </w:p>
        </w:tc>
        <w:tc>
          <w:tcPr>
            <w:tcW w:w="1908" w:type="dxa"/>
          </w:tcPr>
          <w:p>
            <w:pPr>
              <w:jc w:val="center"/>
              <w:rPr>
                <w:noProof/>
              </w:rPr>
            </w:pPr>
          </w:p>
        </w:tc>
        <w:tc>
          <w:tcPr>
            <w:tcW w:w="1556" w:type="dxa"/>
          </w:tcPr>
          <w:p>
            <w:pPr>
              <w:jc w:val="center"/>
              <w:rPr>
                <w:noProof/>
              </w:rPr>
            </w:pPr>
          </w:p>
        </w:tc>
      </w:tr>
      <w:tr>
        <w:trPr>
          <w:jc w:val="center"/>
        </w:trPr>
        <w:tc>
          <w:tcPr>
            <w:tcW w:w="1030" w:type="dxa"/>
          </w:tcPr>
          <w:p>
            <w:pPr>
              <w:jc w:val="center"/>
              <w:rPr>
                <w:b/>
                <w:noProof/>
              </w:rPr>
            </w:pPr>
            <w:r>
              <w:rPr>
                <w:b/>
                <w:noProof/>
              </w:rPr>
              <w:t>CY</w:t>
            </w:r>
          </w:p>
        </w:tc>
        <w:tc>
          <w:tcPr>
            <w:tcW w:w="1488" w:type="dxa"/>
            <w:shd w:val="clear" w:color="auto" w:fill="FFC000"/>
          </w:tcPr>
          <w:p>
            <w:pPr>
              <w:jc w:val="center"/>
              <w:rPr>
                <w:noProof/>
              </w:rPr>
            </w:pPr>
          </w:p>
        </w:tc>
        <w:tc>
          <w:tcPr>
            <w:tcW w:w="1559" w:type="dxa"/>
            <w:shd w:val="clear" w:color="auto" w:fill="FFC000"/>
          </w:tcPr>
          <w:p>
            <w:pPr>
              <w:jc w:val="center"/>
              <w:rPr>
                <w:noProof/>
                <w:color w:val="000000" w:themeColor="text1"/>
              </w:rPr>
            </w:pPr>
            <w:r>
              <w:rPr>
                <w:noProof/>
              </w:rPr>
              <w:t>Taux de valorisation inférieur à 60 %</w:t>
            </w:r>
          </w:p>
        </w:tc>
        <w:tc>
          <w:tcPr>
            <w:tcW w:w="1559" w:type="dxa"/>
            <w:shd w:val="clear" w:color="auto" w:fill="FF0000"/>
          </w:tcPr>
          <w:p>
            <w:pPr>
              <w:jc w:val="center"/>
              <w:rPr>
                <w:noProof/>
              </w:rPr>
            </w:pPr>
            <w:r>
              <w:rPr>
                <w:noProof/>
              </w:rPr>
              <w:t>données de 2014</w:t>
            </w:r>
          </w:p>
        </w:tc>
        <w:tc>
          <w:tcPr>
            <w:tcW w:w="1908" w:type="dxa"/>
            <w:shd w:val="clear" w:color="auto" w:fill="FF0000"/>
          </w:tcPr>
          <w:p>
            <w:pPr>
              <w:jc w:val="center"/>
              <w:rPr>
                <w:noProof/>
              </w:rPr>
            </w:pPr>
            <w:r>
              <w:rPr>
                <w:noProof/>
              </w:rPr>
              <w:t xml:space="preserve">- objectif de recyclage général </w:t>
            </w:r>
            <w:r>
              <w:rPr>
                <w:noProof/>
              </w:rPr>
              <w:br/>
              <w:t xml:space="preserve">- bois </w:t>
            </w:r>
            <w:r>
              <w:rPr>
                <w:noProof/>
              </w:rPr>
              <w:br/>
              <w:t>- verre</w:t>
            </w:r>
          </w:p>
          <w:p>
            <w:pPr>
              <w:jc w:val="center"/>
              <w:rPr>
                <w:noProof/>
              </w:rPr>
            </w:pPr>
            <w:r>
              <w:rPr>
                <w:noProof/>
              </w:rPr>
              <w:t>(Données de 2014)</w:t>
            </w:r>
          </w:p>
        </w:tc>
        <w:tc>
          <w:tcPr>
            <w:tcW w:w="1556" w:type="dxa"/>
            <w:shd w:val="clear" w:color="auto" w:fill="FF0000"/>
          </w:tcPr>
          <w:p>
            <w:pPr>
              <w:jc w:val="center"/>
              <w:rPr>
                <w:noProof/>
              </w:rPr>
            </w:pPr>
            <w:r>
              <w:rPr>
                <w:noProof/>
              </w:rPr>
              <w:t>50 % (2013)</w:t>
            </w:r>
          </w:p>
        </w:tc>
      </w:tr>
      <w:tr>
        <w:trPr>
          <w:trHeight w:val="696"/>
          <w:jc w:val="center"/>
        </w:trPr>
        <w:tc>
          <w:tcPr>
            <w:tcW w:w="1030" w:type="dxa"/>
          </w:tcPr>
          <w:p>
            <w:pPr>
              <w:jc w:val="center"/>
              <w:rPr>
                <w:b/>
                <w:noProof/>
              </w:rPr>
            </w:pPr>
            <w:r>
              <w:rPr>
                <w:b/>
                <w:noProof/>
              </w:rPr>
              <w:t>HR</w:t>
            </w:r>
          </w:p>
        </w:tc>
        <w:tc>
          <w:tcPr>
            <w:tcW w:w="1488" w:type="dxa"/>
            <w:shd w:val="clear" w:color="auto" w:fill="FFC000"/>
          </w:tcPr>
          <w:p>
            <w:pPr>
              <w:jc w:val="center"/>
              <w:rPr>
                <w:noProof/>
              </w:rPr>
            </w:pPr>
          </w:p>
        </w:tc>
        <w:tc>
          <w:tcPr>
            <w:tcW w:w="1559" w:type="dxa"/>
          </w:tcPr>
          <w:p>
            <w:pPr>
              <w:jc w:val="center"/>
              <w:rPr>
                <w:noProof/>
              </w:rPr>
            </w:pPr>
          </w:p>
        </w:tc>
        <w:tc>
          <w:tcPr>
            <w:tcW w:w="1559" w:type="dxa"/>
          </w:tcPr>
          <w:p>
            <w:pPr>
              <w:jc w:val="center"/>
              <w:rPr>
                <w:noProof/>
              </w:rPr>
            </w:pPr>
          </w:p>
        </w:tc>
        <w:tc>
          <w:tcPr>
            <w:tcW w:w="1908" w:type="dxa"/>
            <w:shd w:val="clear" w:color="auto" w:fill="FF0000"/>
          </w:tcPr>
          <w:p>
            <w:pPr>
              <w:jc w:val="center"/>
              <w:rPr>
                <w:noProof/>
              </w:rPr>
            </w:pPr>
            <w:r>
              <w:rPr>
                <w:noProof/>
              </w:rPr>
              <w:t>- bois</w:t>
            </w:r>
            <w:r>
              <w:rPr>
                <w:noProof/>
              </w:rPr>
              <w:br/>
              <w:t>- métal</w:t>
            </w:r>
          </w:p>
        </w:tc>
        <w:tc>
          <w:tcPr>
            <w:tcW w:w="1556" w:type="dxa"/>
            <w:shd w:val="clear" w:color="auto" w:fill="FF0000"/>
          </w:tcPr>
          <w:p>
            <w:pPr>
              <w:jc w:val="center"/>
              <w:rPr>
                <w:noProof/>
              </w:rPr>
            </w:pPr>
            <w:r>
              <w:rPr>
                <w:noProof/>
              </w:rPr>
              <w:t>75 % (2013)</w:t>
            </w:r>
          </w:p>
        </w:tc>
      </w:tr>
      <w:tr>
        <w:trPr>
          <w:trHeight w:val="608"/>
          <w:jc w:val="center"/>
        </w:trPr>
        <w:tc>
          <w:tcPr>
            <w:tcW w:w="1030" w:type="dxa"/>
          </w:tcPr>
          <w:p>
            <w:pPr>
              <w:jc w:val="center"/>
              <w:rPr>
                <w:b/>
                <w:noProof/>
              </w:rPr>
            </w:pPr>
            <w:r>
              <w:rPr>
                <w:b/>
                <w:noProof/>
              </w:rPr>
              <w:t>EE</w:t>
            </w:r>
          </w:p>
        </w:tc>
        <w:tc>
          <w:tcPr>
            <w:tcW w:w="1488" w:type="dxa"/>
            <w:shd w:val="clear" w:color="auto" w:fill="FFC000"/>
          </w:tcPr>
          <w:p>
            <w:pPr>
              <w:jc w:val="center"/>
              <w:rPr>
                <w:noProof/>
              </w:rPr>
            </w:pPr>
          </w:p>
        </w:tc>
        <w:tc>
          <w:tcPr>
            <w:tcW w:w="1559" w:type="dxa"/>
            <w:tcBorders>
              <w:bottom w:val="single" w:sz="4" w:space="0" w:color="auto"/>
            </w:tcBorders>
          </w:tcPr>
          <w:p>
            <w:pPr>
              <w:jc w:val="center"/>
              <w:rPr>
                <w:noProof/>
              </w:rPr>
            </w:pPr>
          </w:p>
        </w:tc>
        <w:tc>
          <w:tcPr>
            <w:tcW w:w="1559" w:type="dxa"/>
          </w:tcPr>
          <w:p>
            <w:pPr>
              <w:jc w:val="center"/>
              <w:rPr>
                <w:noProof/>
              </w:rPr>
            </w:pPr>
          </w:p>
        </w:tc>
        <w:tc>
          <w:tcPr>
            <w:tcW w:w="1908" w:type="dxa"/>
          </w:tcPr>
          <w:p>
            <w:pPr>
              <w:jc w:val="center"/>
              <w:rPr>
                <w:noProof/>
              </w:rPr>
            </w:pPr>
          </w:p>
        </w:tc>
        <w:tc>
          <w:tcPr>
            <w:tcW w:w="1556" w:type="dxa"/>
          </w:tcPr>
          <w:p>
            <w:pPr>
              <w:jc w:val="center"/>
              <w:rPr>
                <w:noProof/>
              </w:rPr>
            </w:pPr>
          </w:p>
        </w:tc>
      </w:tr>
      <w:tr>
        <w:trPr>
          <w:trHeight w:val="686"/>
          <w:jc w:val="center"/>
        </w:trPr>
        <w:tc>
          <w:tcPr>
            <w:tcW w:w="1030" w:type="dxa"/>
          </w:tcPr>
          <w:p>
            <w:pPr>
              <w:jc w:val="center"/>
              <w:rPr>
                <w:b/>
                <w:noProof/>
              </w:rPr>
            </w:pPr>
            <w:r>
              <w:rPr>
                <w:b/>
                <w:noProof/>
              </w:rPr>
              <w:t>FI</w:t>
            </w:r>
          </w:p>
        </w:tc>
        <w:tc>
          <w:tcPr>
            <w:tcW w:w="1488" w:type="dxa"/>
            <w:shd w:val="clear" w:color="auto" w:fill="FFC000"/>
          </w:tcPr>
          <w:p>
            <w:pPr>
              <w:jc w:val="center"/>
              <w:rPr>
                <w:noProof/>
              </w:rPr>
            </w:pPr>
          </w:p>
        </w:tc>
        <w:tc>
          <w:tcPr>
            <w:tcW w:w="1559" w:type="dxa"/>
            <w:tcBorders>
              <w:bottom w:val="single" w:sz="4" w:space="0" w:color="auto"/>
            </w:tcBorders>
            <w:shd w:val="clear" w:color="auto" w:fill="FFFFFF" w:themeFill="background1"/>
          </w:tcPr>
          <w:p>
            <w:pPr>
              <w:jc w:val="center"/>
              <w:rPr>
                <w:noProof/>
                <w:color w:val="000000" w:themeColor="text1"/>
              </w:rPr>
            </w:pPr>
          </w:p>
        </w:tc>
        <w:tc>
          <w:tcPr>
            <w:tcW w:w="1559" w:type="dxa"/>
          </w:tcPr>
          <w:p>
            <w:pPr>
              <w:jc w:val="center"/>
              <w:rPr>
                <w:noProof/>
              </w:rPr>
            </w:pPr>
          </w:p>
        </w:tc>
        <w:tc>
          <w:tcPr>
            <w:tcW w:w="1908" w:type="dxa"/>
            <w:shd w:val="clear" w:color="auto" w:fill="FF0000"/>
          </w:tcPr>
          <w:p>
            <w:pPr>
              <w:jc w:val="center"/>
              <w:rPr>
                <w:noProof/>
              </w:rPr>
            </w:pPr>
            <w:r>
              <w:rPr>
                <w:noProof/>
              </w:rPr>
              <w:t>bois</w:t>
            </w:r>
          </w:p>
        </w:tc>
        <w:tc>
          <w:tcPr>
            <w:tcW w:w="1556" w:type="dxa"/>
          </w:tcPr>
          <w:p>
            <w:pPr>
              <w:jc w:val="center"/>
              <w:rPr>
                <w:noProof/>
              </w:rPr>
            </w:pPr>
          </w:p>
        </w:tc>
      </w:tr>
      <w:tr>
        <w:trPr>
          <w:trHeight w:val="694"/>
          <w:jc w:val="center"/>
        </w:trPr>
        <w:tc>
          <w:tcPr>
            <w:tcW w:w="1030" w:type="dxa"/>
          </w:tcPr>
          <w:p>
            <w:pPr>
              <w:jc w:val="center"/>
              <w:rPr>
                <w:b/>
                <w:noProof/>
              </w:rPr>
            </w:pPr>
            <w:r>
              <w:rPr>
                <w:b/>
                <w:noProof/>
              </w:rPr>
              <w:t>EL</w:t>
            </w:r>
          </w:p>
        </w:tc>
        <w:tc>
          <w:tcPr>
            <w:tcW w:w="1488" w:type="dxa"/>
            <w:shd w:val="clear" w:color="auto" w:fill="FFC000"/>
          </w:tcPr>
          <w:p>
            <w:pPr>
              <w:jc w:val="center"/>
              <w:rPr>
                <w:noProof/>
              </w:rPr>
            </w:pPr>
          </w:p>
        </w:tc>
        <w:tc>
          <w:tcPr>
            <w:tcW w:w="1559" w:type="dxa"/>
            <w:shd w:val="clear" w:color="auto" w:fill="FFC000"/>
          </w:tcPr>
          <w:p>
            <w:pPr>
              <w:jc w:val="center"/>
              <w:rPr>
                <w:noProof/>
                <w:color w:val="000000" w:themeColor="text1"/>
              </w:rPr>
            </w:pPr>
            <w:r>
              <w:rPr>
                <w:noProof/>
              </w:rPr>
              <w:t>Taux de valorisation inférieur à 60 %</w:t>
            </w:r>
          </w:p>
        </w:tc>
        <w:tc>
          <w:tcPr>
            <w:tcW w:w="1559" w:type="dxa"/>
          </w:tcPr>
          <w:p>
            <w:pPr>
              <w:jc w:val="center"/>
              <w:rPr>
                <w:noProof/>
              </w:rPr>
            </w:pPr>
          </w:p>
        </w:tc>
        <w:tc>
          <w:tcPr>
            <w:tcW w:w="1908" w:type="dxa"/>
            <w:shd w:val="clear" w:color="auto" w:fill="FF0000"/>
          </w:tcPr>
          <w:p>
            <w:pPr>
              <w:jc w:val="center"/>
              <w:rPr>
                <w:noProof/>
              </w:rPr>
            </w:pPr>
            <w:r>
              <w:rPr>
                <w:noProof/>
              </w:rPr>
              <w:t>verre</w:t>
            </w:r>
          </w:p>
        </w:tc>
        <w:tc>
          <w:tcPr>
            <w:tcW w:w="1556" w:type="dxa"/>
            <w:shd w:val="clear" w:color="auto" w:fill="FF0000"/>
          </w:tcPr>
          <w:p>
            <w:pPr>
              <w:jc w:val="center"/>
              <w:rPr>
                <w:noProof/>
              </w:rPr>
            </w:pPr>
            <w:r>
              <w:rPr>
                <w:noProof/>
              </w:rPr>
              <w:t>50 % (2013)</w:t>
            </w:r>
          </w:p>
        </w:tc>
      </w:tr>
      <w:tr>
        <w:trPr>
          <w:trHeight w:val="702"/>
          <w:jc w:val="center"/>
        </w:trPr>
        <w:tc>
          <w:tcPr>
            <w:tcW w:w="1030" w:type="dxa"/>
          </w:tcPr>
          <w:p>
            <w:pPr>
              <w:jc w:val="center"/>
              <w:rPr>
                <w:b/>
                <w:noProof/>
              </w:rPr>
            </w:pPr>
            <w:r>
              <w:rPr>
                <w:b/>
                <w:noProof/>
              </w:rPr>
              <w:t>HU</w:t>
            </w:r>
          </w:p>
        </w:tc>
        <w:tc>
          <w:tcPr>
            <w:tcW w:w="1488" w:type="dxa"/>
            <w:shd w:val="clear" w:color="auto" w:fill="FFC000"/>
          </w:tcPr>
          <w:p>
            <w:pPr>
              <w:jc w:val="center"/>
              <w:rPr>
                <w:noProof/>
              </w:rPr>
            </w:pPr>
          </w:p>
        </w:tc>
        <w:tc>
          <w:tcPr>
            <w:tcW w:w="1559" w:type="dxa"/>
            <w:tcBorders>
              <w:bottom w:val="single" w:sz="4" w:space="0" w:color="auto"/>
            </w:tcBorders>
          </w:tcPr>
          <w:p>
            <w:pPr>
              <w:jc w:val="center"/>
              <w:rPr>
                <w:noProof/>
              </w:rPr>
            </w:pPr>
          </w:p>
        </w:tc>
        <w:tc>
          <w:tcPr>
            <w:tcW w:w="1559" w:type="dxa"/>
          </w:tcPr>
          <w:p>
            <w:pPr>
              <w:jc w:val="center"/>
              <w:rPr>
                <w:noProof/>
              </w:rPr>
            </w:pPr>
          </w:p>
        </w:tc>
        <w:tc>
          <w:tcPr>
            <w:tcW w:w="1908" w:type="dxa"/>
            <w:shd w:val="clear" w:color="auto" w:fill="FF0000"/>
          </w:tcPr>
          <w:p>
            <w:pPr>
              <w:jc w:val="center"/>
              <w:rPr>
                <w:noProof/>
              </w:rPr>
            </w:pPr>
            <w:r>
              <w:rPr>
                <w:noProof/>
              </w:rPr>
              <w:t xml:space="preserve">- recyclage général </w:t>
            </w:r>
            <w:r>
              <w:rPr>
                <w:noProof/>
              </w:rPr>
              <w:br/>
              <w:t>- verre</w:t>
            </w:r>
          </w:p>
        </w:tc>
        <w:tc>
          <w:tcPr>
            <w:tcW w:w="1556" w:type="dxa"/>
          </w:tcPr>
          <w:p>
            <w:pPr>
              <w:jc w:val="center"/>
              <w:rPr>
                <w:noProof/>
              </w:rPr>
            </w:pPr>
          </w:p>
        </w:tc>
      </w:tr>
      <w:tr>
        <w:trPr>
          <w:trHeight w:val="583"/>
          <w:jc w:val="center"/>
        </w:trPr>
        <w:tc>
          <w:tcPr>
            <w:tcW w:w="1030" w:type="dxa"/>
          </w:tcPr>
          <w:p>
            <w:pPr>
              <w:jc w:val="center"/>
              <w:rPr>
                <w:b/>
                <w:noProof/>
              </w:rPr>
            </w:pPr>
            <w:r>
              <w:rPr>
                <w:b/>
                <w:noProof/>
              </w:rPr>
              <w:t>LV</w:t>
            </w:r>
          </w:p>
        </w:tc>
        <w:tc>
          <w:tcPr>
            <w:tcW w:w="1488" w:type="dxa"/>
            <w:shd w:val="clear" w:color="auto" w:fill="FFC000"/>
          </w:tcPr>
          <w:p>
            <w:pPr>
              <w:jc w:val="center"/>
              <w:rPr>
                <w:noProof/>
              </w:rPr>
            </w:pPr>
          </w:p>
        </w:tc>
        <w:tc>
          <w:tcPr>
            <w:tcW w:w="1559" w:type="dxa"/>
            <w:shd w:val="clear" w:color="auto" w:fill="FFFFFF" w:themeFill="background1"/>
          </w:tcPr>
          <w:p>
            <w:pPr>
              <w:rPr>
                <w:noProof/>
              </w:rPr>
            </w:pPr>
          </w:p>
        </w:tc>
        <w:tc>
          <w:tcPr>
            <w:tcW w:w="1559" w:type="dxa"/>
            <w:shd w:val="clear" w:color="auto" w:fill="FF0000"/>
          </w:tcPr>
          <w:p>
            <w:pPr>
              <w:rPr>
                <w:noProof/>
              </w:rPr>
            </w:pPr>
          </w:p>
        </w:tc>
        <w:tc>
          <w:tcPr>
            <w:tcW w:w="1908" w:type="dxa"/>
          </w:tcPr>
          <w:p>
            <w:pPr>
              <w:jc w:val="center"/>
              <w:rPr>
                <w:noProof/>
              </w:rPr>
            </w:pPr>
          </w:p>
        </w:tc>
        <w:tc>
          <w:tcPr>
            <w:tcW w:w="1556" w:type="dxa"/>
            <w:shd w:val="clear" w:color="auto" w:fill="FF0000"/>
          </w:tcPr>
          <w:p>
            <w:pPr>
              <w:jc w:val="center"/>
              <w:rPr>
                <w:noProof/>
              </w:rPr>
            </w:pPr>
            <w:r>
              <w:rPr>
                <w:noProof/>
              </w:rPr>
              <w:t>50 % (2013)</w:t>
            </w:r>
          </w:p>
        </w:tc>
      </w:tr>
      <w:tr>
        <w:trPr>
          <w:jc w:val="center"/>
        </w:trPr>
        <w:tc>
          <w:tcPr>
            <w:tcW w:w="1030" w:type="dxa"/>
          </w:tcPr>
          <w:p>
            <w:pPr>
              <w:jc w:val="center"/>
              <w:rPr>
                <w:b/>
                <w:noProof/>
              </w:rPr>
            </w:pPr>
            <w:r>
              <w:rPr>
                <w:b/>
                <w:noProof/>
              </w:rPr>
              <w:t>MT</w:t>
            </w:r>
          </w:p>
        </w:tc>
        <w:tc>
          <w:tcPr>
            <w:tcW w:w="1488" w:type="dxa"/>
            <w:shd w:val="clear" w:color="auto" w:fill="FFC000"/>
          </w:tcPr>
          <w:p>
            <w:pPr>
              <w:jc w:val="center"/>
              <w:rPr>
                <w:noProof/>
              </w:rPr>
            </w:pPr>
          </w:p>
        </w:tc>
        <w:tc>
          <w:tcPr>
            <w:tcW w:w="1559" w:type="dxa"/>
            <w:shd w:val="clear" w:color="auto" w:fill="FFFFFF" w:themeFill="background1"/>
          </w:tcPr>
          <w:p>
            <w:pPr>
              <w:jc w:val="center"/>
              <w:rPr>
                <w:noProof/>
              </w:rPr>
            </w:pPr>
          </w:p>
        </w:tc>
        <w:tc>
          <w:tcPr>
            <w:tcW w:w="1559" w:type="dxa"/>
            <w:shd w:val="clear" w:color="auto" w:fill="FF0000"/>
          </w:tcPr>
          <w:p>
            <w:pPr>
              <w:jc w:val="center"/>
              <w:rPr>
                <w:noProof/>
              </w:rPr>
            </w:pPr>
            <w:r>
              <w:rPr>
                <w:noProof/>
              </w:rPr>
              <w:t>données de 2014</w:t>
            </w:r>
          </w:p>
        </w:tc>
        <w:tc>
          <w:tcPr>
            <w:tcW w:w="1908" w:type="dxa"/>
            <w:shd w:val="clear" w:color="auto" w:fill="FF0000"/>
          </w:tcPr>
          <w:p>
            <w:pPr>
              <w:jc w:val="center"/>
              <w:rPr>
                <w:noProof/>
              </w:rPr>
            </w:pPr>
            <w:r>
              <w:rPr>
                <w:noProof/>
              </w:rPr>
              <w:t>- recyclage général</w:t>
            </w:r>
          </w:p>
          <w:p>
            <w:pPr>
              <w:jc w:val="center"/>
              <w:rPr>
                <w:noProof/>
              </w:rPr>
            </w:pPr>
            <w:r>
              <w:rPr>
                <w:noProof/>
              </w:rPr>
              <w:t>- papier</w:t>
            </w:r>
            <w:r>
              <w:rPr>
                <w:noProof/>
              </w:rPr>
              <w:br/>
              <w:t>- bois</w:t>
            </w:r>
            <w:r>
              <w:rPr>
                <w:noProof/>
              </w:rPr>
              <w:br/>
              <w:t>- métal</w:t>
            </w:r>
            <w:r>
              <w:rPr>
                <w:noProof/>
              </w:rPr>
              <w:br/>
              <w:t>- verre</w:t>
            </w:r>
          </w:p>
          <w:p>
            <w:pPr>
              <w:jc w:val="center"/>
              <w:rPr>
                <w:noProof/>
              </w:rPr>
            </w:pPr>
            <w:r>
              <w:rPr>
                <w:noProof/>
              </w:rPr>
              <w:t>(Données de 2014)</w:t>
            </w:r>
          </w:p>
        </w:tc>
        <w:tc>
          <w:tcPr>
            <w:tcW w:w="1556" w:type="dxa"/>
            <w:shd w:val="pct20" w:color="auto" w:fill="auto"/>
          </w:tcPr>
          <w:p>
            <w:pPr>
              <w:jc w:val="center"/>
              <w:rPr>
                <w:noProof/>
              </w:rPr>
            </w:pPr>
            <w:r>
              <w:rPr>
                <w:noProof/>
              </w:rPr>
              <w:t>Aucune donnée fournie</w:t>
            </w:r>
          </w:p>
        </w:tc>
      </w:tr>
      <w:tr>
        <w:trPr>
          <w:trHeight w:val="610"/>
          <w:jc w:val="center"/>
        </w:trPr>
        <w:tc>
          <w:tcPr>
            <w:tcW w:w="1030" w:type="dxa"/>
          </w:tcPr>
          <w:p>
            <w:pPr>
              <w:jc w:val="center"/>
              <w:rPr>
                <w:b/>
                <w:noProof/>
              </w:rPr>
            </w:pPr>
            <w:r>
              <w:rPr>
                <w:b/>
                <w:noProof/>
              </w:rPr>
              <w:t>PL</w:t>
            </w:r>
          </w:p>
        </w:tc>
        <w:tc>
          <w:tcPr>
            <w:tcW w:w="1488" w:type="dxa"/>
            <w:shd w:val="clear" w:color="auto" w:fill="FFC000"/>
          </w:tcPr>
          <w:p>
            <w:pPr>
              <w:jc w:val="center"/>
              <w:rPr>
                <w:noProof/>
              </w:rPr>
            </w:pPr>
          </w:p>
        </w:tc>
        <w:tc>
          <w:tcPr>
            <w:tcW w:w="1559" w:type="dxa"/>
          </w:tcPr>
          <w:p>
            <w:pPr>
              <w:jc w:val="center"/>
              <w:rPr>
                <w:noProof/>
              </w:rPr>
            </w:pPr>
          </w:p>
        </w:tc>
        <w:tc>
          <w:tcPr>
            <w:tcW w:w="1559" w:type="dxa"/>
          </w:tcPr>
          <w:p>
            <w:pPr>
              <w:jc w:val="center"/>
              <w:rPr>
                <w:noProof/>
              </w:rPr>
            </w:pPr>
          </w:p>
        </w:tc>
        <w:tc>
          <w:tcPr>
            <w:tcW w:w="1908" w:type="dxa"/>
            <w:shd w:val="clear" w:color="auto" w:fill="FF0000"/>
          </w:tcPr>
          <w:p>
            <w:pPr>
              <w:jc w:val="center"/>
              <w:rPr>
                <w:noProof/>
              </w:rPr>
            </w:pPr>
            <w:r>
              <w:rPr>
                <w:noProof/>
              </w:rPr>
              <w:t>verre</w:t>
            </w:r>
          </w:p>
        </w:tc>
        <w:tc>
          <w:tcPr>
            <w:tcW w:w="1556" w:type="dxa"/>
          </w:tcPr>
          <w:p>
            <w:pPr>
              <w:jc w:val="center"/>
              <w:rPr>
                <w:noProof/>
              </w:rPr>
            </w:pPr>
          </w:p>
        </w:tc>
      </w:tr>
      <w:tr>
        <w:trPr>
          <w:trHeight w:val="588"/>
          <w:jc w:val="center"/>
        </w:trPr>
        <w:tc>
          <w:tcPr>
            <w:tcW w:w="1030" w:type="dxa"/>
          </w:tcPr>
          <w:p>
            <w:pPr>
              <w:jc w:val="center"/>
              <w:rPr>
                <w:b/>
                <w:noProof/>
              </w:rPr>
            </w:pPr>
            <w:r>
              <w:rPr>
                <w:b/>
                <w:noProof/>
              </w:rPr>
              <w:t>PT</w:t>
            </w:r>
          </w:p>
        </w:tc>
        <w:tc>
          <w:tcPr>
            <w:tcW w:w="1488" w:type="dxa"/>
            <w:shd w:val="clear" w:color="auto" w:fill="FFC000"/>
          </w:tcPr>
          <w:p>
            <w:pPr>
              <w:jc w:val="center"/>
              <w:rPr>
                <w:noProof/>
              </w:rPr>
            </w:pPr>
          </w:p>
        </w:tc>
        <w:tc>
          <w:tcPr>
            <w:tcW w:w="1559" w:type="dxa"/>
            <w:tcBorders>
              <w:bottom w:val="single" w:sz="4" w:space="0" w:color="auto"/>
            </w:tcBorders>
          </w:tcPr>
          <w:p>
            <w:pPr>
              <w:jc w:val="center"/>
              <w:rPr>
                <w:noProof/>
              </w:rPr>
            </w:pPr>
          </w:p>
        </w:tc>
        <w:tc>
          <w:tcPr>
            <w:tcW w:w="1559" w:type="dxa"/>
          </w:tcPr>
          <w:p>
            <w:pPr>
              <w:jc w:val="center"/>
              <w:rPr>
                <w:noProof/>
              </w:rPr>
            </w:pPr>
          </w:p>
        </w:tc>
        <w:tc>
          <w:tcPr>
            <w:tcW w:w="1908" w:type="dxa"/>
            <w:shd w:val="clear" w:color="auto" w:fill="FF0000"/>
          </w:tcPr>
          <w:p>
            <w:pPr>
              <w:jc w:val="center"/>
              <w:rPr>
                <w:noProof/>
              </w:rPr>
            </w:pPr>
            <w:r>
              <w:rPr>
                <w:noProof/>
              </w:rPr>
              <w:t>verre</w:t>
            </w:r>
          </w:p>
        </w:tc>
        <w:tc>
          <w:tcPr>
            <w:tcW w:w="1556" w:type="dxa"/>
          </w:tcPr>
          <w:p>
            <w:pPr>
              <w:jc w:val="center"/>
              <w:rPr>
                <w:noProof/>
              </w:rPr>
            </w:pPr>
          </w:p>
        </w:tc>
      </w:tr>
      <w:tr>
        <w:trPr>
          <w:trHeight w:val="699"/>
          <w:jc w:val="center"/>
        </w:trPr>
        <w:tc>
          <w:tcPr>
            <w:tcW w:w="1030" w:type="dxa"/>
          </w:tcPr>
          <w:p>
            <w:pPr>
              <w:jc w:val="center"/>
              <w:rPr>
                <w:b/>
                <w:noProof/>
              </w:rPr>
            </w:pPr>
            <w:r>
              <w:rPr>
                <w:b/>
                <w:noProof/>
              </w:rPr>
              <w:t>RO</w:t>
            </w:r>
          </w:p>
        </w:tc>
        <w:tc>
          <w:tcPr>
            <w:tcW w:w="1488" w:type="dxa"/>
            <w:shd w:val="clear" w:color="auto" w:fill="FFC000"/>
          </w:tcPr>
          <w:p>
            <w:pPr>
              <w:jc w:val="center"/>
              <w:rPr>
                <w:noProof/>
              </w:rPr>
            </w:pPr>
          </w:p>
        </w:tc>
        <w:tc>
          <w:tcPr>
            <w:tcW w:w="1559" w:type="dxa"/>
            <w:tcBorders>
              <w:bottom w:val="single" w:sz="4" w:space="0" w:color="auto"/>
            </w:tcBorders>
            <w:shd w:val="clear" w:color="auto" w:fill="FFFFFF" w:themeFill="background1"/>
          </w:tcPr>
          <w:p>
            <w:pPr>
              <w:jc w:val="center"/>
              <w:rPr>
                <w:noProof/>
              </w:rPr>
            </w:pPr>
          </w:p>
        </w:tc>
        <w:tc>
          <w:tcPr>
            <w:tcW w:w="1559" w:type="dxa"/>
            <w:shd w:val="clear" w:color="auto" w:fill="FF0000"/>
          </w:tcPr>
          <w:p>
            <w:pPr>
              <w:jc w:val="center"/>
              <w:rPr>
                <w:noProof/>
              </w:rPr>
            </w:pPr>
            <w:r>
              <w:rPr>
                <w:noProof/>
              </w:rPr>
              <w:t>données de 2014</w:t>
            </w:r>
          </w:p>
        </w:tc>
        <w:tc>
          <w:tcPr>
            <w:tcW w:w="1908" w:type="dxa"/>
            <w:shd w:val="clear" w:color="auto" w:fill="FF0000"/>
          </w:tcPr>
          <w:p>
            <w:pPr>
              <w:jc w:val="center"/>
              <w:rPr>
                <w:noProof/>
              </w:rPr>
            </w:pPr>
            <w:r>
              <w:rPr>
                <w:noProof/>
              </w:rPr>
              <w:t>verre (données de 2014)</w:t>
            </w:r>
          </w:p>
        </w:tc>
        <w:tc>
          <w:tcPr>
            <w:tcW w:w="1556" w:type="dxa"/>
          </w:tcPr>
          <w:p>
            <w:pPr>
              <w:jc w:val="center"/>
              <w:rPr>
                <w:noProof/>
              </w:rPr>
            </w:pPr>
          </w:p>
        </w:tc>
      </w:tr>
      <w:tr>
        <w:trPr>
          <w:trHeight w:val="606"/>
          <w:jc w:val="center"/>
        </w:trPr>
        <w:tc>
          <w:tcPr>
            <w:tcW w:w="1030" w:type="dxa"/>
          </w:tcPr>
          <w:p>
            <w:pPr>
              <w:jc w:val="center"/>
              <w:rPr>
                <w:b/>
                <w:noProof/>
              </w:rPr>
            </w:pPr>
            <w:r>
              <w:rPr>
                <w:b/>
                <w:noProof/>
              </w:rPr>
              <w:t>SK</w:t>
            </w:r>
          </w:p>
        </w:tc>
        <w:tc>
          <w:tcPr>
            <w:tcW w:w="1488" w:type="dxa"/>
            <w:shd w:val="clear" w:color="auto" w:fill="FFC000"/>
          </w:tcPr>
          <w:p>
            <w:pPr>
              <w:jc w:val="center"/>
              <w:rPr>
                <w:noProof/>
              </w:rPr>
            </w:pPr>
          </w:p>
        </w:tc>
        <w:tc>
          <w:tcPr>
            <w:tcW w:w="1559" w:type="dxa"/>
            <w:tcBorders>
              <w:bottom w:val="single" w:sz="4" w:space="0" w:color="auto"/>
            </w:tcBorders>
            <w:shd w:val="clear" w:color="auto" w:fill="FFC000"/>
          </w:tcPr>
          <w:p>
            <w:pPr>
              <w:jc w:val="center"/>
              <w:rPr>
                <w:noProof/>
              </w:rPr>
            </w:pPr>
            <w:r>
              <w:rPr>
                <w:noProof/>
              </w:rPr>
              <w:t>Taux de valorisation inférieur à 60 %</w:t>
            </w:r>
          </w:p>
        </w:tc>
        <w:tc>
          <w:tcPr>
            <w:tcW w:w="1559" w:type="dxa"/>
          </w:tcPr>
          <w:p>
            <w:pPr>
              <w:jc w:val="center"/>
              <w:rPr>
                <w:noProof/>
              </w:rPr>
            </w:pPr>
          </w:p>
        </w:tc>
        <w:tc>
          <w:tcPr>
            <w:tcW w:w="1908" w:type="dxa"/>
          </w:tcPr>
          <w:p>
            <w:pPr>
              <w:jc w:val="center"/>
              <w:rPr>
                <w:noProof/>
              </w:rPr>
            </w:pPr>
          </w:p>
        </w:tc>
        <w:tc>
          <w:tcPr>
            <w:tcW w:w="1556" w:type="dxa"/>
            <w:shd w:val="clear" w:color="auto" w:fill="FF0000"/>
          </w:tcPr>
          <w:p>
            <w:pPr>
              <w:jc w:val="center"/>
              <w:rPr>
                <w:noProof/>
              </w:rPr>
            </w:pPr>
            <w:r>
              <w:rPr>
                <w:noProof/>
              </w:rPr>
              <w:t>50 % (2013)</w:t>
            </w:r>
          </w:p>
        </w:tc>
      </w:tr>
      <w:tr>
        <w:trPr>
          <w:trHeight w:val="648"/>
          <w:jc w:val="center"/>
        </w:trPr>
        <w:tc>
          <w:tcPr>
            <w:tcW w:w="1030" w:type="dxa"/>
          </w:tcPr>
          <w:p>
            <w:pPr>
              <w:jc w:val="center"/>
              <w:rPr>
                <w:b/>
                <w:noProof/>
              </w:rPr>
            </w:pPr>
            <w:r>
              <w:rPr>
                <w:b/>
                <w:noProof/>
              </w:rPr>
              <w:t>ES</w:t>
            </w:r>
          </w:p>
        </w:tc>
        <w:tc>
          <w:tcPr>
            <w:tcW w:w="1488" w:type="dxa"/>
            <w:shd w:val="clear" w:color="auto" w:fill="FFC000"/>
          </w:tcPr>
          <w:p>
            <w:pPr>
              <w:jc w:val="center"/>
              <w:rPr>
                <w:noProof/>
              </w:rPr>
            </w:pPr>
          </w:p>
        </w:tc>
        <w:tc>
          <w:tcPr>
            <w:tcW w:w="1559" w:type="dxa"/>
            <w:tcBorders>
              <w:bottom w:val="single" w:sz="4" w:space="0" w:color="auto"/>
            </w:tcBorders>
            <w:shd w:val="clear" w:color="auto" w:fill="FFFFFF" w:themeFill="background1"/>
          </w:tcPr>
          <w:p>
            <w:pPr>
              <w:jc w:val="center"/>
              <w:rPr>
                <w:noProof/>
              </w:rPr>
            </w:pPr>
          </w:p>
        </w:tc>
        <w:tc>
          <w:tcPr>
            <w:tcW w:w="1559" w:type="dxa"/>
          </w:tcPr>
          <w:p>
            <w:pPr>
              <w:jc w:val="center"/>
              <w:rPr>
                <w:noProof/>
              </w:rPr>
            </w:pPr>
          </w:p>
        </w:tc>
        <w:tc>
          <w:tcPr>
            <w:tcW w:w="1908" w:type="dxa"/>
          </w:tcPr>
          <w:p>
            <w:pPr>
              <w:jc w:val="center"/>
              <w:rPr>
                <w:noProof/>
              </w:rPr>
            </w:pPr>
          </w:p>
        </w:tc>
        <w:tc>
          <w:tcPr>
            <w:tcW w:w="1556" w:type="dxa"/>
          </w:tcPr>
          <w:p>
            <w:pPr>
              <w:jc w:val="center"/>
              <w:rPr>
                <w:noProof/>
              </w:rPr>
            </w:pPr>
          </w:p>
        </w:tc>
      </w:tr>
      <w:tr>
        <w:trPr>
          <w:trHeight w:val="612"/>
          <w:jc w:val="center"/>
        </w:trPr>
        <w:tc>
          <w:tcPr>
            <w:tcW w:w="1030" w:type="dxa"/>
          </w:tcPr>
          <w:p>
            <w:pPr>
              <w:jc w:val="center"/>
              <w:rPr>
                <w:b/>
                <w:noProof/>
              </w:rPr>
            </w:pPr>
            <w:r>
              <w:rPr>
                <w:b/>
                <w:noProof/>
              </w:rPr>
              <w:t>SE</w:t>
            </w:r>
          </w:p>
        </w:tc>
        <w:tc>
          <w:tcPr>
            <w:tcW w:w="1488" w:type="dxa"/>
          </w:tcPr>
          <w:p>
            <w:pPr>
              <w:jc w:val="center"/>
              <w:rPr>
                <w:noProof/>
              </w:rPr>
            </w:pPr>
          </w:p>
        </w:tc>
        <w:tc>
          <w:tcPr>
            <w:tcW w:w="1559" w:type="dxa"/>
            <w:shd w:val="clear" w:color="auto" w:fill="FFC000"/>
          </w:tcPr>
          <w:p>
            <w:pPr>
              <w:jc w:val="center"/>
              <w:rPr>
                <w:noProof/>
              </w:rPr>
            </w:pPr>
            <w:r>
              <w:rPr>
                <w:noProof/>
              </w:rPr>
              <w:t>Taux de valorisation inférieur à 60 %</w:t>
            </w:r>
          </w:p>
        </w:tc>
        <w:tc>
          <w:tcPr>
            <w:tcW w:w="1559" w:type="dxa"/>
          </w:tcPr>
          <w:p>
            <w:pPr>
              <w:jc w:val="center"/>
              <w:rPr>
                <w:noProof/>
              </w:rPr>
            </w:pPr>
          </w:p>
        </w:tc>
        <w:tc>
          <w:tcPr>
            <w:tcW w:w="1908" w:type="dxa"/>
          </w:tcPr>
          <w:p>
            <w:pPr>
              <w:jc w:val="center"/>
              <w:rPr>
                <w:noProof/>
              </w:rPr>
            </w:pPr>
          </w:p>
        </w:tc>
        <w:tc>
          <w:tcPr>
            <w:tcW w:w="1556" w:type="dxa"/>
          </w:tcPr>
          <w:p>
            <w:pPr>
              <w:jc w:val="center"/>
              <w:rPr>
                <w:noProof/>
              </w:rPr>
            </w:pPr>
          </w:p>
        </w:tc>
      </w:tr>
      <w:tr>
        <w:trPr>
          <w:trHeight w:val="744"/>
          <w:jc w:val="center"/>
        </w:trPr>
        <w:tc>
          <w:tcPr>
            <w:tcW w:w="1030" w:type="dxa"/>
          </w:tcPr>
          <w:p>
            <w:pPr>
              <w:jc w:val="center"/>
              <w:rPr>
                <w:b/>
                <w:noProof/>
              </w:rPr>
            </w:pPr>
            <w:r>
              <w:rPr>
                <w:b/>
                <w:noProof/>
              </w:rPr>
              <w:t>FR</w:t>
            </w:r>
          </w:p>
        </w:tc>
        <w:tc>
          <w:tcPr>
            <w:tcW w:w="1488" w:type="dxa"/>
          </w:tcPr>
          <w:p>
            <w:pPr>
              <w:jc w:val="center"/>
              <w:rPr>
                <w:noProof/>
              </w:rPr>
            </w:pPr>
          </w:p>
        </w:tc>
        <w:tc>
          <w:tcPr>
            <w:tcW w:w="1559" w:type="dxa"/>
          </w:tcPr>
          <w:p>
            <w:pPr>
              <w:jc w:val="center"/>
              <w:rPr>
                <w:noProof/>
              </w:rPr>
            </w:pPr>
          </w:p>
        </w:tc>
        <w:tc>
          <w:tcPr>
            <w:tcW w:w="1559" w:type="dxa"/>
          </w:tcPr>
          <w:p>
            <w:pPr>
              <w:jc w:val="center"/>
              <w:rPr>
                <w:noProof/>
              </w:rPr>
            </w:pPr>
          </w:p>
        </w:tc>
        <w:tc>
          <w:tcPr>
            <w:tcW w:w="1908" w:type="dxa"/>
          </w:tcPr>
          <w:p>
            <w:pPr>
              <w:jc w:val="center"/>
              <w:rPr>
                <w:noProof/>
              </w:rPr>
            </w:pPr>
          </w:p>
        </w:tc>
        <w:tc>
          <w:tcPr>
            <w:tcW w:w="1556" w:type="dxa"/>
            <w:shd w:val="pct20" w:color="auto" w:fill="auto"/>
          </w:tcPr>
          <w:p>
            <w:pPr>
              <w:jc w:val="center"/>
              <w:rPr>
                <w:noProof/>
              </w:rPr>
            </w:pPr>
            <w:r>
              <w:rPr>
                <w:noProof/>
              </w:rPr>
              <w:t>Aucune donnée fournie</w:t>
            </w:r>
          </w:p>
        </w:tc>
      </w:tr>
      <w:tr>
        <w:trPr>
          <w:trHeight w:val="780"/>
          <w:jc w:val="center"/>
        </w:trPr>
        <w:tc>
          <w:tcPr>
            <w:tcW w:w="1030" w:type="dxa"/>
          </w:tcPr>
          <w:p>
            <w:pPr>
              <w:jc w:val="center"/>
              <w:rPr>
                <w:b/>
                <w:noProof/>
              </w:rPr>
            </w:pPr>
            <w:r>
              <w:rPr>
                <w:b/>
                <w:noProof/>
              </w:rPr>
              <w:t>IT</w:t>
            </w:r>
          </w:p>
        </w:tc>
        <w:tc>
          <w:tcPr>
            <w:tcW w:w="1488" w:type="dxa"/>
          </w:tcPr>
          <w:p>
            <w:pPr>
              <w:jc w:val="center"/>
              <w:rPr>
                <w:noProof/>
              </w:rPr>
            </w:pPr>
          </w:p>
        </w:tc>
        <w:tc>
          <w:tcPr>
            <w:tcW w:w="1559" w:type="dxa"/>
            <w:shd w:val="clear" w:color="auto" w:fill="FFFFFF" w:themeFill="background1"/>
          </w:tcPr>
          <w:p>
            <w:pPr>
              <w:jc w:val="center"/>
              <w:rPr>
                <w:noProof/>
              </w:rPr>
            </w:pPr>
          </w:p>
        </w:tc>
        <w:tc>
          <w:tcPr>
            <w:tcW w:w="1559" w:type="dxa"/>
            <w:shd w:val="clear" w:color="auto" w:fill="FFFFFF" w:themeFill="background1"/>
          </w:tcPr>
          <w:p>
            <w:pPr>
              <w:jc w:val="center"/>
              <w:rPr>
                <w:noProof/>
              </w:rPr>
            </w:pPr>
          </w:p>
        </w:tc>
        <w:tc>
          <w:tcPr>
            <w:tcW w:w="1908" w:type="dxa"/>
          </w:tcPr>
          <w:p>
            <w:pPr>
              <w:jc w:val="center"/>
              <w:rPr>
                <w:noProof/>
              </w:rPr>
            </w:pPr>
          </w:p>
        </w:tc>
        <w:tc>
          <w:tcPr>
            <w:tcW w:w="1556" w:type="dxa"/>
            <w:shd w:val="pct20" w:color="auto" w:fill="auto"/>
          </w:tcPr>
          <w:p>
            <w:pPr>
              <w:jc w:val="center"/>
              <w:rPr>
                <w:noProof/>
              </w:rPr>
            </w:pPr>
            <w:r>
              <w:rPr>
                <w:noProof/>
              </w:rPr>
              <w:t>Aucune donnée fournie</w:t>
            </w:r>
          </w:p>
        </w:tc>
      </w:tr>
      <w:tr>
        <w:trPr>
          <w:trHeight w:val="770"/>
          <w:jc w:val="center"/>
        </w:trPr>
        <w:tc>
          <w:tcPr>
            <w:tcW w:w="1030" w:type="dxa"/>
          </w:tcPr>
          <w:p>
            <w:pPr>
              <w:jc w:val="center"/>
              <w:rPr>
                <w:b/>
                <w:noProof/>
              </w:rPr>
            </w:pPr>
            <w:r>
              <w:rPr>
                <w:b/>
                <w:noProof/>
              </w:rPr>
              <w:t>CZ</w:t>
            </w:r>
          </w:p>
        </w:tc>
        <w:tc>
          <w:tcPr>
            <w:tcW w:w="1488" w:type="dxa"/>
          </w:tcPr>
          <w:p>
            <w:pPr>
              <w:jc w:val="center"/>
              <w:rPr>
                <w:noProof/>
              </w:rPr>
            </w:pPr>
          </w:p>
        </w:tc>
        <w:tc>
          <w:tcPr>
            <w:tcW w:w="1559" w:type="dxa"/>
            <w:vAlign w:val="center"/>
          </w:tcPr>
          <w:p>
            <w:pPr>
              <w:jc w:val="center"/>
              <w:rPr>
                <w:noProof/>
              </w:rPr>
            </w:pPr>
          </w:p>
        </w:tc>
        <w:tc>
          <w:tcPr>
            <w:tcW w:w="1559" w:type="dxa"/>
          </w:tcPr>
          <w:p>
            <w:pPr>
              <w:jc w:val="center"/>
              <w:rPr>
                <w:noProof/>
              </w:rPr>
            </w:pPr>
          </w:p>
        </w:tc>
        <w:tc>
          <w:tcPr>
            <w:tcW w:w="1908" w:type="dxa"/>
          </w:tcPr>
          <w:p>
            <w:pPr>
              <w:jc w:val="center"/>
              <w:rPr>
                <w:noProof/>
              </w:rPr>
            </w:pPr>
          </w:p>
        </w:tc>
        <w:tc>
          <w:tcPr>
            <w:tcW w:w="1556" w:type="dxa"/>
            <w:shd w:val="clear" w:color="auto" w:fill="FF0000"/>
          </w:tcPr>
          <w:p>
            <w:pPr>
              <w:jc w:val="center"/>
              <w:rPr>
                <w:noProof/>
              </w:rPr>
            </w:pPr>
            <w:r>
              <w:rPr>
                <w:noProof/>
              </w:rPr>
              <w:t>50 % (2013)</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2553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Les 10 autres États membres ne figurant pas dans le Tableau 1 ne sont pas considérés comme susceptibles de ne pas atteindre l’objet 2020 pour les déchets municipaux, déclarent des taux de valorisation des déchets de construction et de démolition de 60 % ou plus et respectent les autres objectifs en vigueur qui sont analysés dans le tableau.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du"/>
    <w:docVar w:name="LW_ANNEX_NBR_FIRST" w:val="1"/>
    <w:docVar w:name="LW_ANNEX_NBR_LAST" w:val="1"/>
    <w:docVar w:name="LW_ANNEX_UNIQUE" w:val="1"/>
    <w:docVar w:name="LW_CORRIGENDUM" w:val="&lt;UNUSED&gt;"/>
    <w:docVar w:name="LW_COVERPAGE_EXISTS" w:val="True"/>
    <w:docVar w:name="LW_COVERPAGE_GUID" w:val="BE202217-CB97-4F11-8E83-94363B8A0980"/>
    <w:docVar w:name="LW_COVERPAGE_TYPE" w:val="1"/>
    <w:docVar w:name="LW_CROSSREFERENCE" w:val="{SWD(2018) 413 final}_x000b_{SWD(2018) 414 final}_x000b_{SWD(2018) 415 final}_x000b_{SWD(2018) 416 final}_x000b_{SWD(2018) 417 final}_x000b_{SWD(2018) 418 final}_x000b_{SWD(2018) 419 final}_x000b_{SWD(2018) 420 final}_x000b_{SWD(2018) 421 final}_x000b_{SWD(2018) 422 final}_x000b_{SWD(2018) 423 final}_x000b_{SWD(2018) 424 final}_x000b_{SWD(2018) 425 final}_x000b_{SWD(2018) 426 final}"/>
    <w:docVar w:name="LW_DocType" w:val="NORMAL"/>
    <w:docVar w:name="LW_EMISSION" w:val="24.9.2018"/>
    <w:docVar w:name="LW_EMISSION_ISODATE" w:val="2018-09-24"/>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concernant la mise en \u339?uvre de la législation de l'Union relative aux déchets et le rapport d'alerte établi pour les États membres risquant de ne pas atteindre l'objectif de préparation au réemploi/recyclage des déchets municipaux fixé pour 2020"/>
    <w:docVar w:name="LW_PART_NBR" w:val="1"/>
    <w:docVar w:name="LW_PART_NBR_TOTAL" w:val="1"/>
    <w:docVar w:name="LW_REF.INST.NEW" w:val="COM"/>
    <w:docVar w:name="LW_REF.INST.NEW_ADOPTED" w:val="final"/>
    <w:docVar w:name="LW_REF.INST.NEW_TEXT" w:val="(2018) 6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0FBA8-8C25-40B2-A3F7-24B9B6AC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288</Words>
  <Characters>1377</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GOLEBIEWSKA Malgorzata (CLIMA)</dc:creator>
  <cp:lastModifiedBy>DIGIT/A3</cp:lastModifiedBy>
  <cp:revision>20</cp:revision>
  <cp:lastPrinted>2018-07-24T07:51:00Z</cp:lastPrinted>
  <dcterms:created xsi:type="dcterms:W3CDTF">2018-07-17T15:54:00Z</dcterms:created>
  <dcterms:modified xsi:type="dcterms:W3CDTF">2018-09-17T10:20:00Z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