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A4893A-FF37-447F-A7EC-C40C4C8D9E9F"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6"/>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target;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Key findings</w:t>
      </w:r>
    </w:p>
    <w:p>
      <w:pPr>
        <w:jc w:val="both"/>
        <w:rPr>
          <w:rFonts w:ascii="Times New Roman" w:hAnsi="Times New Roman" w:cs="Times New Roman"/>
          <w:noProof/>
          <w:sz w:val="24"/>
          <w:szCs w:val="24"/>
        </w:rPr>
      </w:pPr>
      <w:r>
        <w:rPr>
          <w:rFonts w:ascii="Times New Roman" w:hAnsi="Times New Roman" w:cs="Times New Roman"/>
          <w:noProof/>
          <w:sz w:val="24"/>
          <w:szCs w:val="24"/>
        </w:rPr>
        <w:t>In 2016, Spain’s municipal waste recycling rate (including composting) reported to Eurostat was 30 %, while its landfilling rate was 57 %. Based on an analysis of existing and planned policies in the area of waste management, Spain is considered at risk of missing the 2020 target of 50 % preparation for re-use/recycling for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slow progress in recycling rates is due to a lack of harmonisation of the separate collection obligation (e.g. for bio-waste) between the Autonomous Communities and a lack of economic instruments (e.g. landfill tax, incineration tax) set up at national level In addition, while the recycling targets have been cascaded down to the regional level, there are no instruments in place to enforce them at municipal level. Separate collection is not yet being carried out effectively in many municipalities. On the whole, there is not enough coordination between the national, regional and local levels, including as regards planning and use of the waste treatment infrastructure.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Spain's efforts to improve its performance in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bCs/>
                <w:noProof/>
                <w:szCs w:val="24"/>
              </w:rPr>
            </w:pPr>
            <w:r>
              <w:rPr>
                <w:rFonts w:ascii="Times New Roman" w:hAnsi="Times New Roman"/>
                <w:bCs/>
                <w:noProof/>
                <w:szCs w:val="24"/>
              </w:rPr>
              <w:t>Separate collection</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Introduction of compulsory separate collection of food and garden waste in national legislation, accompanied by a set of qualitative criteria, such as minimum collection rates and minimum collection quality standards (e.g. minimum frequency of collection or maximum plastic contamination rate).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Introduction of binding separate collection targets at municipal level, with penalties for non-compliance to enforce them.</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Economic instruments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Introduction of mandatory municipal waste charges for households, accompanied by an indication of the minimum cost recovery level for waste management. These financial resources should support the necessary changes in waste collection and treatment.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noProof/>
              </w:rPr>
            </w:pPr>
            <w:r>
              <w:rPr>
                <w:rFonts w:ascii="Times New Roman" w:hAnsi="Times New Roman" w:cs="Times New Roman"/>
                <w:b w:val="0"/>
                <w:noProof/>
              </w:rPr>
              <w:t>Introduction of a harmonised taxation scheme for waste disposal (i.e. landfill and incineration) operating across all Autonomous Communities.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Monitoring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Publication by the Ministry of Agriculture, Fishing, Food and Environment of an annual review of municipal waste management in each region, including:</w:t>
            </w:r>
          </w:p>
          <w:p>
            <w:pPr>
              <w:pStyle w:val="ListBullet"/>
              <w:numPr>
                <w:ilvl w:val="0"/>
                <w:numId w:val="17"/>
              </w:numPr>
              <w:jc w:val="both"/>
              <w:rPr>
                <w:rFonts w:ascii="Times New Roman" w:hAnsi="Times New Roman" w:cs="Times New Roman"/>
                <w:b w:val="0"/>
                <w:noProof/>
              </w:rPr>
            </w:pPr>
            <w:r>
              <w:rPr>
                <w:rFonts w:ascii="Times New Roman" w:hAnsi="Times New Roman" w:cs="Times New Roman"/>
                <w:b w:val="0"/>
                <w:noProof/>
              </w:rPr>
              <w:t>regional performance in terms of recycling rates and distance to target;</w:t>
            </w:r>
          </w:p>
          <w:p>
            <w:pPr>
              <w:pStyle w:val="ListBullet"/>
              <w:numPr>
                <w:ilvl w:val="0"/>
                <w:numId w:val="17"/>
              </w:numPr>
              <w:jc w:val="both"/>
              <w:rPr>
                <w:rFonts w:ascii="Times New Roman" w:hAnsi="Times New Roman" w:cs="Times New Roman"/>
                <w:b w:val="0"/>
                <w:noProof/>
              </w:rPr>
            </w:pPr>
            <w:r>
              <w:rPr>
                <w:rFonts w:ascii="Times New Roman" w:hAnsi="Times New Roman" w:cs="Times New Roman"/>
                <w:b w:val="0"/>
                <w:noProof/>
              </w:rPr>
              <w:t>operational measures implemented in the waste sector;</w:t>
            </w:r>
          </w:p>
          <w:p>
            <w:pPr>
              <w:pStyle w:val="ListBullet"/>
              <w:numPr>
                <w:ilvl w:val="0"/>
                <w:numId w:val="17"/>
              </w:numPr>
              <w:jc w:val="both"/>
              <w:rPr>
                <w:rFonts w:ascii="Times New Roman" w:hAnsi="Times New Roman" w:cs="Times New Roman"/>
                <w:b w:val="0"/>
                <w:noProof/>
              </w:rPr>
            </w:pPr>
            <w:r>
              <w:rPr>
                <w:rFonts w:ascii="Times New Roman" w:hAnsi="Times New Roman" w:cs="Times New Roman"/>
                <w:b w:val="0"/>
                <w:noProof/>
              </w:rPr>
              <w:t>investments in the waste sector;</w:t>
            </w:r>
          </w:p>
          <w:p>
            <w:pPr>
              <w:pStyle w:val="ListBullet"/>
              <w:numPr>
                <w:ilvl w:val="0"/>
                <w:numId w:val="17"/>
              </w:numPr>
              <w:jc w:val="both"/>
              <w:rPr>
                <w:rFonts w:ascii="Times New Roman" w:hAnsi="Times New Roman" w:cs="Times New Roman"/>
                <w:b w:val="0"/>
                <w:noProof/>
              </w:rPr>
            </w:pPr>
            <w:r>
              <w:rPr>
                <w:rFonts w:ascii="Times New Roman" w:hAnsi="Times New Roman" w:cs="Times New Roman"/>
                <w:b w:val="0"/>
                <w:noProof/>
              </w:rPr>
              <w:t>economic and legal instruments put in place by the regions.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noProof/>
              </w:rPr>
            </w:pPr>
            <w:r>
              <w:rPr>
                <w:rFonts w:ascii="Times New Roman" w:hAnsi="Times New Roman" w:cs="Times New Roman"/>
                <w:b w:val="0"/>
                <w:noProof/>
              </w:rPr>
              <w:t>Collection of the information by the Ministry on commercial waste that is privately managed and could contribute to the overall municipal waste recycling rate.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pct5" w:color="auto" w:fill="FFFFFF" w:themeFill="background1"/>
          </w:tcPr>
          <w:p>
            <w:pPr>
              <w:jc w:val="both"/>
              <w:rPr>
                <w:rFonts w:ascii="Times New Roman" w:hAnsi="Times New Roman"/>
                <w:noProof/>
                <w:szCs w:val="24"/>
              </w:rPr>
            </w:pPr>
            <w:r>
              <w:rPr>
                <w:rFonts w:ascii="Times New Roman" w:hAnsi="Times New Roman"/>
                <w:noProof/>
                <w:szCs w:val="24"/>
              </w:rPr>
              <w:t xml:space="preserve">Technical support to municipalities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ind w:left="360"/>
              <w:jc w:val="both"/>
              <w:rPr>
                <w:rFonts w:ascii="Times New Roman" w:hAnsi="Times New Roman" w:cs="Times New Roman"/>
                <w:b w:val="0"/>
                <w:noProof/>
              </w:rPr>
            </w:pPr>
            <w:r>
              <w:rPr>
                <w:rFonts w:ascii="Times New Roman" w:hAnsi="Times New Roman"/>
                <w:b w:val="0"/>
                <w:noProof/>
              </w:rPr>
              <w:t>coupled with active sharing of good ideas and practices that can improve efficiency in terms of cost reduction and improvement in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pct5" w:color="auto" w:fill="FFFFFF" w:themeFill="background1"/>
          </w:tcPr>
          <w:p>
            <w:pPr>
              <w:pStyle w:val="ListBullet"/>
              <w:numPr>
                <w:ilvl w:val="0"/>
                <w:numId w:val="0"/>
              </w:numPr>
              <w:jc w:val="both"/>
              <w:rPr>
                <w:rFonts w:ascii="Times New Roman" w:hAnsi="Times New Roman" w:cs="Times New Roman"/>
                <w:noProof/>
              </w:rPr>
            </w:pPr>
            <w:r>
              <w:rPr>
                <w:rFonts w:ascii="Times New Roman" w:hAnsi="Times New Roman"/>
                <w:noProof/>
              </w:rPr>
              <w:t>Communication and awareness-raising programmes</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set of national communications materials addressed to the public for use at local level, with clear and consistent messages. These materials should be used as part of awareness-raising campaigns, in leaflets, and at civic amenity sites.</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070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http://ec.europa.eu/environment/waste/framework/support_implementation.htm</w:t>
        </w:r>
      </w:hyperlink>
    </w:p>
  </w:footnote>
  <w:footnote w:id="2">
    <w:p>
      <w:pPr>
        <w:pStyle w:val="FootnoteText"/>
      </w:pPr>
      <w:r>
        <w:rPr>
          <w:rStyle w:val="FootnoteReference"/>
        </w:rPr>
        <w:footnoteRef/>
      </w:r>
      <w:r>
        <w:t xml:space="preserve"> Roadmap for Spain: </w:t>
      </w:r>
      <w:hyperlink r:id="rId2" w:history="1">
        <w:r>
          <w:rPr>
            <w:rStyle w:val="Hyperlink"/>
          </w:rPr>
          <w:t>http://ec.europa.eu/environment/waste/framework/pdf/facsheets%20and%20roadmaps/Roadmap_Spain.pdf</w:t>
        </w:r>
      </w:hyperlink>
      <w:r>
        <w:t xml:space="preserve"> </w:t>
      </w:r>
      <w:r>
        <w:rPr>
          <w:highlight w:val="yellow"/>
        </w:rPr>
        <w:t xml:space="preserve"> </w:t>
      </w:r>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et al</w:t>
      </w:r>
      <w:r>
        <w:rPr>
          <w:i/>
        </w:rPr>
        <w:t>.</w:t>
      </w:r>
      <w:r>
        <w:t xml:space="preserve"> (2018), ‘Study to identify Member States at risk of non-compliance with the 2020 target of the Waste Framework Directive and to follow-up phase 1 and 2 of the compliance promotion exercise. The early warning report: Spain.’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AD761FFA"/>
    <w:lvl w:ilvl="0" w:tplc="1ADA62AC">
      <w:start w:val="1"/>
      <w:numFmt w:val="decimal"/>
      <w:pStyle w:val="StyleNumbering"/>
      <w:lvlText w:val="%1)"/>
      <w:lvlJc w:val="left"/>
      <w:pPr>
        <w:ind w:left="360" w:hanging="360"/>
      </w:pPr>
      <w:rPr>
        <w:rFonts w:hint="default"/>
        <w:b/>
        <w:i w:val="0"/>
        <w:color w:val="auto"/>
      </w:rPr>
    </w:lvl>
    <w:lvl w:ilvl="1" w:tplc="00E6EC2A">
      <w:start w:val="1"/>
      <w:numFmt w:val="lowerLetter"/>
      <w:lvlText w:val="%2."/>
      <w:lvlJc w:val="left"/>
      <w:pPr>
        <w:ind w:left="1080" w:hanging="360"/>
      </w:pPr>
      <w:rPr>
        <w:rFonts w:hint="default"/>
        <w:b/>
        <w:i w:val="0"/>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8B50742"/>
    <w:multiLevelType w:val="multilevel"/>
    <w:tmpl w:val="C2CEF784"/>
    <w:numStyleLink w:val="AlphaNumericliststyle"/>
  </w:abstractNum>
  <w:abstractNum w:abstractNumId="6">
    <w:nsid w:val="602D5B7B"/>
    <w:multiLevelType w:val="hybridMultilevel"/>
    <w:tmpl w:val="6D48C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0"/>
  </w:num>
  <w:num w:numId="7">
    <w:abstractNumId w:val="2"/>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8A4893A-FF37-447F-A7EC-C40C4C8D9E9F"/>
    <w:docVar w:name="LW_COVERPAGE_TYPE" w:val="1"/>
    <w:docVar w:name="LW_CROSSREFERENCE" w:val="{COM(2018) 656 final}_x000b_{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Spain"/>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8"/>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 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 Char Char Char Char,Footnote Text Ch Char"/>
    <w:basedOn w:val="DefaultParagraphFont"/>
    <w:link w:val="FootnoteText"/>
    <w:uiPriority w:val="99"/>
    <w:rPr>
      <w:sz w:val="20"/>
      <w:szCs w:val="20"/>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8"/>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 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 Char Char Char Char,Footnote Text Ch Char"/>
    <w:basedOn w:val="DefaultParagraphFont"/>
    <w:link w:val="FootnoteText"/>
    <w:uiPriority w:val="99"/>
    <w:rPr>
      <w:sz w:val="20"/>
      <w:szCs w:val="20"/>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framework/pdf/facsheets%20and%20roadmaps/Roadmap_Spain.pdf" TargetMode="External"/><Relationship Id="rId1" Type="http://schemas.openxmlformats.org/officeDocument/2006/relationships/hyperlink" Target="http://ec.europa.eu/environment/waste/framework/support_imple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177D-D51A-4887-B22E-E0965B35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4034</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2018-07-25T10:58:00Z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