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78F897C-F0AD-40EF-85E4-23EC00FBD35C" style="width:450.75pt;height:416.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bookmarkStart w:id="1" w:name="_GoBack"/>
      <w:bookmarkEnd w:id="1"/>
      <w:r>
        <w:rPr>
          <w:rFonts w:ascii="Times New Roman" w:eastAsia="MS Gothic" w:hAnsi="Times New Roman" w:cs="Times New Roman"/>
          <w:b/>
          <w:bCs/>
          <w:smallCaps/>
          <w:noProof/>
          <w:color w:val="000000"/>
          <w:sz w:val="24"/>
          <w:szCs w:val="28"/>
        </w:rPr>
        <w:lastRenderedPageBreak/>
        <w:t>Introduction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Good waste management is a building block of the circular economy and helps prevent waste from having a negative impact on the environment and health. Proper implementation of the EU's waste legislation</w:t>
      </w:r>
      <w:r>
        <w:rPr>
          <w:rFonts w:ascii="Times New Roman" w:hAnsi="Times New Roman" w:cs="Times New Roman"/>
          <w:i/>
          <w:noProof/>
          <w:sz w:val="24"/>
          <w:szCs w:val="24"/>
        </w:rPr>
        <w:t xml:space="preserve"> </w:t>
      </w:r>
      <w:r>
        <w:rPr>
          <w:rFonts w:ascii="Times New Roman" w:hAnsi="Times New Roman" w:cs="Times New Roman"/>
          <w:noProof/>
          <w:sz w:val="24"/>
          <w:szCs w:val="24"/>
        </w:rPr>
        <w:t>will speed up the transition to a circular economy. Local actors have a crucial role in waste management and their involvement in policy development and implementation, as well as support for their activities, is necessary to ensure compliance with EU legislation.</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reviews the implementation of key elements of this legislation by the Member States, identifies challenges that prevent full compliance and provides recommendations for how to improve the management of certain waste streams.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report is based on information provided in national implementation reports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for the 2013-2015</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period on:</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 2008/98/EC on waste (‘Waste Framework Directive’),</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 2002/96/EC and Directive 2012/19/EU on waste electrical and electronic equipment (‘WEEE Directive’),</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 94/62/EC on packaging and packaging waste (‘Packaging Directive’),</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 1999/31/EC on the landfill of waste (‘Landfill Directive’), and</w:t>
      </w:r>
    </w:p>
    <w:p>
      <w:pPr>
        <w:pStyle w:val="ListParagraph"/>
        <w:numPr>
          <w:ilvl w:val="0"/>
          <w:numId w:val="3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 86/278/EEC on sewage sludge (‘Sewage Sludge Directive’)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information is complemented by recent in-depth studies on several waste streams, namely municipal waste (the early warning study)</w:t>
      </w:r>
      <w:bookmarkStart w:id="2" w:name="_Ref510018215"/>
      <w:r>
        <w:rPr>
          <w:rStyle w:val="FootnoteReference"/>
          <w:rFonts w:ascii="Times New Roman" w:hAnsi="Times New Roman" w:cs="Times New Roman"/>
          <w:noProof/>
          <w:sz w:val="24"/>
          <w:szCs w:val="24"/>
        </w:rPr>
        <w:footnoteReference w:id="4"/>
      </w:r>
      <w:bookmarkStart w:id="3" w:name="_Ref510018573"/>
      <w:bookmarkEnd w:id="2"/>
      <w:r>
        <w:rPr>
          <w:rStyle w:val="FootnoteReference"/>
          <w:rFonts w:ascii="Times New Roman" w:hAnsi="Times New Roman" w:cs="Times New Roman"/>
          <w:noProof/>
          <w:sz w:val="24"/>
          <w:szCs w:val="24"/>
        </w:rPr>
        <w:t>,</w:t>
      </w:r>
      <w:bookmarkStart w:id="4" w:name="_Ref519504257"/>
      <w:r>
        <w:rPr>
          <w:rStyle w:val="FootnoteReference"/>
          <w:rFonts w:ascii="Times New Roman" w:hAnsi="Times New Roman" w:cs="Times New Roman"/>
          <w:noProof/>
          <w:sz w:val="24"/>
          <w:szCs w:val="24"/>
        </w:rPr>
        <w:footnoteReference w:id="5"/>
      </w:r>
      <w:bookmarkEnd w:id="3"/>
      <w:bookmarkEnd w:id="4"/>
      <w:r>
        <w:rPr>
          <w:rFonts w:ascii="Times New Roman" w:hAnsi="Times New Roman" w:cs="Times New Roman"/>
          <w:noProof/>
          <w:sz w:val="24"/>
          <w:szCs w:val="24"/>
        </w:rPr>
        <w:t>, construction and demolition waste</w:t>
      </w:r>
      <w:r>
        <w:rPr>
          <w:rStyle w:val="FootnoteReference"/>
          <w:rFonts w:ascii="Times New Roman" w:hAnsi="Times New Roman" w:cs="Times New Roman"/>
          <w:i/>
          <w:iCs/>
          <w:noProof/>
          <w:sz w:val="24"/>
          <w:szCs w:val="24"/>
        </w:rPr>
        <w:footnoteReference w:id="6"/>
      </w:r>
      <w:r>
        <w:rPr>
          <w:rFonts w:ascii="Times New Roman" w:hAnsi="Times New Roman" w:cs="Times New Roman"/>
          <w:noProof/>
          <w:sz w:val="24"/>
          <w:szCs w:val="24"/>
        </w:rPr>
        <w:t>, hazardous waste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and waste electrical and electronic equipment</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eastAsia="MS Gothic" w:hAnsi="Times New Roman" w:cs="Times New Roman"/>
          <w:b/>
          <w:bCs/>
          <w:smallCaps/>
          <w:noProof/>
          <w:color w:val="000000"/>
          <w:sz w:val="24"/>
          <w:szCs w:val="28"/>
        </w:rPr>
        <w:t>Municipal Waste  – early warning report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2016, Europeans generated on average 480 kg of municipal waste per person, 46 % of which was recycled or composted, while a quarter was landfilled</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Municipal waste represents only around 10 % of the total waste generated in the EU, but it is one of the most complex streams to manage due to its diverse composition, its large amount of producers and fragmentation of responsibilities.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Legal obligations on the management of municipal waste (waste from households and similar waste) are laid down in the Waste Framework Directive. These include a 50 % municipal waste preparing for re-use/recycling target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to be achieved by 2020. The Directive was recently revised</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to include new and more ambitious targets: 55 % to be achieved by 2025, 60 % by 2030 and 65 % by 2035</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 revised Directive also introduces a system of early warning reports to assess Member States’ progress towards these targets </w:t>
      </w:r>
      <w:r>
        <w:rPr>
          <w:rFonts w:ascii="Times New Roman" w:eastAsia="Times New Roman" w:hAnsi="Times New Roman"/>
          <w:noProof/>
          <w:sz w:val="24"/>
          <w:szCs w:val="24"/>
          <w:lang w:eastAsia="en-GB"/>
        </w:rPr>
        <w:t>three years ahead of the respective deadlines.</w:t>
      </w:r>
    </w:p>
    <w:p>
      <w:pPr>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In anticipation of this exercise, and in order to help Member States meet the 2020 target, the Commission has already conducted its first early warning study</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r>
        <w:rPr>
          <w:rFonts w:ascii="Times New Roman" w:eastAsia="Times New Roman" w:hAnsi="Times New Roman"/>
          <w:noProof/>
          <w:sz w:val="24"/>
          <w:szCs w:val="24"/>
          <w:lang w:eastAsia="en-GB"/>
        </w:rPr>
        <w:t>Based on an in-depth review of Member States</w:t>
      </w:r>
      <w:r>
        <w:rPr>
          <w:rFonts w:ascii="Times New Roman" w:hAnsi="Times New Roman" w:cs="Times New Roman"/>
          <w:noProof/>
          <w:sz w:val="24"/>
          <w:szCs w:val="24"/>
        </w:rPr>
        <w:t>’</w:t>
      </w:r>
      <w:r>
        <w:rPr>
          <w:rFonts w:ascii="Times New Roman" w:eastAsia="Times New Roman" w:hAnsi="Times New Roman"/>
          <w:noProof/>
          <w:sz w:val="24"/>
          <w:szCs w:val="24"/>
          <w:lang w:eastAsia="en-GB"/>
        </w:rPr>
        <w:t xml:space="preserve"> recycling performance and waste policies, </w:t>
      </w:r>
      <w:r>
        <w:rPr>
          <w:rFonts w:ascii="Times New Roman" w:eastAsia="Times New Roman" w:hAnsi="Times New Roman"/>
          <w:b/>
          <w:noProof/>
          <w:sz w:val="24"/>
          <w:szCs w:val="24"/>
          <w:lang w:eastAsia="en-GB"/>
        </w:rPr>
        <w:t xml:space="preserve">14 Member States </w:t>
      </w:r>
      <w:r>
        <w:rPr>
          <w:rFonts w:ascii="Times New Roman" w:eastAsia="Times New Roman" w:hAnsi="Times New Roman"/>
          <w:noProof/>
          <w:sz w:val="24"/>
          <w:szCs w:val="24"/>
          <w:lang w:eastAsia="en-GB"/>
        </w:rPr>
        <w:t>have been identified as</w:t>
      </w:r>
      <w:r>
        <w:rPr>
          <w:rFonts w:ascii="Times New Roman" w:eastAsia="Times New Roman" w:hAnsi="Times New Roman"/>
          <w:b/>
          <w:noProof/>
          <w:sz w:val="24"/>
          <w:szCs w:val="24"/>
          <w:lang w:eastAsia="en-GB"/>
        </w:rPr>
        <w:t xml:space="preserve"> at risk of missing the 2020 target of 50%</w:t>
      </w:r>
      <w:r>
        <w:rPr>
          <w:rStyle w:val="FootnoteReference"/>
          <w:rFonts w:ascii="Times New Roman" w:eastAsia="Times New Roman" w:hAnsi="Times New Roman"/>
          <w:noProof/>
          <w:sz w:val="24"/>
          <w:szCs w:val="24"/>
          <w:lang w:eastAsia="en-GB"/>
        </w:rPr>
        <w:footnoteReference w:id="14"/>
      </w:r>
      <w:r>
        <w:rPr>
          <w:rFonts w:ascii="Times New Roman" w:eastAsia="Times New Roman" w:hAnsi="Times New Roman"/>
          <w:b/>
          <w:noProof/>
          <w:sz w:val="24"/>
          <w:szCs w:val="24"/>
          <w:lang w:eastAsia="en-GB"/>
        </w:rPr>
        <w:t xml:space="preserve">. </w:t>
      </w:r>
      <w:r>
        <w:rPr>
          <w:rFonts w:ascii="Times New Roman" w:eastAsia="Times New Roman" w:hAnsi="Times New Roman"/>
          <w:noProof/>
          <w:sz w:val="24"/>
          <w:szCs w:val="24"/>
          <w:lang w:eastAsia="en-GB"/>
        </w:rPr>
        <w:t xml:space="preserve">These are: </w:t>
      </w:r>
      <w:r>
        <w:rPr>
          <w:rFonts w:ascii="Times New Roman" w:eastAsia="Times New Roman" w:hAnsi="Times New Roman"/>
          <w:b/>
          <w:noProof/>
          <w:sz w:val="24"/>
          <w:szCs w:val="24"/>
          <w:lang w:eastAsia="en-GB"/>
        </w:rPr>
        <w:t>Bulgaria, Croatia, Cyprus, Estonia, Finland, Greece, Hungary, Latvia, Malta, Poland, Portugal, Romania, Slovakia and Spain</w:t>
      </w:r>
      <w:r>
        <w:rPr>
          <w:rFonts w:ascii="Times New Roman" w:eastAsia="Times New Roman" w:hAnsi="Times New Roman"/>
          <w:noProof/>
          <w:sz w:val="24"/>
          <w:szCs w:val="24"/>
          <w:lang w:eastAsia="en-GB"/>
        </w:rPr>
        <w:t>.</w:t>
      </w:r>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Scenario modelling performed for this exercise</w:t>
      </w:r>
      <w:r>
        <w:rPr>
          <w:rStyle w:val="FootnoteReference"/>
          <w:rFonts w:ascii="Times New Roman" w:eastAsia="Times New Roman" w:hAnsi="Times New Roman"/>
          <w:noProof/>
          <w:sz w:val="24"/>
          <w:szCs w:val="24"/>
          <w:lang w:eastAsia="en-GB"/>
        </w:rPr>
        <w:footnoteReference w:id="15"/>
      </w:r>
      <w:r>
        <w:rPr>
          <w:rFonts w:ascii="Times New Roman" w:eastAsia="Times New Roman" w:hAnsi="Times New Roman"/>
          <w:noProof/>
          <w:sz w:val="24"/>
          <w:szCs w:val="24"/>
          <w:lang w:eastAsia="en-GB"/>
        </w:rPr>
        <w:t xml:space="preserve"> confirmed this and concluded that if no additional policy action is taken, some of the Member States concerned would probably not even meet the 50 % target by 2025.</w:t>
      </w:r>
    </w:p>
    <w:p>
      <w:pPr>
        <w:spacing w:before="240" w:after="120" w:line="240"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 xml:space="preserve">Depending on the specific problems and needs of each Member State and their distance from the 2020 target, country-specific </w:t>
      </w:r>
      <w:r>
        <w:rPr>
          <w:rFonts w:ascii="Times New Roman" w:eastAsiaTheme="majorEastAsia" w:hAnsi="Times New Roman" w:cs="Times New Roman"/>
          <w:b/>
          <w:noProof/>
          <w:sz w:val="24"/>
          <w:szCs w:val="24"/>
        </w:rPr>
        <w:t xml:space="preserve">actions </w:t>
      </w:r>
      <w:r>
        <w:rPr>
          <w:rFonts w:ascii="Times New Roman" w:eastAsiaTheme="majorEastAsia" w:hAnsi="Times New Roman" w:cs="Times New Roman"/>
          <w:noProof/>
          <w:sz w:val="24"/>
          <w:szCs w:val="24"/>
        </w:rPr>
        <w:t>to close the gap</w:t>
      </w:r>
      <w:r>
        <w:rPr>
          <w:rFonts w:ascii="Times New Roman" w:eastAsiaTheme="majorEastAsia" w:hAnsi="Times New Roman" w:cs="Times New Roman"/>
          <w:b/>
          <w:noProof/>
          <w:sz w:val="24"/>
          <w:szCs w:val="24"/>
        </w:rPr>
        <w:t xml:space="preserve"> </w:t>
      </w:r>
      <w:r>
        <w:rPr>
          <w:rFonts w:ascii="Times New Roman" w:eastAsiaTheme="majorEastAsia" w:hAnsi="Times New Roman" w:cs="Times New Roman"/>
          <w:noProof/>
          <w:sz w:val="24"/>
          <w:szCs w:val="24"/>
        </w:rPr>
        <w:t>have been identified through a process that closely involved the national authorities. The early warning assessment contained in this report also builds on previous compliance promotion activities</w:t>
      </w:r>
      <w:r>
        <w:rPr>
          <w:rStyle w:val="FootnoteReference"/>
          <w:rFonts w:ascii="Times New Roman" w:eastAsiaTheme="majorEastAsia" w:hAnsi="Times New Roman" w:cs="Times New Roman"/>
          <w:noProof/>
          <w:sz w:val="24"/>
          <w:szCs w:val="24"/>
        </w:rPr>
        <w:footnoteReference w:id="16"/>
      </w:r>
      <w:r>
        <w:rPr>
          <w:rFonts w:ascii="Times New Roman" w:eastAsiaTheme="majorEastAsia" w:hAnsi="Times New Roman" w:cs="Times New Roman"/>
          <w:noProof/>
          <w:sz w:val="24"/>
          <w:szCs w:val="24"/>
        </w:rPr>
        <w:t xml:space="preserve"> carried out by the Commission in collaboration with the Member States. </w:t>
      </w:r>
      <w:r>
        <w:rPr>
          <w:rFonts w:ascii="Times New Roman" w:eastAsiaTheme="majorEastAsia" w:hAnsi="Times New Roman" w:cs="Times New Roman"/>
          <w:b/>
          <w:noProof/>
          <w:sz w:val="24"/>
          <w:szCs w:val="24"/>
        </w:rPr>
        <w:t xml:space="preserve">If implemented swiftly </w:t>
      </w:r>
      <w:r>
        <w:rPr>
          <w:rFonts w:ascii="Times New Roman" w:eastAsiaTheme="majorEastAsia" w:hAnsi="Times New Roman" w:cs="Times New Roman"/>
          <w:noProof/>
          <w:sz w:val="24"/>
          <w:szCs w:val="24"/>
        </w:rPr>
        <w:t>by national and local authorities</w:t>
      </w:r>
      <w:r>
        <w:rPr>
          <w:rFonts w:ascii="Times New Roman" w:hAnsi="Times New Roman" w:cs="Times New Roman"/>
          <w:noProof/>
          <w:sz w:val="24"/>
          <w:szCs w:val="24"/>
        </w:rPr>
        <w:t>,</w:t>
      </w:r>
      <w:r>
        <w:rPr>
          <w:rFonts w:ascii="Times New Roman" w:eastAsiaTheme="majorEastAsia" w:hAnsi="Times New Roman" w:cs="Times New Roman"/>
          <w:noProof/>
          <w:sz w:val="24"/>
          <w:szCs w:val="24"/>
        </w:rPr>
        <w:t xml:space="preserve"> these suggested actions will significantly reduce the risk of the targets not being met. The staff working documents accompanying this report outline these actions. A number of relevant common priorities can also be identified.</w:t>
      </w:r>
    </w:p>
    <w:tbl>
      <w:tblPr>
        <w:tblStyle w:val="TableGrid"/>
        <w:tblW w:w="0" w:type="auto"/>
        <w:tblInd w:w="108" w:type="dxa"/>
        <w:shd w:val="clear" w:color="auto" w:fill="C6D9F1" w:themeFill="text2" w:themeFillTint="33"/>
        <w:tblLook w:val="04A0" w:firstRow="1" w:lastRow="0" w:firstColumn="1" w:lastColumn="0" w:noHBand="0" w:noVBand="1"/>
      </w:tblPr>
      <w:tblGrid>
        <w:gridCol w:w="9072"/>
      </w:tblGrid>
      <w:tr>
        <w:tc>
          <w:tcPr>
            <w:tcW w:w="9072" w:type="dxa"/>
            <w:shd w:val="clear" w:color="auto" w:fill="C6D9F1" w:themeFill="text2" w:themeFillTint="33"/>
          </w:tcPr>
          <w:p>
            <w:pPr>
              <w:keepNext/>
              <w:spacing w:before="240" w:after="240"/>
              <w:jc w:val="center"/>
              <w:rPr>
                <w:rFonts w:ascii="Times New Roman" w:eastAsiaTheme="majorEastAsia" w:hAnsi="Times New Roman" w:cs="Times New Roman"/>
                <w:b/>
                <w:noProof/>
                <w:sz w:val="24"/>
                <w:szCs w:val="24"/>
                <w:u w:val="single"/>
              </w:rPr>
            </w:pPr>
            <w:r>
              <w:rPr>
                <w:rFonts w:ascii="Times New Roman" w:eastAsiaTheme="majorEastAsia" w:hAnsi="Times New Roman" w:cs="Times New Roman"/>
                <w:b/>
                <w:noProof/>
                <w:sz w:val="24"/>
                <w:szCs w:val="24"/>
                <w:u w:val="single"/>
              </w:rPr>
              <w:t>Box 1: Management of municipal waste</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b/>
                <w:noProof/>
                <w:sz w:val="24"/>
                <w:szCs w:val="24"/>
              </w:rPr>
              <w:t xml:space="preserve">Cascade national recycling targets </w:t>
            </w:r>
            <w:r>
              <w:rPr>
                <w:rFonts w:ascii="Times New Roman" w:eastAsiaTheme="majorEastAsia" w:hAnsi="Times New Roman" w:cs="Times New Roman"/>
                <w:noProof/>
                <w:sz w:val="24"/>
                <w:szCs w:val="24"/>
              </w:rPr>
              <w:t>down</w:t>
            </w:r>
            <w:r>
              <w:rPr>
                <w:rFonts w:ascii="Times New Roman" w:eastAsiaTheme="majorEastAsia" w:hAnsi="Times New Roman" w:cs="Times New Roman"/>
                <w:b/>
                <w:noProof/>
                <w:sz w:val="24"/>
                <w:szCs w:val="24"/>
              </w:rPr>
              <w:t xml:space="preserve"> to the municipal level </w:t>
            </w:r>
            <w:r>
              <w:rPr>
                <w:rFonts w:ascii="Times New Roman" w:eastAsiaTheme="majorEastAsia" w:hAnsi="Times New Roman" w:cs="Times New Roman"/>
                <w:noProof/>
                <w:sz w:val="24"/>
                <w:szCs w:val="24"/>
              </w:rPr>
              <w:t xml:space="preserve">with responsibility for waste collection systems, and ensure that there are </w:t>
            </w:r>
            <w:r>
              <w:rPr>
                <w:rFonts w:ascii="Times New Roman" w:eastAsiaTheme="majorEastAsia" w:hAnsi="Times New Roman" w:cs="Times New Roman"/>
                <w:b/>
                <w:noProof/>
                <w:sz w:val="24"/>
                <w:szCs w:val="24"/>
              </w:rPr>
              <w:t>consequences for municipalities that fail to meet</w:t>
            </w:r>
            <w:r>
              <w:rPr>
                <w:rFonts w:ascii="Times New Roman" w:eastAsiaTheme="majorEastAsia" w:hAnsi="Times New Roman" w:cs="Times New Roman"/>
                <w:noProof/>
                <w:sz w:val="24"/>
                <w:szCs w:val="24"/>
              </w:rPr>
              <w:t xml:space="preserve"> targets. </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Introduce measures (incl. taxes)</w:t>
            </w:r>
            <w:r>
              <w:rPr>
                <w:rFonts w:ascii="Times New Roman" w:eastAsiaTheme="majorEastAsia" w:hAnsi="Times New Roman" w:cs="Times New Roman"/>
                <w:b/>
                <w:noProof/>
                <w:sz w:val="24"/>
                <w:szCs w:val="24"/>
              </w:rPr>
              <w:t xml:space="preserve"> to phase out landfilling and other forms of residual waste treatment</w:t>
            </w:r>
            <w:r>
              <w:rPr>
                <w:rFonts w:ascii="Times New Roman" w:eastAsiaTheme="majorEastAsia" w:hAnsi="Times New Roman" w:cs="Times New Roman"/>
                <w:noProof/>
                <w:sz w:val="24"/>
                <w:szCs w:val="24"/>
              </w:rPr>
              <w:t xml:space="preserve"> (e.g. Mechanical Biological Treatment, and incineration) to provide economic incentives to support the waste hierarchy</w:t>
            </w:r>
            <w:r>
              <w:rPr>
                <w:rStyle w:val="FootnoteReference"/>
                <w:rFonts w:ascii="Times New Roman" w:eastAsiaTheme="majorEastAsia" w:hAnsi="Times New Roman" w:cs="Times New Roman"/>
                <w:noProof/>
                <w:sz w:val="24"/>
                <w:szCs w:val="24"/>
              </w:rPr>
              <w:footnoteReference w:id="17"/>
            </w:r>
            <w:r>
              <w:rPr>
                <w:rFonts w:ascii="Times New Roman" w:eastAsiaTheme="majorEastAsia" w:hAnsi="Times New Roman" w:cs="Times New Roman"/>
                <w:noProof/>
                <w:sz w:val="24"/>
                <w:szCs w:val="24"/>
              </w:rPr>
              <w:t>.</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 xml:space="preserve">Develop guidance with local and regional authorities for municipalities in the form of a </w:t>
            </w:r>
            <w:r>
              <w:rPr>
                <w:rFonts w:ascii="Times New Roman" w:eastAsiaTheme="majorEastAsia" w:hAnsi="Times New Roman" w:cs="Times New Roman"/>
                <w:b/>
                <w:noProof/>
                <w:sz w:val="24"/>
                <w:szCs w:val="24"/>
              </w:rPr>
              <w:t>minimum service standard for separate collection</w:t>
            </w:r>
            <w:r>
              <w:rPr>
                <w:rFonts w:ascii="Times New Roman" w:eastAsiaTheme="majorEastAsia" w:hAnsi="Times New Roman" w:cs="Times New Roman"/>
                <w:noProof/>
                <w:sz w:val="24"/>
                <w:szCs w:val="24"/>
              </w:rPr>
              <w:t xml:space="preserve">. Organise </w:t>
            </w:r>
            <w:r>
              <w:rPr>
                <w:rFonts w:ascii="Times New Roman" w:eastAsiaTheme="majorEastAsia" w:hAnsi="Times New Roman" w:cs="Times New Roman"/>
                <w:b/>
                <w:noProof/>
                <w:sz w:val="24"/>
                <w:szCs w:val="24"/>
              </w:rPr>
              <w:t>technical support and capacity-building programmes</w:t>
            </w:r>
            <w:r>
              <w:rPr>
                <w:rFonts w:ascii="Times New Roman" w:eastAsiaTheme="majorEastAsia" w:hAnsi="Times New Roman" w:cs="Times New Roman"/>
                <w:noProof/>
                <w:sz w:val="24"/>
                <w:szCs w:val="24"/>
              </w:rPr>
              <w:t xml:space="preserve"> for </w:t>
            </w:r>
            <w:r>
              <w:rPr>
                <w:rFonts w:ascii="Times New Roman" w:eastAsiaTheme="majorEastAsia" w:hAnsi="Times New Roman" w:cs="Times New Roman"/>
                <w:b/>
                <w:noProof/>
                <w:sz w:val="24"/>
                <w:szCs w:val="24"/>
              </w:rPr>
              <w:t>municipalities</w:t>
            </w:r>
            <w:r>
              <w:rPr>
                <w:rFonts w:ascii="Times New Roman" w:eastAsiaTheme="majorEastAsia" w:hAnsi="Times New Roman" w:cs="Times New Roman"/>
                <w:noProof/>
                <w:sz w:val="24"/>
                <w:szCs w:val="24"/>
              </w:rPr>
              <w:t xml:space="preserve"> at national level.</w:t>
            </w:r>
            <w:r>
              <w:rPr>
                <w:rFonts w:ascii="Times New Roman" w:eastAsiaTheme="majorEastAsia" w:hAnsi="Times New Roman" w:cs="Times New Roman"/>
                <w:b/>
                <w:noProof/>
                <w:sz w:val="24"/>
                <w:szCs w:val="24"/>
              </w:rPr>
              <w:t xml:space="preserve"> </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 xml:space="preserve">Introduce </w:t>
            </w:r>
            <w:r>
              <w:rPr>
                <w:rFonts w:ascii="Times New Roman" w:eastAsiaTheme="majorEastAsia" w:hAnsi="Times New Roman" w:cs="Times New Roman"/>
                <w:b/>
                <w:noProof/>
                <w:sz w:val="24"/>
                <w:szCs w:val="24"/>
              </w:rPr>
              <w:t xml:space="preserve">mandatory requirements to sort bio-waste, </w:t>
            </w:r>
            <w:r>
              <w:rPr>
                <w:rFonts w:ascii="Times New Roman" w:eastAsiaTheme="majorEastAsia" w:hAnsi="Times New Roman" w:cs="Times New Roman"/>
                <w:noProof/>
                <w:sz w:val="24"/>
                <w:szCs w:val="24"/>
              </w:rPr>
              <w:t xml:space="preserve">and ensure that planned or existing treatment infrastructure matches the collection systems. </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 xml:space="preserve">Encourage </w:t>
            </w:r>
            <w:r>
              <w:rPr>
                <w:rFonts w:ascii="Times New Roman" w:eastAsiaTheme="majorEastAsia" w:hAnsi="Times New Roman" w:cs="Times New Roman"/>
                <w:b/>
                <w:noProof/>
                <w:sz w:val="24"/>
                <w:szCs w:val="24"/>
              </w:rPr>
              <w:t>co-operation between municipalities</w:t>
            </w:r>
            <w:r>
              <w:rPr>
                <w:rFonts w:ascii="Times New Roman" w:eastAsiaTheme="majorEastAsia" w:hAnsi="Times New Roman" w:cs="Times New Roman"/>
                <w:noProof/>
                <w:sz w:val="24"/>
                <w:szCs w:val="24"/>
              </w:rPr>
              <w:t xml:space="preserve"> on infrastructure planning and/or service procurement to ensure scale efficiency and that the financial burden is shared.</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b/>
                <w:noProof/>
                <w:sz w:val="24"/>
                <w:szCs w:val="24"/>
              </w:rPr>
              <w:t>Improve Extended Producer Responsibility (EPR) schemes</w:t>
            </w:r>
            <w:r>
              <w:rPr>
                <w:rFonts w:ascii="Times New Roman" w:eastAsiaTheme="majorEastAsia" w:hAnsi="Times New Roman" w:cs="Times New Roman"/>
                <w:noProof/>
                <w:sz w:val="24"/>
                <w:szCs w:val="24"/>
              </w:rPr>
              <w:t>, at least in line with the general minimum requirements set out in the revised Waste Framework Directive.</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 xml:space="preserve">Introduce </w:t>
            </w:r>
            <w:r>
              <w:rPr>
                <w:rFonts w:ascii="Times New Roman" w:eastAsiaTheme="majorEastAsia" w:hAnsi="Times New Roman" w:cs="Times New Roman"/>
                <w:b/>
                <w:noProof/>
                <w:sz w:val="24"/>
                <w:szCs w:val="24"/>
              </w:rPr>
              <w:t>measures to encourage households</w:t>
            </w:r>
            <w:r>
              <w:rPr>
                <w:rFonts w:ascii="Times New Roman" w:eastAsiaTheme="majorEastAsia" w:hAnsi="Times New Roman" w:cs="Times New Roman"/>
                <w:noProof/>
                <w:sz w:val="24"/>
                <w:szCs w:val="24"/>
              </w:rPr>
              <w:t xml:space="preserve"> to sort waste, including higher collection frequency for separated streams as compared with that for mixed waste.</w:t>
            </w:r>
          </w:p>
          <w:p>
            <w:pPr>
              <w:pStyle w:val="ListParagraph"/>
              <w:keepNext/>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b/>
                <w:noProof/>
                <w:sz w:val="24"/>
                <w:szCs w:val="24"/>
              </w:rPr>
              <w:t>Improve monitoring and reporting,</w:t>
            </w:r>
            <w:r>
              <w:rPr>
                <w:rFonts w:ascii="Times New Roman" w:eastAsiaTheme="majorEastAsia" w:hAnsi="Times New Roman" w:cs="Times New Roman"/>
                <w:noProof/>
                <w:sz w:val="24"/>
                <w:szCs w:val="24"/>
              </w:rPr>
              <w:t xml:space="preserve"> including by ensuring that data is captured at municipal level.</w:t>
            </w:r>
          </w:p>
          <w:p>
            <w:pPr>
              <w:pStyle w:val="ListParagraph"/>
              <w:numPr>
                <w:ilvl w:val="0"/>
                <w:numId w:val="37"/>
              </w:numPr>
              <w:spacing w:before="240" w:after="240" w:line="276" w:lineRule="auto"/>
              <w:jc w:val="both"/>
              <w:rPr>
                <w:rFonts w:ascii="Times New Roman" w:eastAsiaTheme="majorEastAsia" w:hAnsi="Times New Roman" w:cs="Times New Roman"/>
                <w:noProof/>
                <w:sz w:val="24"/>
                <w:szCs w:val="24"/>
              </w:rPr>
            </w:pPr>
            <w:r>
              <w:rPr>
                <w:rFonts w:ascii="Times New Roman" w:eastAsiaTheme="majorEastAsia" w:hAnsi="Times New Roman" w:cs="Times New Roman"/>
                <w:noProof/>
                <w:sz w:val="24"/>
                <w:szCs w:val="24"/>
              </w:rPr>
              <w:t xml:space="preserve">Use EU funds more effectively to develop waste infrastructure by ensuring that co-financing </w:t>
            </w:r>
            <w:r>
              <w:rPr>
                <w:rFonts w:ascii="Times New Roman" w:eastAsiaTheme="majorEastAsia" w:hAnsi="Times New Roman" w:cs="Times New Roman"/>
                <w:b/>
                <w:noProof/>
                <w:sz w:val="24"/>
                <w:szCs w:val="24"/>
              </w:rPr>
              <w:t>supports prevention, re-use and recycling performance.</w:t>
            </w:r>
          </w:p>
        </w:tc>
      </w:tr>
    </w:tbl>
    <w:p>
      <w:pPr>
        <w:pStyle w:val="ListParagraph"/>
        <w:spacing w:after="120" w:line="240" w:lineRule="auto"/>
        <w:jc w:val="both"/>
        <w:rPr>
          <w:rFonts w:ascii="Times New Roman" w:hAnsi="Times New Roman" w:cs="Times New Roman"/>
          <w:noProof/>
          <w:sz w:val="24"/>
          <w:szCs w:val="24"/>
        </w:rPr>
      </w:pPr>
    </w:p>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eastAsia="MS Gothic" w:hAnsi="Times New Roman" w:cs="Times New Roman"/>
          <w:b/>
          <w:bCs/>
          <w:smallCaps/>
          <w:noProof/>
          <w:color w:val="000000"/>
          <w:sz w:val="24"/>
          <w:szCs w:val="28"/>
        </w:rPr>
        <w:t>Construction and demolition waste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Construction and demolition waste is the biggest waste stream in the EU by weight, accounting for over 800 million tonnes per year, i.e. around 32 % of the total waste generated.</w:t>
      </w:r>
      <w:r>
        <w:rPr>
          <w:rStyle w:val="FootnoteReference"/>
          <w:rFonts w:ascii="Times New Roman" w:hAnsi="Times New Roman" w:cs="Times New Roman"/>
          <w:noProof/>
          <w:sz w:val="24"/>
          <w:szCs w:val="24"/>
        </w:rPr>
        <w:footnoteReference w:id="18"/>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a high potential for improving resource efficiency in the management of this stream. It is made up of a mix of different materials including inert, non-inert non-hazardous and hazardous waste. It consists mainly of a mineral fraction (bricks, tiles, concrete, etc.), which is relatively heavy and easily recyclable, but of low value. It also contains materials with positive market value (metals) or potential value if collected separately in clean fractions (such as plastics).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Waste Framework Directive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sets a </w:t>
      </w:r>
      <w:r>
        <w:rPr>
          <w:rFonts w:ascii="Times New Roman" w:hAnsi="Times New Roman" w:cs="Times New Roman"/>
          <w:b/>
          <w:noProof/>
          <w:sz w:val="24"/>
          <w:szCs w:val="24"/>
        </w:rPr>
        <w:t xml:space="preserve">2020 target of 70 % preparation for re-use, recycling and other material recovery </w:t>
      </w:r>
      <w:r>
        <w:rPr>
          <w:rFonts w:ascii="Times New Roman" w:hAnsi="Times New Roman" w:cs="Times New Roman"/>
          <w:noProof/>
          <w:sz w:val="24"/>
          <w:szCs w:val="24"/>
        </w:rPr>
        <w:t xml:space="preserve">for this waste stream. Member States’ performances vary significantly, with over half reporting that they already met the 2020 target in the 2013-2015 period, and some even achieving over 90% recovery. However, </w:t>
      </w:r>
      <w:r>
        <w:rPr>
          <w:rFonts w:ascii="Times New Roman" w:hAnsi="Times New Roman" w:cs="Times New Roman"/>
          <w:b/>
          <w:noProof/>
          <w:sz w:val="24"/>
          <w:szCs w:val="24"/>
        </w:rPr>
        <w:t>Cyprus,</w:t>
      </w:r>
      <w:r>
        <w:rPr>
          <w:rFonts w:ascii="Times New Roman" w:hAnsi="Times New Roman" w:cs="Times New Roman"/>
          <w:noProof/>
          <w:sz w:val="24"/>
          <w:szCs w:val="24"/>
        </w:rPr>
        <w:t xml:space="preserve"> </w:t>
      </w:r>
      <w:r>
        <w:rPr>
          <w:rFonts w:ascii="Times New Roman" w:hAnsi="Times New Roman" w:cs="Times New Roman"/>
          <w:b/>
          <w:noProof/>
          <w:sz w:val="24"/>
          <w:szCs w:val="24"/>
        </w:rPr>
        <w:t>Greece</w:t>
      </w:r>
      <w:r>
        <w:rPr>
          <w:rFonts w:ascii="Times New Roman" w:hAnsi="Times New Roman" w:cs="Times New Roman"/>
          <w:noProof/>
          <w:sz w:val="24"/>
          <w:szCs w:val="24"/>
        </w:rPr>
        <w:t xml:space="preserve">, </w:t>
      </w:r>
      <w:r>
        <w:rPr>
          <w:rFonts w:ascii="Times New Roman" w:hAnsi="Times New Roman" w:cs="Times New Roman"/>
          <w:b/>
          <w:noProof/>
          <w:sz w:val="24"/>
          <w:szCs w:val="24"/>
        </w:rPr>
        <w:t>Slovakia</w:t>
      </w:r>
      <w:r>
        <w:rPr>
          <w:rFonts w:ascii="Times New Roman" w:hAnsi="Times New Roman" w:cs="Times New Roman"/>
          <w:noProof/>
          <w:sz w:val="24"/>
          <w:szCs w:val="24"/>
        </w:rPr>
        <w:t xml:space="preserve">, and </w:t>
      </w:r>
      <w:r>
        <w:rPr>
          <w:rFonts w:ascii="Times New Roman" w:hAnsi="Times New Roman" w:cs="Times New Roman"/>
          <w:b/>
          <w:noProof/>
          <w:sz w:val="24"/>
          <w:szCs w:val="24"/>
        </w:rPr>
        <w:t xml:space="preserve">Sweden </w:t>
      </w:r>
      <w:r>
        <w:rPr>
          <w:rFonts w:ascii="Times New Roman" w:hAnsi="Times New Roman" w:cs="Times New Roman"/>
          <w:noProof/>
          <w:sz w:val="24"/>
          <w:szCs w:val="24"/>
        </w:rPr>
        <w:t>are still below 60 %</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There is still some uncertainty regarding the figures reported by some Member States.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recent study</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of how construction and demolition waste is managed across the EU identified the following key actions.</w:t>
      </w:r>
    </w:p>
    <w:tbl>
      <w:tblPr>
        <w:tblStyle w:val="TableGrid"/>
        <w:tblW w:w="0" w:type="auto"/>
        <w:tblInd w:w="108" w:type="dxa"/>
        <w:shd w:val="clear" w:color="auto" w:fill="C6D9F1" w:themeFill="text2" w:themeFillTint="33"/>
        <w:tblLook w:val="04A0" w:firstRow="1" w:lastRow="0" w:firstColumn="1" w:lastColumn="0" w:noHBand="0" w:noVBand="1"/>
      </w:tblPr>
      <w:tblGrid>
        <w:gridCol w:w="9072"/>
      </w:tblGrid>
      <w:tr>
        <w:tc>
          <w:tcPr>
            <w:tcW w:w="9072" w:type="dxa"/>
            <w:shd w:val="clear" w:color="auto" w:fill="C6D9F1" w:themeFill="text2" w:themeFillTint="33"/>
          </w:tcPr>
          <w:p>
            <w:pPr>
              <w:spacing w:before="240" w:after="240" w:line="276" w:lineRule="auto"/>
              <w:jc w:val="center"/>
              <w:rPr>
                <w:rFonts w:ascii="Times New Roman" w:eastAsiaTheme="majorEastAsia" w:hAnsi="Times New Roman" w:cs="Times New Roman"/>
                <w:b/>
                <w:noProof/>
                <w:sz w:val="24"/>
                <w:szCs w:val="24"/>
                <w:u w:val="single"/>
              </w:rPr>
            </w:pPr>
            <w:r>
              <w:rPr>
                <w:rFonts w:ascii="Times New Roman" w:eastAsiaTheme="majorEastAsia" w:hAnsi="Times New Roman" w:cs="Times New Roman"/>
                <w:b/>
                <w:noProof/>
                <w:sz w:val="24"/>
                <w:szCs w:val="24"/>
                <w:u w:val="single"/>
              </w:rPr>
              <w:t>Box 2: Management of construction and demolition waste</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Promote waste prevention </w:t>
            </w:r>
            <w:r>
              <w:rPr>
                <w:rFonts w:ascii="Times New Roman" w:hAnsi="Times New Roman" w:cs="Times New Roman"/>
                <w:noProof/>
                <w:sz w:val="24"/>
                <w:szCs w:val="24"/>
              </w:rPr>
              <w:t>through smart design, extending the lifetime of constructions, reuse and improving planning and logistics on construction sites.</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Promote </w:t>
            </w:r>
            <w:r>
              <w:rPr>
                <w:rFonts w:ascii="Times New Roman" w:hAnsi="Times New Roman" w:cs="Times New Roman"/>
                <w:b/>
                <w:noProof/>
                <w:sz w:val="24"/>
                <w:szCs w:val="24"/>
              </w:rPr>
              <w:t>selective demolition</w:t>
            </w:r>
            <w:r>
              <w:rPr>
                <w:rFonts w:ascii="Times New Roman" w:hAnsi="Times New Roman" w:cs="Times New Roman"/>
                <w:noProof/>
                <w:sz w:val="24"/>
                <w:szCs w:val="24"/>
              </w:rPr>
              <w:t xml:space="preserve"> and </w:t>
            </w:r>
            <w:r>
              <w:rPr>
                <w:rFonts w:ascii="Times New Roman" w:hAnsi="Times New Roman" w:cs="Times New Roman"/>
                <w:b/>
                <w:noProof/>
                <w:sz w:val="24"/>
                <w:szCs w:val="24"/>
              </w:rPr>
              <w:t>sorting at source</w:t>
            </w:r>
            <w:r>
              <w:rPr>
                <w:rFonts w:ascii="Times New Roman" w:hAnsi="Times New Roman" w:cs="Times New Roman"/>
                <w:noProof/>
                <w:sz w:val="24"/>
                <w:szCs w:val="24"/>
              </w:rPr>
              <w:t xml:space="preserve">. </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Make use of </w:t>
            </w:r>
            <w:r>
              <w:rPr>
                <w:rFonts w:ascii="Times New Roman" w:hAnsi="Times New Roman" w:cs="Times New Roman"/>
                <w:b/>
                <w:noProof/>
                <w:sz w:val="24"/>
                <w:szCs w:val="24"/>
              </w:rPr>
              <w:t>EU guidance</w:t>
            </w:r>
            <w:r>
              <w:rPr>
                <w:rFonts w:ascii="Times New Roman" w:hAnsi="Times New Roman" w:cs="Times New Roman"/>
                <w:noProof/>
                <w:sz w:val="24"/>
                <w:szCs w:val="24"/>
              </w:rPr>
              <w:t xml:space="preserve"> (pre-demolition audits and management protocol)</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Use </w:t>
            </w:r>
            <w:r>
              <w:rPr>
                <w:rFonts w:ascii="Times New Roman" w:hAnsi="Times New Roman" w:cs="Times New Roman"/>
                <w:b/>
                <w:noProof/>
                <w:sz w:val="24"/>
                <w:szCs w:val="24"/>
              </w:rPr>
              <w:t>economic instruments</w:t>
            </w:r>
            <w:r>
              <w:rPr>
                <w:rFonts w:ascii="Times New Roman" w:hAnsi="Times New Roman" w:cs="Times New Roman"/>
                <w:noProof/>
                <w:sz w:val="24"/>
                <w:szCs w:val="24"/>
              </w:rPr>
              <w:t xml:space="preserve"> to divert this waste stream from landfills.</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Limit backfilling operations</w:t>
            </w:r>
            <w:r>
              <w:rPr>
                <w:rFonts w:ascii="Times New Roman" w:hAnsi="Times New Roman" w:cs="Times New Roman"/>
                <w:noProof/>
                <w:sz w:val="24"/>
                <w:szCs w:val="24"/>
              </w:rPr>
              <w:t xml:space="preserve"> to those that are in line with the definition included in the Waste Framework Directive.</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Encourage uptake of recycled products through </w:t>
            </w:r>
            <w:r>
              <w:rPr>
                <w:rFonts w:ascii="Times New Roman" w:hAnsi="Times New Roman" w:cs="Times New Roman"/>
                <w:b/>
                <w:noProof/>
                <w:sz w:val="24"/>
                <w:szCs w:val="24"/>
              </w:rPr>
              <w:t>quality certificates</w:t>
            </w:r>
            <w:r>
              <w:rPr>
                <w:rFonts w:ascii="Times New Roman" w:hAnsi="Times New Roman" w:cs="Times New Roman"/>
                <w:noProof/>
                <w:sz w:val="24"/>
                <w:szCs w:val="24"/>
              </w:rPr>
              <w:t xml:space="preserve"> and/or </w:t>
            </w:r>
            <w:r>
              <w:rPr>
                <w:rFonts w:ascii="Times New Roman" w:hAnsi="Times New Roman" w:cs="Times New Roman"/>
                <w:b/>
                <w:noProof/>
                <w:sz w:val="24"/>
                <w:szCs w:val="24"/>
              </w:rPr>
              <w:t>end-of-waste criteria</w:t>
            </w:r>
            <w:r>
              <w:rPr>
                <w:rFonts w:ascii="Times New Roman" w:hAnsi="Times New Roman" w:cs="Times New Roman"/>
                <w:noProof/>
                <w:sz w:val="24"/>
                <w:szCs w:val="24"/>
              </w:rPr>
              <w:t>.</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Expand use of </w:t>
            </w:r>
            <w:r>
              <w:rPr>
                <w:rFonts w:ascii="Times New Roman" w:hAnsi="Times New Roman" w:cs="Times New Roman"/>
                <w:b/>
                <w:noProof/>
                <w:sz w:val="24"/>
                <w:szCs w:val="24"/>
              </w:rPr>
              <w:t>green public procurement</w:t>
            </w:r>
            <w:r>
              <w:rPr>
                <w:rFonts w:ascii="Times New Roman" w:hAnsi="Times New Roman" w:cs="Times New Roman"/>
                <w:noProof/>
                <w:sz w:val="24"/>
                <w:szCs w:val="24"/>
              </w:rPr>
              <w:t xml:space="preserve"> requiring recycled content.</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Improve the </w:t>
            </w:r>
            <w:r>
              <w:rPr>
                <w:rFonts w:ascii="Times New Roman" w:hAnsi="Times New Roman" w:cs="Times New Roman"/>
                <w:b/>
                <w:noProof/>
                <w:sz w:val="24"/>
                <w:szCs w:val="24"/>
              </w:rPr>
              <w:t>quality of statistics</w:t>
            </w:r>
            <w:r>
              <w:rPr>
                <w:rFonts w:ascii="Times New Roman" w:hAnsi="Times New Roman" w:cs="Times New Roman"/>
                <w:noProof/>
                <w:sz w:val="24"/>
                <w:szCs w:val="24"/>
              </w:rPr>
              <w:t xml:space="preserve">. </w:t>
            </w:r>
          </w:p>
        </w:tc>
      </w:tr>
    </w:tbl>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eastAsia="MS Gothic" w:hAnsi="Times New Roman" w:cs="Times New Roman"/>
          <w:b/>
          <w:bCs/>
          <w:smallCaps/>
          <w:noProof/>
          <w:color w:val="000000"/>
          <w:sz w:val="24"/>
          <w:szCs w:val="28"/>
        </w:rPr>
        <w:t>Hazardous waste</w:t>
      </w:r>
    </w:p>
    <w:p>
      <w:pPr>
        <w:spacing w:after="12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Hazardous waste is a relatively small waste stream (less than 4 % of total waste)</w:t>
      </w:r>
      <w:r>
        <w:rPr>
          <w:rStyle w:val="FootnoteReference"/>
          <w:rFonts w:ascii="Times New Roman" w:hAnsi="Times New Roman" w:cs="Times New Roman"/>
          <w:iCs/>
          <w:noProof/>
          <w:sz w:val="24"/>
          <w:szCs w:val="24"/>
        </w:rPr>
        <w:footnoteReference w:id="23"/>
      </w:r>
      <w:r>
        <w:rPr>
          <w:rFonts w:ascii="Times New Roman" w:hAnsi="Times New Roman" w:cs="Times New Roman"/>
          <w:iCs/>
          <w:noProof/>
          <w:sz w:val="24"/>
          <w:szCs w:val="24"/>
        </w:rPr>
        <w:t>, but its proper management is crucial in order to prevent it from having a serious negative impact on the environment and human health.</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Waste Framework Directive includes requirements on labelling, record-keeping, traceability and control obligations from production to final destination, as well as a ban on mixing of hazardous waste with other waste, substances or materials.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analysis of hazardous waste management across the EU</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including on PCBs/PCTs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suggests that there are serious gaps in the implementation of key legal obligations. These include inadequate planning, data inconsistencies and statistical gaps between generation and treatment, and misclassification of waste. The study provides detailed, country-specific recommendations, which can be summarised in a more general list of priority actions.</w:t>
      </w:r>
    </w:p>
    <w:tbl>
      <w:tblPr>
        <w:tblStyle w:val="TableGrid"/>
        <w:tblW w:w="0" w:type="auto"/>
        <w:tblInd w:w="108" w:type="dxa"/>
        <w:shd w:val="clear" w:color="auto" w:fill="C6D9F1" w:themeFill="text2" w:themeFillTint="33"/>
        <w:tblLook w:val="04A0" w:firstRow="1" w:lastRow="0" w:firstColumn="1" w:lastColumn="0" w:noHBand="0" w:noVBand="1"/>
      </w:tblPr>
      <w:tblGrid>
        <w:gridCol w:w="9072"/>
      </w:tblGrid>
      <w:tr>
        <w:tc>
          <w:tcPr>
            <w:tcW w:w="9072" w:type="dxa"/>
            <w:shd w:val="clear" w:color="auto" w:fill="C6D9F1" w:themeFill="text2" w:themeFillTint="33"/>
          </w:tcPr>
          <w:p>
            <w:pPr>
              <w:spacing w:before="240" w:after="240"/>
              <w:jc w:val="center"/>
              <w:rPr>
                <w:rFonts w:ascii="Times New Roman" w:eastAsiaTheme="majorEastAsia" w:hAnsi="Times New Roman" w:cs="Times New Roman"/>
                <w:b/>
                <w:noProof/>
                <w:sz w:val="24"/>
                <w:szCs w:val="24"/>
                <w:u w:val="single"/>
              </w:rPr>
            </w:pPr>
            <w:r>
              <w:rPr>
                <w:rFonts w:ascii="Times New Roman" w:eastAsiaTheme="majorEastAsia" w:hAnsi="Times New Roman" w:cs="Times New Roman"/>
                <w:b/>
                <w:noProof/>
                <w:sz w:val="24"/>
                <w:szCs w:val="24"/>
                <w:u w:val="single"/>
              </w:rPr>
              <w:t>Box 3: Management of hazardous waste</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Improve the </w:t>
            </w:r>
            <w:r>
              <w:rPr>
                <w:rFonts w:ascii="Times New Roman" w:hAnsi="Times New Roman" w:cs="Times New Roman"/>
                <w:b/>
                <w:noProof/>
                <w:sz w:val="24"/>
                <w:szCs w:val="24"/>
              </w:rPr>
              <w:t>quality of waste management plans</w:t>
            </w:r>
            <w:r>
              <w:rPr>
                <w:rFonts w:ascii="Times New Roman" w:hAnsi="Times New Roman" w:cs="Times New Roman"/>
                <w:noProof/>
                <w:sz w:val="24"/>
                <w:szCs w:val="24"/>
              </w:rPr>
              <w:t xml:space="preserve"> based on reliable and comparable information, so that hazardous waste is more thoroughly covered and information on treatment capacities is included. </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Adopt fully fledged, reliable and interoperable </w:t>
            </w:r>
            <w:r>
              <w:rPr>
                <w:rFonts w:ascii="Times New Roman" w:hAnsi="Times New Roman" w:cs="Times New Roman"/>
                <w:b/>
                <w:noProof/>
                <w:sz w:val="24"/>
                <w:szCs w:val="24"/>
              </w:rPr>
              <w:t>electronic record-keeping and tracing systems</w:t>
            </w:r>
            <w:r>
              <w:rPr>
                <w:rFonts w:ascii="Times New Roman" w:hAnsi="Times New Roman" w:cs="Times New Roman"/>
                <w:noProof/>
                <w:sz w:val="24"/>
                <w:szCs w:val="24"/>
              </w:rPr>
              <w:t>, integrated within national statistics systems and EU waste shipment data.</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Reflect the </w:t>
            </w:r>
            <w:r>
              <w:rPr>
                <w:rFonts w:ascii="Times New Roman" w:hAnsi="Times New Roman" w:cs="Times New Roman"/>
                <w:b/>
                <w:noProof/>
                <w:sz w:val="24"/>
                <w:szCs w:val="24"/>
              </w:rPr>
              <w:t>waste hierarchy and the mixing ban</w:t>
            </w:r>
            <w:r>
              <w:rPr>
                <w:rFonts w:ascii="Times New Roman" w:hAnsi="Times New Roman" w:cs="Times New Roman"/>
                <w:noProof/>
                <w:sz w:val="24"/>
                <w:szCs w:val="24"/>
              </w:rPr>
              <w:t xml:space="preserve"> in national legislation, guidance on treatment options, and permit conditions, and ensure their enforcement.</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Create, publish, disseminate and use </w:t>
            </w:r>
            <w:r>
              <w:rPr>
                <w:rFonts w:ascii="Times New Roman" w:hAnsi="Times New Roman" w:cs="Times New Roman"/>
                <w:b/>
                <w:noProof/>
                <w:sz w:val="24"/>
                <w:szCs w:val="24"/>
              </w:rPr>
              <w:t>clear and harmonised guidance on waste classification</w:t>
            </w:r>
            <w:r>
              <w:rPr>
                <w:rFonts w:ascii="Times New Roman" w:hAnsi="Times New Roman" w:cs="Times New Roman"/>
                <w:noProof/>
                <w:sz w:val="24"/>
                <w:szCs w:val="24"/>
              </w:rPr>
              <w:t xml:space="preserve"> and management, including on the waste hierarchy. Make use of the Commission’s technical guidance on the classification of waste</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Set up a </w:t>
            </w:r>
            <w:r>
              <w:rPr>
                <w:rFonts w:ascii="Times New Roman" w:hAnsi="Times New Roman" w:cs="Times New Roman"/>
                <w:b/>
                <w:noProof/>
                <w:sz w:val="24"/>
                <w:szCs w:val="24"/>
              </w:rPr>
              <w:t>comprehensive system of unannounced and coordinated inspections</w:t>
            </w:r>
            <w:r>
              <w:rPr>
                <w:rFonts w:ascii="Times New Roman" w:hAnsi="Times New Roman" w:cs="Times New Roman"/>
                <w:noProof/>
                <w:sz w:val="24"/>
                <w:szCs w:val="24"/>
              </w:rPr>
              <w:t xml:space="preserve">. Take action against unauthorised operators at all levels. </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Set out and fully enforce the </w:t>
            </w:r>
            <w:r>
              <w:rPr>
                <w:rFonts w:ascii="Times New Roman" w:hAnsi="Times New Roman" w:cs="Times New Roman"/>
                <w:b/>
                <w:noProof/>
                <w:sz w:val="24"/>
                <w:szCs w:val="24"/>
              </w:rPr>
              <w:t>shared responsibility of waste producers</w:t>
            </w:r>
            <w:r>
              <w:rPr>
                <w:rStyle w:val="FootnoteReference"/>
                <w:rFonts w:ascii="Times New Roman" w:hAnsi="Times New Roman" w:cs="Times New Roman"/>
                <w:b/>
                <w:noProof/>
                <w:sz w:val="24"/>
                <w:szCs w:val="24"/>
              </w:rPr>
              <w:footnoteReference w:id="27"/>
            </w:r>
            <w:r>
              <w:rPr>
                <w:rFonts w:ascii="Times New Roman" w:hAnsi="Times New Roman" w:cs="Times New Roman"/>
                <w:noProof/>
                <w:sz w:val="24"/>
                <w:szCs w:val="24"/>
              </w:rPr>
              <w:t xml:space="preserve"> and other chain operators for hazardous waste management.</w:t>
            </w:r>
          </w:p>
          <w:p>
            <w:pPr>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Continue working to eliminate </w:t>
            </w:r>
            <w:r>
              <w:rPr>
                <w:rFonts w:ascii="Times New Roman" w:hAnsi="Times New Roman" w:cs="Times New Roman"/>
                <w:b/>
                <w:noProof/>
                <w:sz w:val="24"/>
                <w:szCs w:val="24"/>
              </w:rPr>
              <w:t>PCBs/PCTs</w:t>
            </w:r>
            <w:r>
              <w:rPr>
                <w:rFonts w:ascii="Times New Roman" w:hAnsi="Times New Roman" w:cs="Times New Roman"/>
                <w:noProof/>
                <w:sz w:val="24"/>
                <w:szCs w:val="24"/>
              </w:rPr>
              <w:t xml:space="preserve"> from closed and open applications.</w:t>
            </w:r>
          </w:p>
        </w:tc>
      </w:tr>
    </w:tbl>
    <w:p>
      <w:pPr>
        <w:pStyle w:val="ListParagraph"/>
        <w:spacing w:after="120" w:line="240" w:lineRule="auto"/>
        <w:ind w:left="792"/>
        <w:jc w:val="both"/>
        <w:rPr>
          <w:rFonts w:ascii="Times New Roman" w:hAnsi="Times New Roman" w:cs="Times New Roman"/>
          <w:b/>
          <w:noProof/>
          <w:sz w:val="24"/>
          <w:szCs w:val="24"/>
        </w:rPr>
      </w:pP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eastAsia="MS Gothic" w:hAnsi="Times New Roman" w:cs="Times New Roman"/>
          <w:b/>
          <w:bCs/>
          <w:smallCaps/>
          <w:noProof/>
          <w:color w:val="000000"/>
          <w:sz w:val="24"/>
          <w:szCs w:val="28"/>
        </w:rPr>
        <w:t>Waste electrical and electronic equipment (WEEE)</w:t>
      </w:r>
    </w:p>
    <w:p>
      <w:pPr>
        <w:spacing w:after="120" w:line="240" w:lineRule="auto"/>
        <w:jc w:val="both"/>
        <w:rPr>
          <w:rFonts w:ascii="Times New Roman" w:eastAsia="Times New Roman" w:hAnsi="Times New Roman" w:cs="Times New Roman"/>
          <w:noProof/>
          <w:color w:val="000000"/>
          <w:sz w:val="24"/>
          <w:szCs w:val="24"/>
          <w:shd w:val="clear" w:color="auto" w:fill="FFFFFF"/>
        </w:rPr>
      </w:pPr>
      <w:r>
        <w:rPr>
          <w:rFonts w:ascii="Times New Roman" w:hAnsi="Times New Roman" w:cs="Times New Roman"/>
          <w:noProof/>
          <w:sz w:val="24"/>
          <w:szCs w:val="24"/>
        </w:rPr>
        <w:t>Around 10 million tonnes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(0.4% of the total waste produced) of waste electrical and electronic equipment (WEEE) is estimated to have been generated in the EU in 2014 – a figure which is expected to climb to more than 12 million tonnes by 2020</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This waste stream </w:t>
      </w:r>
      <w:r>
        <w:rPr>
          <w:rFonts w:ascii="Times New Roman" w:eastAsia="Times New Roman" w:hAnsi="Times New Roman" w:cs="Times New Roman"/>
          <w:noProof/>
          <w:color w:val="000000"/>
          <w:sz w:val="24"/>
          <w:szCs w:val="24"/>
          <w:shd w:val="clear" w:color="auto" w:fill="FFFFFF"/>
        </w:rPr>
        <w:t xml:space="preserve">is made up of a complex mixture of materials and components, </w:t>
      </w:r>
      <w:r>
        <w:rPr>
          <w:rFonts w:ascii="Times New Roman" w:hAnsi="Times New Roman" w:cs="Times New Roman"/>
          <w:noProof/>
          <w:sz w:val="24"/>
          <w:szCs w:val="24"/>
        </w:rPr>
        <w:t xml:space="preserve">including various substances which, if not properly managed, pose high risks to the environment and human health. </w:t>
      </w:r>
      <w:r>
        <w:rPr>
          <w:rFonts w:ascii="Times New Roman" w:eastAsia="Times New Roman" w:hAnsi="Times New Roman" w:cs="Times New Roman"/>
          <w:noProof/>
          <w:color w:val="000000"/>
          <w:sz w:val="24"/>
          <w:szCs w:val="24"/>
          <w:shd w:val="clear" w:color="auto" w:fill="FFFFFF"/>
        </w:rPr>
        <w:t>Moreover, producing modern electronics requires scarce and valuable resources to be used.</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shd w:val="clear" w:color="auto" w:fill="FFFFFF"/>
        </w:rPr>
        <w:t xml:space="preserve">Directive </w:t>
      </w:r>
      <w:r>
        <w:rPr>
          <w:rFonts w:ascii="Times New Roman" w:hAnsi="Times New Roman" w:cs="Times New Roman"/>
          <w:noProof/>
          <w:sz w:val="24"/>
          <w:szCs w:val="24"/>
        </w:rPr>
        <w:t xml:space="preserve">2012/19/EU aims at improving the </w:t>
      </w:r>
      <w:r>
        <w:rPr>
          <w:rFonts w:ascii="Times New Roman" w:eastAsia="Times New Roman" w:hAnsi="Times New Roman" w:cs="Times New Roman"/>
          <w:noProof/>
          <w:color w:val="000000"/>
          <w:sz w:val="24"/>
          <w:szCs w:val="24"/>
          <w:shd w:val="clear" w:color="auto" w:fill="FFFFFF"/>
        </w:rPr>
        <w:t>collection, treatment and recycling of WEEE</w:t>
      </w:r>
      <w:r>
        <w:rPr>
          <w:rFonts w:ascii="Times New Roman" w:hAnsi="Times New Roman" w:cs="Times New Roman"/>
          <w:noProof/>
          <w:sz w:val="24"/>
          <w:szCs w:val="24"/>
        </w:rPr>
        <w:t>. During the 2013-2015 period, the amount of waste equipment collected from private households in the EU28 grew by 8 %.  In 2014, an average of 6.21 kg of waste equipment per person was collected from private households.</w:t>
      </w:r>
      <w:r>
        <w:rPr>
          <w:rStyle w:val="FootnoteReference"/>
          <w:rFonts w:ascii="Times New Roman" w:hAnsi="Times New Roman" w:cs="Times New Roman"/>
          <w:noProof/>
        </w:rPr>
        <w:t xml:space="preserve"> </w:t>
      </w:r>
      <w:r>
        <w:rPr>
          <w:rFonts w:ascii="Times New Roman" w:hAnsi="Times New Roman" w:cs="Times New Roman"/>
          <w:noProof/>
          <w:sz w:val="24"/>
          <w:szCs w:val="24"/>
        </w:rPr>
        <w:t>In 2015, 23 Member States met the minimum collection target of 4 kg of household WEEE per person</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with Sweden and Denmark collecting as much as 12 kg while </w:t>
      </w:r>
      <w:r>
        <w:rPr>
          <w:rFonts w:ascii="Times New Roman" w:hAnsi="Times New Roman" w:cs="Times New Roman"/>
          <w:b/>
          <w:noProof/>
          <w:sz w:val="24"/>
          <w:szCs w:val="24"/>
        </w:rPr>
        <w:t xml:space="preserve">Cyprus, Latvia, Malta and Romania missed the target </w:t>
      </w:r>
      <w:r>
        <w:rPr>
          <w:rFonts w:ascii="Times New Roman" w:hAnsi="Times New Roman" w:cs="Times New Roman"/>
          <w:noProof/>
          <w:sz w:val="24"/>
          <w:szCs w:val="24"/>
        </w:rPr>
        <w:t>by a considerable margin.</w:t>
      </w:r>
      <w:r>
        <w:rPr>
          <w:rStyle w:val="FootnoteReference"/>
          <w:rFonts w:ascii="Times New Roman" w:hAnsi="Times New Roman" w:cs="Times New Roman"/>
          <w:noProof/>
          <w:sz w:val="24"/>
          <w:szCs w:val="24"/>
        </w:rPr>
        <w:footnoteReference w:id="31"/>
      </w:r>
      <w:r>
        <w:rPr>
          <w:rFonts w:ascii="Times New Roman" w:hAnsi="Times New Roman" w:cs="Times New Roman"/>
          <w:noProof/>
          <w:vertAlign w:val="superscript"/>
        </w:rPr>
        <w:t xml:space="preserve"> </w:t>
      </w:r>
      <w:r>
        <w:rPr>
          <w:rFonts w:ascii="Times New Roman" w:hAnsi="Times New Roman" w:cs="Times New Roman"/>
          <w:noProof/>
          <w:sz w:val="24"/>
          <w:szCs w:val="24"/>
          <w:vertAlign w:val="superscript"/>
        </w:rPr>
        <w:footnoteReference w:id="32"/>
      </w:r>
    </w:p>
    <w:p>
      <w:pPr>
        <w:spacing w:after="120" w:line="240" w:lineRule="auto"/>
        <w:jc w:val="both"/>
        <w:rPr>
          <w:rFonts w:ascii="Times New Roman" w:hAnsi="Times New Roman" w:cs="Times New Roman"/>
          <w:bCs/>
          <w:iCs/>
          <w:noProof/>
          <w:sz w:val="24"/>
          <w:szCs w:val="24"/>
        </w:rPr>
      </w:pPr>
      <w:r>
        <w:rPr>
          <w:rFonts w:ascii="Times New Roman" w:hAnsi="Times New Roman" w:cs="Times New Roman"/>
          <w:noProof/>
          <w:sz w:val="24"/>
          <w:szCs w:val="24"/>
        </w:rPr>
        <w:t xml:space="preserve">Since 2016, each Member State has been required to meet a collection target of 45 % of equipment sold, </w:t>
      </w:r>
      <w:r>
        <w:rPr>
          <w:rFonts w:ascii="Times New Roman" w:hAnsi="Times New Roman" w:cs="Times New Roman"/>
          <w:bCs/>
          <w:iCs/>
          <w:noProof/>
          <w:sz w:val="24"/>
          <w:szCs w:val="24"/>
        </w:rPr>
        <w:t xml:space="preserve">and from 2019, that target will be 65 % of equipment sold or 85 % of electronic waste generated </w:t>
      </w:r>
      <w:r>
        <w:rPr>
          <w:rFonts w:ascii="Times New Roman" w:hAnsi="Times New Roman" w:cs="Times New Roman"/>
          <w:noProof/>
          <w:sz w:val="24"/>
          <w:szCs w:val="24"/>
        </w:rPr>
        <w:t>annually</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t>
      </w:r>
      <w:r>
        <w:rPr>
          <w:rFonts w:ascii="Times New Roman" w:hAnsi="Times New Roman" w:cs="Times New Roman"/>
          <w:bCs/>
          <w:iCs/>
          <w:noProof/>
          <w:sz w:val="24"/>
          <w:szCs w:val="24"/>
        </w:rPr>
        <w:t>Member States will be able to choose one of these two equivalent ways of measuring the target.</w:t>
      </w:r>
    </w:p>
    <w:p>
      <w:pPr>
        <w:spacing w:after="120" w:line="240" w:lineRule="auto"/>
        <w:jc w:val="both"/>
        <w:rPr>
          <w:rFonts w:ascii="Times New Roman" w:hAnsi="Times New Roman" w:cs="Times New Roman"/>
          <w:noProof/>
          <w:snapToGrid w:val="0"/>
          <w:sz w:val="24"/>
          <w:szCs w:val="24"/>
        </w:rPr>
      </w:pPr>
      <w:r>
        <w:rPr>
          <w:rFonts w:ascii="Times New Roman" w:hAnsi="Times New Roman" w:cs="Times New Roman"/>
          <w:noProof/>
          <w:sz w:val="24"/>
          <w:szCs w:val="24"/>
        </w:rPr>
        <w:t>The Commission conducted a compliance promotion exercise</w:t>
      </w:r>
      <w:r>
        <w:rPr>
          <w:rStyle w:val="FootnoteReference"/>
          <w:rFonts w:ascii="Times New Roman" w:hAnsi="Times New Roman" w:cs="Times New Roman"/>
          <w:noProof/>
          <w:snapToGrid w:val="0"/>
          <w:sz w:val="24"/>
          <w:szCs w:val="24"/>
        </w:rPr>
        <w:footnoteReference w:id="34"/>
      </w:r>
      <w:r>
        <w:rPr>
          <w:rFonts w:ascii="Times New Roman" w:hAnsi="Times New Roman" w:cs="Times New Roman"/>
          <w:noProof/>
          <w:sz w:val="24"/>
          <w:szCs w:val="24"/>
        </w:rPr>
        <w:t xml:space="preserve"> </w:t>
      </w:r>
      <w:r>
        <w:rPr>
          <w:rFonts w:ascii="Times New Roman" w:hAnsi="Times New Roman" w:cs="Times New Roman"/>
          <w:noProof/>
          <w:snapToGrid w:val="0"/>
          <w:sz w:val="24"/>
          <w:szCs w:val="24"/>
        </w:rPr>
        <w:t>on WEEE to identify the main implementation gaps and to share good practices. This study produced both, recommendations applicable to all Member States and country-specific advice for certain Member States.</w:t>
      </w:r>
    </w:p>
    <w:tbl>
      <w:tblPr>
        <w:tblStyle w:val="TableGrid"/>
        <w:tblW w:w="0" w:type="auto"/>
        <w:tblInd w:w="108" w:type="dxa"/>
        <w:shd w:val="clear" w:color="auto" w:fill="C6D9F1" w:themeFill="text2" w:themeFillTint="33"/>
        <w:tblLook w:val="04A0" w:firstRow="1" w:lastRow="0" w:firstColumn="1" w:lastColumn="0" w:noHBand="0" w:noVBand="1"/>
      </w:tblPr>
      <w:tblGrid>
        <w:gridCol w:w="8931"/>
      </w:tblGrid>
      <w:tr>
        <w:trPr>
          <w:trHeight w:val="7361"/>
        </w:trPr>
        <w:tc>
          <w:tcPr>
            <w:tcW w:w="8931" w:type="dxa"/>
            <w:shd w:val="clear" w:color="auto" w:fill="C6D9F1" w:themeFill="text2" w:themeFillTint="33"/>
          </w:tcPr>
          <w:p>
            <w:pPr>
              <w:keepNext/>
              <w:spacing w:before="240" w:after="240"/>
              <w:jc w:val="center"/>
              <w:rPr>
                <w:rFonts w:ascii="Times New Roman" w:eastAsiaTheme="majorEastAsia" w:hAnsi="Times New Roman" w:cs="Times New Roman"/>
                <w:b/>
                <w:noProof/>
                <w:sz w:val="24"/>
                <w:szCs w:val="24"/>
                <w:u w:val="single"/>
              </w:rPr>
            </w:pPr>
            <w:r>
              <w:rPr>
                <w:rFonts w:ascii="Times New Roman" w:eastAsiaTheme="majorEastAsia" w:hAnsi="Times New Roman" w:cs="Times New Roman"/>
                <w:b/>
                <w:noProof/>
                <w:sz w:val="24"/>
                <w:szCs w:val="24"/>
                <w:u w:val="single"/>
              </w:rPr>
              <w:t>Box 4: Management of waste electrical and electronic equipment</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Involve </w:t>
            </w:r>
            <w:r>
              <w:rPr>
                <w:rFonts w:ascii="Times New Roman" w:hAnsi="Times New Roman" w:cs="Times New Roman"/>
                <w:b/>
                <w:noProof/>
                <w:sz w:val="24"/>
                <w:szCs w:val="24"/>
              </w:rPr>
              <w:t>all relevant levels of government</w:t>
            </w:r>
            <w:r>
              <w:rPr>
                <w:rFonts w:ascii="Times New Roman" w:hAnsi="Times New Roman" w:cs="Times New Roman"/>
                <w:noProof/>
                <w:sz w:val="24"/>
                <w:szCs w:val="24"/>
              </w:rPr>
              <w:t xml:space="preserve"> (municipal, regional, national) </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Introduce (or intensify) controls at all stages of the management chain</w:t>
            </w:r>
            <w:r>
              <w:rPr>
                <w:rFonts w:ascii="Times New Roman" w:hAnsi="Times New Roman" w:cs="Times New Roman"/>
                <w:noProof/>
                <w:sz w:val="24"/>
                <w:szCs w:val="24"/>
              </w:rPr>
              <w:t xml:space="preserve">, and organise inspections targeting illegal or non-compliant activities. </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Improve data quality</w:t>
            </w:r>
            <w:r>
              <w:rPr>
                <w:rFonts w:ascii="Times New Roman" w:hAnsi="Times New Roman" w:cs="Times New Roman"/>
                <w:noProof/>
                <w:sz w:val="24"/>
                <w:szCs w:val="24"/>
              </w:rPr>
              <w:t>, including through quality checks and by reinforcing traceability procedures to account for all waste equipment.</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Improve EPR schemes</w:t>
            </w:r>
            <w:r>
              <w:rPr>
                <w:rFonts w:ascii="Times New Roman" w:hAnsi="Times New Roman" w:cs="Times New Roman"/>
                <w:noProof/>
                <w:sz w:val="24"/>
                <w:szCs w:val="24"/>
              </w:rPr>
              <w:t xml:space="preserve">, </w:t>
            </w:r>
            <w:r>
              <w:rPr>
                <w:rFonts w:ascii="Times New Roman" w:eastAsiaTheme="majorEastAsia" w:hAnsi="Times New Roman" w:cs="Times New Roman"/>
                <w:noProof/>
                <w:sz w:val="24"/>
                <w:szCs w:val="24"/>
              </w:rPr>
              <w:t>at least in line with the general minimum requirements in the revised Waste Framework Directive</w:t>
            </w:r>
            <w:r>
              <w:rPr>
                <w:rFonts w:ascii="Times New Roman" w:hAnsi="Times New Roman" w:cs="Times New Roman"/>
                <w:noProof/>
                <w:sz w:val="24"/>
                <w:szCs w:val="24"/>
              </w:rPr>
              <w:t>.</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Improve collection</w:t>
            </w:r>
            <w:r>
              <w:rPr>
                <w:rFonts w:ascii="Times New Roman" w:hAnsi="Times New Roman" w:cs="Times New Roman"/>
                <w:noProof/>
                <w:sz w:val="24"/>
                <w:szCs w:val="24"/>
              </w:rPr>
              <w:t xml:space="preserve"> by:</w:t>
            </w:r>
          </w:p>
          <w:p>
            <w:pPr>
              <w:keepNext/>
              <w:numPr>
                <w:ilvl w:val="1"/>
                <w:numId w:val="39"/>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expanding collection infrastructure; </w:t>
            </w:r>
          </w:p>
          <w:p>
            <w:pPr>
              <w:keepNext/>
              <w:numPr>
                <w:ilvl w:val="1"/>
                <w:numId w:val="39"/>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improving consumer awareness; </w:t>
            </w:r>
          </w:p>
          <w:p>
            <w:pPr>
              <w:keepNext/>
              <w:numPr>
                <w:ilvl w:val="1"/>
                <w:numId w:val="39"/>
              </w:numPr>
              <w:spacing w:after="120"/>
              <w:jc w:val="both"/>
              <w:rPr>
                <w:rFonts w:ascii="Times New Roman" w:hAnsi="Times New Roman" w:cs="Times New Roman"/>
                <w:noProof/>
                <w:sz w:val="24"/>
                <w:szCs w:val="24"/>
              </w:rPr>
            </w:pPr>
            <w:r>
              <w:rPr>
                <w:rFonts w:ascii="Times New Roman" w:hAnsi="Times New Roman" w:cs="Times New Roman"/>
                <w:noProof/>
                <w:sz w:val="24"/>
                <w:szCs w:val="24"/>
              </w:rPr>
              <w:t>clarifying the transfer of ownership of waste equipment in the management chain; and</w:t>
            </w:r>
          </w:p>
          <w:p>
            <w:pPr>
              <w:keepNext/>
              <w:numPr>
                <w:ilvl w:val="1"/>
                <w:numId w:val="39"/>
              </w:numPr>
              <w:spacing w:after="120"/>
              <w:jc w:val="both"/>
              <w:rPr>
                <w:rFonts w:ascii="Times New Roman" w:hAnsi="Times New Roman" w:cs="Times New Roman"/>
                <w:noProof/>
                <w:sz w:val="24"/>
                <w:szCs w:val="24"/>
              </w:rPr>
            </w:pPr>
            <w:r>
              <w:rPr>
                <w:rFonts w:ascii="Times New Roman" w:hAnsi="Times New Roman" w:cs="Times New Roman"/>
                <w:noProof/>
                <w:sz w:val="24"/>
                <w:szCs w:val="24"/>
              </w:rPr>
              <w:t>requiring all collectors to cooperate with a compliance scheme.</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Enforce the proper treatment</w:t>
            </w:r>
            <w:r>
              <w:rPr>
                <w:rFonts w:ascii="Times New Roman" w:hAnsi="Times New Roman" w:cs="Times New Roman"/>
                <w:noProof/>
                <w:sz w:val="24"/>
                <w:szCs w:val="24"/>
              </w:rPr>
              <w:t xml:space="preserve"> </w:t>
            </w:r>
            <w:r>
              <w:rPr>
                <w:rFonts w:ascii="Times New Roman" w:hAnsi="Times New Roman" w:cs="Times New Roman"/>
                <w:b/>
                <w:noProof/>
                <w:sz w:val="24"/>
                <w:szCs w:val="24"/>
              </w:rPr>
              <w:t>requirements</w:t>
            </w:r>
            <w:r>
              <w:rPr>
                <w:rFonts w:ascii="Times New Roman" w:hAnsi="Times New Roman" w:cs="Times New Roman"/>
                <w:noProof/>
                <w:sz w:val="24"/>
                <w:szCs w:val="24"/>
              </w:rPr>
              <w:t xml:space="preserve"> set out in the Directive; consider adopting minimum quality standards for the treatment of WEEE.</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Implement/develop </w:t>
            </w:r>
            <w:r>
              <w:rPr>
                <w:rFonts w:ascii="Times New Roman" w:hAnsi="Times New Roman" w:cs="Times New Roman"/>
                <w:b/>
                <w:noProof/>
                <w:sz w:val="24"/>
                <w:szCs w:val="24"/>
              </w:rPr>
              <w:t>mechanisms for exchanging product-related information</w:t>
            </w:r>
            <w:r>
              <w:rPr>
                <w:rFonts w:ascii="Times New Roman" w:hAnsi="Times New Roman" w:cs="Times New Roman"/>
                <w:noProof/>
                <w:sz w:val="24"/>
                <w:szCs w:val="24"/>
              </w:rPr>
              <w:t xml:space="preserve"> relevant for recycling and preparation for re-use between producers and recyclers (e.g. I4R - Information for Recyclers - platform</w:t>
            </w:r>
            <w:r>
              <w:rPr>
                <w:rStyle w:val="FootnoteReference"/>
                <w:noProof/>
              </w:rPr>
              <w:footnoteReference w:id="35"/>
            </w:r>
            <w:r>
              <w:rPr>
                <w:rFonts w:ascii="Times New Roman" w:hAnsi="Times New Roman" w:cs="Times New Roman"/>
                <w:noProof/>
                <w:sz w:val="24"/>
                <w:szCs w:val="24"/>
              </w:rPr>
              <w:t>).</w:t>
            </w:r>
          </w:p>
          <w:p>
            <w:pPr>
              <w:keepNext/>
              <w:numPr>
                <w:ilvl w:val="0"/>
                <w:numId w:val="37"/>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Establish a </w:t>
            </w:r>
            <w:r>
              <w:rPr>
                <w:rFonts w:ascii="Times New Roman" w:hAnsi="Times New Roman" w:cs="Times New Roman"/>
                <w:noProof/>
                <w:sz w:val="24"/>
                <w:szCs w:val="24"/>
              </w:rPr>
              <w:t>‘</w:t>
            </w:r>
            <w:r>
              <w:rPr>
                <w:rFonts w:ascii="Times New Roman" w:hAnsi="Times New Roman" w:cs="Times New Roman"/>
                <w:b/>
                <w:noProof/>
                <w:sz w:val="24"/>
                <w:szCs w:val="24"/>
              </w:rPr>
              <w:t>preparation for re-use</w:t>
            </w:r>
            <w:r>
              <w:rPr>
                <w:rFonts w:ascii="Times New Roman" w:hAnsi="Times New Roman" w:cs="Times New Roman"/>
                <w:noProof/>
                <w:sz w:val="24"/>
                <w:szCs w:val="24"/>
              </w:rPr>
              <w:t>’</w:t>
            </w:r>
            <w:r>
              <w:rPr>
                <w:rFonts w:ascii="Times New Roman" w:hAnsi="Times New Roman" w:cs="Times New Roman"/>
                <w:b/>
                <w:noProof/>
                <w:sz w:val="24"/>
                <w:szCs w:val="24"/>
              </w:rPr>
              <w:t xml:space="preserve"> network</w:t>
            </w:r>
            <w:r>
              <w:rPr>
                <w:rFonts w:ascii="Times New Roman" w:hAnsi="Times New Roman" w:cs="Times New Roman"/>
                <w:noProof/>
                <w:sz w:val="24"/>
                <w:szCs w:val="24"/>
              </w:rPr>
              <w:t xml:space="preserve"> of registered and authorised/certified operators at national level.</w:t>
            </w:r>
          </w:p>
          <w:p>
            <w:pPr>
              <w:keepNext/>
              <w:numPr>
                <w:ilvl w:val="0"/>
                <w:numId w:val="37"/>
              </w:numPr>
              <w:spacing w:after="120"/>
              <w:jc w:val="both"/>
              <w:rPr>
                <w:rFonts w:ascii="Times New Roman" w:hAnsi="Times New Roman" w:cs="Times New Roman"/>
                <w:noProof/>
                <w:snapToGrid w:val="0"/>
                <w:sz w:val="24"/>
                <w:szCs w:val="24"/>
              </w:rPr>
            </w:pPr>
            <w:r>
              <w:rPr>
                <w:rFonts w:ascii="Times New Roman" w:hAnsi="Times New Roman" w:cs="Times New Roman"/>
                <w:noProof/>
                <w:sz w:val="24"/>
                <w:szCs w:val="24"/>
              </w:rPr>
              <w:t xml:space="preserve">Consider adopting </w:t>
            </w:r>
            <w:r>
              <w:rPr>
                <w:rFonts w:ascii="Times New Roman" w:hAnsi="Times New Roman" w:cs="Times New Roman"/>
                <w:b/>
                <w:noProof/>
                <w:sz w:val="24"/>
                <w:szCs w:val="24"/>
              </w:rPr>
              <w:t xml:space="preserve">a separate </w:t>
            </w:r>
            <w:r>
              <w:rPr>
                <w:rFonts w:ascii="Times New Roman" w:hAnsi="Times New Roman" w:cs="Times New Roman"/>
                <w:noProof/>
                <w:sz w:val="24"/>
                <w:szCs w:val="24"/>
              </w:rPr>
              <w:t>‘</w:t>
            </w:r>
            <w:r>
              <w:rPr>
                <w:rFonts w:ascii="Times New Roman" w:hAnsi="Times New Roman" w:cs="Times New Roman"/>
                <w:b/>
                <w:noProof/>
                <w:sz w:val="24"/>
                <w:szCs w:val="24"/>
              </w:rPr>
              <w:t>preparation for re-use</w:t>
            </w:r>
            <w:r>
              <w:rPr>
                <w:rFonts w:ascii="Times New Roman" w:hAnsi="Times New Roman" w:cs="Times New Roman"/>
                <w:noProof/>
                <w:sz w:val="24"/>
                <w:szCs w:val="24"/>
              </w:rPr>
              <w:t xml:space="preserve">’ </w:t>
            </w:r>
            <w:r>
              <w:rPr>
                <w:rFonts w:ascii="Times New Roman" w:hAnsi="Times New Roman" w:cs="Times New Roman"/>
                <w:b/>
                <w:noProof/>
                <w:sz w:val="24"/>
                <w:szCs w:val="24"/>
              </w:rPr>
              <w:t>target</w:t>
            </w:r>
            <w:r>
              <w:rPr>
                <w:rFonts w:ascii="Times New Roman" w:hAnsi="Times New Roman" w:cs="Times New Roman"/>
                <w:noProof/>
                <w:sz w:val="24"/>
                <w:szCs w:val="24"/>
              </w:rPr>
              <w:t xml:space="preserve"> at national level.</w:t>
            </w:r>
          </w:p>
        </w:tc>
      </w:tr>
    </w:tbl>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eastAsia="MS Gothic" w:hAnsi="Times New Roman" w:cs="Times New Roman"/>
          <w:b/>
          <w:bCs/>
          <w:smallCaps/>
          <w:noProof/>
          <w:color w:val="000000"/>
          <w:sz w:val="24"/>
          <w:szCs w:val="28"/>
        </w:rPr>
        <w:t>Packaging waste</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cs="Times New Roman"/>
          <w:noProof/>
        </w:rPr>
        <w:t>In 2015, the total packaging waste generated in the EU amounted to around 85 million tonnes, which is around 3.4 % of the total waste generated</w:t>
      </w:r>
      <w:r>
        <w:rPr>
          <w:rStyle w:val="FootnoteReference"/>
          <w:rFonts w:ascii="Times New Roman" w:hAnsi="Times New Roman" w:cs="Times New Roman"/>
          <w:noProof/>
        </w:rPr>
        <w:footnoteReference w:id="36"/>
      </w:r>
      <w:r>
        <w:rPr>
          <w:rFonts w:ascii="Times New Roman" w:hAnsi="Times New Roman" w:cs="Times New Roman"/>
          <w:noProof/>
        </w:rPr>
        <w:t>. The amount of waste generated has been slowly increasing in the recent years.</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cs="Times New Roman"/>
          <w:noProof/>
        </w:rPr>
        <w:t xml:space="preserve">The Packaging Directive sets specific targets for packaging waste to be met by the end of 2008 (with time extensions for some Member States – all ceased to apply in 2015): overall recovery and recycling targets (60 % and 55 %, respectively) alongside material-specific recycling targets (60 % for paper and cardboard, 60 % for glass, 50 % for metal, 22.5 % for plastic and 15 % for wood). </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cs="Times New Roman"/>
          <w:noProof/>
        </w:rPr>
        <w:t>Since 2005, the average overall packaging recycling rate in the EU has steadily increased (to 65.8 % in 2015</w:t>
      </w:r>
      <w:r>
        <w:rPr>
          <w:rStyle w:val="FootnoteReference"/>
          <w:rFonts w:ascii="Times New Roman" w:hAnsi="Times New Roman" w:cs="Times New Roman"/>
          <w:noProof/>
        </w:rPr>
        <w:footnoteReference w:id="37"/>
      </w:r>
      <w:r>
        <w:rPr>
          <w:rFonts w:ascii="Times New Roman" w:hAnsi="Times New Roman" w:cs="Times New Roman"/>
          <w:noProof/>
        </w:rPr>
        <w:t xml:space="preserve">). However, between 2013 and 2015 the amount of packaging waste generated grew by 6 % across the EU, suggesting that </w:t>
      </w:r>
      <w:r>
        <w:rPr>
          <w:rFonts w:ascii="Times New Roman" w:hAnsi="Times New Roman" w:cs="Times New Roman"/>
          <w:b/>
          <w:noProof/>
        </w:rPr>
        <w:t>more work on waste prevention is needed</w:t>
      </w:r>
      <w:r>
        <w:rPr>
          <w:rFonts w:ascii="Times New Roman" w:hAnsi="Times New Roman" w:cs="Times New Roman"/>
          <w:noProof/>
        </w:rPr>
        <w:t>. The early warning study also highlighted inconsistencies in packaging data for several Member States, indicating that the amounts of packaging put on the market may be underreported.</w:t>
      </w:r>
    </w:p>
    <w:p>
      <w:pPr>
        <w:keepNext/>
        <w:spacing w:after="120" w:line="240" w:lineRule="auto"/>
        <w:jc w:val="both"/>
        <w:rPr>
          <w:rFonts w:ascii="Times New Roman" w:hAnsi="Times New Roman" w:cs="Times New Roman"/>
          <w:noProof/>
        </w:rPr>
      </w:pPr>
      <w:r>
        <w:rPr>
          <w:rFonts w:ascii="Times New Roman" w:eastAsia="Times New Roman" w:hAnsi="Times New Roman" w:cs="Times New Roman"/>
          <w:noProof/>
          <w:sz w:val="24"/>
          <w:szCs w:val="24"/>
          <w:lang w:eastAsia="en-GB"/>
        </w:rPr>
        <w:t>The revised Packaging Directive</w:t>
      </w:r>
      <w:r>
        <w:rPr>
          <w:rStyle w:val="FootnoteReference"/>
          <w:rFonts w:ascii="Times New Roman" w:eastAsia="Times New Roman" w:hAnsi="Times New Roman" w:cs="Times New Roman"/>
          <w:noProof/>
          <w:sz w:val="24"/>
          <w:szCs w:val="24"/>
          <w:lang w:eastAsia="en-GB"/>
        </w:rPr>
        <w:footnoteReference w:id="38"/>
      </w:r>
      <w:r>
        <w:rPr>
          <w:rFonts w:ascii="Times New Roman" w:eastAsia="Times New Roman" w:hAnsi="Times New Roman" w:cs="Times New Roman"/>
          <w:noProof/>
          <w:sz w:val="24"/>
          <w:szCs w:val="24"/>
          <w:lang w:eastAsia="en-GB"/>
        </w:rPr>
        <w:t xml:space="preserve"> introduced more ambitious overall recycling targets for packaging (65 % in 2025 and 70 % in 2030), and higher material-specific targets (such as 55 % in 2030 for plastic). This will require increased efforts across the EU to organise </w:t>
      </w:r>
      <w:r>
        <w:rPr>
          <w:rFonts w:ascii="Times New Roman" w:eastAsia="Times New Roman" w:hAnsi="Times New Roman" w:cs="Times New Roman"/>
          <w:b/>
          <w:noProof/>
          <w:sz w:val="24"/>
          <w:szCs w:val="24"/>
          <w:lang w:eastAsia="en-GB"/>
        </w:rPr>
        <w:t>separate collection schemes</w:t>
      </w:r>
      <w:r>
        <w:rPr>
          <w:rFonts w:ascii="Times New Roman" w:eastAsia="Times New Roman" w:hAnsi="Times New Roman" w:cs="Times New Roman"/>
          <w:noProof/>
          <w:sz w:val="24"/>
          <w:szCs w:val="24"/>
          <w:lang w:eastAsia="en-GB"/>
        </w:rPr>
        <w:t xml:space="preserve"> more efficiently in order to capture more recyclables, including through improved </w:t>
      </w:r>
      <w:r>
        <w:rPr>
          <w:rFonts w:ascii="Times New Roman" w:hAnsi="Times New Roman" w:cs="Times New Roman"/>
          <w:noProof/>
          <w:sz w:val="24"/>
          <w:szCs w:val="24"/>
        </w:rPr>
        <w:t>EPR schemes</w:t>
      </w:r>
      <w:r>
        <w:rPr>
          <w:rFonts w:ascii="Times New Roman" w:eastAsia="Times New Roman" w:hAnsi="Times New Roman" w:cs="Times New Roman"/>
          <w:noProof/>
          <w:sz w:val="24"/>
          <w:szCs w:val="24"/>
          <w:lang w:eastAsia="en-GB"/>
        </w:rPr>
        <w:t xml:space="preserve">. </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cs="Times New Roman"/>
          <w:noProof/>
        </w:rPr>
        <w:t xml:space="preserve">Most Member States are meeting current overall recycling targets, although </w:t>
      </w:r>
      <w:r>
        <w:rPr>
          <w:rFonts w:ascii="Times New Roman" w:hAnsi="Times New Roman" w:cs="Times New Roman"/>
          <w:b/>
          <w:noProof/>
        </w:rPr>
        <w:t xml:space="preserve">Hungary </w:t>
      </w:r>
      <w:r>
        <w:rPr>
          <w:rFonts w:ascii="Times New Roman" w:hAnsi="Times New Roman" w:cs="Times New Roman"/>
          <w:noProof/>
        </w:rPr>
        <w:t xml:space="preserve">(since 2012) </w:t>
      </w:r>
      <w:r>
        <w:rPr>
          <w:rFonts w:ascii="Times New Roman" w:hAnsi="Times New Roman" w:cs="Times New Roman"/>
          <w:b/>
          <w:noProof/>
        </w:rPr>
        <w:t xml:space="preserve">and Malta </w:t>
      </w:r>
      <w:r>
        <w:rPr>
          <w:rFonts w:ascii="Times New Roman" w:hAnsi="Times New Roman" w:cs="Times New Roman"/>
          <w:noProof/>
        </w:rPr>
        <w:t>(since 2013</w:t>
      </w:r>
      <w:r>
        <w:rPr>
          <w:rStyle w:val="FootnoteReference"/>
          <w:rFonts w:ascii="Times New Roman" w:hAnsi="Times New Roman" w:cs="Times New Roman"/>
          <w:noProof/>
        </w:rPr>
        <w:footnoteReference w:id="39"/>
      </w:r>
      <w:r>
        <w:rPr>
          <w:rFonts w:ascii="Times New Roman" w:hAnsi="Times New Roman" w:cs="Times New Roman"/>
          <w:noProof/>
        </w:rPr>
        <w:t>)</w:t>
      </w:r>
      <w:r>
        <w:rPr>
          <w:rFonts w:ascii="Times New Roman" w:hAnsi="Times New Roman" w:cs="Times New Roman"/>
          <w:b/>
          <w:noProof/>
        </w:rPr>
        <w:t xml:space="preserve"> missed </w:t>
      </w:r>
      <w:r>
        <w:rPr>
          <w:rFonts w:ascii="Times New Roman" w:hAnsi="Times New Roman" w:cs="Times New Roman"/>
          <w:noProof/>
        </w:rPr>
        <w:t>them</w:t>
      </w:r>
      <w:r>
        <w:rPr>
          <w:rFonts w:ascii="Times New Roman" w:hAnsi="Times New Roman" w:cs="Times New Roman"/>
          <w:b/>
          <w:noProof/>
        </w:rPr>
        <w:t xml:space="preserve"> </w:t>
      </w:r>
      <w:r>
        <w:rPr>
          <w:rFonts w:ascii="Times New Roman" w:hAnsi="Times New Roman" w:cs="Times New Roman"/>
          <w:noProof/>
        </w:rPr>
        <w:t>by a considerable margin. Several Member States missed one or more material-specific targets: for paper and cardboard (</w:t>
      </w:r>
      <w:r>
        <w:rPr>
          <w:rFonts w:ascii="Times New Roman" w:hAnsi="Times New Roman" w:cs="Times New Roman"/>
          <w:b/>
          <w:noProof/>
        </w:rPr>
        <w:t>Malta</w:t>
      </w:r>
      <w:r>
        <w:rPr>
          <w:rFonts w:ascii="Times New Roman" w:hAnsi="Times New Roman" w:cs="Times New Roman"/>
          <w:noProof/>
        </w:rPr>
        <w:t>), wood (</w:t>
      </w:r>
      <w:r>
        <w:rPr>
          <w:rFonts w:ascii="Times New Roman" w:hAnsi="Times New Roman" w:cs="Times New Roman"/>
          <w:b/>
          <w:noProof/>
        </w:rPr>
        <w:t>Croatia</w:t>
      </w:r>
      <w:r>
        <w:rPr>
          <w:rFonts w:ascii="Times New Roman" w:hAnsi="Times New Roman" w:cs="Times New Roman"/>
          <w:noProof/>
        </w:rPr>
        <w:t xml:space="preserve">, </w:t>
      </w:r>
      <w:r>
        <w:rPr>
          <w:rFonts w:ascii="Times New Roman" w:hAnsi="Times New Roman" w:cs="Times New Roman"/>
          <w:b/>
          <w:noProof/>
        </w:rPr>
        <w:t>Malta</w:t>
      </w:r>
      <w:r>
        <w:rPr>
          <w:rFonts w:ascii="Times New Roman" w:hAnsi="Times New Roman" w:cs="Times New Roman"/>
          <w:noProof/>
        </w:rPr>
        <w:t xml:space="preserve">, </w:t>
      </w:r>
      <w:r>
        <w:rPr>
          <w:rFonts w:ascii="Times New Roman" w:hAnsi="Times New Roman" w:cs="Times New Roman"/>
          <w:b/>
          <w:noProof/>
        </w:rPr>
        <w:t>Cyprus</w:t>
      </w:r>
      <w:r>
        <w:rPr>
          <w:rFonts w:ascii="Times New Roman" w:hAnsi="Times New Roman" w:cs="Times New Roman"/>
          <w:noProof/>
        </w:rPr>
        <w:t xml:space="preserve">, </w:t>
      </w:r>
      <w:r>
        <w:rPr>
          <w:rFonts w:ascii="Times New Roman" w:hAnsi="Times New Roman" w:cs="Times New Roman"/>
          <w:b/>
          <w:noProof/>
        </w:rPr>
        <w:t>Finland</w:t>
      </w:r>
      <w:r>
        <w:rPr>
          <w:rFonts w:ascii="Times New Roman" w:hAnsi="Times New Roman" w:cs="Times New Roman"/>
          <w:noProof/>
        </w:rPr>
        <w:t>), metal (</w:t>
      </w:r>
      <w:r>
        <w:rPr>
          <w:rFonts w:ascii="Times New Roman" w:hAnsi="Times New Roman" w:cs="Times New Roman"/>
          <w:b/>
          <w:noProof/>
        </w:rPr>
        <w:t>Croatia</w:t>
      </w:r>
      <w:r>
        <w:rPr>
          <w:rFonts w:ascii="Times New Roman" w:hAnsi="Times New Roman" w:cs="Times New Roman"/>
          <w:noProof/>
        </w:rPr>
        <w:t xml:space="preserve">, </w:t>
      </w:r>
      <w:r>
        <w:rPr>
          <w:rFonts w:ascii="Times New Roman" w:hAnsi="Times New Roman" w:cs="Times New Roman"/>
          <w:b/>
          <w:noProof/>
        </w:rPr>
        <w:t>Malta</w:t>
      </w:r>
      <w:r>
        <w:rPr>
          <w:rFonts w:ascii="Times New Roman" w:hAnsi="Times New Roman" w:cs="Times New Roman"/>
          <w:noProof/>
        </w:rPr>
        <w:t>), and glass (</w:t>
      </w:r>
      <w:r>
        <w:rPr>
          <w:rFonts w:ascii="Times New Roman" w:hAnsi="Times New Roman" w:cs="Times New Roman"/>
          <w:b/>
          <w:noProof/>
        </w:rPr>
        <w:t>Greece</w:t>
      </w:r>
      <w:r>
        <w:rPr>
          <w:rFonts w:ascii="Times New Roman" w:hAnsi="Times New Roman" w:cs="Times New Roman"/>
          <w:noProof/>
        </w:rPr>
        <w:t xml:space="preserve">, </w:t>
      </w:r>
      <w:r>
        <w:rPr>
          <w:rFonts w:ascii="Times New Roman" w:hAnsi="Times New Roman" w:cs="Times New Roman"/>
          <w:b/>
          <w:noProof/>
        </w:rPr>
        <w:t>Malta</w:t>
      </w:r>
      <w:r>
        <w:rPr>
          <w:rFonts w:ascii="Times New Roman" w:hAnsi="Times New Roman" w:cs="Times New Roman"/>
          <w:noProof/>
        </w:rPr>
        <w:t xml:space="preserve">, </w:t>
      </w:r>
      <w:r>
        <w:rPr>
          <w:rFonts w:ascii="Times New Roman" w:hAnsi="Times New Roman" w:cs="Times New Roman"/>
          <w:b/>
          <w:noProof/>
        </w:rPr>
        <w:t>Cyprus</w:t>
      </w:r>
      <w:r>
        <w:rPr>
          <w:rFonts w:ascii="Times New Roman" w:hAnsi="Times New Roman" w:cs="Times New Roman"/>
          <w:noProof/>
        </w:rPr>
        <w:t>,</w:t>
      </w:r>
      <w:r>
        <w:rPr>
          <w:rFonts w:ascii="Times New Roman" w:hAnsi="Times New Roman" w:cs="Times New Roman"/>
          <w:b/>
          <w:noProof/>
        </w:rPr>
        <w:t xml:space="preserve"> Hungary</w:t>
      </w:r>
      <w:r>
        <w:rPr>
          <w:rFonts w:ascii="Times New Roman" w:hAnsi="Times New Roman" w:cs="Times New Roman"/>
          <w:noProof/>
        </w:rPr>
        <w:t xml:space="preserve">, </w:t>
      </w:r>
      <w:r>
        <w:rPr>
          <w:rFonts w:ascii="Times New Roman" w:hAnsi="Times New Roman" w:cs="Times New Roman"/>
          <w:b/>
          <w:noProof/>
        </w:rPr>
        <w:t>Portugal</w:t>
      </w:r>
      <w:r>
        <w:rPr>
          <w:rFonts w:ascii="Times New Roman" w:hAnsi="Times New Roman" w:cs="Times New Roman"/>
          <w:noProof/>
        </w:rPr>
        <w:t xml:space="preserve">, </w:t>
      </w:r>
      <w:r>
        <w:rPr>
          <w:rFonts w:ascii="Times New Roman" w:hAnsi="Times New Roman" w:cs="Times New Roman"/>
          <w:b/>
          <w:noProof/>
        </w:rPr>
        <w:t>Poland</w:t>
      </w:r>
      <w:r>
        <w:rPr>
          <w:rFonts w:ascii="Times New Roman" w:hAnsi="Times New Roman" w:cs="Times New Roman"/>
          <w:noProof/>
        </w:rPr>
        <w:t xml:space="preserve">, and </w:t>
      </w:r>
      <w:r>
        <w:rPr>
          <w:rFonts w:ascii="Times New Roman" w:hAnsi="Times New Roman" w:cs="Times New Roman"/>
          <w:b/>
          <w:noProof/>
        </w:rPr>
        <w:t>Romania</w:t>
      </w:r>
      <w:r>
        <w:rPr>
          <w:rFonts w:ascii="Times New Roman" w:hAnsi="Times New Roman" w:cs="Times New Roman"/>
          <w:noProof/>
        </w:rPr>
        <w:t>). The Commission has engaged with the Member States concerned and developed targeted advice via the compliance promotion and other activities to improve performance.</w:t>
      </w: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eastAsia="MS Gothic" w:hAnsi="Times New Roman" w:cs="Times New Roman"/>
          <w:b/>
          <w:bCs/>
          <w:smallCaps/>
          <w:noProof/>
          <w:color w:val="000000"/>
          <w:sz w:val="24"/>
          <w:szCs w:val="28"/>
        </w:rPr>
        <w:t>Landfilling</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Landfilling is the least preferable waste treatment option. While amounts of landfilled municipal waste have steadily fallen in the EU as a whole (dropping by 18% during the 2013-2016 period</w:t>
      </w:r>
      <w:r>
        <w:rPr>
          <w:rStyle w:val="FootnoteReference"/>
          <w:rFonts w:ascii="Times New Roman" w:eastAsia="Times New Roman" w:hAnsi="Times New Roman" w:cs="Times New Roman"/>
          <w:noProof/>
          <w:sz w:val="24"/>
          <w:szCs w:val="24"/>
          <w:lang w:eastAsia="en-GB"/>
        </w:rPr>
        <w:footnoteReference w:id="40"/>
      </w:r>
      <w:r>
        <w:rPr>
          <w:rFonts w:ascii="Times New Roman" w:eastAsia="Times New Roman" w:hAnsi="Times New Roman" w:cs="Times New Roman"/>
          <w:noProof/>
          <w:sz w:val="24"/>
          <w:szCs w:val="24"/>
          <w:lang w:eastAsia="en-GB"/>
        </w:rPr>
        <w:t xml:space="preserve">), the average landfilling rate for municipal waste in the EU still stood at 24 % in 2016. Large differences across the EU persist: in 2016 </w:t>
      </w:r>
      <w:r>
        <w:rPr>
          <w:rFonts w:ascii="Times New Roman" w:eastAsia="Times New Roman" w:hAnsi="Times New Roman" w:cs="Times New Roman"/>
          <w:b/>
          <w:noProof/>
          <w:sz w:val="24"/>
          <w:szCs w:val="24"/>
          <w:lang w:eastAsia="en-GB"/>
        </w:rPr>
        <w:t>10</w:t>
      </w:r>
      <w:r>
        <w:rPr>
          <w:rFonts w:ascii="Times New Roman" w:hAnsi="Times New Roman" w:cs="Times New Roman"/>
          <w:b/>
          <w:noProof/>
          <w:sz w:val="24"/>
          <w:szCs w:val="24"/>
        </w:rPr>
        <w:t xml:space="preserve"> Member States still landfilled over 50 %</w:t>
      </w:r>
      <w:r>
        <w:rPr>
          <w:rFonts w:ascii="Times New Roman" w:hAnsi="Times New Roman" w:cs="Times New Roman"/>
          <w:noProof/>
          <w:sz w:val="24"/>
          <w:szCs w:val="24"/>
        </w:rPr>
        <w:t xml:space="preserve"> of </w:t>
      </w:r>
      <w:r>
        <w:rPr>
          <w:rFonts w:ascii="Times New Roman" w:hAnsi="Times New Roman" w:cs="Times New Roman"/>
          <w:b/>
          <w:noProof/>
          <w:sz w:val="24"/>
          <w:szCs w:val="24"/>
        </w:rPr>
        <w:t>municipal waste</w:t>
      </w:r>
      <w:r>
        <w:rPr>
          <w:rFonts w:ascii="Times New Roman" w:hAnsi="Times New Roman" w:cs="Times New Roman"/>
          <w:noProof/>
          <w:sz w:val="24"/>
          <w:szCs w:val="24"/>
        </w:rPr>
        <w:t xml:space="preserve">, while five reported rates </w:t>
      </w:r>
      <w:r>
        <w:rPr>
          <w:rFonts w:ascii="Times New Roman" w:hAnsi="Times New Roman" w:cs="Times New Roman"/>
          <w:b/>
          <w:noProof/>
          <w:sz w:val="24"/>
          <w:szCs w:val="24"/>
        </w:rPr>
        <w:t>above 70 %</w:t>
      </w:r>
      <w:r>
        <w:rPr>
          <w:rFonts w:ascii="Times New Roman" w:hAnsi="Times New Roman" w:cs="Times New Roman"/>
          <w:noProof/>
          <w:sz w:val="24"/>
          <w:szCs w:val="24"/>
        </w:rPr>
        <w:t>.</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Landfill Directive obliged Member States to reduce landfilling of municipal biodegradable waste to a maximum of 75 % by 2006, 50 % by 2009 and 35 % by 2016, compared to a 1995 baseline</w:t>
      </w:r>
      <w:r>
        <w:rPr>
          <w:rStyle w:val="FootnoteReference"/>
          <w:rFonts w:ascii="Times New Roman" w:eastAsia="Times New Roman" w:hAnsi="Times New Roman" w:cs="Times New Roman"/>
          <w:noProof/>
          <w:sz w:val="24"/>
          <w:szCs w:val="24"/>
          <w:lang w:eastAsia="en-GB"/>
        </w:rPr>
        <w:footnoteReference w:id="41"/>
      </w:r>
      <w:r>
        <w:rPr>
          <w:rFonts w:ascii="Times New Roman" w:eastAsia="Times New Roman" w:hAnsi="Times New Roman" w:cs="Times New Roman"/>
          <w:noProof/>
          <w:sz w:val="24"/>
          <w:szCs w:val="24"/>
          <w:lang w:eastAsia="en-GB"/>
        </w:rPr>
        <w:t>. The revised Directive</w:t>
      </w:r>
      <w:r>
        <w:rPr>
          <w:rStyle w:val="FootnoteReference"/>
          <w:rFonts w:ascii="Times New Roman" w:eastAsia="Times New Roman" w:hAnsi="Times New Roman" w:cs="Times New Roman"/>
          <w:noProof/>
          <w:sz w:val="24"/>
          <w:szCs w:val="24"/>
          <w:lang w:eastAsia="en-GB"/>
        </w:rPr>
        <w:footnoteReference w:id="42"/>
      </w:r>
      <w:r>
        <w:rPr>
          <w:rFonts w:ascii="Times New Roman" w:eastAsia="Times New Roman" w:hAnsi="Times New Roman" w:cs="Times New Roman"/>
          <w:noProof/>
          <w:sz w:val="24"/>
          <w:szCs w:val="24"/>
          <w:lang w:eastAsia="en-GB"/>
        </w:rPr>
        <w:t xml:space="preserve"> requires Member States to reduce the landfilling of municipal waste to a maximum of 10 % by 2035, and it introduces a ban on the landfilling of separately collected waste, including biodegradable waste.</w:t>
      </w:r>
    </w:p>
    <w:p>
      <w:pPr>
        <w:pStyle w:val="ListBullet"/>
        <w:numPr>
          <w:ilvl w:val="0"/>
          <w:numId w:val="0"/>
        </w:numPr>
        <w:tabs>
          <w:tab w:val="left" w:pos="357"/>
          <w:tab w:val="left" w:pos="720"/>
        </w:tabs>
        <w:spacing w:before="0"/>
        <w:contextualSpacing w:val="0"/>
        <w:jc w:val="both"/>
        <w:rPr>
          <w:rFonts w:ascii="Times New Roman" w:hAnsi="Times New Roman" w:cs="Times New Roman"/>
          <w:noProof/>
        </w:rPr>
      </w:pPr>
      <w:r>
        <w:rPr>
          <w:rFonts w:ascii="Times New Roman" w:hAnsi="Times New Roman" w:cs="Times New Roman"/>
          <w:noProof/>
        </w:rPr>
        <w:t xml:space="preserve">As regards meeting the targets for biodegradable waste reduction, the completeness of the data submitted by Member States varies. According to the reported data, in 2015, half of Member States had already met the 35 % target for 2016. </w:t>
      </w:r>
      <w:r>
        <w:rPr>
          <w:rFonts w:ascii="Times New Roman" w:hAnsi="Times New Roman" w:cs="Times New Roman"/>
          <w:b/>
          <w:noProof/>
        </w:rPr>
        <w:t xml:space="preserve">Croatia </w:t>
      </w:r>
      <w:r>
        <w:rPr>
          <w:rFonts w:ascii="Times New Roman" w:hAnsi="Times New Roman" w:cs="Times New Roman"/>
          <w:noProof/>
        </w:rPr>
        <w:t xml:space="preserve">missed its 75 % target which was due in 2013. </w:t>
      </w:r>
      <w:r>
        <w:rPr>
          <w:rFonts w:ascii="Times New Roman" w:hAnsi="Times New Roman" w:cs="Times New Roman"/>
          <w:b/>
          <w:noProof/>
        </w:rPr>
        <w:t xml:space="preserve">Cyprus, the Czech Republic, Greece, Latvia </w:t>
      </w:r>
      <w:r>
        <w:rPr>
          <w:rFonts w:ascii="Times New Roman" w:hAnsi="Times New Roman" w:cs="Times New Roman"/>
          <w:noProof/>
        </w:rPr>
        <w:t xml:space="preserve">and </w:t>
      </w:r>
      <w:r>
        <w:rPr>
          <w:rFonts w:ascii="Times New Roman" w:hAnsi="Times New Roman" w:cs="Times New Roman"/>
          <w:b/>
          <w:noProof/>
        </w:rPr>
        <w:t xml:space="preserve">Slovakia </w:t>
      </w:r>
      <w:r>
        <w:rPr>
          <w:rFonts w:ascii="Times New Roman" w:hAnsi="Times New Roman" w:cs="Times New Roman"/>
          <w:noProof/>
        </w:rPr>
        <w:t>missed</w:t>
      </w:r>
      <w:r>
        <w:rPr>
          <w:rFonts w:ascii="Times New Roman" w:hAnsi="Times New Roman" w:cs="Times New Roman"/>
          <w:b/>
          <w:noProof/>
        </w:rPr>
        <w:t xml:space="preserve"> </w:t>
      </w:r>
      <w:r>
        <w:rPr>
          <w:rFonts w:ascii="Times New Roman" w:hAnsi="Times New Roman" w:cs="Times New Roman"/>
          <w:noProof/>
        </w:rPr>
        <w:t>the 50 % target, also due in 2013.</w:t>
      </w:r>
      <w:r>
        <w:rPr>
          <w:rFonts w:ascii="Times New Roman" w:hAnsi="Times New Roman" w:cs="Times New Roman"/>
          <w:b/>
          <w:noProof/>
        </w:rPr>
        <w:t xml:space="preserve"> Malta</w:t>
      </w:r>
      <w:r>
        <w:rPr>
          <w:rFonts w:ascii="Times New Roman" w:hAnsi="Times New Roman" w:cs="Times New Roman"/>
          <w:noProof/>
        </w:rPr>
        <w:t>, which has a high overall municipal waste landfill rate,</w:t>
      </w:r>
      <w:r>
        <w:rPr>
          <w:rFonts w:ascii="Times New Roman" w:hAnsi="Times New Roman" w:cs="Times New Roman"/>
          <w:b/>
          <w:noProof/>
        </w:rPr>
        <w:t xml:space="preserve"> has not reported</w:t>
      </w:r>
      <w:r>
        <w:rPr>
          <w:rFonts w:ascii="Times New Roman" w:hAnsi="Times New Roman" w:cs="Times New Roman"/>
          <w:noProof/>
        </w:rPr>
        <w:t xml:space="preserve"> recent data. The Commission has engaged with the Member States concerned and developed targeted advice via the compliance promotion and other activities to improve performance.</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recent study carried out for the Commission</w:t>
      </w:r>
      <w:r>
        <w:rPr>
          <w:rStyle w:val="FootnoteReference"/>
          <w:rFonts w:ascii="Times New Roman" w:eastAsia="Times New Roman" w:hAnsi="Times New Roman" w:cs="Times New Roman"/>
          <w:noProof/>
          <w:sz w:val="24"/>
          <w:szCs w:val="24"/>
          <w:lang w:eastAsia="en-GB"/>
        </w:rPr>
        <w:footnoteReference w:id="43"/>
      </w:r>
      <w:r>
        <w:rPr>
          <w:rFonts w:ascii="Times New Roman" w:eastAsia="Times New Roman" w:hAnsi="Times New Roman" w:cs="Times New Roman"/>
          <w:noProof/>
          <w:sz w:val="24"/>
          <w:szCs w:val="24"/>
          <w:lang w:eastAsia="en-GB"/>
        </w:rPr>
        <w:t xml:space="preserve"> found that 15 Member States were not fully meeting the obligation laid down in the Directive</w:t>
      </w:r>
      <w:r>
        <w:rPr>
          <w:rStyle w:val="FootnoteReference"/>
          <w:rFonts w:ascii="Times New Roman" w:eastAsia="Times New Roman" w:hAnsi="Times New Roman" w:cs="Times New Roman"/>
          <w:noProof/>
          <w:sz w:val="24"/>
          <w:szCs w:val="24"/>
          <w:lang w:eastAsia="en-GB"/>
        </w:rPr>
        <w:footnoteReference w:id="44"/>
      </w:r>
      <w:r>
        <w:rPr>
          <w:rFonts w:ascii="Times New Roman" w:eastAsia="Times New Roman" w:hAnsi="Times New Roman" w:cs="Times New Roman"/>
          <w:noProof/>
          <w:sz w:val="24"/>
          <w:szCs w:val="24"/>
          <w:lang w:eastAsia="en-GB"/>
        </w:rPr>
        <w:t xml:space="preserve"> to treat waste before landfilling.</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Despite the closures of non-compliant landfills reported by the Member States, the number of facilities that are </w:t>
      </w:r>
      <w:r>
        <w:rPr>
          <w:rFonts w:ascii="Times New Roman" w:eastAsia="Times New Roman" w:hAnsi="Times New Roman" w:cs="Times New Roman"/>
          <w:b/>
          <w:noProof/>
          <w:sz w:val="24"/>
          <w:szCs w:val="24"/>
          <w:lang w:eastAsia="en-GB"/>
        </w:rPr>
        <w:t>not in line with the requirements</w:t>
      </w:r>
      <w:r>
        <w:rPr>
          <w:rFonts w:ascii="Times New Roman" w:eastAsia="Times New Roman" w:hAnsi="Times New Roman" w:cs="Times New Roman"/>
          <w:noProof/>
          <w:sz w:val="24"/>
          <w:szCs w:val="24"/>
          <w:lang w:eastAsia="en-GB"/>
        </w:rPr>
        <w:t xml:space="preserve"> of the Directive remains a matter of concern.</w:t>
      </w:r>
    </w:p>
    <w:p>
      <w:pPr>
        <w:pStyle w:val="ListParagraph"/>
        <w:keepNext/>
        <w:keepLines/>
        <w:numPr>
          <w:ilvl w:val="0"/>
          <w:numId w:val="2"/>
        </w:numPr>
        <w:spacing w:before="480" w:after="240" w:line="240" w:lineRule="auto"/>
        <w:ind w:left="357" w:hanging="357"/>
        <w:jc w:val="both"/>
        <w:outlineLvl w:val="0"/>
        <w:rPr>
          <w:rFonts w:ascii="Times New Roman" w:eastAsia="MS Gothic" w:hAnsi="Times New Roman" w:cs="Times New Roman"/>
          <w:b/>
          <w:bCs/>
          <w:smallCaps/>
          <w:noProof/>
          <w:color w:val="000000"/>
          <w:sz w:val="24"/>
          <w:szCs w:val="28"/>
        </w:rPr>
      </w:pPr>
      <w:r>
        <w:rPr>
          <w:rFonts w:ascii="Times New Roman" w:eastAsia="MS Gothic" w:hAnsi="Times New Roman" w:cs="Times New Roman"/>
          <w:b/>
          <w:bCs/>
          <w:smallCaps/>
          <w:noProof/>
          <w:color w:val="000000"/>
          <w:sz w:val="24"/>
          <w:szCs w:val="28"/>
        </w:rPr>
        <w:t>Sewage sludge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Sewage Sludge Directive seeks to control the use of sewage sludge in agriculture. It sets limit values for concentrations of heavy metals in sludge intended for agricultural use and soil treatment.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has been in force for over 30 years and is well implemented across the EU. </w:t>
      </w:r>
      <w:r>
        <w:rPr>
          <w:rFonts w:ascii="Times New Roman" w:hAnsi="Times New Roman" w:cs="Times New Roman"/>
          <w:b/>
          <w:noProof/>
          <w:sz w:val="24"/>
          <w:szCs w:val="24"/>
        </w:rPr>
        <w:t>All Member States have set</w:t>
      </w:r>
      <w:r>
        <w:rPr>
          <w:rFonts w:ascii="Times New Roman" w:hAnsi="Times New Roman" w:cs="Times New Roman"/>
          <w:noProof/>
          <w:sz w:val="24"/>
          <w:szCs w:val="24"/>
        </w:rPr>
        <w:t xml:space="preserve"> </w:t>
      </w:r>
      <w:r>
        <w:rPr>
          <w:rFonts w:ascii="Times New Roman" w:hAnsi="Times New Roman" w:cs="Times New Roman"/>
          <w:b/>
          <w:noProof/>
          <w:sz w:val="24"/>
          <w:szCs w:val="24"/>
        </w:rPr>
        <w:t>concentration limit values</w:t>
      </w:r>
      <w:r>
        <w:rPr>
          <w:rFonts w:ascii="Times New Roman" w:hAnsi="Times New Roman" w:cs="Times New Roman"/>
          <w:noProof/>
          <w:sz w:val="24"/>
          <w:szCs w:val="24"/>
        </w:rPr>
        <w:t xml:space="preserve"> for heavy metals in soil that are </w:t>
      </w:r>
      <w:r>
        <w:rPr>
          <w:rFonts w:ascii="Times New Roman" w:hAnsi="Times New Roman" w:cs="Times New Roman"/>
          <w:b/>
          <w:noProof/>
          <w:sz w:val="24"/>
          <w:szCs w:val="24"/>
        </w:rPr>
        <w:t>in line with the requirements of the Directive - or indeed much stricter</w:t>
      </w:r>
      <w:r>
        <w:rPr>
          <w:rFonts w:ascii="Times New Roman" w:hAnsi="Times New Roman" w:cs="Times New Roman"/>
          <w:noProof/>
          <w:sz w:val="24"/>
          <w:szCs w:val="24"/>
        </w:rPr>
        <w:t>.</w:t>
      </w:r>
    </w:p>
    <w:p>
      <w:pPr>
        <w:pStyle w:val="ListParagraph"/>
        <w:keepNext/>
        <w:keepLines/>
        <w:numPr>
          <w:ilvl w:val="0"/>
          <w:numId w:val="2"/>
        </w:numPr>
        <w:spacing w:before="480" w:after="240" w:line="240" w:lineRule="auto"/>
        <w:jc w:val="both"/>
        <w:outlineLvl w:val="0"/>
        <w:rPr>
          <w:rFonts w:ascii="Times New Roman" w:eastAsia="MS Gothic" w:hAnsi="Times New Roman" w:cs="Times New Roman"/>
          <w:b/>
          <w:bCs/>
          <w:smallCaps/>
          <w:noProof/>
          <w:color w:val="000000"/>
          <w:sz w:val="24"/>
          <w:szCs w:val="28"/>
        </w:rPr>
      </w:pPr>
      <w:r>
        <w:rPr>
          <w:rFonts w:ascii="Times New Roman" w:eastAsia="MS Gothic" w:hAnsi="Times New Roman" w:cs="Times New Roman"/>
          <w:b/>
          <w:bCs/>
          <w:smallCaps/>
          <w:noProof/>
          <w:color w:val="000000"/>
          <w:sz w:val="24"/>
          <w:szCs w:val="28"/>
        </w:rPr>
        <w:t>Conclusions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 waste legislation is driving considerable improvements in waste management. Full implementation of that legislation is crucial, however, if the EU is to reap the environmental and economic benefits of the circular economy and compete in a world of increasingly scarce resources..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early warning reports on municipal waste and the Commission's compliance promotion efforts described in this report point to continuous progress in Member States, but also to serious gaps and challenges that must be swiftly addressed.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Good progress is possible if the Member States concerned take action urgently to implement the actions identified in this report and the accompanying country-specific reports. More effective separate collection, efficient EPR schemes, economic instruments such as landfill and incineration taxes and improved data quality are all crucial to ensuring compliance with EU waste legislation, now and in the future.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follow-up to this report, the Commission will undertake high level circular economy/waste visits to the Member States at risk of not meeting the 2020 municipal waste targets. In this respect, the Commission will engage with relevant stakeholders including associations of local and regional actors.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dedicate significant resources to supporting Member States in their implementation efforts, including through technical assistance (e.g. via the Environmental Implementation Review</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and exchange of best practices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and with EU funds. It is up to national authorities, however, to intensify the process of necessary policy reform and step up action on the ground.</w:t>
      </w:r>
    </w:p>
    <w:p>
      <w:pPr>
        <w:spacing w:after="120"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7676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Detailed information on these reports for individual directives can be found at: </w:t>
      </w:r>
      <w:hyperlink r:id="rId1" w:history="1">
        <w:r>
          <w:rPr>
            <w:rStyle w:val="Hyperlink"/>
          </w:rPr>
          <w:t>http://ec.europa.eu/environment/waste/reporting/index</w:t>
        </w:r>
      </w:hyperlink>
      <w:r>
        <w:t xml:space="preserve">. </w:t>
      </w:r>
    </w:p>
  </w:footnote>
  <w:footnote w:id="2">
    <w:p>
      <w:pPr>
        <w:pStyle w:val="FootnoteText"/>
      </w:pPr>
      <w:r>
        <w:rPr>
          <w:rStyle w:val="FootnoteReference"/>
        </w:rPr>
        <w:footnoteRef/>
      </w:r>
      <w:r>
        <w:t xml:space="preserve"> The previous implementation report COM/2017/088 final covers the 2010-2012 period. The Commission is legally obliged to issue this report.</w:t>
      </w:r>
    </w:p>
  </w:footnote>
  <w:footnote w:id="3">
    <w:p>
      <w:pPr>
        <w:pStyle w:val="FootnoteText"/>
      </w:pPr>
      <w:r>
        <w:rPr>
          <w:rStyle w:val="FootnoteReference"/>
        </w:rPr>
        <w:footnoteRef/>
      </w:r>
      <w:r>
        <w:t xml:space="preserve"> There are other legal acts for which the Member States have to submit implementation reports to the Commission. However, the deadlines for submission of these questionnaires vary.</w:t>
      </w:r>
    </w:p>
  </w:footnote>
  <w:footnote w:id="4">
    <w:p>
      <w:pPr>
        <w:pStyle w:val="FootnoteText"/>
      </w:pPr>
      <w:r>
        <w:rPr>
          <w:rStyle w:val="FootnoteReference"/>
        </w:rPr>
        <w:footnoteRef/>
      </w:r>
      <w:r>
        <w:t xml:space="preserve"> Eunomia Research and Consulting Ltd </w:t>
      </w:r>
      <w:r>
        <w:rPr>
          <w:i/>
        </w:rPr>
        <w:t>et al</w:t>
      </w:r>
      <w:r>
        <w:t xml:space="preserve"> (2018), </w:t>
      </w:r>
      <w:r>
        <w:rPr>
          <w:rFonts w:ascii="Times New Roman" w:hAnsi="Times New Roman" w:cs="Times New Roman"/>
          <w:sz w:val="24"/>
          <w:szCs w:val="24"/>
        </w:rPr>
        <w:t>‘</w:t>
      </w:r>
      <w:r>
        <w:t>Study to identify Member States at risk of non-compliance</w:t>
      </w:r>
      <w:r>
        <w:rPr>
          <w:i/>
        </w:rPr>
        <w:t xml:space="preserve"> </w:t>
      </w:r>
      <w:r>
        <w:t>with the 2020 target of the Waste Framework Directive and to follow-up phase 1 and 2 of the compliance promotion exercise</w:t>
      </w:r>
      <w:r>
        <w:rPr>
          <w:rFonts w:ascii="Times New Roman" w:hAnsi="Times New Roman" w:cs="Times New Roman"/>
          <w:sz w:val="24"/>
          <w:szCs w:val="24"/>
        </w:rPr>
        <w:t>’</w:t>
      </w:r>
    </w:p>
  </w:footnote>
  <w:footnote w:id="5">
    <w:p>
      <w:pPr>
        <w:pStyle w:val="FootnoteText"/>
      </w:pPr>
      <w:r>
        <w:rPr>
          <w:rStyle w:val="FootnoteReference"/>
        </w:rPr>
        <w:footnoteRef/>
      </w:r>
      <w:r>
        <w:t xml:space="preserve"> European Topic Centre on Waste and Materials in a Green Economy (ETC/WMGE) for the European Environment Agency (2018), </w:t>
      </w:r>
      <w:r>
        <w:rPr>
          <w:rFonts w:ascii="Times New Roman" w:hAnsi="Times New Roman" w:cs="Times New Roman"/>
          <w:sz w:val="24"/>
          <w:szCs w:val="24"/>
        </w:rPr>
        <w:t>‘</w:t>
      </w:r>
      <w:r>
        <w:t>Scenarios for municipal waste recycling based on the European Reference Model on Municipal Waste, Contribution to the first Early Warning report</w:t>
      </w:r>
      <w:r>
        <w:rPr>
          <w:rFonts w:ascii="Times New Roman" w:hAnsi="Times New Roman" w:cs="Times New Roman"/>
          <w:sz w:val="24"/>
          <w:szCs w:val="24"/>
        </w:rPr>
        <w:t>’</w:t>
      </w:r>
    </w:p>
  </w:footnote>
  <w:footnote w:id="6">
    <w:p>
      <w:pPr>
        <w:pStyle w:val="FootnoteText"/>
      </w:pPr>
      <w:r>
        <w:rPr>
          <w:rStyle w:val="FootnoteReference"/>
        </w:rPr>
        <w:footnoteRef/>
      </w:r>
      <w:r>
        <w:t xml:space="preserve"> BIO by Deloitte (2017), </w:t>
      </w:r>
      <w:r>
        <w:rPr>
          <w:rFonts w:ascii="Times New Roman" w:hAnsi="Times New Roman" w:cs="Times New Roman"/>
          <w:sz w:val="24"/>
          <w:szCs w:val="24"/>
        </w:rPr>
        <w:t>‘</w:t>
      </w:r>
      <w:r>
        <w:rPr>
          <w:iCs/>
        </w:rPr>
        <w:t>Resource efficient use of mixed wastes; Improving management of construction and demolition waste</w:t>
      </w:r>
      <w:r>
        <w:rPr>
          <w:rFonts w:ascii="Times New Roman" w:hAnsi="Times New Roman" w:cs="Times New Roman"/>
          <w:sz w:val="24"/>
          <w:szCs w:val="24"/>
        </w:rPr>
        <w:t>’</w:t>
      </w:r>
    </w:p>
  </w:footnote>
  <w:footnote w:id="7">
    <w:p>
      <w:pPr>
        <w:pStyle w:val="FootnoteText"/>
      </w:pPr>
      <w:r>
        <w:rPr>
          <w:rStyle w:val="FootnoteReference"/>
        </w:rPr>
        <w:footnoteRef/>
      </w:r>
      <w:r>
        <w:t xml:space="preserve"> BiPRO GmbH (2017), </w:t>
      </w:r>
      <w:r>
        <w:rPr>
          <w:rFonts w:ascii="Times New Roman" w:hAnsi="Times New Roman" w:cs="Times New Roman"/>
          <w:sz w:val="24"/>
          <w:szCs w:val="24"/>
        </w:rPr>
        <w:t>‘</w:t>
      </w:r>
      <w:r>
        <w:t>Support to selected Member States in improving hazardous waste management based on assessment of Member States' performance</w:t>
      </w:r>
      <w:r>
        <w:rPr>
          <w:rFonts w:ascii="Times New Roman" w:hAnsi="Times New Roman" w:cs="Times New Roman"/>
          <w:sz w:val="24"/>
          <w:szCs w:val="24"/>
        </w:rPr>
        <w:t>’</w:t>
      </w:r>
    </w:p>
  </w:footnote>
  <w:footnote w:id="8">
    <w:p>
      <w:pPr>
        <w:pStyle w:val="FootnoteText"/>
      </w:pPr>
      <w:r>
        <w:rPr>
          <w:rStyle w:val="FootnoteReference"/>
        </w:rPr>
        <w:footnoteRef/>
      </w:r>
      <w:r>
        <w:t xml:space="preserve"> BiPRO GmbH (2018), </w:t>
      </w:r>
      <w:r>
        <w:rPr>
          <w:rFonts w:ascii="Times New Roman" w:hAnsi="Times New Roman" w:cs="Times New Roman"/>
          <w:sz w:val="24"/>
          <w:szCs w:val="24"/>
        </w:rPr>
        <w:t>‘</w:t>
      </w:r>
      <w:r>
        <w:t>WEEE compliance promotion exercise</w:t>
      </w:r>
      <w:r>
        <w:rPr>
          <w:rFonts w:ascii="Times New Roman" w:hAnsi="Times New Roman" w:cs="Times New Roman"/>
          <w:sz w:val="24"/>
          <w:szCs w:val="24"/>
        </w:rPr>
        <w:t>’</w:t>
      </w:r>
    </w:p>
  </w:footnote>
  <w:footnote w:id="9">
    <w:p>
      <w:pPr>
        <w:pStyle w:val="FootnoteText"/>
      </w:pPr>
      <w:r>
        <w:rPr>
          <w:rStyle w:val="FootnoteReference"/>
        </w:rPr>
        <w:footnoteRef/>
      </w:r>
      <w:r>
        <w:t xml:space="preserve"> Eurostat: </w:t>
      </w:r>
      <w:hyperlink r:id="rId2" w:history="1">
        <w:r>
          <w:rPr>
            <w:rStyle w:val="Hyperlink"/>
          </w:rPr>
          <w:t>http://ec.europa.eu/eurostat/web/waste/data/database</w:t>
        </w:r>
      </w:hyperlink>
      <w:r>
        <w:t>, dataset (env_wasmun)</w:t>
      </w:r>
    </w:p>
  </w:footnote>
  <w:footnote w:id="10">
    <w:p>
      <w:pPr>
        <w:pStyle w:val="FootnoteText"/>
      </w:pPr>
      <w:r>
        <w:rPr>
          <w:rStyle w:val="FootnoteReference"/>
        </w:rPr>
        <w:footnoteRef/>
      </w:r>
      <w:r>
        <w:t xml:space="preserve"> Article 11(2)(a) of the Waste Framework Directive</w:t>
      </w:r>
    </w:p>
  </w:footnote>
  <w:footnote w:id="11">
    <w:p>
      <w:pPr>
        <w:pStyle w:val="FootnoteText"/>
      </w:pPr>
      <w:r>
        <w:rPr>
          <w:rStyle w:val="FootnoteReference"/>
        </w:rPr>
        <w:footnoteRef/>
      </w:r>
      <w:r>
        <w:t xml:space="preserve"> Directive (EU) 2018/851, further referred to as revised Waste Framework Directive</w:t>
      </w:r>
    </w:p>
  </w:footnote>
  <w:footnote w:id="12">
    <w:p>
      <w:pPr>
        <w:pStyle w:val="FootnoteText"/>
      </w:pPr>
      <w:r>
        <w:rPr>
          <w:rStyle w:val="FootnoteReference"/>
        </w:rPr>
        <w:footnoteRef/>
      </w:r>
      <w:r>
        <w:t xml:space="preserve"> Article 11(2)(c) to (e) of Directive (EU) 2018/851</w:t>
      </w:r>
    </w:p>
  </w:footnote>
  <w:footnote w:id="13">
    <w:p>
      <w:pPr>
        <w:pStyle w:val="FootnoteText"/>
      </w:pPr>
      <w:r>
        <w:rPr>
          <w:rStyle w:val="FootnoteReference"/>
        </w:rPr>
        <w:footnoteRef/>
      </w:r>
      <w:r>
        <w:t xml:space="preserve"> Eunomia (2018) and ETC/WMGE (2018) </w:t>
      </w:r>
    </w:p>
  </w:footnote>
  <w:footnote w:id="14">
    <w:p>
      <w:pPr>
        <w:pStyle w:val="FootnoteText"/>
        <w:rPr>
          <w:rFonts w:cs="Times New Roman"/>
          <w:color w:val="000000"/>
        </w:rPr>
      </w:pPr>
      <w:r>
        <w:rPr>
          <w:rStyle w:val="FootnoteReference"/>
        </w:rPr>
        <w:footnoteRef/>
      </w:r>
      <w:r>
        <w:t xml:space="preserve"> Based on their chosen calculation method. </w:t>
      </w:r>
      <w:r>
        <w:rPr>
          <w:rFonts w:cs="Times New Roman"/>
          <w:color w:val="000000"/>
        </w:rPr>
        <w:t xml:space="preserve">For the purpose of verifying compliance with the target pursuant to Article 11(2)(a) of the Waste Framework Directive, Decision 2011/753/EU sets out four alternative calculation methods to report </w:t>
      </w:r>
      <w:r>
        <w:rPr>
          <w:rFonts w:ascii="Times New Roman" w:hAnsi="Times New Roman" w:cs="Times New Roman"/>
          <w:sz w:val="24"/>
          <w:szCs w:val="24"/>
        </w:rPr>
        <w:t>‘</w:t>
      </w:r>
      <w:r>
        <w:rPr>
          <w:rFonts w:cs="Times New Roman"/>
          <w:color w:val="000000"/>
        </w:rPr>
        <w:t>preparation for re-use and recycling</w:t>
      </w:r>
      <w:r>
        <w:rPr>
          <w:rFonts w:ascii="Times New Roman" w:hAnsi="Times New Roman" w:cs="Times New Roman"/>
          <w:sz w:val="24"/>
          <w:szCs w:val="24"/>
        </w:rPr>
        <w:t>’</w:t>
      </w:r>
      <w:r>
        <w:rPr>
          <w:rFonts w:cs="Times New Roman"/>
          <w:color w:val="000000"/>
        </w:rPr>
        <w:t xml:space="preserve"> rates for household waste.</w:t>
      </w:r>
    </w:p>
  </w:footnote>
  <w:footnote w:id="15">
    <w:p>
      <w:pPr>
        <w:pStyle w:val="FootnoteText"/>
        <w:rPr>
          <w:lang w:val="fr-BE"/>
        </w:rPr>
      </w:pPr>
      <w:r>
        <w:rPr>
          <w:rStyle w:val="FootnoteReference"/>
        </w:rPr>
        <w:footnoteRef/>
      </w:r>
      <w:r>
        <w:rPr>
          <w:lang w:val="fr-BE"/>
        </w:rPr>
        <w:t xml:space="preserve"> ETC/WMGE (2018)</w:t>
      </w:r>
    </w:p>
  </w:footnote>
  <w:footnote w:id="16">
    <w:p>
      <w:pPr>
        <w:pStyle w:val="FootnoteText"/>
        <w:rPr>
          <w:lang w:val="fr-BE"/>
        </w:rPr>
      </w:pPr>
      <w:r>
        <w:rPr>
          <w:rStyle w:val="FootnoteReference"/>
        </w:rPr>
        <w:footnoteRef/>
      </w:r>
      <w:r>
        <w:rPr>
          <w:lang w:val="fr-BE"/>
        </w:rPr>
        <w:t xml:space="preserve"> http://ec.europa.eu/environment/waste/framework/support_implementation.htm</w:t>
      </w:r>
    </w:p>
  </w:footnote>
  <w:footnote w:id="17">
    <w:p>
      <w:pPr>
        <w:pStyle w:val="FootnoteText"/>
      </w:pPr>
      <w:r>
        <w:rPr>
          <w:rStyle w:val="FootnoteReference"/>
        </w:rPr>
        <w:footnoteRef/>
      </w:r>
      <w:r>
        <w:t xml:space="preserve"> The waste hierarchy ranks waste management options according to their sustainability and gives top priority to waste prevention, followed by recycling, energy recovery and, at the bottom of the ladder, disposal (e.g. landfilling).</w:t>
      </w:r>
    </w:p>
  </w:footnote>
  <w:footnote w:id="18">
    <w:p>
      <w:pPr>
        <w:pStyle w:val="FootnoteText"/>
      </w:pPr>
      <w:r>
        <w:rPr>
          <w:rStyle w:val="FootnoteReference"/>
        </w:rPr>
        <w:footnoteRef/>
      </w:r>
      <w:r>
        <w:t xml:space="preserve"> </w:t>
      </w:r>
      <w:r>
        <w:rPr>
          <w:szCs w:val="24"/>
        </w:rPr>
        <w:t xml:space="preserve">Eurostat, </w:t>
      </w:r>
      <w:r>
        <w:t>dataset (env_wasgen)</w:t>
      </w:r>
    </w:p>
  </w:footnote>
  <w:footnote w:id="19">
    <w:p>
      <w:pPr>
        <w:pStyle w:val="FootnoteText"/>
      </w:pPr>
      <w:r>
        <w:rPr>
          <w:rStyle w:val="FootnoteReference"/>
        </w:rPr>
        <w:footnoteRef/>
      </w:r>
      <w:r>
        <w:t xml:space="preserve"> Article 11(2)(b)</w:t>
      </w:r>
    </w:p>
  </w:footnote>
  <w:footnote w:id="20">
    <w:p>
      <w:pPr>
        <w:pStyle w:val="FootnoteText"/>
      </w:pPr>
      <w:r>
        <w:rPr>
          <w:rStyle w:val="FootnoteReference"/>
        </w:rPr>
        <w:footnoteRef/>
      </w:r>
      <w:r>
        <w:t xml:space="preserve"> </w:t>
      </w:r>
      <w:r>
        <w:rPr>
          <w:rFonts w:ascii="Times New Roman" w:hAnsi="Times New Roman" w:cs="Times New Roman"/>
          <w:sz w:val="24"/>
        </w:rPr>
        <w:t xml:space="preserve"> </w:t>
      </w:r>
      <w:r>
        <w:t xml:space="preserve">ARGUS (2017), </w:t>
      </w:r>
      <w:r>
        <w:rPr>
          <w:rFonts w:ascii="Times New Roman" w:hAnsi="Times New Roman" w:cs="Times New Roman"/>
          <w:sz w:val="24"/>
          <w:szCs w:val="24"/>
        </w:rPr>
        <w:t>‘</w:t>
      </w:r>
      <w:r>
        <w:t>Compliance reporting on Waste Framework Directive – material recovery rates for construction &amp; demolition waste for reporting period 2013 – 2015</w:t>
      </w:r>
      <w:r>
        <w:rPr>
          <w:rFonts w:ascii="Times New Roman" w:hAnsi="Times New Roman" w:cs="Times New Roman"/>
          <w:sz w:val="24"/>
          <w:szCs w:val="24"/>
        </w:rPr>
        <w:t>’</w:t>
      </w:r>
      <w:r>
        <w:t>; Validation report 2017</w:t>
      </w:r>
    </w:p>
  </w:footnote>
  <w:footnote w:id="21">
    <w:p>
      <w:pPr>
        <w:pStyle w:val="FootnoteText"/>
      </w:pPr>
      <w:r>
        <w:rPr>
          <w:rStyle w:val="FootnoteReference"/>
        </w:rPr>
        <w:footnoteRef/>
      </w:r>
      <w:r>
        <w:t xml:space="preserve"> BIO by Deloitte (2017); Eurostat, dataset (</w:t>
      </w:r>
      <w:hyperlink r:id="rId3" w:tgtFrame="_blank" w:history="1">
        <w:r>
          <w:rPr>
            <w:rStyle w:val="Hyperlink"/>
          </w:rPr>
          <w:t>cei_wm040</w:t>
        </w:r>
      </w:hyperlink>
      <w:r>
        <w:t>)</w:t>
      </w:r>
    </w:p>
  </w:footnote>
  <w:footnote w:id="22">
    <w:p>
      <w:pPr>
        <w:pStyle w:val="FootnoteText"/>
      </w:pPr>
      <w:r>
        <w:rPr>
          <w:rStyle w:val="FootnoteReference"/>
        </w:rPr>
        <w:footnoteRef/>
      </w:r>
      <w:r>
        <w:t xml:space="preserve"> https://ec.europa.eu/docsroom/documents/20509/attachments/1/translations/en/renditions/native</w:t>
      </w:r>
    </w:p>
  </w:footnote>
  <w:footnote w:id="23">
    <w:p>
      <w:pPr>
        <w:pStyle w:val="FootnoteText"/>
      </w:pPr>
      <w:r>
        <w:rPr>
          <w:rStyle w:val="FootnoteReference"/>
        </w:rPr>
        <w:footnoteRef/>
      </w:r>
      <w:r>
        <w:t xml:space="preserve"> Eurostat; dataset (env_wasgen)</w:t>
      </w:r>
    </w:p>
  </w:footnote>
  <w:footnote w:id="24">
    <w:p>
      <w:pPr>
        <w:pStyle w:val="FootnoteText"/>
      </w:pPr>
      <w:r>
        <w:rPr>
          <w:rStyle w:val="FootnoteReference"/>
        </w:rPr>
        <w:footnoteRef/>
      </w:r>
      <w:r>
        <w:t xml:space="preserve"> BiPRO (2015), </w:t>
      </w:r>
      <w:r>
        <w:rPr>
          <w:rFonts w:ascii="Times New Roman" w:hAnsi="Times New Roman" w:cs="Times New Roman"/>
          <w:sz w:val="24"/>
          <w:szCs w:val="24"/>
        </w:rPr>
        <w:t>‘</w:t>
      </w:r>
      <w:r>
        <w:t>Support to selected Member States in improving hazardous waste management based on assessment of Member States' performance</w:t>
      </w:r>
      <w:r>
        <w:rPr>
          <w:rFonts w:ascii="Times New Roman" w:hAnsi="Times New Roman" w:cs="Times New Roman"/>
          <w:sz w:val="24"/>
          <w:szCs w:val="24"/>
        </w:rPr>
        <w:t>’</w:t>
      </w:r>
      <w:r>
        <w:rPr>
          <w:i/>
        </w:rPr>
        <w:t xml:space="preserve"> </w:t>
      </w:r>
      <w:r>
        <w:t>- 10 Member States analysed; and BiPRO (2017) - 14 Member States analysed</w:t>
      </w:r>
    </w:p>
  </w:footnote>
  <w:footnote w:id="25">
    <w:p>
      <w:pPr>
        <w:pStyle w:val="FootnoteText"/>
      </w:pPr>
      <w:r>
        <w:rPr>
          <w:rStyle w:val="FootnoteReference"/>
        </w:rPr>
        <w:footnoteRef/>
      </w:r>
      <w:r>
        <w:t xml:space="preserve"> Polychlorinated biphenyls/polychlorinated terphenyls</w:t>
      </w:r>
    </w:p>
  </w:footnote>
  <w:footnote w:id="26">
    <w:p>
      <w:pPr>
        <w:pStyle w:val="FootnoteText"/>
        <w:rPr>
          <w:highlight w:val="yellow"/>
        </w:rPr>
      </w:pPr>
      <w:r>
        <w:rPr>
          <w:rStyle w:val="FootnoteReference"/>
        </w:rPr>
        <w:footnoteRef/>
      </w:r>
      <w:r>
        <w:t xml:space="preserve"> Available in all EU languages at </w:t>
      </w:r>
      <w:hyperlink r:id="rId4" w:history="1">
        <w:r>
          <w:rPr>
            <w:rStyle w:val="Hyperlink"/>
          </w:rPr>
          <w:t>http://eur-lex.europa.eu/legal-content/EN/TXT/?uri=uriserv:OJ.C_.2018.124.01.0001.01.ENG&amp;toc=OJ:C:2018:124:TOC</w:t>
        </w:r>
      </w:hyperlink>
    </w:p>
  </w:footnote>
  <w:footnote w:id="27">
    <w:p>
      <w:pPr>
        <w:pStyle w:val="FootnoteText"/>
      </w:pPr>
      <w:r>
        <w:rPr>
          <w:rStyle w:val="FootnoteReference"/>
        </w:rPr>
        <w:footnoteRef/>
      </w:r>
      <w:r>
        <w:t xml:space="preserve"> As set out in Article 15(2) of the Waste Framework Directive</w:t>
      </w:r>
    </w:p>
  </w:footnote>
  <w:footnote w:id="28">
    <w:p>
      <w:pPr>
        <w:pStyle w:val="FootnoteText"/>
      </w:pPr>
      <w:r>
        <w:rPr>
          <w:rStyle w:val="FootnoteReference"/>
        </w:rPr>
        <w:footnoteRef/>
      </w:r>
      <w:r>
        <w:t xml:space="preserve"> Based on 'WEEE calculation tools' available at http://ec.europa.eu/environment/waste/weee/data_en.htm </w:t>
      </w:r>
    </w:p>
  </w:footnote>
  <w:footnote w:id="29">
    <w:p>
      <w:pPr>
        <w:pStyle w:val="FootnoteText"/>
      </w:pPr>
      <w:r>
        <w:rPr>
          <w:rStyle w:val="FootnoteReference"/>
        </w:rPr>
        <w:footnoteRef/>
      </w:r>
      <w:r>
        <w:t xml:space="preserve"> United National University (2007), </w:t>
      </w:r>
      <w:r>
        <w:rPr>
          <w:bCs/>
          <w:lang w:val="en"/>
        </w:rPr>
        <w:t>2008 Review of Directive 2002/96/EC on waste electrical and electronic equipment (WEEE)</w:t>
      </w:r>
    </w:p>
  </w:footnote>
  <w:footnote w:id="30">
    <w:p>
      <w:pPr>
        <w:pStyle w:val="FootnoteText"/>
      </w:pPr>
      <w:r>
        <w:rPr>
          <w:rStyle w:val="FootnoteReference"/>
        </w:rPr>
        <w:footnoteRef/>
      </w:r>
      <w:r>
        <w:t xml:space="preserve"> The target applied until the end of 2015.</w:t>
      </w:r>
    </w:p>
  </w:footnote>
  <w:footnote w:id="31">
    <w:p>
      <w:pPr>
        <w:pStyle w:val="FootnoteText"/>
      </w:pPr>
      <w:r>
        <w:rPr>
          <w:rStyle w:val="FootnoteReference"/>
        </w:rPr>
        <w:footnoteRef/>
      </w:r>
      <w:r>
        <w:t xml:space="preserve"> Latvia missed the target in 2015, while the other Member States did not meet it in 2014 (the latest data reported) or in preceding years.</w:t>
      </w:r>
    </w:p>
  </w:footnote>
  <w:footnote w:id="32">
    <w:p>
      <w:pPr>
        <w:pStyle w:val="FootnoteText"/>
      </w:pPr>
      <w:r>
        <w:rPr>
          <w:rStyle w:val="FootnoteReference"/>
        </w:rPr>
        <w:footnoteRef/>
      </w:r>
      <w:r>
        <w:t xml:space="preserve"> </w:t>
      </w:r>
      <w:r>
        <w:fldChar w:fldCharType="begin"/>
      </w:r>
      <w:r>
        <w:instrText xml:space="preserve"> ADDIN ZOTERO_ITEM CSL_CITATION {"citationID":"1i7b52v7n9","properties":{"formattedCitation":"{\\rtf EUROSTAT (2017) {\\i{}Waste Electrical and Electronic Equipment (WEEE) Database (env_waselee)}, accessed 1 August 2017, {\\ul{}http://appsso.eurostat.ec.europa.eu/nui/show.do?dataset=env_waselee&amp;lang=en}}","plainCitation":"EUROSTAT (2017) Waste Electrical and Electronic Equipment (WEEE) Database (env_waselee), accessed 1 August 2017, http://appsso.eurostat.ec.europa.eu/nui/show.do?dataset=env_waselee&amp;lang=en"},"citationItems":[{"id":21343,"uris":["http://zotero.org/groups/162180/items/5TH3JXAZ"],"uri":["http://zotero.org/groups/162180/items/5TH3JXAZ"],"itemData":{"id":21343,"type":"webpage","title":"Waste Electrical and Electronic Equipment (WEEE) Database (env_waselee)","URL":"http://appsso.eurostat.ec.europa.eu/nui/show.do?dataset=env_waselee&amp;lang=en","author":[{"literal":"EUROSTAT"}],"issued":{"date-parts":[["2017",8,1]]},"accessed":{"date-parts":[["2017",8,1]]}}}],"schema":"https://github.com/citation-style-language/schema/raw/master/csl-citation.json"} </w:instrText>
      </w:r>
      <w:r>
        <w:fldChar w:fldCharType="separate"/>
      </w:r>
      <w:r>
        <w:rPr>
          <w:rFonts w:cs="Times New Roman"/>
          <w:szCs w:val="24"/>
        </w:rPr>
        <w:t>Eurostat</w:t>
      </w:r>
      <w:r>
        <w:fldChar w:fldCharType="end"/>
      </w:r>
      <w:r>
        <w:t>; dataset (env_waselee)</w:t>
      </w:r>
    </w:p>
  </w:footnote>
  <w:footnote w:id="33">
    <w:p>
      <w:pPr>
        <w:pStyle w:val="FootnoteText"/>
      </w:pPr>
      <w:r>
        <w:rPr>
          <w:rStyle w:val="FootnoteReference"/>
        </w:rPr>
        <w:footnoteRef/>
      </w:r>
      <w:r>
        <w:t xml:space="preserve"> The 2016 data was not available at the time of drafting of this report.</w:t>
      </w:r>
    </w:p>
  </w:footnote>
  <w:footnote w:id="34">
    <w:p>
      <w:pPr>
        <w:pStyle w:val="FootnoteText"/>
        <w:rPr>
          <w:lang w:val="it-IT"/>
        </w:rPr>
      </w:pPr>
      <w:r>
        <w:rPr>
          <w:rStyle w:val="FootnoteReference"/>
        </w:rPr>
        <w:footnoteRef/>
      </w:r>
      <w:r>
        <w:rPr>
          <w:lang w:val="it-IT"/>
        </w:rPr>
        <w:t xml:space="preserve"> BiPRO (2018)</w:t>
      </w:r>
    </w:p>
  </w:footnote>
  <w:footnote w:id="35">
    <w:p>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w:t>
      </w:r>
      <w:hyperlink r:id="rId5" w:history="1">
        <w:r>
          <w:rPr>
            <w:rStyle w:val="Hyperlink"/>
          </w:rPr>
          <w:t>https://i4r-platform.eu/</w:t>
        </w:r>
      </w:hyperlink>
    </w:p>
  </w:footnote>
  <w:footnote w:id="36">
    <w:p>
      <w:pPr>
        <w:pStyle w:val="FootnoteText"/>
      </w:pPr>
      <w:r>
        <w:rPr>
          <w:rStyle w:val="FootnoteReference"/>
        </w:rPr>
        <w:footnoteRef/>
      </w:r>
      <w:r>
        <w:t xml:space="preserve"> </w:t>
      </w:r>
      <w:r>
        <w:fldChar w:fldCharType="begin"/>
      </w:r>
      <w:r>
        <w:instrText xml:space="preserve"> ADDIN ZOTERO_ITEM CSL_CITATION {"citationID":"1i7b52v7n9","properties":{"formattedCitation":"{\\rtf EUROSTAT (2017) {\\i{}Waste Electrical and Electronic Equipment (WEEE) Database (env_waselee)}, accessed 1 August 2017, {\\ul{}http://appsso.eurostat.ec.europa.eu/nui/show.do?dataset=env_waselee&amp;lang=en}}","plainCitation":"EUROSTAT (2017) Waste Electrical and Electronic Equipment (WEEE) Database (env_waselee), accessed 1 August 2017, http://appsso.eurostat.ec.europa.eu/nui/show.do?dataset=env_waselee&amp;lang=en"},"citationItems":[{"id":21343,"uris":["http://zotero.org/groups/162180/items/5TH3JXAZ"],"uri":["http://zotero.org/groups/162180/items/5TH3JXAZ"],"itemData":{"id":21343,"type":"webpage","title":"Waste Electrical and Electronic Equipment (WEEE) Database (env_waselee)","URL":"http://appsso.eurostat.ec.europa.eu/nui/show.do?dataset=env_waselee&amp;lang=en","author":[{"literal":"EUROSTAT"}],"issued":{"date-parts":[["2017",8,1]]},"accessed":{"date-parts":[["2017",8,1]]}}}],"schema":"https://github.com/citation-style-language/schema/raw/master/csl-citation.json"} </w:instrText>
      </w:r>
      <w:r>
        <w:fldChar w:fldCharType="separate"/>
      </w:r>
      <w:r>
        <w:rPr>
          <w:rFonts w:cs="Times New Roman"/>
          <w:szCs w:val="24"/>
        </w:rPr>
        <w:t>Eurostat; dataset (env_wasgen) and (env_waspac)</w:t>
      </w:r>
      <w:r>
        <w:fldChar w:fldCharType="end"/>
      </w:r>
    </w:p>
  </w:footnote>
  <w:footnote w:id="37">
    <w:p>
      <w:pPr>
        <w:pStyle w:val="FootnoteText"/>
      </w:pPr>
      <w:r>
        <w:rPr>
          <w:rStyle w:val="FootnoteReference"/>
        </w:rPr>
        <w:footnoteRef/>
      </w:r>
      <w:r>
        <w:t xml:space="preserve"> Ibid</w:t>
      </w:r>
    </w:p>
  </w:footnote>
  <w:footnote w:id="38">
    <w:p>
      <w:pPr>
        <w:pStyle w:val="FootnoteText"/>
      </w:pPr>
      <w:r>
        <w:rPr>
          <w:rStyle w:val="FootnoteReference"/>
        </w:rPr>
        <w:footnoteRef/>
      </w:r>
      <w:r>
        <w:t xml:space="preserve"> Directive </w:t>
      </w:r>
      <w:r>
        <w:rPr>
          <w:bCs/>
        </w:rPr>
        <w:t>(EU) 2018/852</w:t>
      </w:r>
    </w:p>
  </w:footnote>
  <w:footnote w:id="39">
    <w:p>
      <w:pPr>
        <w:pStyle w:val="FootnoteText"/>
      </w:pPr>
      <w:r>
        <w:rPr>
          <w:rStyle w:val="FootnoteReference"/>
        </w:rPr>
        <w:footnoteRef/>
      </w:r>
      <w:r>
        <w:t xml:space="preserve"> Data for 2015 not yet reported.</w:t>
      </w:r>
    </w:p>
  </w:footnote>
  <w:footnote w:id="40">
    <w:p>
      <w:pPr>
        <w:pStyle w:val="FootnoteText"/>
      </w:pPr>
      <w:r>
        <w:rPr>
          <w:rStyle w:val="FootnoteReference"/>
        </w:rPr>
        <w:footnoteRef/>
      </w:r>
      <w:r>
        <w:t xml:space="preserve"> Eurostat; dataset (emv_wasmun)</w:t>
      </w:r>
    </w:p>
  </w:footnote>
  <w:footnote w:id="41">
    <w:p>
      <w:pPr>
        <w:pStyle w:val="FootnoteText"/>
      </w:pPr>
      <w:r>
        <w:rPr>
          <w:rStyle w:val="FootnoteReference"/>
        </w:rPr>
        <w:footnoteRef/>
      </w:r>
      <w:r>
        <w:t xml:space="preserve"> Article 5(2) of the Landfill Directive allows for a four-year time extension in cases where, in 1995, Member States landfilled more than 80 % of their municipal waste.</w:t>
      </w:r>
    </w:p>
  </w:footnote>
  <w:footnote w:id="42">
    <w:p>
      <w:pPr>
        <w:pStyle w:val="FootnoteText"/>
      </w:pPr>
      <w:r>
        <w:rPr>
          <w:rStyle w:val="FootnoteReference"/>
        </w:rPr>
        <w:footnoteRef/>
      </w:r>
      <w:r>
        <w:t xml:space="preserve"> Directive (EU) 2018/850</w:t>
      </w:r>
    </w:p>
  </w:footnote>
  <w:footnote w:id="43">
    <w:p>
      <w:pPr>
        <w:pStyle w:val="FootnoteText"/>
        <w:rPr>
          <w:b/>
          <w:bCs/>
        </w:rPr>
      </w:pPr>
      <w:r>
        <w:rPr>
          <w:rStyle w:val="FootnoteReference"/>
        </w:rPr>
        <w:footnoteRef/>
      </w:r>
      <w:r>
        <w:t xml:space="preserve"> Milieu (2017), </w:t>
      </w:r>
      <w:r>
        <w:rPr>
          <w:rFonts w:ascii="Times New Roman" w:hAnsi="Times New Roman" w:cs="Times New Roman"/>
          <w:sz w:val="24"/>
          <w:szCs w:val="24"/>
        </w:rPr>
        <w:t>‘</w:t>
      </w:r>
      <w:r>
        <w:rPr>
          <w:bCs/>
        </w:rPr>
        <w:t>Study to assess the implementation by the EU Member States of certain provisions of Directive 1999/31/EC on the landfill of waste</w:t>
      </w:r>
      <w:r>
        <w:rPr>
          <w:rFonts w:ascii="Times New Roman" w:hAnsi="Times New Roman" w:cs="Times New Roman"/>
          <w:sz w:val="24"/>
          <w:szCs w:val="24"/>
        </w:rPr>
        <w:t>’</w:t>
      </w:r>
    </w:p>
  </w:footnote>
  <w:footnote w:id="44">
    <w:p>
      <w:pPr>
        <w:pStyle w:val="FootnoteText"/>
      </w:pPr>
      <w:r>
        <w:rPr>
          <w:rStyle w:val="FootnoteReference"/>
        </w:rPr>
        <w:footnoteRef/>
      </w:r>
      <w:r>
        <w:t xml:space="preserve"> Article 6(a) of the Landfill Directive</w:t>
      </w:r>
    </w:p>
  </w:footnote>
  <w:footnote w:id="45">
    <w:p>
      <w:pPr>
        <w:pStyle w:val="FootnoteText"/>
      </w:pPr>
      <w:r>
        <w:rPr>
          <w:rStyle w:val="FootnoteReference"/>
        </w:rPr>
        <w:footnoteRef/>
      </w:r>
      <w:r>
        <w:t xml:space="preserve"> http://ec.europa.eu/environment/eir/index_en.htm</w:t>
      </w:r>
    </w:p>
  </w:footnote>
  <w:footnote w:id="46">
    <w:p>
      <w:pPr>
        <w:pStyle w:val="FootnoteText"/>
      </w:pPr>
      <w:r>
        <w:rPr>
          <w:rStyle w:val="FootnoteReference"/>
        </w:rPr>
        <w:footnoteRef/>
      </w:r>
      <w:r>
        <w:t xml:space="preserve"> TAIEX-EIR Peer2Peer - http://ec.europa.eu/environment/eir/p2p/index_en.htm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E81"/>
    <w:multiLevelType w:val="hybridMultilevel"/>
    <w:tmpl w:val="D338AA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B35F77"/>
    <w:multiLevelType w:val="hybridMultilevel"/>
    <w:tmpl w:val="2408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AB0D6B"/>
    <w:multiLevelType w:val="hybridMultilevel"/>
    <w:tmpl w:val="D696B2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620F85"/>
    <w:multiLevelType w:val="hybridMultilevel"/>
    <w:tmpl w:val="13865E66"/>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B134A4"/>
    <w:multiLevelType w:val="hybridMultilevel"/>
    <w:tmpl w:val="52F636DC"/>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3B3E18"/>
    <w:multiLevelType w:val="hybridMultilevel"/>
    <w:tmpl w:val="C994C3D4"/>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55222C"/>
    <w:multiLevelType w:val="hybridMultilevel"/>
    <w:tmpl w:val="316074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5B46CF"/>
    <w:multiLevelType w:val="hybridMultilevel"/>
    <w:tmpl w:val="5C1C1B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594C90"/>
    <w:multiLevelType w:val="hybridMultilevel"/>
    <w:tmpl w:val="CB9238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2F5688"/>
    <w:multiLevelType w:val="hybridMultilevel"/>
    <w:tmpl w:val="D0108D50"/>
    <w:lvl w:ilvl="0" w:tplc="31C0F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076C82"/>
    <w:multiLevelType w:val="hybridMultilevel"/>
    <w:tmpl w:val="074C30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6F5689"/>
    <w:multiLevelType w:val="hybridMultilevel"/>
    <w:tmpl w:val="147E62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AD2F35"/>
    <w:multiLevelType w:val="hybridMultilevel"/>
    <w:tmpl w:val="6D780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4D055A"/>
    <w:multiLevelType w:val="multilevel"/>
    <w:tmpl w:val="17CAE162"/>
    <w:lvl w:ilvl="0">
      <w:start w:val="1"/>
      <w:numFmt w:val="bullet"/>
      <w:pStyle w:val="List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hint="default"/>
        <w:color w:val="F15D25"/>
      </w:rPr>
    </w:lvl>
    <w:lvl w:ilvl="2">
      <w:start w:val="1"/>
      <w:numFmt w:val="bullet"/>
      <w:lvlText w:val=""/>
      <w:lvlJc w:val="left"/>
      <w:pPr>
        <w:ind w:left="2520" w:hanging="360"/>
      </w:pPr>
      <w:rPr>
        <w:rFonts w:ascii="Wingdings" w:hAnsi="Wingdings" w:hint="default"/>
        <w:color w:val="F15D25"/>
      </w:rPr>
    </w:lvl>
    <w:lvl w:ilvl="3">
      <w:start w:val="1"/>
      <w:numFmt w:val="bullet"/>
      <w:lvlText w:val=""/>
      <w:lvlJc w:val="left"/>
      <w:pPr>
        <w:ind w:left="3240" w:hanging="360"/>
      </w:pPr>
      <w:rPr>
        <w:rFonts w:ascii="Symbol" w:hAnsi="Symbol" w:hint="default"/>
        <w:color w:val="F15D25"/>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472D44C9"/>
    <w:multiLevelType w:val="hybridMultilevel"/>
    <w:tmpl w:val="24E6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7C1B95"/>
    <w:multiLevelType w:val="hybridMultilevel"/>
    <w:tmpl w:val="CB08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433D11"/>
    <w:multiLevelType w:val="multilevel"/>
    <w:tmpl w:val="FB20AE8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5E02BF1"/>
    <w:multiLevelType w:val="hybridMultilevel"/>
    <w:tmpl w:val="EDEE7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520DB7"/>
    <w:multiLevelType w:val="hybridMultilevel"/>
    <w:tmpl w:val="8D625276"/>
    <w:lvl w:ilvl="0" w:tplc="BB0EAA0E">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nsid w:val="602E0305"/>
    <w:multiLevelType w:val="hybridMultilevel"/>
    <w:tmpl w:val="0C0A37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5436C2"/>
    <w:multiLevelType w:val="hybridMultilevel"/>
    <w:tmpl w:val="C0DA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E42025"/>
    <w:multiLevelType w:val="hybridMultilevel"/>
    <w:tmpl w:val="A67673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6732A7"/>
    <w:multiLevelType w:val="hybridMultilevel"/>
    <w:tmpl w:val="DF90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5C6D10"/>
    <w:multiLevelType w:val="hybridMultilevel"/>
    <w:tmpl w:val="99002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B5304E2"/>
    <w:multiLevelType w:val="hybridMultilevel"/>
    <w:tmpl w:val="0C184AA0"/>
    <w:lvl w:ilvl="0" w:tplc="68DAE3C4">
      <w:start w:val="1"/>
      <w:numFmt w:val="bullet"/>
      <w:lvlText w:val="•"/>
      <w:lvlJc w:val="left"/>
      <w:pPr>
        <w:tabs>
          <w:tab w:val="num" w:pos="720"/>
        </w:tabs>
        <w:ind w:left="720" w:hanging="360"/>
      </w:pPr>
      <w:rPr>
        <w:rFonts w:ascii="Arial" w:hAnsi="Arial" w:hint="default"/>
      </w:rPr>
    </w:lvl>
    <w:lvl w:ilvl="1" w:tplc="693ECFAC" w:tentative="1">
      <w:start w:val="1"/>
      <w:numFmt w:val="bullet"/>
      <w:lvlText w:val="•"/>
      <w:lvlJc w:val="left"/>
      <w:pPr>
        <w:tabs>
          <w:tab w:val="num" w:pos="1440"/>
        </w:tabs>
        <w:ind w:left="1440" w:hanging="360"/>
      </w:pPr>
      <w:rPr>
        <w:rFonts w:ascii="Arial" w:hAnsi="Arial" w:hint="default"/>
      </w:rPr>
    </w:lvl>
    <w:lvl w:ilvl="2" w:tplc="B41065A0" w:tentative="1">
      <w:start w:val="1"/>
      <w:numFmt w:val="bullet"/>
      <w:lvlText w:val="•"/>
      <w:lvlJc w:val="left"/>
      <w:pPr>
        <w:tabs>
          <w:tab w:val="num" w:pos="2160"/>
        </w:tabs>
        <w:ind w:left="2160" w:hanging="360"/>
      </w:pPr>
      <w:rPr>
        <w:rFonts w:ascii="Arial" w:hAnsi="Arial" w:hint="default"/>
      </w:rPr>
    </w:lvl>
    <w:lvl w:ilvl="3" w:tplc="40E85F02" w:tentative="1">
      <w:start w:val="1"/>
      <w:numFmt w:val="bullet"/>
      <w:lvlText w:val="•"/>
      <w:lvlJc w:val="left"/>
      <w:pPr>
        <w:tabs>
          <w:tab w:val="num" w:pos="2880"/>
        </w:tabs>
        <w:ind w:left="2880" w:hanging="360"/>
      </w:pPr>
      <w:rPr>
        <w:rFonts w:ascii="Arial" w:hAnsi="Arial" w:hint="default"/>
      </w:rPr>
    </w:lvl>
    <w:lvl w:ilvl="4" w:tplc="4AD097A8" w:tentative="1">
      <w:start w:val="1"/>
      <w:numFmt w:val="bullet"/>
      <w:lvlText w:val="•"/>
      <w:lvlJc w:val="left"/>
      <w:pPr>
        <w:tabs>
          <w:tab w:val="num" w:pos="3600"/>
        </w:tabs>
        <w:ind w:left="3600" w:hanging="360"/>
      </w:pPr>
      <w:rPr>
        <w:rFonts w:ascii="Arial" w:hAnsi="Arial" w:hint="default"/>
      </w:rPr>
    </w:lvl>
    <w:lvl w:ilvl="5" w:tplc="A29A9186" w:tentative="1">
      <w:start w:val="1"/>
      <w:numFmt w:val="bullet"/>
      <w:lvlText w:val="•"/>
      <w:lvlJc w:val="left"/>
      <w:pPr>
        <w:tabs>
          <w:tab w:val="num" w:pos="4320"/>
        </w:tabs>
        <w:ind w:left="4320" w:hanging="360"/>
      </w:pPr>
      <w:rPr>
        <w:rFonts w:ascii="Arial" w:hAnsi="Arial" w:hint="default"/>
      </w:rPr>
    </w:lvl>
    <w:lvl w:ilvl="6" w:tplc="2F6CC430" w:tentative="1">
      <w:start w:val="1"/>
      <w:numFmt w:val="bullet"/>
      <w:lvlText w:val="•"/>
      <w:lvlJc w:val="left"/>
      <w:pPr>
        <w:tabs>
          <w:tab w:val="num" w:pos="5040"/>
        </w:tabs>
        <w:ind w:left="5040" w:hanging="360"/>
      </w:pPr>
      <w:rPr>
        <w:rFonts w:ascii="Arial" w:hAnsi="Arial" w:hint="default"/>
      </w:rPr>
    </w:lvl>
    <w:lvl w:ilvl="7" w:tplc="E7B46436" w:tentative="1">
      <w:start w:val="1"/>
      <w:numFmt w:val="bullet"/>
      <w:lvlText w:val="•"/>
      <w:lvlJc w:val="left"/>
      <w:pPr>
        <w:tabs>
          <w:tab w:val="num" w:pos="5760"/>
        </w:tabs>
        <w:ind w:left="5760" w:hanging="360"/>
      </w:pPr>
      <w:rPr>
        <w:rFonts w:ascii="Arial" w:hAnsi="Arial" w:hint="default"/>
      </w:rPr>
    </w:lvl>
    <w:lvl w:ilvl="8" w:tplc="CFD4A7A2" w:tentative="1">
      <w:start w:val="1"/>
      <w:numFmt w:val="bullet"/>
      <w:lvlText w:val="•"/>
      <w:lvlJc w:val="left"/>
      <w:pPr>
        <w:tabs>
          <w:tab w:val="num" w:pos="6480"/>
        </w:tabs>
        <w:ind w:left="6480" w:hanging="360"/>
      </w:pPr>
      <w:rPr>
        <w:rFonts w:ascii="Arial" w:hAnsi="Arial" w:hint="default"/>
      </w:rPr>
    </w:lvl>
  </w:abstractNum>
  <w:abstractNum w:abstractNumId="25">
    <w:nsid w:val="7B5B128D"/>
    <w:multiLevelType w:val="hybridMultilevel"/>
    <w:tmpl w:val="C71C3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22"/>
  </w:num>
  <w:num w:numId="14">
    <w:abstractNumId w:val="7"/>
  </w:num>
  <w:num w:numId="15">
    <w:abstractNumId w:val="21"/>
  </w:num>
  <w:num w:numId="16">
    <w:abstractNumId w:val="24"/>
  </w:num>
  <w:num w:numId="17">
    <w:abstractNumId w:val="23"/>
  </w:num>
  <w:num w:numId="18">
    <w:abstractNumId w:val="14"/>
  </w:num>
  <w:num w:numId="19">
    <w:abstractNumId w:val="13"/>
  </w:num>
  <w:num w:numId="20">
    <w:abstractNumId w:val="3"/>
  </w:num>
  <w:num w:numId="21">
    <w:abstractNumId w:val="13"/>
  </w:num>
  <w:num w:numId="22">
    <w:abstractNumId w:val="11"/>
  </w:num>
  <w:num w:numId="23">
    <w:abstractNumId w:val="8"/>
  </w:num>
  <w:num w:numId="24">
    <w:abstractNumId w:val="0"/>
  </w:num>
  <w:num w:numId="25">
    <w:abstractNumId w:val="2"/>
  </w:num>
  <w:num w:numId="26">
    <w:abstractNumId w:val="13"/>
  </w:num>
  <w:num w:numId="27">
    <w:abstractNumId w:val="13"/>
  </w:num>
  <w:num w:numId="28">
    <w:abstractNumId w:val="4"/>
  </w:num>
  <w:num w:numId="29">
    <w:abstractNumId w:val="18"/>
  </w:num>
  <w:num w:numId="30">
    <w:abstractNumId w:val="12"/>
  </w:num>
  <w:num w:numId="31">
    <w:abstractNumId w:val="15"/>
  </w:num>
  <w:num w:numId="32">
    <w:abstractNumId w:val="17"/>
  </w:num>
  <w:num w:numId="33">
    <w:abstractNumId w:val="6"/>
  </w:num>
  <w:num w:numId="34">
    <w:abstractNumId w:val="20"/>
  </w:num>
  <w:num w:numId="35">
    <w:abstractNumId w:val="10"/>
  </w:num>
  <w:num w:numId="36">
    <w:abstractNumId w:val="9"/>
  </w:num>
  <w:num w:numId="37">
    <w:abstractNumId w:val="25"/>
  </w:num>
  <w:num w:numId="38">
    <w:abstractNumId w:val="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78F897C-F0AD-40EF-85E4-23EC00FBD35C"/>
    <w:docVar w:name="LW_COVERPAGE_TYPE" w:val="1"/>
    <w:docVar w:name="LW_CROSSREFERENCE" w:val="{SWD(2018) 413 final}_x000b_{SWD(2018) 414 final}_x000b_{SWD(2018) 415 final}_x000b_{SWD(2018) 416 final}_x000b_{SWD(2018) 417 final}_x000b_{SWD(2018) 418 final}_x000b_{SWD(2018) 419 final}_x000b_{SWD(2018) 420 final}_x000b_{SWD(2018) 421 final}_x000b_{SWD(2018) 422 final}_x000b_{SWD(2018) 423 final}_x000b_{SWD(2018) 424 final}_x000b_{SWD(2018) 425 final}_x000b_{SWD(2018) 426 final}"/>
    <w:docVar w:name="LW_DocType" w:val="NORMAL"/>
    <w:docVar w:name="LW_EMISSION" w:val="24.9.2018"/>
    <w:docVar w:name="LW_EMISSION_ISODATE" w:val="2018-09-24"/>
    <w:docVar w:name="LW_EMISSION_LOCATION" w:val="BRX"/>
    <w:docVar w:name="LW_EMISSION_PREFIX" w:val="Brussels, "/>
    <w:docVar w:name="LW_EMISSION_SUFFIX" w:val="&lt;EMPTY&gt;"/>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EU waste legislation, including the early warning report for Member States at risk of missing the 2020 preparation for re-use/recycling target on municipal waste"/>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autoRedefine/>
    <w:uiPriority w:val="99"/>
    <w:qFormat/>
    <w:pPr>
      <w:spacing w:before="120" w:after="120" w:line="240" w:lineRule="auto"/>
      <w:contextualSpacing/>
    </w:pPr>
    <w:rPr>
      <w:rFonts w:ascii="Calibri" w:eastAsia="Times New Roman" w:hAnsi="Calibri" w:cs="Arial"/>
      <w:sz w:val="20"/>
      <w:szCs w:val="20"/>
      <w:lang w:eastAsia="en-GB"/>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Calibri" w:eastAsia="Times New Roman" w:hAnsi="Calibri" w:cs="Arial"/>
      <w:sz w:val="20"/>
      <w:szCs w:val="20"/>
      <w:lang w:eastAsia="en-GB"/>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vertAlign w:val="superscript"/>
    </w:rPr>
  </w:style>
  <w:style w:type="paragraph" w:styleId="ListBullet">
    <w:name w:val="List Bullet"/>
    <w:basedOn w:val="Normal"/>
    <w:qFormat/>
    <w:pPr>
      <w:numPr>
        <w:numId w:val="1"/>
      </w:numPr>
      <w:spacing w:before="120" w:after="120" w:line="240" w:lineRule="auto"/>
      <w:contextualSpacing/>
    </w:pPr>
    <w:rPr>
      <w:rFonts w:ascii="Calibri" w:eastAsia="Times New Roman" w:hAnsi="Calibri" w:cs="Arial"/>
      <w:sz w:val="24"/>
      <w:szCs w:val="24"/>
      <w:lang w:eastAsia="en-GB"/>
    </w:rPr>
  </w:style>
  <w:style w:type="paragraph" w:styleId="ListParagraph">
    <w:name w:val="List Paragraph"/>
    <w:aliases w:val="Paragraph,Paragraphe de liste PBLH,Normal bullet 2,Bullet list,Figure_name,Equipment,Numbered Indented Text,List Paragraph1,lp1,List Paragraph11,List Paragraph Char Char Char,List Paragraph Char Char,Citation List,List Paragraph2,Ha,Body"/>
    <w:basedOn w:val="Normal"/>
    <w:link w:val="ListParagraphChar"/>
    <w:uiPriority w:val="34"/>
    <w:qFormat/>
    <w:pPr>
      <w:ind w:left="720"/>
      <w:contextualSpacing/>
    </w:pPr>
  </w:style>
  <w:style w:type="paragraph" w:styleId="TOC7">
    <w:name w:val="toc 7"/>
    <w:basedOn w:val="Normal"/>
    <w:next w:val="Normal"/>
    <w:autoRedefine/>
    <w:uiPriority w:val="39"/>
    <w:semiHidden/>
    <w:unhideWhenUsed/>
    <w:pPr>
      <w:spacing w:after="100"/>
      <w:ind w:left="13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before="120" w:after="120" w:line="240" w:lineRule="auto"/>
    </w:pPr>
    <w:rPr>
      <w:rFonts w:eastAsia="Times New Roman" w:cs="Arial"/>
      <w:sz w:val="20"/>
      <w:szCs w:val="20"/>
      <w:lang w:eastAsia="en-GB"/>
    </w:rPr>
  </w:style>
  <w:style w:type="character" w:customStyle="1" w:styleId="CommentTextChar">
    <w:name w:val="Comment Text Char"/>
    <w:basedOn w:val="DefaultParagraphFont"/>
    <w:link w:val="CommentText"/>
    <w:uiPriority w:val="99"/>
    <w:rPr>
      <w:rFonts w:eastAsia="Times New Roman" w:cs="Arial"/>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pPr>
      <w:spacing w:before="0" w:after="20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Pr>
      <w:rFonts w:eastAsia="Times New Roman" w:cs="Arial"/>
      <w:b/>
      <w:bCs/>
      <w:sz w:val="20"/>
      <w:szCs w:val="20"/>
      <w:lang w:eastAsia="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ListParagraphChar">
    <w:name w:val="List Paragraph Char"/>
    <w:aliases w:val="Paragraph Char,Paragraphe de liste PBLH Char,Normal bullet 2 Char,Bullet list Char,Figure_name Char,Equipment Char,Numbered Indented Text Char,List Paragraph1 Char,lp1 Char,List Paragraph11 Char,List Paragraph Char Char Char Char"/>
    <w:basedOn w:val="DefaultParagraphFont"/>
    <w:link w:val="ListParagraph"/>
    <w:uiPriority w:val="34"/>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autoRedefine/>
    <w:uiPriority w:val="99"/>
    <w:qFormat/>
    <w:pPr>
      <w:spacing w:before="120" w:after="120" w:line="240" w:lineRule="auto"/>
      <w:contextualSpacing/>
    </w:pPr>
    <w:rPr>
      <w:rFonts w:ascii="Calibri" w:eastAsia="Times New Roman" w:hAnsi="Calibri" w:cs="Arial"/>
      <w:sz w:val="20"/>
      <w:szCs w:val="20"/>
      <w:lang w:eastAsia="en-GB"/>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Calibri" w:eastAsia="Times New Roman" w:hAnsi="Calibri" w:cs="Arial"/>
      <w:sz w:val="20"/>
      <w:szCs w:val="20"/>
      <w:lang w:eastAsia="en-GB"/>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vertAlign w:val="superscript"/>
    </w:rPr>
  </w:style>
  <w:style w:type="paragraph" w:styleId="ListBullet">
    <w:name w:val="List Bullet"/>
    <w:basedOn w:val="Normal"/>
    <w:qFormat/>
    <w:pPr>
      <w:numPr>
        <w:numId w:val="1"/>
      </w:numPr>
      <w:spacing w:before="120" w:after="120" w:line="240" w:lineRule="auto"/>
      <w:contextualSpacing/>
    </w:pPr>
    <w:rPr>
      <w:rFonts w:ascii="Calibri" w:eastAsia="Times New Roman" w:hAnsi="Calibri" w:cs="Arial"/>
      <w:sz w:val="24"/>
      <w:szCs w:val="24"/>
      <w:lang w:eastAsia="en-GB"/>
    </w:rPr>
  </w:style>
  <w:style w:type="paragraph" w:styleId="ListParagraph">
    <w:name w:val="List Paragraph"/>
    <w:aliases w:val="Paragraph,Paragraphe de liste PBLH,Normal bullet 2,Bullet list,Figure_name,Equipment,Numbered Indented Text,List Paragraph1,lp1,List Paragraph11,List Paragraph Char Char Char,List Paragraph Char Char,Citation List,List Paragraph2,Ha,Body"/>
    <w:basedOn w:val="Normal"/>
    <w:link w:val="ListParagraphChar"/>
    <w:uiPriority w:val="34"/>
    <w:qFormat/>
    <w:pPr>
      <w:ind w:left="720"/>
      <w:contextualSpacing/>
    </w:pPr>
  </w:style>
  <w:style w:type="paragraph" w:styleId="TOC7">
    <w:name w:val="toc 7"/>
    <w:basedOn w:val="Normal"/>
    <w:next w:val="Normal"/>
    <w:autoRedefine/>
    <w:uiPriority w:val="39"/>
    <w:semiHidden/>
    <w:unhideWhenUsed/>
    <w:pPr>
      <w:spacing w:after="100"/>
      <w:ind w:left="13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before="120" w:after="120" w:line="240" w:lineRule="auto"/>
    </w:pPr>
    <w:rPr>
      <w:rFonts w:eastAsia="Times New Roman" w:cs="Arial"/>
      <w:sz w:val="20"/>
      <w:szCs w:val="20"/>
      <w:lang w:eastAsia="en-GB"/>
    </w:rPr>
  </w:style>
  <w:style w:type="character" w:customStyle="1" w:styleId="CommentTextChar">
    <w:name w:val="Comment Text Char"/>
    <w:basedOn w:val="DefaultParagraphFont"/>
    <w:link w:val="CommentText"/>
    <w:uiPriority w:val="99"/>
    <w:rPr>
      <w:rFonts w:eastAsia="Times New Roman" w:cs="Arial"/>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pPr>
      <w:spacing w:before="0" w:after="20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Pr>
      <w:rFonts w:eastAsia="Times New Roman" w:cs="Arial"/>
      <w:b/>
      <w:bCs/>
      <w:sz w:val="20"/>
      <w:szCs w:val="20"/>
      <w:lang w:eastAsia="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customStyle="1" w:styleId="ListParagraphChar">
    <w:name w:val="List Paragraph Char"/>
    <w:aliases w:val="Paragraph Char,Paragraphe de liste PBLH Char,Normal bullet 2 Char,Bullet list Char,Figure_name Char,Equipment Char,Numbered Indented Text Char,List Paragraph1 Char,lp1 Char,List Paragraph11 Char,List Paragraph Char Char Char Char"/>
    <w:basedOn w:val="DefaultParagraphFont"/>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25250">
      <w:bodyDiv w:val="1"/>
      <w:marLeft w:val="0"/>
      <w:marRight w:val="0"/>
      <w:marTop w:val="0"/>
      <w:marBottom w:val="0"/>
      <w:divBdr>
        <w:top w:val="none" w:sz="0" w:space="0" w:color="auto"/>
        <w:left w:val="none" w:sz="0" w:space="0" w:color="auto"/>
        <w:bottom w:val="none" w:sz="0" w:space="0" w:color="auto"/>
        <w:right w:val="none" w:sz="0" w:space="0" w:color="auto"/>
      </w:divBdr>
    </w:div>
    <w:div w:id="640424880">
      <w:bodyDiv w:val="1"/>
      <w:marLeft w:val="0"/>
      <w:marRight w:val="0"/>
      <w:marTop w:val="0"/>
      <w:marBottom w:val="0"/>
      <w:divBdr>
        <w:top w:val="none" w:sz="0" w:space="0" w:color="auto"/>
        <w:left w:val="none" w:sz="0" w:space="0" w:color="auto"/>
        <w:bottom w:val="none" w:sz="0" w:space="0" w:color="auto"/>
        <w:right w:val="none" w:sz="0" w:space="0" w:color="auto"/>
      </w:divBdr>
    </w:div>
    <w:div w:id="943221888">
      <w:bodyDiv w:val="1"/>
      <w:marLeft w:val="0"/>
      <w:marRight w:val="0"/>
      <w:marTop w:val="0"/>
      <w:marBottom w:val="0"/>
      <w:divBdr>
        <w:top w:val="none" w:sz="0" w:space="0" w:color="auto"/>
        <w:left w:val="none" w:sz="0" w:space="0" w:color="auto"/>
        <w:bottom w:val="none" w:sz="0" w:space="0" w:color="auto"/>
        <w:right w:val="none" w:sz="0" w:space="0" w:color="auto"/>
      </w:divBdr>
    </w:div>
    <w:div w:id="1086421402">
      <w:bodyDiv w:val="1"/>
      <w:marLeft w:val="0"/>
      <w:marRight w:val="0"/>
      <w:marTop w:val="0"/>
      <w:marBottom w:val="0"/>
      <w:divBdr>
        <w:top w:val="none" w:sz="0" w:space="0" w:color="auto"/>
        <w:left w:val="none" w:sz="0" w:space="0" w:color="auto"/>
        <w:bottom w:val="none" w:sz="0" w:space="0" w:color="auto"/>
        <w:right w:val="none" w:sz="0" w:space="0" w:color="auto"/>
      </w:divBdr>
    </w:div>
    <w:div w:id="1432358376">
      <w:bodyDiv w:val="1"/>
      <w:marLeft w:val="0"/>
      <w:marRight w:val="0"/>
      <w:marTop w:val="0"/>
      <w:marBottom w:val="0"/>
      <w:divBdr>
        <w:top w:val="none" w:sz="0" w:space="0" w:color="auto"/>
        <w:left w:val="none" w:sz="0" w:space="0" w:color="auto"/>
        <w:bottom w:val="none" w:sz="0" w:space="0" w:color="auto"/>
        <w:right w:val="none" w:sz="0" w:space="0" w:color="auto"/>
      </w:divBdr>
      <w:divsChild>
        <w:div w:id="1149446070">
          <w:marLeft w:val="1166"/>
          <w:marRight w:val="0"/>
          <w:marTop w:val="0"/>
          <w:marBottom w:val="0"/>
          <w:divBdr>
            <w:top w:val="none" w:sz="0" w:space="0" w:color="auto"/>
            <w:left w:val="none" w:sz="0" w:space="0" w:color="auto"/>
            <w:bottom w:val="none" w:sz="0" w:space="0" w:color="auto"/>
            <w:right w:val="none" w:sz="0" w:space="0" w:color="auto"/>
          </w:divBdr>
        </w:div>
        <w:div w:id="1771120857">
          <w:marLeft w:val="1166"/>
          <w:marRight w:val="0"/>
          <w:marTop w:val="0"/>
          <w:marBottom w:val="0"/>
          <w:divBdr>
            <w:top w:val="none" w:sz="0" w:space="0" w:color="auto"/>
            <w:left w:val="none" w:sz="0" w:space="0" w:color="auto"/>
            <w:bottom w:val="none" w:sz="0" w:space="0" w:color="auto"/>
            <w:right w:val="none" w:sz="0" w:space="0" w:color="auto"/>
          </w:divBdr>
        </w:div>
        <w:div w:id="2083064655">
          <w:marLeft w:val="1166"/>
          <w:marRight w:val="0"/>
          <w:marTop w:val="0"/>
          <w:marBottom w:val="0"/>
          <w:divBdr>
            <w:top w:val="none" w:sz="0" w:space="0" w:color="auto"/>
            <w:left w:val="none" w:sz="0" w:space="0" w:color="auto"/>
            <w:bottom w:val="none" w:sz="0" w:space="0" w:color="auto"/>
            <w:right w:val="none" w:sz="0" w:space="0" w:color="auto"/>
          </w:divBdr>
        </w:div>
      </w:divsChild>
    </w:div>
    <w:div w:id="1434977086">
      <w:bodyDiv w:val="1"/>
      <w:marLeft w:val="0"/>
      <w:marRight w:val="0"/>
      <w:marTop w:val="0"/>
      <w:marBottom w:val="0"/>
      <w:divBdr>
        <w:top w:val="none" w:sz="0" w:space="0" w:color="auto"/>
        <w:left w:val="none" w:sz="0" w:space="0" w:color="auto"/>
        <w:bottom w:val="none" w:sz="0" w:space="0" w:color="auto"/>
        <w:right w:val="none" w:sz="0" w:space="0" w:color="auto"/>
      </w:divBdr>
    </w:div>
    <w:div w:id="1609238462">
      <w:bodyDiv w:val="1"/>
      <w:marLeft w:val="0"/>
      <w:marRight w:val="0"/>
      <w:marTop w:val="0"/>
      <w:marBottom w:val="0"/>
      <w:divBdr>
        <w:top w:val="none" w:sz="0" w:space="0" w:color="auto"/>
        <w:left w:val="none" w:sz="0" w:space="0" w:color="auto"/>
        <w:bottom w:val="none" w:sz="0" w:space="0" w:color="auto"/>
        <w:right w:val="none" w:sz="0" w:space="0" w:color="auto"/>
      </w:divBdr>
    </w:div>
    <w:div w:id="1894148564">
      <w:bodyDiv w:val="1"/>
      <w:marLeft w:val="0"/>
      <w:marRight w:val="0"/>
      <w:marTop w:val="0"/>
      <w:marBottom w:val="0"/>
      <w:divBdr>
        <w:top w:val="none" w:sz="0" w:space="0" w:color="auto"/>
        <w:left w:val="none" w:sz="0" w:space="0" w:color="auto"/>
        <w:bottom w:val="none" w:sz="0" w:space="0" w:color="auto"/>
        <w:right w:val="none" w:sz="0" w:space="0" w:color="auto"/>
      </w:divBdr>
      <w:divsChild>
        <w:div w:id="506293245">
          <w:marLeft w:val="504"/>
          <w:marRight w:val="0"/>
          <w:marTop w:val="280"/>
          <w:marBottom w:val="0"/>
          <w:divBdr>
            <w:top w:val="none" w:sz="0" w:space="0" w:color="auto"/>
            <w:left w:val="none" w:sz="0" w:space="0" w:color="auto"/>
            <w:bottom w:val="none" w:sz="0" w:space="0" w:color="auto"/>
            <w:right w:val="none" w:sz="0" w:space="0" w:color="auto"/>
          </w:divBdr>
        </w:div>
        <w:div w:id="107966915">
          <w:marLeft w:val="504"/>
          <w:marRight w:val="0"/>
          <w:marTop w:val="280"/>
          <w:marBottom w:val="0"/>
          <w:divBdr>
            <w:top w:val="none" w:sz="0" w:space="0" w:color="auto"/>
            <w:left w:val="none" w:sz="0" w:space="0" w:color="auto"/>
            <w:bottom w:val="none" w:sz="0" w:space="0" w:color="auto"/>
            <w:right w:val="none" w:sz="0" w:space="0" w:color="auto"/>
          </w:divBdr>
        </w:div>
        <w:div w:id="1880122616">
          <w:marLeft w:val="504"/>
          <w:marRight w:val="0"/>
          <w:marTop w:val="280"/>
          <w:marBottom w:val="0"/>
          <w:divBdr>
            <w:top w:val="none" w:sz="0" w:space="0" w:color="auto"/>
            <w:left w:val="none" w:sz="0" w:space="0" w:color="auto"/>
            <w:bottom w:val="none" w:sz="0" w:space="0" w:color="auto"/>
            <w:right w:val="none" w:sz="0" w:space="0" w:color="auto"/>
          </w:divBdr>
        </w:div>
        <w:div w:id="1918712544">
          <w:marLeft w:val="504"/>
          <w:marRight w:val="0"/>
          <w:marTop w:val="280"/>
          <w:marBottom w:val="0"/>
          <w:divBdr>
            <w:top w:val="none" w:sz="0" w:space="0" w:color="auto"/>
            <w:left w:val="none" w:sz="0" w:space="0" w:color="auto"/>
            <w:bottom w:val="none" w:sz="0" w:space="0" w:color="auto"/>
            <w:right w:val="none" w:sz="0" w:space="0" w:color="auto"/>
          </w:divBdr>
        </w:div>
        <w:div w:id="228467431">
          <w:marLeft w:val="504"/>
          <w:marRight w:val="0"/>
          <w:marTop w:val="280"/>
          <w:marBottom w:val="0"/>
          <w:divBdr>
            <w:top w:val="none" w:sz="0" w:space="0" w:color="auto"/>
            <w:left w:val="none" w:sz="0" w:space="0" w:color="auto"/>
            <w:bottom w:val="none" w:sz="0" w:space="0" w:color="auto"/>
            <w:right w:val="none" w:sz="0" w:space="0" w:color="auto"/>
          </w:divBdr>
        </w:div>
        <w:div w:id="1762919636">
          <w:marLeft w:val="504"/>
          <w:marRight w:val="0"/>
          <w:marTop w:val="280"/>
          <w:marBottom w:val="0"/>
          <w:divBdr>
            <w:top w:val="none" w:sz="0" w:space="0" w:color="auto"/>
            <w:left w:val="none" w:sz="0" w:space="0" w:color="auto"/>
            <w:bottom w:val="none" w:sz="0" w:space="0" w:color="auto"/>
            <w:right w:val="none" w:sz="0" w:space="0" w:color="auto"/>
          </w:divBdr>
        </w:div>
        <w:div w:id="708064569">
          <w:marLeft w:val="504"/>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tgm/table.do?tab=table&amp;plugin=1&amp;language=en&amp;pcode=cei_wm040" TargetMode="External"/><Relationship Id="rId2" Type="http://schemas.openxmlformats.org/officeDocument/2006/relationships/hyperlink" Target="http://ec.europa.eu/eurostat/web/waste/data/database" TargetMode="External"/><Relationship Id="rId1" Type="http://schemas.openxmlformats.org/officeDocument/2006/relationships/hyperlink" Target="http://ec.europa.eu/environment/waste/reporting/index" TargetMode="External"/><Relationship Id="rId5" Type="http://schemas.openxmlformats.org/officeDocument/2006/relationships/hyperlink" Target="https://i4r-platform.eu/" TargetMode="External"/><Relationship Id="rId4" Type="http://schemas.openxmlformats.org/officeDocument/2006/relationships/hyperlink" Target="http://eur-lex.europa.eu/legal-content/EN/TXT/?uri=uriserv:OJ.C_.2018.124.01.0001.01.ENG&amp;toc=OJ:C:2018: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1E15-D0BB-4F68-A84E-4EDEA5BB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2839</Words>
  <Characters>15672</Characters>
  <Application>Microsoft Office Word</Application>
  <DocSecurity>0</DocSecurity>
  <Lines>265</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2018-07-25T08:11:00Z</dcterms:created>
  <dcterms:modified xsi:type="dcterms:W3CDTF">2018-09-17T10:16:00Z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