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EBEDEA18-57F4-4AA2-B3CF-5D3EE6A1F1B1" style="width:450.75pt;height:397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8" w:bottom="1134" w:left="1418" w:header="709" w:footer="709" w:gutter="0"/>
          <w:pgNumType w:start="0"/>
          <w:cols w:space="720"/>
          <w:rtlGutter/>
          <w:docGrid w:linePitch="326"/>
        </w:sectPr>
      </w:pPr>
    </w:p>
    <w:p>
      <w:pPr>
        <w:rPr>
          <w:noProof/>
        </w:rPr>
      </w:pPr>
      <w:bookmarkStart w:id="0" w:name="_GoBack"/>
      <w:bookmarkEnd w:id="0"/>
    </w:p>
    <w:p>
      <w:pPr>
        <w:pStyle w:val="Annexetitre"/>
        <w:rPr>
          <w:noProof/>
        </w:rPr>
      </w:pPr>
      <w:r>
        <w:rPr>
          <w:noProof/>
        </w:rPr>
        <w:t>ПРИЛОЖЕНИЕ I</w:t>
      </w:r>
    </w:p>
    <w:p>
      <w:pPr>
        <w:widowControl w:val="0"/>
        <w:tabs>
          <w:tab w:val="right" w:pos="9600"/>
        </w:tabs>
        <w:suppressAutoHyphens/>
        <w:spacing w:before="0" w:after="240"/>
        <w:jc w:val="center"/>
        <w:rPr>
          <w:noProof/>
        </w:rPr>
      </w:pPr>
      <w:r>
        <w:rPr>
          <w:noProof/>
        </w:rPr>
        <w:t>Срокове за транспониране в националното законодателство</w:t>
      </w:r>
    </w:p>
    <w:p>
      <w:pPr>
        <w:widowControl w:val="0"/>
        <w:tabs>
          <w:tab w:val="right" w:pos="9600"/>
        </w:tabs>
        <w:suppressAutoHyphens/>
        <w:spacing w:before="0" w:after="240"/>
        <w:jc w:val="center"/>
        <w:rPr>
          <w:noProof/>
        </w:rPr>
      </w:pPr>
      <w:r>
        <w:rPr>
          <w:noProof/>
        </w:rPr>
        <w:t>(съгласно член 25)</w:t>
      </w:r>
    </w:p>
    <w:p>
      <w:pPr>
        <w:keepNext/>
        <w:tabs>
          <w:tab w:val="right" w:pos="9600"/>
        </w:tabs>
        <w:suppressAutoHyphens/>
        <w:spacing w:before="0" w:after="240"/>
        <w:jc w:val="center"/>
        <w:rPr>
          <w:noProof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3107"/>
        <w:gridCol w:w="3100"/>
      </w:tblGrid>
      <w:tr>
        <w:trPr>
          <w:jc w:val="center"/>
        </w:trPr>
        <w:tc>
          <w:tcPr>
            <w:tcW w:w="3079" w:type="dxa"/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Директива</w:t>
            </w:r>
          </w:p>
        </w:tc>
        <w:tc>
          <w:tcPr>
            <w:tcW w:w="3107" w:type="dxa"/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Срок за транспониране</w:t>
            </w:r>
          </w:p>
        </w:tc>
        <w:tc>
          <w:tcPr>
            <w:tcW w:w="3100" w:type="dxa"/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Срок за транспониране на член 14, параграфи 1 и 2</w:t>
            </w:r>
          </w:p>
        </w:tc>
      </w:tr>
      <w:tr>
        <w:trPr>
          <w:jc w:val="center"/>
        </w:trPr>
        <w:tc>
          <w:tcPr>
            <w:tcW w:w="3079" w:type="dxa"/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2008/115/ЕО</w:t>
            </w:r>
          </w:p>
        </w:tc>
        <w:tc>
          <w:tcPr>
            <w:tcW w:w="3107" w:type="dxa"/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[шест месеца след деня на влизане в сила]</w:t>
            </w:r>
          </w:p>
        </w:tc>
        <w:tc>
          <w:tcPr>
            <w:tcW w:w="3100" w:type="dxa"/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[1 година след деня на влизане в сила]</w:t>
            </w:r>
          </w:p>
        </w:tc>
      </w:tr>
    </w:tbl>
    <w:p>
      <w:pPr>
        <w:jc w:val="center"/>
        <w:rPr>
          <w:noProof/>
          <w:szCs w:val="20"/>
        </w:rPr>
      </w:pPr>
      <w:r>
        <w:rPr>
          <w:noProof/>
        </w:rPr>
        <w:t>_____________</w:t>
      </w:r>
    </w:p>
    <w:p>
      <w:pPr>
        <w:pStyle w:val="Annexetitre"/>
        <w:rPr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t>ПРИЛОЖЕНИЕ II</w:t>
      </w:r>
    </w:p>
    <w:p>
      <w:pPr>
        <w:keepNext/>
        <w:spacing w:before="360"/>
        <w:jc w:val="center"/>
        <w:outlineLvl w:val="0"/>
        <w:rPr>
          <w:b/>
          <w:smallCaps/>
          <w:noProof/>
          <w:szCs w:val="20"/>
        </w:rPr>
      </w:pPr>
      <w:r>
        <w:rPr>
          <w:b/>
          <w:smallCaps/>
          <w:noProof/>
        </w:rPr>
        <w:t>Таблица на съответствието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4674"/>
      </w:tblGrid>
      <w:tr>
        <w:tc>
          <w:tcPr>
            <w:tcW w:w="4674" w:type="dxa"/>
            <w:tcBorders>
              <w:left w:val="nil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Директива 2008/115/ЕО</w:t>
            </w:r>
          </w:p>
        </w:tc>
        <w:tc>
          <w:tcPr>
            <w:tcW w:w="4674" w:type="dxa"/>
            <w:tcBorders>
              <w:right w:val="nil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Настоящата директива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Членове 1—5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Членове 1—5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Членове 6 и 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6, параграфи 1—5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8, параграфи 1—5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8, параграф 6, първа алинея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6, параграф 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8, параграф 6, втора алинея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8, параграф 6, трета алинея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7, параграф 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9, параграф 1, първа и втора алинея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9, параграф 1, трета алинея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7, параграфи 2—4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9, параграфи 2—4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10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10, параграф 1, второ изречение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11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10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12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11, параграф 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13, параграф 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13, параграф 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11, параграфи 2—5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13, параграфи 3—7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14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12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15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13, параграф 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16, параграф 1, първа алинея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16, параграф 1, втора алинея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13, параграф 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16, параграф 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16, параграфи 3 и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13, параграфи 3 и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16, параграфи 5 и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14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17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lastRenderedPageBreak/>
              <w:t>Член 15, параграф 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18, параграф 1, първа алинея, букви а) и б)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18, параграф 1, първа алинея, буква в) и втора алинея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15, параграфи 2—6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 18, параграфи 2—6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Членове 16—18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Членове 19—21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22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19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23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20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25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21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24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22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27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23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Член 28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Приложение 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Приложение II</w:t>
            </w:r>
          </w:p>
        </w:tc>
      </w:tr>
    </w:tbl>
    <w:p>
      <w:pPr>
        <w:jc w:val="center"/>
        <w:rPr>
          <w:noProof/>
          <w:szCs w:val="20"/>
        </w:rPr>
      </w:pPr>
      <w:r>
        <w:rPr>
          <w:noProof/>
        </w:rPr>
        <w:t>_____________</w:t>
      </w:r>
    </w:p>
    <w:p>
      <w:pPr>
        <w:rPr>
          <w:noProof/>
        </w:rPr>
      </w:pPr>
    </w:p>
    <w:sectPr>
      <w:footerReference w:type="default" r:id="rId16"/>
      <w:footerReference w:type="first" r:id="rId17"/>
      <w:pgSz w:w="11906" w:h="16838"/>
      <w:pgMar w:top="1134" w:right="1418" w:bottom="1134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9A2CC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04060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F3EE7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3FAFF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44AB5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A941F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FBC79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268A3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18-10-01 10:05:2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 \u1055?\u1088?\u1077?\u1076?\u1083?\u1086?\u1078?\u1077?\u1085?\u1080?\u1077? \u1079?\u1072? "/>
    <w:docVar w:name="LW_ACCOMPAGNANT.CP" w:val="\u1082?\u1098?\u1084? \u1055?\u1088?\u1077?\u1076?\u1083?\u1086?\u1078?\u1077?\u1085?\u1080?\u1077? \u1079?\u1072? 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EBEDEA18-57F4-4AA2-B3CF-5D3EE6A1F1B1"/>
    <w:docVar w:name="LW_COVERPAGE_TYPE" w:val="1"/>
    <w:docVar w:name="LW_CROSSREFERENCE" w:val="&lt;UNUSED&gt;"/>
    <w:docVar w:name="LW_DocType" w:val="ANNEX"/>
    <w:docVar w:name="LW_EMISSION" w:val="12.9.2018"/>
    <w:docVar w:name="LW_EMISSION_ISODATE" w:val="2018-09-12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6?\u1073?\u1097?\u1080?\u1090?\u1077? \u1089?\u1090?\u1072?\u1085?\u1076?\u1072?\u1088?\u1090?\u1080? \u1080? \u1087?\u1088?\u1086?\u1094?\u1077?\u1076?\u1091?\u1088?\u1080?, \u1087?\u1088?\u1080?\u1083?\u1086?\u1078?\u1080?\u1084?\u1080? \u1074? \u1076?\u1098?\u1088?\u1078?\u1072?\u1074?\u1080?\u1090?\u1077? \u1095?\u1083?\u1077?\u1085?\u1082?\u1080? \u1079?\u1072? \u1074?\u1088?\u1098?\u1097?\u1072?\u1085?\u1077? \u1085?\u1072? \u1085?\u1077?\u1079?\u1072?\u1082?\u1086?\u1085?\u1085?\u1086? \u1087?\u1088?\u1077?\u1073?\u1080?\u1074?\u1072?\u1074?\u1072?\u1097?\u1080? \u1075?\u1088?\u1072?\u1078?\u1076?\u1072?\u1085?\u1080? \u1085?\u1072? \u1090?\u1088?\u1077?\u1090?\u1080? \u1089?\u1090?\u1088?\u1072?\u1085?\u1080? (\u1087?\u1088?\u1077?\u1088?\u1072?\u1073?\u1086?\u1090?\u1077?\u1085? \u1090?\u1077?\u1082?\u1089?\u1090?)_x000b_"/>
    <w:docVar w:name="LW_OBJETACTEPRINCIPAL.CP" w:val="\u1086?\u1090?\u1085?\u1086?\u1089?\u1085?\u1086? \u1086?\u1073?\u1097?\u1080?\u1090?\u1077? \u1089?\u1090?\u1072?\u1085?\u1076?\u1072?\u1088?\u1090?\u1080? \u1080? \u1087?\u1088?\u1086?\u1094?\u1077?\u1076?\u1091?\u1088?\u1080?, \u1087?\u1088?\u1080?\u1083?\u1086?\u1078?\u1080?\u1084?\u1080? \u1074? \u1076?\u1098?\u1088?\u1078?\u1072?\u1074?\u1080?\u1090?\u1077? \u1095?\u1083?\u1077?\u1085?\u1082?\u1080? \u1079?\u1072? \u1074?\u1088?\u1098?\u1097?\u1072?\u1085?\u1077? \u1085?\u1072? \u1085?\u1077?\u1079?\u1072?\u1082?\u1086?\u1085?\u1085?\u1086? \u1087?\u1088?\u1077?\u1073?\u1080?\u1074?\u1072?\u1074?\u1072?\u1097?\u1080? \u1075?\u1088?\u1072?\u1078?\u1076?\u1072?\u1085?\u1080? \u1085?\u1072? \u1090?\u1088?\u1077?\u1090?\u1080? \u1089?\u1090?\u1088?\u1072?\u1085?\u1080? (\u1087?\u1088?\u1077?\u1088?\u1072?\u1073?\u1086?\u1090?\u1077?\u1085? \u1090?\u1077?\u1082?\u1089?\u1090?)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63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44?\u1048?\u1056?\u1045?\u1050?\u1058?\u1048?\u1042?\u1040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44?\u1048?\u1056?\u1045?\u1050?\u1058?\u1048?\u1042?\u1040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CRSeparator">
    <w:name w:val="CR Separator"/>
    <w:basedOn w:val="Normal"/>
    <w:link w:val="CRSeparatorChar"/>
    <w:pPr>
      <w:keepNext/>
      <w:pBdr>
        <w:top w:val="single" w:sz="4" w:space="1" w:color="auto"/>
      </w:pBdr>
      <w:autoSpaceDE w:val="0"/>
      <w:autoSpaceDN w:val="0"/>
      <w:spacing w:before="240"/>
      <w:ind w:right="40"/>
    </w:pPr>
    <w:rPr>
      <w:rFonts w:eastAsia="Times New Roman"/>
    </w:rPr>
  </w:style>
  <w:style w:type="character" w:customStyle="1" w:styleId="CRSeparatorChar">
    <w:name w:val="CR Separator Char"/>
    <w:link w:val="CRSeparator"/>
    <w:locked/>
    <w:rPr>
      <w:rFonts w:ascii="Times New Roman" w:eastAsia="Times New Roman" w:hAnsi="Times New Roman" w:cs="Times New Roman"/>
      <w:sz w:val="24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CRSeparator">
    <w:name w:val="CR Separator"/>
    <w:basedOn w:val="Normal"/>
    <w:link w:val="CRSeparatorChar"/>
    <w:pPr>
      <w:keepNext/>
      <w:pBdr>
        <w:top w:val="single" w:sz="4" w:space="1" w:color="auto"/>
      </w:pBdr>
      <w:autoSpaceDE w:val="0"/>
      <w:autoSpaceDN w:val="0"/>
      <w:spacing w:before="240"/>
      <w:ind w:right="40"/>
    </w:pPr>
    <w:rPr>
      <w:rFonts w:eastAsia="Times New Roman"/>
    </w:rPr>
  </w:style>
  <w:style w:type="character" w:customStyle="1" w:styleId="CRSeparatorChar">
    <w:name w:val="CR Separator Char"/>
    <w:link w:val="CRSeparator"/>
    <w:locked/>
    <w:rPr>
      <w:rFonts w:ascii="Times New Roman" w:eastAsia="Times New Roman" w:hAnsi="Times New Roman" w:cs="Times New Roman"/>
      <w:sz w:val="24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5007-D0F6-4344-AF75-DFAA3C0A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302</Words>
  <Characters>1230</Characters>
  <Application>Microsoft Office Word</Application>
  <DocSecurity>0</DocSecurity>
  <Lines>102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Mauro.GAGLIARDI@ec.europa.eu</dc:creator>
  <cp:lastModifiedBy>DIGIT/A3</cp:lastModifiedBy>
  <cp:revision>10</cp:revision>
  <dcterms:created xsi:type="dcterms:W3CDTF">2018-09-28T16:36:00Z</dcterms:created>
  <dcterms:modified xsi:type="dcterms:W3CDTF">2018-10-01T08:05:00Z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