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7B" w:rsidRDefault="00833EE8" w:rsidP="00833EE8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C439F7A-E01E-4FD2-8036-5BC39FE1BE7E" style="width:450.75pt;height:406.5pt">
            <v:imagedata r:id="rId8" o:title=""/>
          </v:shape>
        </w:pict>
      </w:r>
    </w:p>
    <w:bookmarkEnd w:id="0"/>
    <w:p w:rsidR="00500A7B" w:rsidRDefault="00500A7B">
      <w:pPr>
        <w:pStyle w:val="Pagedecouverture"/>
        <w:rPr>
          <w:noProof/>
        </w:rPr>
        <w:sectPr w:rsidR="00500A7B" w:rsidSect="00833E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500A7B" w:rsidRDefault="00833EE8">
      <w:pPr>
        <w:spacing w:before="0" w:after="0"/>
        <w:rPr>
          <w:noProof/>
        </w:rPr>
      </w:pPr>
      <w:bookmarkStart w:id="1" w:name="_GoBack"/>
      <w:bookmarkEnd w:id="1"/>
      <w:r>
        <w:rPr>
          <w:noProof/>
          <w:lang w:val="en-GB" w:eastAsia="en-GB"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6429375" cy="792480"/>
                <wp:effectExtent l="19050" t="24765" r="19050" b="2095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A7B" w:rsidRDefault="00833EE8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Статистически данни относно прилагането на Регламент (ЕО) № 1049/2001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.7pt;width:506.25pt;height:6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" strokeweight="3pt">
                <v:stroke linestyle="thinThin"/>
                <v:textbox>
                  <w:txbxContent>
                    <w:p w:rsidR="00500A7B" w:rsidRDefault="00833EE8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/>
                          <w:b/>
                          <w:noProof/>
                        </w:rPr>
                        <w:t>Статистически данни относно прилагането на Регламент (ЕО) № 1049/2001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0A7B" w:rsidRDefault="00833EE8"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Брой документи, вписани в регистъра</w:t>
      </w:r>
    </w:p>
    <w:tbl>
      <w:tblPr>
        <w:tblW w:w="5001" w:type="pct"/>
        <w:tblInd w:w="-176" w:type="dxa"/>
        <w:tblLook w:val="01E0" w:firstRow="1" w:lastRow="1" w:firstColumn="1" w:lastColumn="1" w:noHBand="0" w:noVBand="0"/>
      </w:tblPr>
      <w:tblGrid>
        <w:gridCol w:w="1252"/>
        <w:gridCol w:w="1069"/>
        <w:gridCol w:w="1073"/>
        <w:gridCol w:w="1073"/>
        <w:gridCol w:w="1073"/>
        <w:gridCol w:w="1073"/>
        <w:gridCol w:w="1073"/>
        <w:gridCol w:w="1072"/>
        <w:gridCol w:w="1206"/>
      </w:tblGrid>
      <w:tr w:rsidR="00500A7B">
        <w:trPr>
          <w:trHeight w:val="170"/>
        </w:trPr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0A7B" w:rsidRDefault="00500A7B">
            <w:pPr>
              <w:pStyle w:val="Text2"/>
              <w:ind w:left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COM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JOIN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OJ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PV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SEC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SWD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500A7B" w:rsidRDefault="00833EE8">
            <w:pPr>
              <w:pStyle w:val="Subtitle"/>
              <w:spacing w:after="12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Общо</w:t>
            </w:r>
          </w:p>
        </w:tc>
      </w:tr>
      <w:tr w:rsidR="00500A7B">
        <w:trPr>
          <w:trHeight w:val="1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14 458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1 931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1 333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18 523</w:t>
            </w:r>
          </w:p>
        </w:tc>
      </w:tr>
      <w:tr w:rsidR="00500A7B">
        <w:trPr>
          <w:trHeight w:val="1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14 749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1 850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129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1 373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18 825</w:t>
            </w:r>
          </w:p>
        </w:tc>
      </w:tr>
    </w:tbl>
    <w:p w:rsidR="00500A7B" w:rsidRDefault="00833EE8"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Посещаемост на страницата „Достъп до документи“ на уебсайта Europa</w:t>
      </w:r>
    </w:p>
    <w:tbl>
      <w:tblPr>
        <w:tblW w:w="7516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9"/>
        <w:gridCol w:w="1207"/>
        <w:gridCol w:w="1148"/>
        <w:gridCol w:w="1206"/>
        <w:gridCol w:w="1206"/>
      </w:tblGrid>
      <w:tr w:rsidR="00500A7B">
        <w:trPr>
          <w:trHeight w:val="170"/>
        </w:trPr>
        <w:tc>
          <w:tcPr>
            <w:tcW w:w="27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noProof/>
              </w:rPr>
              <w:br w:type="page"/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Отделни посетители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Разгледани страници</w:t>
            </w:r>
          </w:p>
        </w:tc>
      </w:tr>
      <w:tr w:rsidR="00500A7B">
        <w:trPr>
          <w:trHeight w:val="170"/>
        </w:trPr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17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02"/>
              <w:jc w:val="left"/>
              <w:rPr>
                <w:b/>
                <w:noProof/>
                <w:sz w:val="20"/>
                <w:szCs w:val="20"/>
                <w:highlight w:val="yellow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15 496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  <w:highlight w:val="yellow"/>
              </w:rPr>
            </w:pPr>
            <w:r>
              <w:rPr>
                <w:b/>
                <w:noProof/>
                <w:sz w:val="20"/>
              </w:rPr>
              <w:t>12 618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23 290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  <w:highlight w:val="yellow"/>
              </w:rPr>
            </w:pPr>
            <w:r>
              <w:rPr>
                <w:b/>
                <w:noProof/>
                <w:sz w:val="20"/>
              </w:rPr>
              <w:t>16 876</w:t>
            </w:r>
          </w:p>
        </w:tc>
      </w:tr>
    </w:tbl>
    <w:p w:rsidR="00500A7B" w:rsidRDefault="00833EE8">
      <w:pPr>
        <w:pStyle w:val="Heading1"/>
        <w:numPr>
          <w:ilvl w:val="0"/>
          <w:numId w:val="31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Брой на получените и обработените първоначални заявления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138"/>
        <w:gridCol w:w="1138"/>
        <w:gridCol w:w="1138"/>
        <w:gridCol w:w="1138"/>
        <w:gridCol w:w="1138"/>
      </w:tblGrid>
      <w:tr w:rsidR="00500A7B">
        <w:trPr>
          <w:trHeight w:val="170"/>
        </w:trPr>
        <w:tc>
          <w:tcPr>
            <w:tcW w:w="4272" w:type="dxa"/>
            <w:shd w:val="clear" w:color="auto" w:fill="C6D9F1"/>
          </w:tcPr>
          <w:p w:rsidR="00500A7B" w:rsidRDefault="00500A7B">
            <w:pPr>
              <w:pStyle w:val="Text1"/>
              <w:tabs>
                <w:tab w:val="left" w:pos="1170"/>
                <w:tab w:val="left" w:pos="1485"/>
              </w:tabs>
              <w:spacing w:after="0" w:line="360" w:lineRule="auto"/>
              <w:ind w:left="0"/>
              <w:rPr>
                <w:noProof/>
                <w:sz w:val="22"/>
              </w:rPr>
            </w:pP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 г.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170"/>
        </w:trPr>
        <w:tc>
          <w:tcPr>
            <w:tcW w:w="4272" w:type="dxa"/>
          </w:tcPr>
          <w:p w:rsidR="00500A7B" w:rsidRDefault="00833EE8">
            <w:pPr>
              <w:pStyle w:val="Text1"/>
              <w:ind w:left="11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 заявления</w:t>
            </w:r>
          </w:p>
        </w:tc>
        <w:tc>
          <w:tcPr>
            <w:tcW w:w="1138" w:type="dxa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6 525</w:t>
            </w:r>
          </w:p>
        </w:tc>
        <w:tc>
          <w:tcPr>
            <w:tcW w:w="1138" w:type="dxa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6 227</w:t>
            </w:r>
          </w:p>
        </w:tc>
        <w:tc>
          <w:tcPr>
            <w:tcW w:w="1138" w:type="dxa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6 752</w:t>
            </w:r>
          </w:p>
        </w:tc>
        <w:tc>
          <w:tcPr>
            <w:tcW w:w="1138" w:type="dxa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6 077</w:t>
            </w:r>
          </w:p>
        </w:tc>
        <w:tc>
          <w:tcPr>
            <w:tcW w:w="1138" w:type="dxa"/>
            <w:vAlign w:val="center"/>
          </w:tcPr>
          <w:p w:rsidR="00500A7B" w:rsidRDefault="00833EE8">
            <w:pPr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6 255</w:t>
            </w:r>
          </w:p>
        </w:tc>
      </w:tr>
      <w:tr w:rsidR="00500A7B">
        <w:trPr>
          <w:trHeight w:val="170"/>
        </w:trPr>
        <w:tc>
          <w:tcPr>
            <w:tcW w:w="4272" w:type="dxa"/>
            <w:shd w:val="clear" w:color="auto" w:fill="C6D9F1"/>
          </w:tcPr>
          <w:p w:rsidR="00500A7B" w:rsidRDefault="00833EE8">
            <w:pPr>
              <w:pStyle w:val="Text1"/>
              <w:ind w:left="11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Дадени отговори</w:t>
            </w:r>
            <w:r>
              <w:rPr>
                <w:rStyle w:val="FootnoteReference"/>
                <w:b/>
                <w:noProof/>
                <w:sz w:val="20"/>
              </w:rPr>
              <w:footnoteReference w:id="1"/>
            </w:r>
            <w:r>
              <w:rPr>
                <w:b/>
                <w:noProof/>
                <w:sz w:val="20"/>
              </w:rPr>
              <w:t xml:space="preserve"> 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7 659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7 156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7 684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7 137</w:t>
            </w:r>
          </w:p>
        </w:tc>
        <w:tc>
          <w:tcPr>
            <w:tcW w:w="1138" w:type="dxa"/>
            <w:shd w:val="clear" w:color="auto" w:fill="C6D9F1"/>
            <w:vAlign w:val="center"/>
          </w:tcPr>
          <w:p w:rsidR="00500A7B" w:rsidRDefault="00833EE8">
            <w:pPr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6 704</w:t>
            </w:r>
          </w:p>
        </w:tc>
      </w:tr>
    </w:tbl>
    <w:p w:rsidR="00500A7B" w:rsidRDefault="00833EE8">
      <w:pPr>
        <w:pStyle w:val="Heading1"/>
        <w:keepLines/>
        <w:numPr>
          <w:ilvl w:val="0"/>
          <w:numId w:val="34"/>
        </w:numPr>
        <w:tabs>
          <w:tab w:val="clear" w:pos="850"/>
          <w:tab w:val="num" w:pos="992"/>
        </w:tabs>
        <w:spacing w:before="1080" w:after="600"/>
        <w:ind w:left="851" w:hanging="851"/>
        <w:rPr>
          <w:noProof/>
        </w:rPr>
      </w:pPr>
      <w:r>
        <w:rPr>
          <w:noProof/>
        </w:rPr>
        <w:lastRenderedPageBreak/>
        <w:t xml:space="preserve">Отговори, дадени на етапа на </w:t>
      </w:r>
      <w:r>
        <w:rPr>
          <w:noProof/>
        </w:rPr>
        <w:t>първоначалните заявления</w:t>
      </w:r>
    </w:p>
    <w:tbl>
      <w:tblPr>
        <w:tblW w:w="5094" w:type="pct"/>
        <w:tblInd w:w="-176" w:type="dxa"/>
        <w:tblLook w:val="0000" w:firstRow="0" w:lastRow="0" w:firstColumn="0" w:lastColumn="0" w:noHBand="0" w:noVBand="0"/>
      </w:tblPr>
      <w:tblGrid>
        <w:gridCol w:w="2614"/>
        <w:gridCol w:w="764"/>
        <w:gridCol w:w="764"/>
        <w:gridCol w:w="764"/>
        <w:gridCol w:w="764"/>
        <w:gridCol w:w="764"/>
        <w:gridCol w:w="764"/>
        <w:gridCol w:w="764"/>
        <w:gridCol w:w="764"/>
        <w:gridCol w:w="712"/>
        <w:gridCol w:w="711"/>
      </w:tblGrid>
      <w:tr w:rsidR="00500A7B">
        <w:trPr>
          <w:cantSplit/>
          <w:trHeight w:val="267"/>
        </w:trPr>
        <w:tc>
          <w:tcPr>
            <w:tcW w:w="2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500A7B" w:rsidRDefault="00500A7B">
            <w:pPr>
              <w:pStyle w:val="Text1"/>
              <w:keepLines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 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cantSplit/>
          <w:trHeight w:val="267"/>
        </w:trPr>
        <w:tc>
          <w:tcPr>
            <w:tcW w:w="26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A7B" w:rsidRDefault="00500A7B">
            <w:pPr>
              <w:keepLines/>
              <w:spacing w:after="0"/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Брой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Брой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Брой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Брой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Брой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%</w:t>
            </w:r>
          </w:p>
        </w:tc>
      </w:tr>
      <w:tr w:rsidR="00500A7B">
        <w:trPr>
          <w:cantSplit/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4 400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73,43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4 096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72,77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4 003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68,79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3 622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60,94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3 200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61,86</w:t>
            </w:r>
          </w:p>
        </w:tc>
      </w:tr>
      <w:tr w:rsidR="00500A7B">
        <w:trPr>
          <w:cantSplit/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keepLines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14,45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668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11,87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926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1 213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20,41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1 043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keepLines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20,16</w:t>
            </w:r>
          </w:p>
        </w:tc>
      </w:tr>
      <w:tr w:rsidR="00500A7B">
        <w:trPr>
          <w:cantSplit/>
          <w:trHeight w:val="267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640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10,68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866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15,36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890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15,29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1 109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18,66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930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17,98</w:t>
            </w:r>
          </w:p>
        </w:tc>
      </w:tr>
      <w:tr w:rsidR="00500A7B">
        <w:trPr>
          <w:cantSplit/>
          <w:trHeight w:val="283"/>
        </w:trPr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5 906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5 630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5 819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5 944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5 173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100</w:t>
            </w:r>
          </w:p>
        </w:tc>
      </w:tr>
    </w:tbl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Брой на получените и обработените потвърдителни заявления</w:t>
      </w:r>
    </w:p>
    <w:tbl>
      <w:tblPr>
        <w:tblW w:w="5208" w:type="pct"/>
        <w:tblInd w:w="-176" w:type="dxa"/>
        <w:tblLook w:val="01E0" w:firstRow="1" w:lastRow="1" w:firstColumn="1" w:lastColumn="1" w:noHBand="0" w:noVBand="0"/>
      </w:tblPr>
      <w:tblGrid>
        <w:gridCol w:w="4191"/>
        <w:gridCol w:w="1237"/>
        <w:gridCol w:w="1237"/>
        <w:gridCol w:w="1237"/>
        <w:gridCol w:w="1237"/>
        <w:gridCol w:w="1237"/>
      </w:tblGrid>
      <w:tr w:rsidR="00500A7B">
        <w:trPr>
          <w:trHeight w:val="362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500A7B">
            <w:pPr>
              <w:pStyle w:val="Text1"/>
              <w:tabs>
                <w:tab w:val="left" w:pos="187"/>
              </w:tabs>
              <w:spacing w:after="0" w:line="360" w:lineRule="auto"/>
              <w:ind w:left="0"/>
              <w:rPr>
                <w:noProof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398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B" w:rsidRDefault="00833EE8">
            <w:pPr>
              <w:pStyle w:val="Text1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Регистрирани</w:t>
            </w:r>
            <w:r>
              <w:rPr>
                <w:noProof/>
                <w:sz w:val="20"/>
              </w:rPr>
              <w:t xml:space="preserve"> заявления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299</w:t>
            </w:r>
          </w:p>
        </w:tc>
      </w:tr>
      <w:tr w:rsidR="00500A7B">
        <w:trPr>
          <w:trHeight w:val="311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Дадени отговори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327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2" w:firstLine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299</w:t>
            </w:r>
          </w:p>
        </w:tc>
      </w:tr>
    </w:tbl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Отговори, дадени на етапа на потвърждаване на заявленията</w:t>
      </w:r>
    </w:p>
    <w:tbl>
      <w:tblPr>
        <w:tblW w:w="513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887"/>
        <w:gridCol w:w="737"/>
        <w:gridCol w:w="735"/>
        <w:gridCol w:w="735"/>
        <w:gridCol w:w="735"/>
        <w:gridCol w:w="735"/>
        <w:gridCol w:w="735"/>
        <w:gridCol w:w="735"/>
        <w:gridCol w:w="735"/>
        <w:gridCol w:w="735"/>
        <w:gridCol w:w="731"/>
      </w:tblGrid>
      <w:tr w:rsidR="00500A7B">
        <w:trPr>
          <w:trHeight w:val="255"/>
        </w:trPr>
        <w:tc>
          <w:tcPr>
            <w:tcW w:w="1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500A7B" w:rsidRDefault="00500A7B">
            <w:pPr>
              <w:spacing w:after="0" w:line="360" w:lineRule="auto"/>
              <w:jc w:val="center"/>
              <w:rPr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1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2013 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2014 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2015 г.</w:t>
            </w:r>
          </w:p>
        </w:tc>
        <w:tc>
          <w:tcPr>
            <w:tcW w:w="7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71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 w:line="360" w:lineRule="auto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255"/>
        </w:trPr>
        <w:tc>
          <w:tcPr>
            <w:tcW w:w="14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500A7B" w:rsidRDefault="00500A7B">
            <w:pPr>
              <w:spacing w:after="0" w:line="360" w:lineRule="auto"/>
              <w:jc w:val="left"/>
              <w:rPr>
                <w:b/>
                <w:bCs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Брой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Брой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Брой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Брой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Брой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%</w:t>
            </w:r>
          </w:p>
        </w:tc>
      </w:tr>
      <w:tr w:rsidR="00500A7B"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Пълно преразглеждане —</w:t>
            </w:r>
          </w:p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пълен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20,11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18,75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9,57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5,02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5,43</w:t>
            </w:r>
          </w:p>
        </w:tc>
      </w:tr>
      <w:tr w:rsidR="00500A7B"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Частично преразглеждане — </w:t>
            </w:r>
          </w:p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предоставен частичен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23,81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67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24,63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73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31,74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47,03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41,47</w:t>
            </w:r>
          </w:p>
        </w:tc>
      </w:tr>
      <w:tr w:rsidR="00500A7B">
        <w:trPr>
          <w:trHeight w:val="255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noWrap/>
            <w:vAlign w:val="bottom"/>
          </w:tcPr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Потвърждаване на първоначалния отговор —</w:t>
            </w:r>
          </w:p>
          <w:p w:rsidR="00500A7B" w:rsidRDefault="00833EE8">
            <w:pPr>
              <w:pStyle w:val="Text1"/>
              <w:spacing w:after="0"/>
              <w:ind w:left="11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отказ на достъп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56,08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154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56,62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58,70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47,95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137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 w:line="360" w:lineRule="auto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53,10</w:t>
            </w:r>
          </w:p>
        </w:tc>
      </w:tr>
      <w:tr w:rsidR="00500A7B">
        <w:trPr>
          <w:trHeight w:val="270"/>
        </w:trPr>
        <w:tc>
          <w:tcPr>
            <w:tcW w:w="1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00A7B" w:rsidRDefault="00833EE8">
            <w:pPr>
              <w:pStyle w:val="Text1"/>
              <w:ind w:left="11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189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272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230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219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258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100</w:t>
            </w:r>
          </w:p>
        </w:tc>
      </w:tr>
    </w:tbl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840" w:after="600"/>
        <w:ind w:left="851" w:hanging="851"/>
        <w:rPr>
          <w:noProof/>
        </w:rPr>
      </w:pPr>
      <w:r>
        <w:rPr>
          <w:noProof/>
        </w:rPr>
        <w:t>Отказ на достъп според използваното основание за изключение (%)</w:t>
      </w:r>
    </w:p>
    <w:tbl>
      <w:tblPr>
        <w:tblW w:w="9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12"/>
        <w:gridCol w:w="1305"/>
        <w:gridCol w:w="1305"/>
        <w:gridCol w:w="283"/>
        <w:gridCol w:w="1305"/>
        <w:gridCol w:w="1305"/>
      </w:tblGrid>
      <w:tr w:rsidR="00500A7B">
        <w:trPr>
          <w:trHeight w:val="567"/>
        </w:trPr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Изключения, посочени в член 4 от Регламент № 1049/2001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 w:rsidR="00500A7B">
        <w:trPr>
          <w:trHeight w:val="567"/>
        </w:trPr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0A7B" w:rsidRDefault="00500A7B">
            <w:pPr>
              <w:spacing w:after="0"/>
              <w:rPr>
                <w:noProof/>
                <w:sz w:val="20"/>
                <w:szCs w:val="20"/>
              </w:rPr>
            </w:pPr>
            <w:bookmarkStart w:id="2" w:name="_CopyToNewDocument_"/>
            <w:bookmarkEnd w:id="2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7B" w:rsidRDefault="00833EE8"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00A7B" w:rsidRDefault="00833EE8">
            <w:pPr>
              <w:pStyle w:val="Text1"/>
              <w:spacing w:after="0"/>
              <w:ind w:left="12" w:firstLine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1, буква a), първо тире — защита на обществения интерес по отношение на обществената сигурност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5,41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0,33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Член 4, параграф 1, буква a), второ тире — защита на обществения интерес по отношение на отбраната и военните </w:t>
            </w:r>
            <w:r>
              <w:rPr>
                <w:noProof/>
                <w:sz w:val="20"/>
              </w:rPr>
              <w:t>въпроси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1, буква a), трето тире — защита на обществения интерес по отношение на международните отношения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3,97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Член 4, параграф 1, буква a), четвърто тире — защита на обществения интерес по отношение на </w:t>
            </w:r>
            <w:r>
              <w:rPr>
                <w:noProof/>
                <w:sz w:val="20"/>
              </w:rPr>
              <w:t>финансовата, валутната или икономическата политика на ЕС или на държава членка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1,42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2,79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4,64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1, буква б) — защита на частния живот и личната неприкосновеност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29,76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31,33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28,29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26,16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Член 4, параграф 2, първо тире — защита на </w:t>
            </w:r>
            <w:r>
              <w:rPr>
                <w:noProof/>
                <w:sz w:val="20"/>
              </w:rPr>
              <w:t>търговските интереси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13,71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16,76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13,25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2, второ тире — защита на съдебните процедури и правните становища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4,70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5,58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2,65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2, трето тире — защита на целите на дейности по инспектиране, разследване и одит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16,23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17,64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20,32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35,10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 3, първа алинея — процес на вземане на решения, когато решение все още не е взето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18,78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16,33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20,32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11,92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Член 4, параграф 3, втора алинея — процес на вземане на решения, когато решение вече е взето (становища за </w:t>
            </w:r>
            <w:r>
              <w:rPr>
                <w:noProof/>
                <w:sz w:val="20"/>
              </w:rPr>
              <w:t>вътрешно ползване в рамките на предварителни обсъждания и консултации)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2,95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1,99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1,99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4, параграфи 4 и 5 — отказ на държава членка или на трета страна</w:t>
            </w:r>
            <w:r>
              <w:rPr>
                <w:rStyle w:val="FootnoteReference"/>
                <w:noProof/>
                <w:sz w:val="20"/>
              </w:rPr>
              <w:footnoteReference w:id="2"/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/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/</w:t>
            </w:r>
          </w:p>
        </w:tc>
      </w:tr>
      <w:tr w:rsidR="00500A7B">
        <w:trPr>
          <w:trHeight w:val="567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0" w:after="600"/>
        <w:ind w:left="851" w:hanging="851"/>
        <w:rPr>
          <w:noProof/>
        </w:rPr>
      </w:pPr>
      <w:r>
        <w:rPr>
          <w:noProof/>
        </w:rPr>
        <w:br w:type="page"/>
        <w:t xml:space="preserve">Социално-професионална категория на заявителите </w:t>
      </w:r>
      <w:r>
        <w:rPr>
          <w:noProof/>
        </w:rPr>
        <w:t>(%)</w:t>
      </w:r>
    </w:p>
    <w:tbl>
      <w:tblPr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13"/>
        <w:gridCol w:w="1524"/>
        <w:gridCol w:w="1524"/>
        <w:gridCol w:w="273"/>
        <w:gridCol w:w="1562"/>
        <w:gridCol w:w="1562"/>
      </w:tblGrid>
      <w:tr w:rsidR="00500A7B">
        <w:trPr>
          <w:trHeight w:val="528"/>
        </w:trPr>
        <w:tc>
          <w:tcPr>
            <w:tcW w:w="3513" w:type="dxa"/>
            <w:vMerge w:val="restart"/>
          </w:tcPr>
          <w:p w:rsidR="00500A7B" w:rsidRDefault="00500A7B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3048" w:type="dxa"/>
            <w:gridSpan w:val="2"/>
            <w:tcBorders>
              <w:righ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left w:val="single" w:sz="8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 w:rsidR="00500A7B">
        <w:trPr>
          <w:trHeight w:val="60"/>
        </w:trPr>
        <w:tc>
          <w:tcPr>
            <w:tcW w:w="3513" w:type="dxa"/>
            <w:vMerge/>
          </w:tcPr>
          <w:p w:rsidR="00500A7B" w:rsidRDefault="00500A7B">
            <w:pPr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1524" w:type="dxa"/>
          </w:tcPr>
          <w:p w:rsidR="00500A7B" w:rsidRDefault="00833EE8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524" w:type="dxa"/>
            <w:tcBorders>
              <w:right w:val="single" w:sz="8" w:space="0" w:color="auto"/>
            </w:tcBorders>
          </w:tcPr>
          <w:p w:rsidR="00500A7B" w:rsidRDefault="00833EE8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500A7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center"/>
          </w:tcPr>
          <w:p w:rsidR="00500A7B" w:rsidRDefault="00833EE8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562" w:type="dxa"/>
            <w:vAlign w:val="center"/>
          </w:tcPr>
          <w:p w:rsidR="00500A7B" w:rsidRDefault="00833EE8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315"/>
        </w:trPr>
        <w:tc>
          <w:tcPr>
            <w:tcW w:w="3513" w:type="dxa"/>
            <w:shd w:val="clear" w:color="auto" w:fill="C6D9F1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Академична институция/мозъчен тръст</w:t>
            </w:r>
          </w:p>
        </w:tc>
        <w:tc>
          <w:tcPr>
            <w:tcW w:w="1524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15,96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21,61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4,41</w:t>
            </w:r>
          </w:p>
        </w:tc>
        <w:tc>
          <w:tcPr>
            <w:tcW w:w="1562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8,36</w:t>
            </w:r>
          </w:p>
        </w:tc>
      </w:tr>
      <w:tr w:rsidR="00500A7B">
        <w:trPr>
          <w:trHeight w:val="292"/>
        </w:trPr>
        <w:tc>
          <w:tcPr>
            <w:tcW w:w="3513" w:type="dxa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Дружество/стопанско сдружение </w:t>
            </w:r>
          </w:p>
        </w:tc>
        <w:tc>
          <w:tcPr>
            <w:tcW w:w="1524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9,73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13,57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  <w:tc>
          <w:tcPr>
            <w:tcW w:w="1562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6,69</w:t>
            </w:r>
          </w:p>
        </w:tc>
      </w:tr>
      <w:tr w:rsidR="00500A7B">
        <w:trPr>
          <w:trHeight w:val="520"/>
        </w:trPr>
        <w:tc>
          <w:tcPr>
            <w:tcW w:w="3513" w:type="dxa"/>
            <w:shd w:val="clear" w:color="auto" w:fill="C6D9F1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Журналист </w:t>
            </w:r>
          </w:p>
        </w:tc>
        <w:tc>
          <w:tcPr>
            <w:tcW w:w="1524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5,89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5,72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8,14</w:t>
            </w:r>
          </w:p>
        </w:tc>
        <w:tc>
          <w:tcPr>
            <w:tcW w:w="1562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7,69</w:t>
            </w:r>
          </w:p>
        </w:tc>
      </w:tr>
      <w:tr w:rsidR="00500A7B">
        <w:trPr>
          <w:trHeight w:val="463"/>
        </w:trPr>
        <w:tc>
          <w:tcPr>
            <w:tcW w:w="3513" w:type="dxa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Адвокатска кантора/самостоятелно зает адвокат</w:t>
            </w:r>
          </w:p>
        </w:tc>
        <w:tc>
          <w:tcPr>
            <w:tcW w:w="1524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13,46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13,24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26,44</w:t>
            </w:r>
          </w:p>
        </w:tc>
        <w:tc>
          <w:tcPr>
            <w:tcW w:w="1562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36,79</w:t>
            </w:r>
          </w:p>
        </w:tc>
      </w:tr>
      <w:tr w:rsidR="00500A7B">
        <w:trPr>
          <w:trHeight w:val="343"/>
        </w:trPr>
        <w:tc>
          <w:tcPr>
            <w:tcW w:w="3513" w:type="dxa"/>
            <w:shd w:val="clear" w:color="auto" w:fill="C6D9F1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Член на ЕП/административен асистент на член на ЕП</w:t>
            </w:r>
          </w:p>
        </w:tc>
        <w:tc>
          <w:tcPr>
            <w:tcW w:w="1524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4,77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1,01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3,05</w:t>
            </w:r>
          </w:p>
        </w:tc>
        <w:tc>
          <w:tcPr>
            <w:tcW w:w="1562" w:type="dxa"/>
            <w:shd w:val="clear" w:color="auto" w:fill="C6D9F1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3,34</w:t>
            </w:r>
          </w:p>
        </w:tc>
      </w:tr>
      <w:tr w:rsidR="00500A7B">
        <w:trPr>
          <w:trHeight w:val="339"/>
        </w:trPr>
        <w:tc>
          <w:tcPr>
            <w:tcW w:w="3513" w:type="dxa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Неправителствена организация (НПО)</w:t>
            </w:r>
          </w:p>
        </w:tc>
        <w:tc>
          <w:tcPr>
            <w:tcW w:w="1524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11,88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7,45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24,75</w:t>
            </w:r>
          </w:p>
        </w:tc>
        <w:tc>
          <w:tcPr>
            <w:tcW w:w="1562" w:type="dxa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12,71</w:t>
            </w:r>
          </w:p>
        </w:tc>
      </w:tr>
      <w:tr w:rsidR="00500A7B">
        <w:trPr>
          <w:trHeight w:val="354"/>
        </w:trPr>
        <w:tc>
          <w:tcPr>
            <w:tcW w:w="3513" w:type="dxa"/>
            <w:shd w:val="clear" w:color="auto" w:fill="B8CCE4"/>
          </w:tcPr>
          <w:p w:rsidR="00500A7B" w:rsidRDefault="00833EE8">
            <w:pPr>
              <w:spacing w:after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 (граждани)</w:t>
            </w:r>
          </w:p>
        </w:tc>
        <w:tc>
          <w:tcPr>
            <w:tcW w:w="1524" w:type="dxa"/>
            <w:shd w:val="clear" w:color="auto" w:fill="B8CCE4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38,3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B8CCE4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37,39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  <w:vAlign w:val="bottom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B8CCE4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30,17</w:t>
            </w:r>
          </w:p>
        </w:tc>
        <w:tc>
          <w:tcPr>
            <w:tcW w:w="1562" w:type="dxa"/>
            <w:shd w:val="clear" w:color="auto" w:fill="B8CCE4"/>
            <w:vAlign w:val="bottom"/>
          </w:tcPr>
          <w:p w:rsidR="00500A7B" w:rsidRDefault="00833EE8">
            <w:pPr>
              <w:spacing w:after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24,41</w:t>
            </w:r>
          </w:p>
        </w:tc>
      </w:tr>
      <w:tr w:rsidR="00500A7B">
        <w:trPr>
          <w:trHeight w:val="515"/>
        </w:trPr>
        <w:tc>
          <w:tcPr>
            <w:tcW w:w="3513" w:type="dxa"/>
            <w:shd w:val="clear" w:color="auto" w:fill="auto"/>
          </w:tcPr>
          <w:p w:rsidR="00500A7B" w:rsidRDefault="00833EE8">
            <w:pPr>
              <w:spacing w:after="0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2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  <w:highlight w:val="green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2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00A7B" w:rsidRDefault="00500A7B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00A7B" w:rsidRDefault="00833EE8">
            <w:pPr>
              <w:spacing w:after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100</w:t>
            </w:r>
          </w:p>
        </w:tc>
      </w:tr>
    </w:tbl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600" w:after="600"/>
        <w:ind w:left="851" w:hanging="851"/>
        <w:rPr>
          <w:noProof/>
        </w:rPr>
      </w:pPr>
      <w:r>
        <w:rPr>
          <w:noProof/>
        </w:rPr>
        <w:t>Географски произход на заявителите (%)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3439"/>
        <w:gridCol w:w="1544"/>
        <w:gridCol w:w="1544"/>
        <w:gridCol w:w="274"/>
        <w:gridCol w:w="1554"/>
        <w:gridCol w:w="1599"/>
      </w:tblGrid>
      <w:tr w:rsidR="00500A7B">
        <w:trPr>
          <w:trHeight w:val="578"/>
        </w:trPr>
        <w:tc>
          <w:tcPr>
            <w:tcW w:w="3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 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 w:rsidR="00500A7B">
        <w:trPr>
          <w:trHeight w:val="300"/>
        </w:trPr>
        <w:tc>
          <w:tcPr>
            <w:tcW w:w="3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500A7B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ind w:left="11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1,35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1,07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1,02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2,34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Белгия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27,23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25,74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33,22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29,43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България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0,59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Кипър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0,08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0,67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Хърватия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0,30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rStyle w:val="Emphasis"/>
                <w:noProof/>
              </w:rPr>
            </w:pPr>
            <w:r>
              <w:rPr>
                <w:noProof/>
                <w:sz w:val="20"/>
              </w:rPr>
              <w:t xml:space="preserve">0,35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0,68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Чешка република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1,51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0,75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1,69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1,34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1,65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2,14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Естония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0,23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0,43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1,02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Финландия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1,05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Франция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7,95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6,60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5,08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6,02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Германия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12,56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11,97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13,22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14,38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Гърция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1,51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1,14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1,69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2,01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Унгария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1,22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0,90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1,67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Ирландия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1,53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1,95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2,01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Италия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6,70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6,33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9,83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6,35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Латвия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0,23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Литва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0,43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0,21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Люксембург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0,82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0,85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Малта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0,26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0,22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0,34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Нидерландия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5,20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6,83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6,44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Полша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1,99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1,69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2,03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3,68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Португалия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1,07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0,75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2,34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Румъния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0,58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0,77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0,67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Словакия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0,28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Словения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0,21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0,24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Испания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7,54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5,87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8,81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8,36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Швеция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1,27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0,91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Обединено кралство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10,04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15,24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5,76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8,70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Европейски държави извън ЕС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1,65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1,82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3,05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4,01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Северна Америка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0,99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2,65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0,67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Австралия и Нова Зеландия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0,36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0,06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Африка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0,20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0,16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Южна Америка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0,12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0,03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Азия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0,84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0,50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3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Не е посочено</w:t>
            </w:r>
            <w:r>
              <w:rPr>
                <w:rStyle w:val="FootnoteReference"/>
                <w:noProof/>
                <w:sz w:val="20"/>
              </w:rPr>
              <w:footnoteReference w:id="3"/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0,49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0,40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418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Общо (%)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1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</w:tr>
    </w:tbl>
    <w:p w:rsidR="00500A7B" w:rsidRDefault="00500A7B">
      <w:pPr>
        <w:pStyle w:val="Heading1"/>
        <w:numPr>
          <w:ilvl w:val="0"/>
          <w:numId w:val="0"/>
        </w:numPr>
        <w:spacing w:before="840" w:after="240"/>
        <w:ind w:left="850" w:hanging="850"/>
        <w:rPr>
          <w:noProof/>
        </w:rPr>
      </w:pPr>
    </w:p>
    <w:p w:rsidR="00500A7B" w:rsidRDefault="00833EE8">
      <w:pPr>
        <w:pStyle w:val="Heading1"/>
        <w:numPr>
          <w:ilvl w:val="0"/>
          <w:numId w:val="34"/>
        </w:numPr>
        <w:tabs>
          <w:tab w:val="clear" w:pos="850"/>
          <w:tab w:val="num" w:pos="992"/>
        </w:tabs>
        <w:spacing w:before="0" w:after="600"/>
        <w:ind w:left="851" w:hanging="851"/>
        <w:rPr>
          <w:noProof/>
        </w:rPr>
      </w:pPr>
      <w:r>
        <w:rPr>
          <w:noProof/>
        </w:rPr>
        <w:br w:type="page"/>
        <w:t>Заявления по служби на Комисията (%)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7"/>
        <w:gridCol w:w="1093"/>
        <w:gridCol w:w="1093"/>
        <w:gridCol w:w="278"/>
        <w:gridCol w:w="1116"/>
        <w:gridCol w:w="1116"/>
      </w:tblGrid>
      <w:tr w:rsidR="00500A7B">
        <w:trPr>
          <w:trHeight w:val="311"/>
        </w:trPr>
        <w:tc>
          <w:tcPr>
            <w:tcW w:w="5117" w:type="dxa"/>
          </w:tcPr>
          <w:p w:rsidR="00500A7B" w:rsidRDefault="00500A7B"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shd w:val="clear" w:color="auto" w:fill="B8CCE4"/>
            <w:vAlign w:val="center"/>
          </w:tcPr>
          <w:p w:rsidR="00500A7B" w:rsidRDefault="00833EE8">
            <w:pPr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0"/>
              </w:rPr>
              <w:t>ЕТАП НА ПЪРВОНАЧАЛНИ ЗАЯВЛЕНИЯ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ЕТАП НА ПОТВЪРЖДАВАНЕ НА ЗАЯВЛЕНИЯТА</w:t>
            </w:r>
          </w:p>
        </w:tc>
      </w:tr>
      <w:tr w:rsidR="00500A7B">
        <w:trPr>
          <w:trHeight w:val="311"/>
        </w:trPr>
        <w:tc>
          <w:tcPr>
            <w:tcW w:w="5117" w:type="dxa"/>
          </w:tcPr>
          <w:p w:rsidR="00500A7B" w:rsidRDefault="00500A7B">
            <w:pPr>
              <w:pStyle w:val="Text1"/>
              <w:spacing w:after="0"/>
              <w:ind w:left="12"/>
              <w:jc w:val="left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2016 г.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2017 г.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>2016 г.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2017 </w:t>
            </w:r>
            <w:r>
              <w:rPr>
                <w:b/>
                <w:noProof/>
                <w:sz w:val="20"/>
              </w:rPr>
              <w:t>г.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AGRI — Земеделие и развитие на селските райони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3,21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2,01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1,69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300"/>
        </w:trPr>
        <w:tc>
          <w:tcPr>
            <w:tcW w:w="5117" w:type="dxa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BUDG — Бюджет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0,72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CLIMA — Действия по климата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1,28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1,52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1,67 </w:t>
            </w:r>
          </w:p>
        </w:tc>
      </w:tr>
      <w:tr w:rsidR="00500A7B">
        <w:trPr>
          <w:trHeight w:val="300"/>
        </w:trPr>
        <w:tc>
          <w:tcPr>
            <w:tcW w:w="5117" w:type="dxa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CONNECT — Съобщителни мрежи, съдържание и технологии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2,19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2,71 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6,02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COMM —</w:t>
            </w:r>
            <w:r>
              <w:rPr>
                <w:noProof/>
                <w:sz w:val="18"/>
                <w:szCs w:val="18"/>
              </w:rPr>
              <w:t xml:space="preserve"> Комуникация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0,66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1,02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1,00 </w:t>
            </w:r>
          </w:p>
        </w:tc>
      </w:tr>
      <w:tr w:rsidR="00500A7B">
        <w:trPr>
          <w:trHeight w:val="300"/>
        </w:trPr>
        <w:tc>
          <w:tcPr>
            <w:tcW w:w="5117" w:type="dxa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COMP — Конкуренция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7,22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9,86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15,93 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20,07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DEVCO — Международно сътрудничество и развитие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3,51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3,05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4,01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DGT — Писмени преводи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0,10 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0,05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DIGIT — Информатика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0,54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1,31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EAC — </w:t>
            </w:r>
            <w:r>
              <w:rPr>
                <w:noProof/>
                <w:sz w:val="18"/>
                <w:szCs w:val="18"/>
              </w:rPr>
              <w:t>Образование, младеж, спорт и култура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0,72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0,46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ECFIN — Икономически и финансови въпроси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1,25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0,90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ECHO — Европейска гражданска защита и европейски операции за хуманитарна помощ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0,56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5,29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1,02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EMPL — Трудова заетост, </w:t>
            </w:r>
            <w:r>
              <w:rPr>
                <w:noProof/>
                <w:sz w:val="18"/>
                <w:szCs w:val="18"/>
              </w:rPr>
              <w:t>социални въпроси и приобщаване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3,16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2,78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4,07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3,01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ENER — Енергетика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2,86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2,67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2,03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ENV — Околна среда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4,02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3,95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3,73 </w:t>
            </w: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3,01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EPSC — Европейски център за политическа стратегия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0,05 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0,05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EPSO — Европейска служба за подбор на </w:t>
            </w:r>
            <w:r>
              <w:rPr>
                <w:noProof/>
                <w:sz w:val="18"/>
                <w:szCs w:val="18"/>
              </w:rPr>
              <w:t>персонал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0,89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5,42 </w:t>
            </w: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ESTAT — Евростат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0,28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0,67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FISMA— Финансова стабилност, финансови услуги и съюз на капиталовите пазари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5,63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7,48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2,34 </w:t>
            </w:r>
          </w:p>
        </w:tc>
      </w:tr>
      <w:tr w:rsidR="00500A7B">
        <w:trPr>
          <w:trHeight w:val="300"/>
        </w:trPr>
        <w:tc>
          <w:tcPr>
            <w:tcW w:w="5117" w:type="dxa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FPI — Служба за инструментите в областта на външната политика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4"/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1,35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0,48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GROW — Вътрешен пазар, промишленост, предприемачество и МСП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7,57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6,31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5,76 </w:t>
            </w: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8,03 </w:t>
            </w:r>
          </w:p>
        </w:tc>
      </w:tr>
      <w:tr w:rsidR="00500A7B">
        <w:trPr>
          <w:trHeight w:val="300"/>
        </w:trPr>
        <w:tc>
          <w:tcPr>
            <w:tcW w:w="5117" w:type="dxa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HOME — Миграция и вътрешни работи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4,29 </w:t>
            </w:r>
          </w:p>
        </w:tc>
        <w:tc>
          <w:tcPr>
            <w:tcW w:w="1093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2,46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3,39 </w:t>
            </w:r>
          </w:p>
        </w:tc>
        <w:tc>
          <w:tcPr>
            <w:tcW w:w="1116" w:type="dxa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HR — Човешки ресурси и сигурност (включително OIL (Служба за инфраструктура и логистика в Люксембург) + </w:t>
            </w:r>
            <w:r>
              <w:rPr>
                <w:noProof/>
                <w:sz w:val="18"/>
                <w:szCs w:val="18"/>
              </w:rPr>
              <w:t>PMO (Служба за управление и плащане по индивидуални права)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3,01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4,17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1,69 </w:t>
            </w:r>
          </w:p>
        </w:tc>
        <w:tc>
          <w:tcPr>
            <w:tcW w:w="1116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2,68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IAS – Служба за вътрешен одит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0,05 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JRC — Съвместен изследователски център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0,25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0,19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JUST — Правосъдие и потребители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3,26 </w:t>
            </w:r>
          </w:p>
        </w:tc>
        <w:tc>
          <w:tcPr>
            <w:tcW w:w="1093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6,10 </w:t>
            </w:r>
          </w:p>
        </w:tc>
        <w:tc>
          <w:tcPr>
            <w:tcW w:w="1116" w:type="dxa"/>
            <w:shd w:val="clear" w:color="auto" w:fill="FFFFFF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5,35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MARE — Морско дело и рибарство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0,66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1,42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1,00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MOVE — Мобилност и транспорт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4,67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4,27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3,05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5,02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NEAR — Политика за съседство и преговори за разширяване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2,19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1,92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2,71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OIB — Служба за инфраструктура и логистика в Брюксел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0,08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OLAF — Европейска служба за борба с измамите</w:t>
            </w:r>
            <w:r>
              <w:rPr>
                <w:rStyle w:val="FootnoteReference"/>
                <w:noProof/>
                <w:sz w:val="18"/>
                <w:szCs w:val="18"/>
              </w:rPr>
              <w:footnoteReference w:id="5"/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0,33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0,37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0,34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 — Служба за публикации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0,10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0,13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REGIO — Регионална и селищна политика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1,73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1,36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0,67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RTD — Научни изследвания и иновации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1,43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1,97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2,37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1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SANTE — Здравеопазване и безопасност на храните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8,01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7,93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10,17 </w:t>
            </w:r>
          </w:p>
        </w:tc>
        <w:tc>
          <w:tcPr>
            <w:tcW w:w="1116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6,02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SCIC — Устни преводи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0,07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0,02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SG — Генерален секретариат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8,62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5,84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6,78 </w:t>
            </w:r>
          </w:p>
        </w:tc>
        <w:tc>
          <w:tcPr>
            <w:tcW w:w="1116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SJ — Правна служба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3,65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3,69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4,41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3,34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TAXUD — Данъчно облагане и митнически съюз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4,18 </w:t>
            </w:r>
          </w:p>
        </w:tc>
        <w:tc>
          <w:tcPr>
            <w:tcW w:w="1093" w:type="dxa"/>
            <w:shd w:val="clear" w:color="auto" w:fill="C6D9F1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4,86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6,10 </w:t>
            </w:r>
          </w:p>
        </w:tc>
        <w:tc>
          <w:tcPr>
            <w:tcW w:w="1116" w:type="dxa"/>
            <w:shd w:val="clear" w:color="auto" w:fill="C6D9F1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5,69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TF 50 — Работна група (Брексит)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0,42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0,67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TRADE — Търговия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4,03 </w:t>
            </w:r>
          </w:p>
        </w:tc>
        <w:tc>
          <w:tcPr>
            <w:tcW w:w="1093" w:type="dxa"/>
            <w:shd w:val="clear" w:color="auto" w:fill="B8CCE4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4,24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B8CCE4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2,03 </w:t>
            </w:r>
          </w:p>
        </w:tc>
        <w:tc>
          <w:tcPr>
            <w:tcW w:w="1116" w:type="dxa"/>
            <w:shd w:val="clear" w:color="auto" w:fill="B8CCE4"/>
            <w:vAlign w:val="center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1,34 </w:t>
            </w:r>
          </w:p>
        </w:tc>
      </w:tr>
      <w:tr w:rsidR="00500A7B">
        <w:trPr>
          <w:trHeight w:val="300"/>
        </w:trPr>
        <w:tc>
          <w:tcPr>
            <w:tcW w:w="5117" w:type="dxa"/>
            <w:shd w:val="clear" w:color="auto" w:fill="auto"/>
          </w:tcPr>
          <w:p w:rsidR="00500A7B" w:rsidRDefault="00833EE8">
            <w:pPr>
              <w:pStyle w:val="Text1"/>
              <w:ind w:left="11"/>
              <w:jc w:val="left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Общо (%)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1093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12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500A7B" w:rsidRDefault="00500A7B">
            <w:pPr>
              <w:pStyle w:val="Text1"/>
              <w:spacing w:after="0"/>
              <w:ind w:left="12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  <w:tc>
          <w:tcPr>
            <w:tcW w:w="1116" w:type="dxa"/>
            <w:shd w:val="clear" w:color="auto" w:fill="auto"/>
          </w:tcPr>
          <w:p w:rsidR="00500A7B" w:rsidRDefault="00833EE8">
            <w:pPr>
              <w:pStyle w:val="Text1"/>
              <w:spacing w:after="0"/>
              <w:ind w:left="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</w:rPr>
              <w:t xml:space="preserve">100 </w:t>
            </w:r>
          </w:p>
        </w:tc>
      </w:tr>
    </w:tbl>
    <w:p w:rsidR="00500A7B" w:rsidRDefault="00500A7B">
      <w:pPr>
        <w:pStyle w:val="Annexetitre"/>
        <w:spacing w:before="0" w:after="0"/>
        <w:rPr>
          <w:rFonts w:ascii="Arial" w:hAnsi="Arial" w:cs="Arial"/>
          <w:b w:val="0"/>
          <w:noProof/>
          <w:sz w:val="22"/>
        </w:rPr>
      </w:pPr>
    </w:p>
    <w:sectPr w:rsidR="00500A7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5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7B" w:rsidRDefault="00833EE8">
      <w:pPr>
        <w:spacing w:before="0" w:after="0"/>
      </w:pPr>
      <w:r>
        <w:separator/>
      </w:r>
    </w:p>
  </w:endnote>
  <w:endnote w:type="continuationSeparator" w:id="0">
    <w:p w:rsidR="00500A7B" w:rsidRDefault="00833E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FooterCoverPage"/>
      <w:rPr>
        <w:rFonts w:ascii="Arial" w:hAnsi="Arial" w:cs="Arial"/>
        <w:b/>
        <w:sz w:val="48"/>
      </w:rPr>
    </w:pPr>
    <w:r w:rsidRPr="00833EE8">
      <w:rPr>
        <w:rFonts w:ascii="Arial" w:hAnsi="Arial" w:cs="Arial"/>
        <w:b/>
        <w:sz w:val="48"/>
      </w:rPr>
      <w:t>BG</w:t>
    </w:r>
    <w:r w:rsidRPr="00833EE8">
      <w:rPr>
        <w:rFonts w:ascii="Arial" w:hAnsi="Arial" w:cs="Arial"/>
        <w:b/>
        <w:sz w:val="48"/>
      </w:rPr>
      <w:tab/>
    </w:r>
    <w:r w:rsidRPr="00833EE8">
      <w:rPr>
        <w:rFonts w:ascii="Arial" w:hAnsi="Arial" w:cs="Arial"/>
        <w:b/>
        <w:sz w:val="48"/>
      </w:rPr>
      <w:tab/>
    </w:r>
    <w:r w:rsidRPr="00833EE8">
      <w:tab/>
    </w:r>
    <w:r w:rsidRPr="00833EE8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500A7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833E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00A7B" w:rsidRDefault="00500A7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833E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00A7B" w:rsidRDefault="0050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7B" w:rsidRDefault="00833EE8">
      <w:pPr>
        <w:spacing w:before="0" w:after="0"/>
      </w:pPr>
      <w:r>
        <w:separator/>
      </w:r>
    </w:p>
  </w:footnote>
  <w:footnote w:type="continuationSeparator" w:id="0">
    <w:p w:rsidR="00500A7B" w:rsidRDefault="00833EE8">
      <w:pPr>
        <w:spacing w:before="0" w:after="0"/>
      </w:pPr>
      <w:r>
        <w:continuationSeparator/>
      </w:r>
    </w:p>
  </w:footnote>
  <w:footnote w:id="1">
    <w:p w:rsidR="00500A7B" w:rsidRDefault="00833EE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</w:r>
      <w:r>
        <w:t xml:space="preserve">Едно заявление може да се отнася до няколко документа и съответно може да доведе до няколко различни отговора. От друга страна, в някои случаи няколко заявления могат да бъдат групирани заедно и да доведат до само един отговор. Този брой включва също така </w:t>
      </w:r>
      <w:r>
        <w:t xml:space="preserve">отговори, когато Европейската комисия потвърждава, че не държи никой от поисканите документи. </w:t>
      </w:r>
    </w:p>
  </w:footnote>
  <w:footnote w:id="2">
    <w:p w:rsidR="00500A7B" w:rsidRDefault="00833EE8">
      <w:pPr>
        <w:pStyle w:val="FootnoteText"/>
        <w:ind w:left="284" w:hanging="284"/>
      </w:pPr>
      <w:r>
        <w:rPr>
          <w:vertAlign w:val="superscript"/>
        </w:rPr>
        <w:footnoteRef/>
      </w:r>
      <w:r>
        <w:t xml:space="preserve"> </w:t>
      </w:r>
      <w:r>
        <w:tab/>
        <w:t xml:space="preserve">Тази категория вече не се използва, тъй като не представлява изключение по смисъла на член 4 от Регламент 1049/2001. Категорията все още се посочва, тъй като </w:t>
      </w:r>
      <w:r>
        <w:t>необработените данни не дават във всички случаи възможност за разглеждане в съответствие с изключенията по член 4 от Регламент № 1049/2001.</w:t>
      </w:r>
    </w:p>
  </w:footnote>
  <w:footnote w:id="3">
    <w:p w:rsidR="00500A7B" w:rsidRDefault="00833EE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Тази категория се появява в статистическите данни, тъй като в случаите, когато първоначалното заявление не е било</w:t>
      </w:r>
      <w:r>
        <w:t xml:space="preserve"> подадено чрез онлайн инструмента, кодът му е бил въведен ръчно и в някои случаи поради техническа грешка държавата на заявителя не е била посочена в информационната система, използвана за управление на достъпа до преписките с документи (GestDem).</w:t>
      </w:r>
    </w:p>
  </w:footnote>
  <w:footnote w:id="4">
    <w:p w:rsidR="00500A7B" w:rsidRDefault="00833EE8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След с</w:t>
      </w:r>
      <w:r>
        <w:t>ъздаването на Европейската служба за външна дейност (ЕСВД) единствено документите на Службата за инструментите в областта на външната политика останаха в рамките на Европейската комисия.</w:t>
      </w:r>
    </w:p>
  </w:footnote>
  <w:footnote w:id="5">
    <w:p w:rsidR="00500A7B" w:rsidRDefault="00833EE8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>Данните за Европейската служба за борба с измамите (OLAF) се отнас</w:t>
      </w:r>
      <w:r>
        <w:t>ят до заявленията за достъп до документи във връзка с нейните административни дейности, които са регистрирани в същата информационна система, използвана и от други служби на Европейската комисия (GestDem). Заявленията за достъп до документи, свързани с дей</w:t>
      </w:r>
      <w:r>
        <w:t>ностите по разследване на OLAF, не са предмет на настоящия доклад.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E8" w:rsidRPr="00833EE8" w:rsidRDefault="00833EE8" w:rsidP="00833EE8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500A7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500A7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A7B" w:rsidRDefault="00500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FB1"/>
    <w:multiLevelType w:val="multilevel"/>
    <w:tmpl w:val="30847FD6"/>
    <w:lvl w:ilvl="0">
      <w:start w:val="1"/>
      <w:numFmt w:val="decimal"/>
      <w:lvlRestart w:val="0"/>
      <w:pStyle w:val="ListNumber4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5E43525"/>
    <w:multiLevelType w:val="multilevel"/>
    <w:tmpl w:val="76202BFE"/>
    <w:lvl w:ilvl="0">
      <w:start w:val="1"/>
      <w:numFmt w:val="decimal"/>
      <w:lvlRestart w:val="0"/>
      <w:pStyle w:val="ListNumber3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2DD5905"/>
    <w:multiLevelType w:val="singleLevel"/>
    <w:tmpl w:val="6CB4B73E"/>
    <w:name w:val="List Bullet 2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4" w15:restartNumberingAfterBreak="0">
    <w:nsid w:val="22E44180"/>
    <w:multiLevelType w:val="multilevel"/>
    <w:tmpl w:val="107007B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E930D7"/>
    <w:multiLevelType w:val="multilevel"/>
    <w:tmpl w:val="EFD2E05E"/>
    <w:lvl w:ilvl="0">
      <w:start w:val="1"/>
      <w:numFmt w:val="decimal"/>
      <w:lvlRestart w:val="0"/>
      <w:pStyle w:val="ListNumber2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2AF76E7A"/>
    <w:multiLevelType w:val="singleLevel"/>
    <w:tmpl w:val="C74C5A32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7" w15:restartNumberingAfterBreak="0">
    <w:nsid w:val="3A5459E8"/>
    <w:multiLevelType w:val="singleLevel"/>
    <w:tmpl w:val="2188C922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3BA736C9"/>
    <w:multiLevelType w:val="singleLevel"/>
    <w:tmpl w:val="F00A6C0C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3C90278F"/>
    <w:multiLevelType w:val="singleLevel"/>
    <w:tmpl w:val="0FE0897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0" w15:restartNumberingAfterBreak="0">
    <w:nsid w:val="3E191884"/>
    <w:multiLevelType w:val="singleLevel"/>
    <w:tmpl w:val="3020C764"/>
    <w:name w:val="List Bullet 3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1" w15:restartNumberingAfterBreak="0">
    <w:nsid w:val="40315490"/>
    <w:multiLevelType w:val="singleLevel"/>
    <w:tmpl w:val="1F86C700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8842C30"/>
    <w:multiLevelType w:val="singleLevel"/>
    <w:tmpl w:val="4FA60B9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4" w15:restartNumberingAfterBreak="0">
    <w:nsid w:val="54593082"/>
    <w:multiLevelType w:val="singleLevel"/>
    <w:tmpl w:val="EDE069AC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68864DC"/>
    <w:multiLevelType w:val="singleLevel"/>
    <w:tmpl w:val="485EBDA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596D67A1"/>
    <w:multiLevelType w:val="singleLevel"/>
    <w:tmpl w:val="9AC8831A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7" w15:restartNumberingAfterBreak="0">
    <w:nsid w:val="5F342530"/>
    <w:multiLevelType w:val="singleLevel"/>
    <w:tmpl w:val="D5444702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5F8C3B69"/>
    <w:multiLevelType w:val="multilevel"/>
    <w:tmpl w:val="9B14DAA8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F9C40AA"/>
    <w:multiLevelType w:val="singleLevel"/>
    <w:tmpl w:val="B89CB5A2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62970F71"/>
    <w:multiLevelType w:val="singleLevel"/>
    <w:tmpl w:val="5AFA8C72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64A12FA4"/>
    <w:multiLevelType w:val="multilevel"/>
    <w:tmpl w:val="D8BC42BC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50"/>
      </w:p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85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3" w15:restartNumberingAfterBreak="0">
    <w:nsid w:val="69995580"/>
    <w:multiLevelType w:val="singleLevel"/>
    <w:tmpl w:val="75CC7CBA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4" w15:restartNumberingAfterBreak="0">
    <w:nsid w:val="6A6901C1"/>
    <w:multiLevelType w:val="singleLevel"/>
    <w:tmpl w:val="208841AE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5" w15:restartNumberingAfterBreak="0">
    <w:nsid w:val="6D2B5511"/>
    <w:multiLevelType w:val="singleLevel"/>
    <w:tmpl w:val="74A09970"/>
    <w:name w:val="List Bullet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5C26F71"/>
    <w:multiLevelType w:val="multilevel"/>
    <w:tmpl w:val="E01E770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9" w15:restartNumberingAfterBreak="0">
    <w:nsid w:val="79C96D36"/>
    <w:multiLevelType w:val="multilevel"/>
    <w:tmpl w:val="BE983CE4"/>
    <w:name w:val="0,9488446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  <w:rPr>
        <w:rFonts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  <w:rPr>
        <w:rFonts w:cs="Times New Roman"/>
      </w:rPr>
    </w:lvl>
    <w:lvl w:ilvl="2">
      <w:start w:val="1"/>
      <w:numFmt w:val="bullet"/>
      <w:pStyle w:val="ListNumber1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0lett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1lett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31" w15:restartNumberingAfterBreak="0">
    <w:nsid w:val="7D8820A0"/>
    <w:multiLevelType w:val="singleLevel"/>
    <w:tmpl w:val="54F6C7B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2" w15:restartNumberingAfterBreak="0">
    <w:nsid w:val="7F7154E1"/>
    <w:multiLevelType w:val="singleLevel"/>
    <w:tmpl w:val="E3F6D2C6"/>
    <w:name w:val="List Bullet 4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8"/>
  </w:num>
  <w:num w:numId="11">
    <w:abstractNumId w:val="7"/>
  </w:num>
  <w:num w:numId="12">
    <w:abstractNumId w:val="20"/>
  </w:num>
  <w:num w:numId="13">
    <w:abstractNumId w:val="9"/>
  </w:num>
  <w:num w:numId="14">
    <w:abstractNumId w:val="15"/>
  </w:num>
  <w:num w:numId="15">
    <w:abstractNumId w:val="18"/>
  </w:num>
  <w:num w:numId="16">
    <w:abstractNumId w:val="29"/>
  </w:num>
  <w:num w:numId="17">
    <w:abstractNumId w:val="5"/>
  </w:num>
  <w:num w:numId="18">
    <w:abstractNumId w:val="1"/>
  </w:num>
  <w:num w:numId="19">
    <w:abstractNumId w:val="0"/>
  </w:num>
  <w:num w:numId="20">
    <w:abstractNumId w:val="25"/>
  </w:num>
  <w:num w:numId="21">
    <w:abstractNumId w:val="24"/>
  </w:num>
  <w:num w:numId="22">
    <w:abstractNumId w:val="2"/>
  </w:num>
  <w:num w:numId="23">
    <w:abstractNumId w:val="10"/>
  </w:num>
  <w:num w:numId="24">
    <w:abstractNumId w:val="32"/>
  </w:num>
  <w:num w:numId="25">
    <w:abstractNumId w:val="11"/>
  </w:num>
  <w:num w:numId="26">
    <w:abstractNumId w:val="21"/>
  </w:num>
  <w:num w:numId="27">
    <w:abstractNumId w:val="16"/>
  </w:num>
  <w:num w:numId="28">
    <w:abstractNumId w:val="28"/>
  </w:num>
  <w:num w:numId="29">
    <w:abstractNumId w:val="31"/>
  </w:num>
  <w:num w:numId="30">
    <w:abstractNumId w:val="12"/>
    <w:lvlOverride w:ilvl="0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27"/>
  </w:num>
  <w:num w:numId="41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C439F7A-E01E-4FD2-8036-5BC39FE1BE7E"/>
    <w:docVar w:name="LW_COVERPAGE_TYPE" w:val="1"/>
    <w:docVar w:name="LW_CROSSREFERENCE" w:val="&lt;UNUSED&gt;"/>
    <w:docVar w:name="LW_DocType" w:val="NORMAL"/>
    <w:docVar w:name="LW_EMISSION" w:val="3.10.2018"/>
    <w:docVar w:name="LW_EMISSION_ISODATE" w:val="2018-10-03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7?\u1088?\u1080?\u1083?\u1072?\u1075?\u1072?\u1085?\u1077?\u1090?\u1086? \u1087?\u1088?\u1077?\u1079? 2017 \u1075?. \u1085?\u1072? \u1056?\u1077?\u1075?\u1083?\u1072?\u1084?\u1077?\u1085?\u1090? (\u1045?\u1054?) \u8470? 1049/2001 \u1086?\u1090?\u1085?\u1086?\u1089?\u1085?\u1086? \u1087?\u1091?\u1073?\u1083?\u1080?\u1095?\u1085?\u1080?\u1103? \u1076?\u1086?\u1089?\u1090?\u1098?\u1087? \u1076?\u1086? \u1076?\u1086?\u1082?\u1091?\u1084?\u1077?\u1085?\u1090?\u1080? \u1085?\u1072? \u1045?\u1074?\u1088?\u1086?\u1087?\u1077?\u1081?\u1089?\u1082?\u1080?\u1103? \u1087?\u1072?\u1088?\u1083?\u1072?\u1084?\u1077?\u1085?\u1090?, \u1085?\u1072? \u1057?\u1098?\u1074?\u1077?\u1090?\u1072? \u1080? \u1085?\u1072? \u1050?\u1086?\u1084?\u1080?\u1089?\u1080?\u1103?\u1090?\u1072? 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6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"/>
  </w:docVars>
  <w:rsids>
    <w:rsidRoot w:val="00500A7B"/>
    <w:rsid w:val="00500A7B"/>
    <w:rsid w:val="008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3DCD083D-2F49-4C31-A5AE-D3E556D6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7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7"/>
      </w:numPr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numPr>
        <w:ilvl w:val="2"/>
        <w:numId w:val="7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7"/>
      </w:numPr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b/>
      <w:bCs/>
      <w:smallCaps/>
      <w:sz w:val="24"/>
      <w:szCs w:val="32"/>
      <w:lang w:eastAsia="bg-BG"/>
    </w:rPr>
  </w:style>
  <w:style w:type="character" w:customStyle="1" w:styleId="Heading2Char">
    <w:name w:val="Heading 2 Char"/>
    <w:link w:val="Heading2"/>
    <w:uiPriority w:val="9"/>
    <w:rPr>
      <w:b/>
      <w:bCs/>
      <w:iCs/>
      <w:sz w:val="24"/>
      <w:szCs w:val="28"/>
      <w:lang w:eastAsia="bg-BG"/>
    </w:rPr>
  </w:style>
  <w:style w:type="character" w:customStyle="1" w:styleId="Heading3Char">
    <w:name w:val="Heading 3 Char"/>
    <w:link w:val="Heading3"/>
    <w:uiPriority w:val="9"/>
    <w:rPr>
      <w:bCs/>
      <w:i/>
      <w:sz w:val="24"/>
      <w:szCs w:val="26"/>
      <w:lang w:eastAsia="bg-BG"/>
    </w:rPr>
  </w:style>
  <w:style w:type="character" w:customStyle="1" w:styleId="Heading4Char">
    <w:name w:val="Heading 4 Char"/>
    <w:link w:val="Heading4"/>
    <w:uiPriority w:val="9"/>
    <w:rPr>
      <w:bCs/>
      <w:sz w:val="24"/>
      <w:szCs w:val="28"/>
      <w:lang w:eastAsia="bg-BG"/>
    </w:rPr>
  </w:style>
  <w:style w:type="paragraph" w:customStyle="1" w:styleId="Accompagnant">
    <w:name w:val="Accompagnant"/>
    <w:basedOn w:val="Normal"/>
    <w:next w:val="Normal"/>
    <w:pPr>
      <w:spacing w:before="0" w:after="240"/>
      <w:jc w:val="center"/>
    </w:pPr>
    <w:rPr>
      <w:b/>
      <w:i/>
    </w:rPr>
  </w:style>
  <w:style w:type="paragraph" w:customStyle="1" w:styleId="AccompagnantPagedecouverture">
    <w:name w:val="Accompagnant (Page de couverture)"/>
    <w:basedOn w:val="Accompagnant"/>
    <w:next w:val="Normal"/>
  </w:style>
  <w:style w:type="character" w:customStyle="1" w:styleId="Added">
    <w:name w:val="Added"/>
    <w:rPr>
      <w:b/>
      <w:u w:val="single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Normal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Bullet0">
    <w:name w:val="Bullet 0"/>
    <w:basedOn w:val="Normal"/>
    <w:pPr>
      <w:numPr>
        <w:numId w:val="1"/>
      </w:numPr>
    </w:pPr>
  </w:style>
  <w:style w:type="paragraph" w:customStyle="1" w:styleId="Bullet1">
    <w:name w:val="Bullet 1"/>
    <w:basedOn w:val="Normal"/>
    <w:pPr>
      <w:numPr>
        <w:numId w:val="2"/>
      </w:numPr>
    </w:pPr>
  </w:style>
  <w:style w:type="paragraph" w:customStyle="1" w:styleId="Bullet2">
    <w:name w:val="Bullet 2"/>
    <w:basedOn w:val="Normal"/>
    <w:pPr>
      <w:numPr>
        <w:numId w:val="3"/>
      </w:numPr>
    </w:pPr>
  </w:style>
  <w:style w:type="paragraph" w:customStyle="1" w:styleId="Bullet3">
    <w:name w:val="Bullet 3"/>
    <w:basedOn w:val="Normal"/>
    <w:pPr>
      <w:numPr>
        <w:numId w:val="4"/>
      </w:numPr>
    </w:pPr>
  </w:style>
  <w:style w:type="paragraph" w:customStyle="1" w:styleId="Bullet4">
    <w:name w:val="Bullet 4"/>
    <w:basedOn w:val="Normal"/>
    <w:pPr>
      <w:numPr>
        <w:numId w:val="5"/>
      </w:numPr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Normal"/>
    <w:pPr>
      <w:spacing w:before="240" w:after="240"/>
      <w:ind w:left="5103"/>
    </w:pPr>
    <w:rPr>
      <w:u w:val="single"/>
    </w:rPr>
  </w:style>
  <w:style w:type="paragraph" w:customStyle="1" w:styleId="Considrant">
    <w:name w:val="Considérant"/>
    <w:basedOn w:val="Normal"/>
    <w:pPr>
      <w:numPr>
        <w:numId w:val="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Normal"/>
    <w:pPr>
      <w:spacing w:before="360" w:after="0"/>
      <w:jc w:val="center"/>
    </w:pPr>
    <w:rPr>
      <w:b/>
    </w:rPr>
  </w:style>
  <w:style w:type="paragraph" w:customStyle="1" w:styleId="DatedadoptionPagedecouverture">
    <w:name w:val="Date d'adoption (Page de couverture)"/>
    <w:basedOn w:val="Datedadoption"/>
    <w:next w:val="Normal"/>
  </w:style>
  <w:style w:type="character" w:customStyle="1" w:styleId="Deleted">
    <w:name w:val="Deleted"/>
    <w:rPr>
      <w:strike/>
      <w:shd w:val="clear" w:color="auto" w:fill="auto"/>
    </w:rPr>
  </w:style>
  <w:style w:type="paragraph" w:customStyle="1" w:styleId="Emission">
    <w:name w:val="Emission"/>
    <w:basedOn w:val="Normal"/>
    <w:next w:val="Normal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Normal"/>
    <w:pPr>
      <w:keepNext/>
      <w:spacing w:after="0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szCs w:val="22"/>
    </w:rPr>
  </w:style>
  <w:style w:type="character" w:customStyle="1" w:styleId="FooterChar">
    <w:name w:val="Footer Char"/>
    <w:link w:val="Footer"/>
    <w:uiPriority w:val="99"/>
    <w:rPr>
      <w:rFonts w:eastAsia="Calibri"/>
      <w:sz w:val="24"/>
      <w:szCs w:val="22"/>
      <w:lang w:eastAsia="bg-BG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="Calibri"/>
      <w:szCs w:val="22"/>
    </w:rPr>
  </w:style>
  <w:style w:type="character" w:styleId="FootnoteReference">
    <w:name w:val="footnote reference"/>
    <w:uiPriority w:val="99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eastAsia="bg-BG"/>
    </w:r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="Calibri"/>
      <w:szCs w:val="22"/>
    </w:rPr>
  </w:style>
  <w:style w:type="character" w:customStyle="1" w:styleId="HeaderChar">
    <w:name w:val="Header Char"/>
    <w:link w:val="Header"/>
    <w:uiPriority w:val="99"/>
    <w:rPr>
      <w:rFonts w:eastAsia="Calibri"/>
      <w:sz w:val="24"/>
      <w:szCs w:val="22"/>
      <w:lang w:eastAsia="bg-BG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="Calibri"/>
      <w:szCs w:val="22"/>
    </w:r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Normal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IntrtEEEPagedecouverture">
    <w:name w:val="Intérêt EEE (Page de couverture)"/>
    <w:basedOn w:val="IntrtEEE"/>
    <w:next w:val="Normal"/>
  </w:style>
  <w:style w:type="paragraph" w:customStyle="1" w:styleId="Langue">
    <w:name w:val="Langue"/>
    <w:basedOn w:val="Normal"/>
    <w:next w:val="Normal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Normal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Normal"/>
    <w:pPr>
      <w:keepNext/>
      <w:tabs>
        <w:tab w:val="left" w:pos="850"/>
      </w:tabs>
      <w:ind w:left="850" w:hanging="850"/>
      <w:outlineLvl w:val="3"/>
    </w:pPr>
  </w:style>
  <w:style w:type="paragraph" w:customStyle="1" w:styleId="ManualNumPar1">
    <w:name w:val="Manual NumPar 1"/>
    <w:basedOn w:val="Normal"/>
    <w:next w:val="Normal"/>
    <w:pPr>
      <w:ind w:left="850" w:hanging="850"/>
    </w:pPr>
  </w:style>
  <w:style w:type="paragraph" w:customStyle="1" w:styleId="ManualNumPar2">
    <w:name w:val="Manual NumPar 2"/>
    <w:basedOn w:val="Normal"/>
    <w:next w:val="Normal"/>
    <w:pPr>
      <w:ind w:left="850" w:hanging="850"/>
    </w:pPr>
  </w:style>
  <w:style w:type="paragraph" w:customStyle="1" w:styleId="ManualNumPar3">
    <w:name w:val="Manual NumPar 3"/>
    <w:basedOn w:val="Normal"/>
    <w:next w:val="Normal"/>
    <w:pPr>
      <w:ind w:left="850" w:hanging="850"/>
    </w:pPr>
  </w:style>
  <w:style w:type="paragraph" w:customStyle="1" w:styleId="ManualNumPar4">
    <w:name w:val="Manual NumPar 4"/>
    <w:basedOn w:val="Normal"/>
    <w:next w:val="Normal"/>
    <w:pPr>
      <w:ind w:left="850" w:hanging="850"/>
    </w:pPr>
  </w:style>
  <w:style w:type="character" w:customStyle="1" w:styleId="Marker">
    <w:name w:val="Marker"/>
    <w:rPr>
      <w:color w:val="0000FF"/>
      <w:shd w:val="clear" w:color="auto" w:fill="auto"/>
    </w:rPr>
  </w:style>
  <w:style w:type="character" w:customStyle="1" w:styleId="Marker1">
    <w:name w:val="Marker1"/>
    <w:rPr>
      <w:color w:val="008000"/>
      <w:shd w:val="clear" w:color="auto" w:fill="auto"/>
    </w:rPr>
  </w:style>
  <w:style w:type="character" w:customStyle="1" w:styleId="Marker2">
    <w:name w:val="Marker2"/>
    <w:rPr>
      <w:color w:val="FF0000"/>
      <w:shd w:val="clear" w:color="auto" w:fill="auto"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NumPar1">
    <w:name w:val="NumPar 1"/>
    <w:basedOn w:val="Normal"/>
    <w:next w:val="Normal"/>
    <w:pPr>
      <w:numPr>
        <w:numId w:val="8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8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8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8"/>
      </w:numPr>
    </w:pPr>
  </w:style>
  <w:style w:type="paragraph" w:customStyle="1" w:styleId="Objetacteprincipal">
    <w:name w:val="Objet acte principal"/>
    <w:basedOn w:val="Normal"/>
    <w:next w:val="Normal"/>
    <w:pPr>
      <w:spacing w:before="0" w:after="360"/>
      <w:jc w:val="center"/>
    </w:pPr>
    <w:rPr>
      <w:b/>
    </w:rPr>
  </w:style>
  <w:style w:type="paragraph" w:customStyle="1" w:styleId="ObjetacteprincipalPagedecouverture">
    <w:name w:val="Objet acte principal (Page de couverture)"/>
    <w:basedOn w:val="Objetacteprincipal"/>
    <w:next w:val="Normal"/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0letter">
    <w:name w:val="Point 0 (letter)"/>
    <w:basedOn w:val="Normal"/>
    <w:pPr>
      <w:numPr>
        <w:ilvl w:val="1"/>
        <w:numId w:val="9"/>
      </w:numPr>
    </w:pPr>
  </w:style>
  <w:style w:type="paragraph" w:customStyle="1" w:styleId="Point0number">
    <w:name w:val="Point 0 (number)"/>
    <w:basedOn w:val="Normal"/>
    <w:pPr>
      <w:numPr>
        <w:numId w:val="9"/>
      </w:numPr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1letter">
    <w:name w:val="Point 1 (letter)"/>
    <w:basedOn w:val="Normal"/>
    <w:pPr>
      <w:numPr>
        <w:ilvl w:val="3"/>
        <w:numId w:val="9"/>
      </w:numPr>
    </w:pPr>
  </w:style>
  <w:style w:type="paragraph" w:customStyle="1" w:styleId="Point1number">
    <w:name w:val="Point 1 (number)"/>
    <w:basedOn w:val="Normal"/>
    <w:pPr>
      <w:numPr>
        <w:ilvl w:val="2"/>
        <w:numId w:val="9"/>
      </w:numPr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2letter">
    <w:name w:val="Point 2 (letter)"/>
    <w:basedOn w:val="Normal"/>
    <w:pPr>
      <w:numPr>
        <w:ilvl w:val="5"/>
        <w:numId w:val="9"/>
      </w:numPr>
    </w:pPr>
  </w:style>
  <w:style w:type="paragraph" w:customStyle="1" w:styleId="Point2number">
    <w:name w:val="Point 2 (number)"/>
    <w:basedOn w:val="Normal"/>
    <w:pPr>
      <w:tabs>
        <w:tab w:val="num" w:pos="1984"/>
      </w:tabs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3letter">
    <w:name w:val="Point 3 (letter)"/>
    <w:basedOn w:val="Normal"/>
    <w:pPr>
      <w:numPr>
        <w:ilvl w:val="7"/>
        <w:numId w:val="9"/>
      </w:numPr>
    </w:pPr>
  </w:style>
  <w:style w:type="paragraph" w:customStyle="1" w:styleId="Point3number">
    <w:name w:val="Point 3 (number)"/>
    <w:basedOn w:val="Normal"/>
    <w:pPr>
      <w:tabs>
        <w:tab w:val="num" w:pos="2551"/>
      </w:tabs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Point4letter">
    <w:name w:val="Point 4 (letter)"/>
    <w:basedOn w:val="Normal"/>
    <w:pPr>
      <w:numPr>
        <w:ilvl w:val="8"/>
        <w:numId w:val="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spacing w:before="0" w:after="0"/>
      <w:ind w:left="5103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">
    <w:name w:val="Statut"/>
    <w:basedOn w:val="Normal"/>
    <w:next w:val="Normal"/>
    <w:pPr>
      <w:spacing w:before="360" w:after="0"/>
      <w:jc w:val="center"/>
    </w:pPr>
  </w:style>
  <w:style w:type="paragraph" w:customStyle="1" w:styleId="StatutPagedecouverture">
    <w:name w:val="Statut (Page de couverture)"/>
    <w:basedOn w:val="Statut"/>
    <w:next w:val="Normal"/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TOC1">
    <w:name w:val="toc 1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pPr>
      <w:tabs>
        <w:tab w:val="right" w:leader="dot" w:pos="9071"/>
      </w:tabs>
    </w:pPr>
  </w:style>
  <w:style w:type="paragraph" w:styleId="TOCHeading">
    <w:name w:val="TOC Heading"/>
    <w:basedOn w:val="Normal"/>
    <w:next w:val="Normal"/>
    <w:uiPriority w:val="39"/>
    <w:qFormat/>
    <w:pPr>
      <w:spacing w:after="240"/>
      <w:jc w:val="center"/>
    </w:pPr>
    <w:rPr>
      <w:b/>
      <w:sz w:val="28"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styleId="ListBullet">
    <w:name w:val="List Bullet"/>
    <w:basedOn w:val="Normal"/>
    <w:uiPriority w:val="99"/>
    <w:pPr>
      <w:numPr>
        <w:numId w:val="20"/>
      </w:numPr>
    </w:pPr>
    <w:rPr>
      <w:szCs w:val="22"/>
    </w:rPr>
  </w:style>
  <w:style w:type="paragraph" w:styleId="ListBullet2">
    <w:name w:val="List Bullet 2"/>
    <w:basedOn w:val="Normal"/>
    <w:uiPriority w:val="99"/>
    <w:pPr>
      <w:numPr>
        <w:numId w:val="22"/>
      </w:numPr>
    </w:pPr>
    <w:rPr>
      <w:szCs w:val="22"/>
    </w:rPr>
  </w:style>
  <w:style w:type="paragraph" w:styleId="ListBullet3">
    <w:name w:val="List Bullet 3"/>
    <w:basedOn w:val="Normal"/>
    <w:uiPriority w:val="99"/>
    <w:pPr>
      <w:numPr>
        <w:numId w:val="23"/>
      </w:numPr>
    </w:pPr>
    <w:rPr>
      <w:szCs w:val="22"/>
    </w:rPr>
  </w:style>
  <w:style w:type="paragraph" w:styleId="ListBullet4">
    <w:name w:val="List Bullet 4"/>
    <w:basedOn w:val="Normal"/>
    <w:uiPriority w:val="99"/>
    <w:pPr>
      <w:numPr>
        <w:numId w:val="24"/>
      </w:numPr>
    </w:pPr>
    <w:rPr>
      <w:szCs w:val="22"/>
    </w:rPr>
  </w:style>
  <w:style w:type="paragraph" w:styleId="ListNumber">
    <w:name w:val="List Number"/>
    <w:basedOn w:val="Normal"/>
    <w:uiPriority w:val="99"/>
    <w:pPr>
      <w:numPr>
        <w:numId w:val="15"/>
      </w:numPr>
    </w:pPr>
    <w:rPr>
      <w:szCs w:val="22"/>
    </w:rPr>
  </w:style>
  <w:style w:type="paragraph" w:styleId="ListNumber2">
    <w:name w:val="List Number 2"/>
    <w:basedOn w:val="Normal"/>
    <w:uiPriority w:val="99"/>
    <w:pPr>
      <w:numPr>
        <w:numId w:val="17"/>
      </w:numPr>
    </w:pPr>
    <w:rPr>
      <w:szCs w:val="22"/>
    </w:rPr>
  </w:style>
  <w:style w:type="paragraph" w:styleId="ListNumber3">
    <w:name w:val="List Number 3"/>
    <w:basedOn w:val="Normal"/>
    <w:uiPriority w:val="99"/>
    <w:pPr>
      <w:numPr>
        <w:numId w:val="18"/>
      </w:numPr>
    </w:pPr>
    <w:rPr>
      <w:szCs w:val="22"/>
    </w:rPr>
  </w:style>
  <w:style w:type="paragraph" w:styleId="ListNumber4">
    <w:name w:val="List Number 4"/>
    <w:basedOn w:val="Normal"/>
    <w:uiPriority w:val="99"/>
    <w:pPr>
      <w:numPr>
        <w:numId w:val="19"/>
      </w:numPr>
    </w:pPr>
    <w:rPr>
      <w:szCs w:val="22"/>
    </w:rPr>
  </w:style>
  <w:style w:type="paragraph" w:customStyle="1" w:styleId="ListBullet1">
    <w:name w:val="List Bullet 1"/>
    <w:basedOn w:val="Normal"/>
    <w:pPr>
      <w:numPr>
        <w:numId w:val="21"/>
      </w:numPr>
    </w:pPr>
    <w:rPr>
      <w:szCs w:val="22"/>
    </w:rPr>
  </w:style>
  <w:style w:type="paragraph" w:customStyle="1" w:styleId="ListDash">
    <w:name w:val="List Dash"/>
    <w:basedOn w:val="Normal"/>
    <w:pPr>
      <w:numPr>
        <w:numId w:val="25"/>
      </w:numPr>
    </w:pPr>
    <w:rPr>
      <w:szCs w:val="22"/>
    </w:rPr>
  </w:style>
  <w:style w:type="paragraph" w:customStyle="1" w:styleId="ListDash1">
    <w:name w:val="List Dash 1"/>
    <w:basedOn w:val="Normal"/>
    <w:pPr>
      <w:numPr>
        <w:numId w:val="26"/>
      </w:numPr>
    </w:pPr>
    <w:rPr>
      <w:szCs w:val="22"/>
    </w:rPr>
  </w:style>
  <w:style w:type="paragraph" w:customStyle="1" w:styleId="ListDash2">
    <w:name w:val="List Dash 2"/>
    <w:basedOn w:val="Normal"/>
    <w:pPr>
      <w:numPr>
        <w:numId w:val="27"/>
      </w:numPr>
    </w:pPr>
    <w:rPr>
      <w:szCs w:val="22"/>
    </w:rPr>
  </w:style>
  <w:style w:type="paragraph" w:customStyle="1" w:styleId="ListDash3">
    <w:name w:val="List Dash 3"/>
    <w:basedOn w:val="Normal"/>
    <w:pPr>
      <w:numPr>
        <w:numId w:val="28"/>
      </w:numPr>
    </w:pPr>
    <w:rPr>
      <w:szCs w:val="22"/>
    </w:rPr>
  </w:style>
  <w:style w:type="paragraph" w:customStyle="1" w:styleId="ListDash4">
    <w:name w:val="List Dash 4"/>
    <w:basedOn w:val="Normal"/>
    <w:pPr>
      <w:numPr>
        <w:numId w:val="29"/>
      </w:numPr>
    </w:pPr>
    <w:rPr>
      <w:szCs w:val="22"/>
    </w:rPr>
  </w:style>
  <w:style w:type="paragraph" w:customStyle="1" w:styleId="ListNumber1">
    <w:name w:val="List Number 1"/>
    <w:basedOn w:val="Text1"/>
    <w:pPr>
      <w:numPr>
        <w:numId w:val="16"/>
      </w:numPr>
    </w:pPr>
    <w:rPr>
      <w:szCs w:val="22"/>
    </w:rPr>
  </w:style>
  <w:style w:type="paragraph" w:customStyle="1" w:styleId="ListNumberLevel2">
    <w:name w:val="List Number (Level 2)"/>
    <w:basedOn w:val="Normal"/>
    <w:pPr>
      <w:numPr>
        <w:ilvl w:val="1"/>
        <w:numId w:val="15"/>
      </w:numPr>
    </w:pPr>
    <w:rPr>
      <w:szCs w:val="22"/>
    </w:rPr>
  </w:style>
  <w:style w:type="paragraph" w:customStyle="1" w:styleId="ListNumber1Level2">
    <w:name w:val="List Number 1 (Level 2)"/>
    <w:basedOn w:val="Text1"/>
    <w:pPr>
      <w:numPr>
        <w:ilvl w:val="1"/>
        <w:numId w:val="16"/>
      </w:numPr>
    </w:pPr>
    <w:rPr>
      <w:szCs w:val="22"/>
    </w:rPr>
  </w:style>
  <w:style w:type="paragraph" w:customStyle="1" w:styleId="ListNumber2Level2">
    <w:name w:val="List Number 2 (Level 2)"/>
    <w:basedOn w:val="Text2"/>
    <w:pPr>
      <w:numPr>
        <w:ilvl w:val="1"/>
        <w:numId w:val="17"/>
      </w:numPr>
    </w:pPr>
    <w:rPr>
      <w:szCs w:val="22"/>
    </w:rPr>
  </w:style>
  <w:style w:type="paragraph" w:customStyle="1" w:styleId="ListNumber3Level2">
    <w:name w:val="List Number 3 (Level 2)"/>
    <w:basedOn w:val="Text3"/>
    <w:pPr>
      <w:numPr>
        <w:ilvl w:val="1"/>
        <w:numId w:val="18"/>
      </w:numPr>
    </w:pPr>
    <w:rPr>
      <w:szCs w:val="22"/>
    </w:rPr>
  </w:style>
  <w:style w:type="paragraph" w:customStyle="1" w:styleId="ListNumber4Level2">
    <w:name w:val="List Number 4 (Level 2)"/>
    <w:basedOn w:val="Text4"/>
    <w:pPr>
      <w:numPr>
        <w:ilvl w:val="1"/>
        <w:numId w:val="19"/>
      </w:numPr>
    </w:pPr>
    <w:rPr>
      <w:szCs w:val="22"/>
    </w:rPr>
  </w:style>
  <w:style w:type="paragraph" w:customStyle="1" w:styleId="ListNumberLevel3">
    <w:name w:val="List Number (Level 3)"/>
    <w:basedOn w:val="Normal"/>
    <w:pPr>
      <w:numPr>
        <w:ilvl w:val="2"/>
        <w:numId w:val="15"/>
      </w:numPr>
    </w:pPr>
    <w:rPr>
      <w:szCs w:val="22"/>
    </w:rPr>
  </w:style>
  <w:style w:type="paragraph" w:customStyle="1" w:styleId="ListNumber1Level3">
    <w:name w:val="List Number 1 (Level 3)"/>
    <w:basedOn w:val="Text1"/>
    <w:pPr>
      <w:tabs>
        <w:tab w:val="num" w:pos="2977"/>
      </w:tabs>
      <w:ind w:left="2977" w:hanging="709"/>
    </w:pPr>
    <w:rPr>
      <w:szCs w:val="22"/>
    </w:rPr>
  </w:style>
  <w:style w:type="paragraph" w:customStyle="1" w:styleId="ListNumber2Level3">
    <w:name w:val="List Number 2 (Level 3)"/>
    <w:basedOn w:val="Text2"/>
    <w:pPr>
      <w:numPr>
        <w:ilvl w:val="2"/>
        <w:numId w:val="17"/>
      </w:numPr>
    </w:pPr>
    <w:rPr>
      <w:szCs w:val="22"/>
    </w:rPr>
  </w:style>
  <w:style w:type="paragraph" w:customStyle="1" w:styleId="ListNumber3Level3">
    <w:name w:val="List Number 3 (Level 3)"/>
    <w:basedOn w:val="Text3"/>
    <w:pPr>
      <w:numPr>
        <w:ilvl w:val="2"/>
        <w:numId w:val="18"/>
      </w:numPr>
    </w:pPr>
    <w:rPr>
      <w:szCs w:val="22"/>
    </w:rPr>
  </w:style>
  <w:style w:type="paragraph" w:customStyle="1" w:styleId="ListNumber4Level3">
    <w:name w:val="List Number 4 (Level 3)"/>
    <w:basedOn w:val="Text4"/>
    <w:pPr>
      <w:numPr>
        <w:ilvl w:val="2"/>
        <w:numId w:val="19"/>
      </w:numPr>
    </w:pPr>
    <w:rPr>
      <w:szCs w:val="22"/>
    </w:rPr>
  </w:style>
  <w:style w:type="paragraph" w:customStyle="1" w:styleId="ListNumberLevel4">
    <w:name w:val="List Number (Level 4)"/>
    <w:basedOn w:val="Normal"/>
    <w:pPr>
      <w:numPr>
        <w:ilvl w:val="3"/>
        <w:numId w:val="15"/>
      </w:numPr>
    </w:pPr>
    <w:rPr>
      <w:szCs w:val="22"/>
    </w:rPr>
  </w:style>
  <w:style w:type="paragraph" w:customStyle="1" w:styleId="ListNumber1Level4">
    <w:name w:val="List Number 1 (Level 4)"/>
    <w:basedOn w:val="Text1"/>
    <w:pPr>
      <w:numPr>
        <w:ilvl w:val="3"/>
        <w:numId w:val="16"/>
      </w:numPr>
    </w:pPr>
    <w:rPr>
      <w:szCs w:val="22"/>
    </w:rPr>
  </w:style>
  <w:style w:type="paragraph" w:customStyle="1" w:styleId="ListNumber2Level4">
    <w:name w:val="List Number 2 (Level 4)"/>
    <w:basedOn w:val="Text2"/>
    <w:pPr>
      <w:numPr>
        <w:ilvl w:val="3"/>
        <w:numId w:val="17"/>
      </w:numPr>
    </w:pPr>
    <w:rPr>
      <w:szCs w:val="22"/>
    </w:rPr>
  </w:style>
  <w:style w:type="paragraph" w:customStyle="1" w:styleId="ListNumber3Level4">
    <w:name w:val="List Number 3 (Level 4)"/>
    <w:basedOn w:val="Text3"/>
    <w:pPr>
      <w:numPr>
        <w:ilvl w:val="3"/>
        <w:numId w:val="18"/>
      </w:numPr>
    </w:pPr>
    <w:rPr>
      <w:szCs w:val="22"/>
    </w:rPr>
  </w:style>
  <w:style w:type="paragraph" w:customStyle="1" w:styleId="ListNumber4Level4">
    <w:name w:val="List Number 4 (Level 4)"/>
    <w:basedOn w:val="Text4"/>
    <w:pPr>
      <w:numPr>
        <w:ilvl w:val="3"/>
        <w:numId w:val="19"/>
      </w:numPr>
    </w:pPr>
    <w:rPr>
      <w:szCs w:val="22"/>
    </w:rPr>
  </w:style>
  <w:style w:type="paragraph" w:customStyle="1" w:styleId="Rfrenceinterinstitutionelleprliminaire">
    <w:name w:val="Référence interinstitutionelle (préliminaire)"/>
    <w:basedOn w:val="Normal"/>
    <w:next w:val="Normal"/>
    <w:pPr>
      <w:spacing w:before="0" w:after="0"/>
      <w:ind w:left="5103"/>
      <w:jc w:val="left"/>
    </w:pPr>
    <w:rPr>
      <w:szCs w:val="22"/>
    </w:rPr>
  </w:style>
  <w:style w:type="paragraph" w:customStyle="1" w:styleId="Sous-titreobjetprliminaire">
    <w:name w:val="Sous-titre objet (préliminaire)"/>
    <w:basedOn w:val="Normal"/>
    <w:pPr>
      <w:spacing w:before="0" w:after="0"/>
      <w:jc w:val="center"/>
    </w:pPr>
    <w:rPr>
      <w:b/>
      <w:szCs w:val="22"/>
    </w:rPr>
  </w:style>
  <w:style w:type="paragraph" w:customStyle="1" w:styleId="Statutprliminaire">
    <w:name w:val="Statut (préliminaire)"/>
    <w:basedOn w:val="Normal"/>
    <w:next w:val="Normal"/>
    <w:pPr>
      <w:spacing w:before="360" w:after="0"/>
      <w:jc w:val="center"/>
    </w:pPr>
    <w:rPr>
      <w:szCs w:val="22"/>
    </w:rPr>
  </w:style>
  <w:style w:type="paragraph" w:customStyle="1" w:styleId="Titreobjetprliminaire">
    <w:name w:val="Titre objet (préliminaire)"/>
    <w:basedOn w:val="Normal"/>
    <w:next w:val="Normal"/>
    <w:pPr>
      <w:spacing w:before="360" w:after="360"/>
      <w:jc w:val="center"/>
    </w:pPr>
    <w:rPr>
      <w:b/>
      <w:szCs w:val="22"/>
    </w:rPr>
  </w:style>
  <w:style w:type="paragraph" w:customStyle="1" w:styleId="Typedudocumentprliminaire">
    <w:name w:val="Type du document (préliminaire)"/>
    <w:basedOn w:val="Normal"/>
    <w:next w:val="Normal"/>
    <w:pPr>
      <w:spacing w:before="360" w:after="0"/>
      <w:jc w:val="center"/>
    </w:pPr>
    <w:rPr>
      <w:b/>
      <w:szCs w:val="22"/>
    </w:rPr>
  </w:style>
  <w:style w:type="paragraph" w:customStyle="1" w:styleId="Fichefinanciretextetable">
    <w:name w:val="Fiche financière texte (table)"/>
    <w:basedOn w:val="Normal"/>
    <w:pPr>
      <w:spacing w:before="0" w:after="0"/>
      <w:jc w:val="left"/>
    </w:pPr>
    <w:rPr>
      <w:sz w:val="20"/>
      <w:szCs w:val="20"/>
    </w:rPr>
  </w:style>
  <w:style w:type="paragraph" w:customStyle="1" w:styleId="Fichefinanciretitreactetable">
    <w:name w:val="Fiche financière titre (acte table)"/>
    <w:basedOn w:val="Normal"/>
    <w:next w:val="Normal"/>
    <w:pPr>
      <w:jc w:val="center"/>
    </w:pPr>
    <w:rPr>
      <w:b/>
      <w:sz w:val="40"/>
      <w:szCs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b/>
      <w:sz w:val="40"/>
      <w:szCs w:val="20"/>
    </w:rPr>
  </w:style>
  <w:style w:type="paragraph" w:styleId="BlockText">
    <w:name w:val="Block Text"/>
    <w:basedOn w:val="Normal"/>
    <w:uiPriority w:val="99"/>
    <w:pPr>
      <w:spacing w:before="0"/>
      <w:ind w:left="1440" w:righ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  <w:shd w:val="clear" w:color="auto" w:fill="auto"/>
    </w:rPr>
  </w:style>
  <w:style w:type="paragraph" w:customStyle="1" w:styleId="FichedimpactPMEtitre">
    <w:name w:val="Fiche d'impact PME titre"/>
    <w:basedOn w:val="Normal"/>
    <w:next w:val="Normal"/>
    <w:pPr>
      <w:jc w:val="center"/>
    </w:pPr>
    <w:rPr>
      <w:b/>
      <w:szCs w:val="20"/>
    </w:rPr>
  </w:style>
  <w:style w:type="character" w:styleId="Strong">
    <w:name w:val="Strong"/>
    <w:uiPriority w:val="22"/>
    <w:qFormat/>
    <w:rPr>
      <w:b/>
      <w:shd w:val="clear" w:color="auto" w:fill="auto"/>
    </w:rPr>
  </w:style>
  <w:style w:type="character" w:styleId="CommentReference">
    <w:name w:val="annotation reference"/>
    <w:uiPriority w:val="99"/>
    <w:rPr>
      <w:sz w:val="16"/>
      <w:shd w:val="clear" w:color="auto" w:fill="auto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hd w:val="clear" w:color="auto" w:fill="auto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shd w:val="clear" w:color="auto" w:fill="auto"/>
      <w:lang w:eastAsia="bg-BG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shd w:val="clear" w:color="auto" w:fill="auto"/>
      <w:lang w:eastAsia="bg-BG"/>
    </w:rPr>
  </w:style>
  <w:style w:type="paragraph" w:customStyle="1" w:styleId="text20">
    <w:name w:val="text2"/>
    <w:basedOn w:val="Normal"/>
    <w:pPr>
      <w:spacing w:before="100" w:beforeAutospacing="1" w:after="100" w:afterAutospacing="1"/>
      <w:jc w:val="left"/>
    </w:pPr>
    <w:rPr>
      <w:szCs w:val="22"/>
    </w:rPr>
  </w:style>
  <w:style w:type="character" w:customStyle="1" w:styleId="hps">
    <w:name w:val="hps"/>
    <w:rPr>
      <w:rFonts w:cs="Times New Roman"/>
      <w:shd w:val="clear" w:color="auto" w:fill="auto"/>
    </w:rPr>
  </w:style>
  <w:style w:type="character" w:customStyle="1" w:styleId="shorttext">
    <w:name w:val="short_text"/>
    <w:rPr>
      <w:rFonts w:cs="Times New Roman"/>
      <w:shd w:val="clear" w:color="auto" w:fill="auto"/>
    </w:rPr>
  </w:style>
  <w:style w:type="paragraph" w:styleId="Caption">
    <w:name w:val="caption"/>
    <w:basedOn w:val="Normal"/>
    <w:next w:val="Normal"/>
    <w:uiPriority w:val="35"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rPr>
      <w:szCs w:val="22"/>
    </w:rPr>
  </w:style>
  <w:style w:type="character" w:styleId="FollowedHyperlink">
    <w:name w:val="FollowedHyperlink"/>
    <w:uiPriority w:val="99"/>
    <w:rPr>
      <w:color w:val="606420"/>
      <w:u w:val="single"/>
      <w:shd w:val="clear" w:color="auto" w:fill="auto"/>
    </w:rPr>
  </w:style>
  <w:style w:type="paragraph" w:customStyle="1" w:styleId="Rfrenceinstitutionelle">
    <w:name w:val="Référence institutionelle"/>
    <w:basedOn w:val="Normal"/>
    <w:next w:val="Statut"/>
    <w:pPr>
      <w:spacing w:before="0" w:after="240"/>
      <w:ind w:left="5103"/>
      <w:jc w:val="left"/>
    </w:pPr>
    <w:rPr>
      <w:szCs w:val="22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b/>
      <w:szCs w:val="22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rPr>
      <w:rFonts w:ascii="Tahoma" w:hAnsi="Tahoma" w:cs="Tahoma"/>
      <w:shd w:val="clear" w:color="auto" w:fill="000080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Pr>
      <w:shd w:val="clear" w:color="auto" w:fill="auto"/>
    </w:rPr>
  </w:style>
  <w:style w:type="character" w:styleId="EndnoteReference">
    <w:name w:val="endnote reference"/>
    <w:rPr>
      <w:vertAlign w:val="superscript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link w:val="HeaderCoverPag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Pr>
      <w:rFonts w:ascii="Cambria" w:eastAsia="Times New Roman" w:hAnsi="Cambria" w:cs="Times New Roman"/>
      <w:sz w:val="24"/>
      <w:szCs w:val="24"/>
      <w:shd w:val="clear" w:color="auto" w:fill="auto"/>
      <w:lang w:eastAsia="bg-BG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="Calibri"/>
      <w:szCs w:val="22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styleId="Emphasis">
    <w:name w:val="Emphasis"/>
    <w:qFormat/>
    <w:rPr>
      <w:i/>
      <w:iCs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B2F9-B784-45C8-8397-25586E49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1418</Words>
  <Characters>6708</Characters>
  <Application>Microsoft Office Word</Application>
  <DocSecurity>0</DocSecurity>
  <Lines>1118</Lines>
  <Paragraphs>902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BLURIOT-PUEBLA Madeleine (SG)</dc:creator>
  <cp:lastModifiedBy>LAGES CARVALHO Patrick (SG)</cp:lastModifiedBy>
  <cp:revision>12</cp:revision>
  <cp:lastPrinted>2017-05-22T10:27:00Z</cp:lastPrinted>
  <dcterms:created xsi:type="dcterms:W3CDTF">2018-07-27T08:34:00Z</dcterms:created>
  <dcterms:modified xsi:type="dcterms:W3CDTF">2018-09-24T08:58:00Z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1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