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F5BA19-4117-4BEC-8056-31F5FA7C15F4"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за предложението и негови цели</w:t>
      </w:r>
    </w:p>
    <w:p>
      <w:pPr>
        <w:pBdr>
          <w:top w:val="nil"/>
          <w:left w:val="nil"/>
          <w:bottom w:val="nil"/>
          <w:right w:val="nil"/>
          <w:between w:val="nil"/>
          <w:bar w:val="nil"/>
        </w:pBdr>
        <w:spacing w:before="0" w:after="240"/>
        <w:rPr>
          <w:noProof/>
        </w:rPr>
      </w:pPr>
      <w:r>
        <w:rPr>
          <w:noProof/>
        </w:rPr>
        <w:t>Предложението е свързано с проект на Решение на Съвета относно третата част от финансовите вноски за Европейския фонд за развитие (ЕФР), които трябва да бъдат платени от държавите членки през 2018 г.</w:t>
      </w:r>
    </w:p>
    <w:p>
      <w:pPr>
        <w:pBdr>
          <w:top w:val="nil"/>
          <w:left w:val="nil"/>
          <w:bottom w:val="nil"/>
          <w:right w:val="nil"/>
          <w:between w:val="nil"/>
          <w:bar w:val="nil"/>
        </w:pBdr>
        <w:spacing w:before="0" w:after="240"/>
        <w:rPr>
          <w:noProof/>
        </w:rPr>
      </w:pPr>
      <w:r>
        <w:rPr>
          <w:noProof/>
        </w:rPr>
        <w:t xml:space="preserve">11-ият ЕФР и другите ЕФР фондове, които все още функционират (т.е. 8-ият, 9-ият и 10-ият ЕФР), се управляват съгласно следните правила: </w:t>
      </w:r>
    </w:p>
    <w:p>
      <w:pPr>
        <w:pBdr>
          <w:top w:val="nil"/>
          <w:left w:val="nil"/>
          <w:bottom w:val="nil"/>
          <w:right w:val="nil"/>
          <w:between w:val="nil"/>
          <w:bar w:val="nil"/>
        </w:pBdr>
        <w:spacing w:before="0" w:after="240"/>
        <w:rPr>
          <w:noProof/>
        </w:rPr>
      </w:pPr>
      <w:r>
        <w:rPr>
          <w:noProof/>
        </w:rPr>
        <w:t>- действащото Споразумение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 последните му изменения („Споразумението за партньорство АКТБ—ЕС“)</w:t>
      </w:r>
      <w:r>
        <w:rPr>
          <w:rStyle w:val="FootnoteReference"/>
          <w:rFonts w:eastAsia="Arial Unicode MS"/>
          <w:noProof/>
          <w:lang w:eastAsia="en-GB"/>
        </w:rPr>
        <w:footnoteReference w:id="1"/>
      </w:r>
      <w:r>
        <w:rPr>
          <w:noProof/>
        </w:rPr>
        <w:t>,</w:t>
      </w:r>
    </w:p>
    <w:p>
      <w:pPr>
        <w:pBdr>
          <w:top w:val="nil"/>
          <w:left w:val="nil"/>
          <w:bottom w:val="nil"/>
          <w:right w:val="nil"/>
          <w:between w:val="nil"/>
          <w:bar w:val="nil"/>
        </w:pBdr>
        <w:spacing w:before="0" w:after="240"/>
        <w:rPr>
          <w:noProof/>
        </w:rPr>
      </w:pPr>
      <w:r>
        <w:rPr>
          <w:noProof/>
        </w:rPr>
        <w:t>-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rFonts w:eastAsia="Arial Unicode MS"/>
          <w:noProof/>
          <w:lang w:eastAsia="en-GB"/>
        </w:rPr>
        <w:footnoteReference w:id="2"/>
      </w:r>
      <w:r>
        <w:rPr>
          <w:noProof/>
        </w:rPr>
        <w:t xml:space="preserve"> („Вътрешното споразумение за 11-ия ЕФР“),</w:t>
      </w:r>
    </w:p>
    <w:p>
      <w:pPr>
        <w:pBdr>
          <w:top w:val="nil"/>
          <w:left w:val="nil"/>
          <w:bottom w:val="nil"/>
          <w:right w:val="nil"/>
          <w:between w:val="nil"/>
          <w:bar w:val="nil"/>
        </w:pBdr>
        <w:spacing w:before="0" w:after="240"/>
        <w:rPr>
          <w:noProof/>
        </w:rPr>
      </w:pPr>
      <w:r>
        <w:rPr>
          <w:noProof/>
        </w:rPr>
        <w:t>- Регламент (ЕС) 2015/323 на Съвета относно финансовия регламент, приложим за 11-ия Европейски фонд за развитие</w:t>
      </w:r>
      <w:r>
        <w:rPr>
          <w:rStyle w:val="FootnoteReference"/>
          <w:rFonts w:eastAsia="Arial Unicode MS"/>
          <w:noProof/>
          <w:lang w:eastAsia="en-GB"/>
        </w:rPr>
        <w:footnoteReference w:id="3"/>
      </w:r>
      <w:r>
        <w:rPr>
          <w:noProof/>
        </w:rPr>
        <w:t xml:space="preserve"> („Финансовият регламент за 11-ия ЕФР“).</w:t>
      </w:r>
    </w:p>
    <w:p>
      <w:pPr>
        <w:pBdr>
          <w:top w:val="nil"/>
          <w:left w:val="nil"/>
          <w:bottom w:val="nil"/>
          <w:right w:val="nil"/>
          <w:between w:val="nil"/>
          <w:bar w:val="nil"/>
        </w:pBdr>
        <w:spacing w:before="0" w:after="240"/>
        <w:rPr>
          <w:noProof/>
        </w:rPr>
      </w:pPr>
      <w:r>
        <w:rPr>
          <w:noProof/>
        </w:rPr>
        <w:t>Посочените по-горе документи съдържат многогодишните поети задължения от страна на държавите членки за финансова подкрепа на ЕФР. Във Финансовия регламент за 11-ия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е взето решение предварително.</w:t>
      </w:r>
    </w:p>
    <w:p>
      <w:pPr>
        <w:pBdr>
          <w:top w:val="nil"/>
          <w:left w:val="nil"/>
          <w:bottom w:val="nil"/>
          <w:right w:val="nil"/>
          <w:between w:val="nil"/>
          <w:bar w:val="nil"/>
        </w:pBd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Вж. точка 1. Основания на предложението и негови цели.</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Вж. точка 1. Основания на предложението и негови цели.</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Съгласно член 7 от Вътрешното споразумение</w:t>
      </w:r>
      <w:r>
        <w:rPr>
          <w:rStyle w:val="FootnoteReference"/>
          <w:rFonts w:eastAsia="Arial Unicode MS"/>
          <w:noProof/>
          <w:lang w:eastAsia="en-GB"/>
        </w:rPr>
        <w:footnoteReference w:id="4"/>
      </w:r>
      <w:r>
        <w:rPr>
          <w:noProof/>
        </w:rPr>
        <w:t xml:space="preserve"> вноските на държавите членки за 11-ия ЕФР се одобряват посредством решение на Съвета, прието с квалифицирано мнозинство.</w:t>
      </w:r>
    </w:p>
    <w:p>
      <w:pPr>
        <w:pBdr>
          <w:top w:val="nil"/>
          <w:left w:val="nil"/>
          <w:bottom w:val="nil"/>
          <w:right w:val="nil"/>
          <w:between w:val="nil"/>
          <w:bar w:val="nil"/>
        </w:pBdr>
        <w:spacing w:before="0" w:after="240"/>
        <w:rPr>
          <w:noProof/>
        </w:rPr>
      </w:pPr>
      <w:r>
        <w:rPr>
          <w:noProof/>
        </w:rPr>
        <w:t>Съгласно член 21, параграф 7 от Финансовия регламент за 11-ия ЕФР сумата, управлявана от Комисията, и сумата, управлявана от Европейската инвестиционна банка (ЕИБ), се определят поотделно.</w:t>
      </w:r>
    </w:p>
    <w:p>
      <w:pPr>
        <w:pBdr>
          <w:top w:val="nil"/>
          <w:left w:val="nil"/>
          <w:bottom w:val="nil"/>
          <w:right w:val="nil"/>
          <w:between w:val="nil"/>
          <w:bar w:val="nil"/>
        </w:pBdr>
        <w:spacing w:before="0" w:after="240"/>
        <w:rPr>
          <w:rFonts w:eastAsia="Arial Unicode MS"/>
          <w:noProof/>
        </w:rPr>
      </w:pPr>
      <w:r>
        <w:rPr>
          <w:noProof/>
        </w:rPr>
        <w:t>В съответствие с член 52 от Финансовия регламент за 11-ия ЕФР ЕИБ изпрати на Комисията актуализираните си прогнози за поетите задължения и за плащанията по инструментите, които управлява.</w:t>
      </w:r>
    </w:p>
    <w:p>
      <w:pPr>
        <w:pBdr>
          <w:top w:val="nil"/>
          <w:left w:val="nil"/>
          <w:bottom w:val="nil"/>
          <w:right w:val="nil"/>
          <w:between w:val="nil"/>
          <w:bar w:val="nil"/>
        </w:pBdr>
        <w:spacing w:before="0" w:after="240"/>
        <w:rPr>
          <w:rFonts w:eastAsia="Arial Unicode MS"/>
          <w:noProof/>
        </w:rPr>
      </w:pPr>
      <w:r>
        <w:rPr>
          <w:noProof/>
        </w:rPr>
        <w:t>Съгласно член 22, параграф 1 от Финансовия регламент за 11-ия ЕФР поканите за вноски първо оползотворяват една след друга сумите, налични от предходни ЕФР. По отношение на Комисията, тъй като всички суми от предходни ЕФР са изчерпани, поканите за вноски в настоящото предложение следователно се отнасят за суми по 11-ия ЕФР.</w:t>
      </w:r>
    </w:p>
    <w:p>
      <w:pPr>
        <w:pBdr>
          <w:top w:val="nil"/>
          <w:left w:val="nil"/>
          <w:bottom w:val="nil"/>
          <w:right w:val="nil"/>
          <w:between w:val="nil"/>
          <w:bar w:val="nil"/>
        </w:pBdr>
        <w:spacing w:before="0" w:after="240"/>
        <w:rPr>
          <w:rFonts w:eastAsia="Arial Unicode MS"/>
          <w:noProof/>
        </w:rPr>
      </w:pPr>
      <w:r>
        <w:rPr>
          <w:noProof/>
        </w:rPr>
        <w:t>В съответствие с член 21, параграф 5 от Финансовия регламент за 11-ия ЕФР Съветът взема решение по това предложение най-късно 21 календарни дни, след като Комисията представи предложението си.</w:t>
      </w:r>
    </w:p>
    <w:p>
      <w:pPr>
        <w:pBdr>
          <w:top w:val="nil"/>
          <w:left w:val="nil"/>
          <w:bottom w:val="nil"/>
          <w:right w:val="nil"/>
          <w:between w:val="nil"/>
          <w:bar w:val="nil"/>
        </w:pBdr>
        <w:spacing w:before="0" w:after="240"/>
        <w:rPr>
          <w:rFonts w:eastAsia="Arial Unicode MS"/>
          <w:noProof/>
        </w:rPr>
      </w:pPr>
      <w:r>
        <w:rPr>
          <w:noProof/>
        </w:rPr>
        <w:t>В член 23, параграф 1 от Финансовия регламент за 11-ия ЕФР се предвижда, че когато държава членка не плати дължимата част от вноската до определения краен срок, от нея се изисква да плати лихва върху неплатената сума. Условията за плащане на лихвата са посочени в същия член.</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Вж. точка 1. Основания за предложението и негови цели.</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Вж. точка 1. Основания за предложението и негови цели.</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Вж. точка 1. Основания за предложението и негови цели.</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2018/0340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третата част от вноската за 2018 г.</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5"/>
      </w:r>
      <w:r>
        <w:rPr>
          <w:noProof/>
        </w:rPr>
        <w:t xml:space="preserve"> („Вътрешното споразумение“), и по-специално член 7, параграф 2 от него,</w:t>
      </w:r>
    </w:p>
    <w:p>
      <w:pPr>
        <w:rPr>
          <w:noProof/>
        </w:rPr>
      </w:pPr>
      <w:r>
        <w:rPr>
          <w:noProof/>
        </w:rPr>
        <w:t>като взе предвид Регламент (ЕС) 2015/323 на Съвета от 2 март 2015 г. относно финансовия регламент, приложим за 11-ия Европейски фонд за развитие („Финансовият регламент за 11-ия ЕФР“)</w:t>
      </w:r>
      <w:r>
        <w:rPr>
          <w:rStyle w:val="FootnoteReference"/>
          <w:noProof/>
        </w:rPr>
        <w:footnoteReference w:id="6"/>
      </w:r>
      <w:r>
        <w:rPr>
          <w:noProof/>
        </w:rPr>
        <w:t>, и по-специално член 21,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процедурата, предвидена в член 21, параграф 5 от Финансовия регламент за 11-ия ЕФР, в срок до 10 октомври 2018 г. Комисията представя предложение, в което се определят: а) размерът на третата част от вноската за 2018 г. и б) преразгледан годишен размер на вноската за 2018 г. в случаите, когато сумата се отклонява от действителните нужди.</w:t>
      </w:r>
    </w:p>
    <w:p>
      <w:pPr>
        <w:pStyle w:val="ManualConsidrant"/>
        <w:rPr>
          <w:noProof/>
        </w:rPr>
      </w:pPr>
      <w:r>
        <w:t>(2)</w:t>
      </w:r>
      <w:r>
        <w:tab/>
      </w:r>
      <w:r>
        <w:rPr>
          <w:noProof/>
        </w:rPr>
        <w:t>В съответствие с член 52 от Финансовия регламент за 11-ия ЕФР Европейската инвестиционна банка изпрати на Комисията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В член 22, параграф 1 от Финансовия регламент за 11-ия ЕФР се предвижда, че поканите за вноски първо усвояват сумите, предвидени за предходни ЕФР. Поради това следва да се отправи покана за внасяне на средства по 11-ия ЕФР за средствата, поискани от Европейската комисия.</w:t>
      </w:r>
    </w:p>
    <w:p>
      <w:pPr>
        <w:pStyle w:val="ManualConsidrant"/>
        <w:rPr>
          <w:noProof/>
          <w:szCs w:val="24"/>
        </w:rPr>
      </w:pPr>
      <w:r>
        <w:t>(4)</w:t>
      </w:r>
      <w:r>
        <w:tab/>
      </w:r>
      <w:r>
        <w:rPr>
          <w:noProof/>
        </w:rPr>
        <w:t xml:space="preserve">По предложение на Европейската комисия Съветът прие на 9 юли 2018 г. Решение (ЕС) 2018/965, с което определи годишния размер на вноските на </w:t>
      </w:r>
      <w:r>
        <w:rPr>
          <w:noProof/>
        </w:rPr>
        <w:lastRenderedPageBreak/>
        <w:t>държавите членки за ЕФР за 2018 г. на 4 250 000 000 евро за Европейската комисия и на 250 000 000 евро за Европейската инвестиционна банка</w:t>
      </w:r>
      <w:r>
        <w:rPr>
          <w:rStyle w:val="FootnoteReference"/>
          <w:noProof/>
        </w:rPr>
        <w:footnoteReference w:id="7"/>
      </w:r>
      <w:r>
        <w:rPr>
          <w:noProof/>
        </w:rPr>
        <w:t xml:space="preserve">,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третата част от вноската за 2018 г., са посочени в таблицата в приложението към настоящото решение.</w:t>
      </w:r>
    </w:p>
    <w:p>
      <w:pPr>
        <w:pStyle w:val="Titrearticle"/>
        <w:rPr>
          <w:noProof/>
        </w:rPr>
      </w:pPr>
      <w:r>
        <w:rPr>
          <w:noProof/>
        </w:rPr>
        <w:t>Член 2</w:t>
      </w:r>
    </w:p>
    <w:p>
      <w:pPr>
        <w:keepLines/>
        <w:rPr>
          <w:noProof/>
        </w:rPr>
      </w:pPr>
      <w:r>
        <w:rPr>
          <w:noProof/>
        </w:rPr>
        <w:t>Адресати на настоящото решение са държавите членки.</w:t>
      </w:r>
    </w:p>
    <w:p>
      <w:pPr>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317, 15.12.2000 г., стр. 3.</w:t>
      </w:r>
    </w:p>
  </w:footnote>
  <w:footnote w:id="2">
    <w:p>
      <w:pPr>
        <w:pStyle w:val="FootnoteText"/>
      </w:pPr>
      <w:r>
        <w:rPr>
          <w:rStyle w:val="FootnoteReference"/>
        </w:rPr>
        <w:footnoteRef/>
      </w:r>
      <w:r>
        <w:tab/>
        <w:t>ОВ L 210, 6.8.2013 г., стр. 1.</w:t>
      </w:r>
    </w:p>
  </w:footnote>
  <w:footnote w:id="3">
    <w:p>
      <w:pPr>
        <w:pStyle w:val="FootnoteText"/>
      </w:pPr>
      <w:r>
        <w:rPr>
          <w:rStyle w:val="FootnoteReference"/>
        </w:rPr>
        <w:footnoteRef/>
      </w:r>
      <w:r>
        <w:tab/>
        <w:t>ОВ L 58, 3.3.2015 г., стр. 17—38.</w:t>
      </w:r>
    </w:p>
  </w:footnote>
  <w:footnote w:id="4">
    <w:p>
      <w:pPr>
        <w:pStyle w:val="FootnoteText"/>
      </w:pPr>
      <w:r>
        <w:rPr>
          <w:rStyle w:val="FootnoteReference"/>
        </w:rPr>
        <w:footnoteRef/>
      </w:r>
      <w:r>
        <w:tab/>
        <w:t>Вътрешно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p>
  </w:footnote>
  <w:footnote w:id="5">
    <w:p>
      <w:pPr>
        <w:pStyle w:val="FootnoteText"/>
      </w:pPr>
      <w:r>
        <w:rPr>
          <w:rStyle w:val="FootnoteReference"/>
        </w:rPr>
        <w:footnoteRef/>
      </w:r>
      <w:r>
        <w:tab/>
        <w:t>ОВ L 210, 6.8.2013 г., стр. 1.</w:t>
      </w:r>
    </w:p>
  </w:footnote>
  <w:footnote w:id="6">
    <w:p>
      <w:pPr>
        <w:pStyle w:val="FootnoteText"/>
      </w:pPr>
      <w:r>
        <w:rPr>
          <w:rStyle w:val="FootnoteReference"/>
        </w:rPr>
        <w:footnoteRef/>
      </w:r>
      <w:r>
        <w:tab/>
        <w:t>ОВ L 58, 3.3.2015 г., стр. 17—38.</w:t>
      </w:r>
    </w:p>
  </w:footnote>
  <w:footnote w:id="7">
    <w:p>
      <w:pPr>
        <w:pStyle w:val="FootnoteText"/>
      </w:pPr>
      <w:r>
        <w:rPr>
          <w:rStyle w:val="FootnoteReference"/>
        </w:rPr>
        <w:footnoteRef/>
      </w:r>
      <w:r>
        <w:tab/>
        <w:t>ОВ L 172, 9.7.2018 г., стр.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C81C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2ED8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8C21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9EB6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82D3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E4E1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F4ABF8"/>
    <w:lvl w:ilvl="0">
      <w:start w:val="1"/>
      <w:numFmt w:val="decimal"/>
      <w:pStyle w:val="ListNumber"/>
      <w:lvlText w:val="%1."/>
      <w:lvlJc w:val="left"/>
      <w:pPr>
        <w:tabs>
          <w:tab w:val="num" w:pos="360"/>
        </w:tabs>
        <w:ind w:left="360" w:hanging="360"/>
      </w:pPr>
    </w:lvl>
  </w:abstractNum>
  <w:abstractNum w:abstractNumId="7">
    <w:nsid w:val="FFFFFF89"/>
    <w:multiLevelType w:val="singleLevel"/>
    <w:tmpl w:val="A78899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1 16:15: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9F5BA19-4117-4BEC-8056-31F5FA7C15F4"/>
    <w:docVar w:name="LW_COVERPAGE_TYPE" w:val="1"/>
    <w:docVar w:name="LW_CROSSREFERENCE" w:val="&lt;UNUSED&gt;"/>
    <w:docVar w:name="LW_DocType" w:val="COM"/>
    <w:docVar w:name="LW_EMISSION" w:val="4.10.2018"/>
    <w:docVar w:name="LW_EMISSION_ISODATE" w:val="2018-10-04"/>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0"/>
    <w:docVar w:name="LW_REF.II.NEW.CP_YEAR" w:val="2018"/>
    <w:docVar w:name="LW_REF.INST.NEW" w:val="COM"/>
    <w:docVar w:name="LW_REF.INST.NEW_ADOPTED" w:val="final"/>
    <w:docVar w:name="LW_REF.INST.NEW_TEXT" w:val="(2018)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90?\u1088?\u1077?\u1090?\u1072?\u1090?\u1072? \u1095?\u1072?\u1089?\u1090? \u1086?\u1090? \u1074?\u1085?\u1086?\u1089?\u1082?\u1072?\u1090?\u1072? \u1079?\u1072? 2018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37AE-A259-448D-A0EF-3A27C71C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978</Words>
  <Characters>5630</Characters>
  <Application>Microsoft Office Word</Application>
  <DocSecurity>0</DocSecurity>
  <Lines>117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2018-10-01T11:38:00Z</dcterms:created>
  <dcterms:modified xsi:type="dcterms:W3CDTF">2018-10-01T14:15:00Z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