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94E303-FD14-48CB-ACB4-7290E5E54496"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concerns a draft Council Decision on the third instalment of the financial contributions to the European Development Fund (EDF) to be paid by Member States in 2018.</w:t>
      </w:r>
    </w:p>
    <w:p>
      <w:pPr>
        <w:pBdr>
          <w:top w:val="nil"/>
          <w:left w:val="nil"/>
          <w:bottom w:val="nil"/>
          <w:right w:val="nil"/>
          <w:between w:val="nil"/>
          <w:bar w:val="nil"/>
        </w:pBdr>
        <w:spacing w:before="0" w:after="240"/>
        <w:rPr>
          <w:noProof/>
        </w:rPr>
      </w:pPr>
      <w:r>
        <w:rPr>
          <w:noProof/>
        </w:rPr>
        <w:t>The 11</w:t>
      </w:r>
      <w:r>
        <w:rPr>
          <w:noProof/>
          <w:vertAlign w:val="superscript"/>
        </w:rPr>
        <w:t>th</w:t>
      </w:r>
      <w:r>
        <w:rPr>
          <w:noProof/>
        </w:rPr>
        <w:t xml:space="preserve"> EDF and other EDF funds which are still open (i.e. Eighth, Ninth and 10</w:t>
      </w:r>
      <w:r>
        <w:rPr>
          <w:noProof/>
          <w:vertAlign w:val="superscript"/>
        </w:rPr>
        <w:t>th</w:t>
      </w:r>
      <w:r>
        <w:rPr>
          <w:noProof/>
        </w:rPr>
        <w:t xml:space="preserve"> EDF) are managed under the following set of rules: </w:t>
      </w:r>
    </w:p>
    <w:p>
      <w:pPr>
        <w:pBdr>
          <w:top w:val="nil"/>
          <w:left w:val="nil"/>
          <w:bottom w:val="nil"/>
          <w:right w:val="nil"/>
          <w:between w:val="nil"/>
          <w:bar w:val="nil"/>
        </w:pBdr>
        <w:spacing w:before="0" w:after="240"/>
        <w:rPr>
          <w:noProof/>
        </w:rPr>
      </w:pPr>
      <w:r>
        <w:rPr>
          <w:noProof/>
        </w:rPr>
        <w:t>- 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lang w:eastAsia="en-GB"/>
        </w:rPr>
        <w:footnoteReference w:id="1"/>
      </w:r>
      <w:r>
        <w:rPr>
          <w:noProof/>
        </w:rPr>
        <w:t>,</w:t>
      </w:r>
    </w:p>
    <w:p>
      <w:pPr>
        <w:pBdr>
          <w:top w:val="nil"/>
          <w:left w:val="nil"/>
          <w:bottom w:val="nil"/>
          <w:right w:val="nil"/>
          <w:between w:val="nil"/>
          <w:bar w:val="nil"/>
        </w:pBdr>
        <w:spacing w:before="0" w:after="240"/>
        <w:rPr>
          <w:noProof/>
        </w:rPr>
      </w:pPr>
      <w:r>
        <w:rPr>
          <w:noProof/>
        </w:rPr>
        <w:t>-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lang w:eastAsia="en-GB"/>
        </w:rPr>
        <w:footnoteReference w:id="2"/>
      </w:r>
      <w:r>
        <w:rPr>
          <w:noProof/>
        </w:rPr>
        <w:t xml:space="preserve"> (the 11</w:t>
      </w:r>
      <w:r>
        <w:rPr>
          <w:noProof/>
          <w:vertAlign w:val="superscript"/>
        </w:rPr>
        <w:t>th</w:t>
      </w:r>
      <w:r>
        <w:rPr>
          <w:noProof/>
        </w:rPr>
        <w:t xml:space="preserve"> EDF 'Internal Agreement'),</w:t>
      </w:r>
    </w:p>
    <w:p>
      <w:pPr>
        <w:pBdr>
          <w:top w:val="nil"/>
          <w:left w:val="nil"/>
          <w:bottom w:val="nil"/>
          <w:right w:val="nil"/>
          <w:between w:val="nil"/>
          <w:bar w:val="nil"/>
        </w:pBdr>
        <w:spacing w:before="0" w:after="240"/>
        <w:rPr>
          <w:noProof/>
        </w:rPr>
      </w:pPr>
      <w:r>
        <w:rPr>
          <w:noProof/>
        </w:rPr>
        <w:t>- Council Regulation (EU) 2015/323 on the Financial Regulation applicable to the 11</w:t>
      </w:r>
      <w:r>
        <w:rPr>
          <w:noProof/>
          <w:vertAlign w:val="superscript"/>
        </w:rPr>
        <w:t>th</w:t>
      </w:r>
      <w:r>
        <w:rPr>
          <w:noProof/>
        </w:rPr>
        <w:t xml:space="preserve"> European Development Fund</w:t>
      </w:r>
      <w:r>
        <w:rPr>
          <w:rStyle w:val="FootnoteReference"/>
          <w:rFonts w:eastAsia="Arial Unicode MS"/>
          <w:noProof/>
          <w:lang w:eastAsia="en-GB"/>
        </w:rPr>
        <w:footnoteReference w:id="3"/>
      </w:r>
      <w:r>
        <w:rPr>
          <w:noProof/>
        </w:rPr>
        <w:t xml:space="preserve"> ("the 11</w:t>
      </w:r>
      <w:r>
        <w:rPr>
          <w:noProof/>
          <w:vertAlign w:val="superscript"/>
        </w:rPr>
        <w:t>th</w:t>
      </w:r>
      <w:r>
        <w:rPr>
          <w:noProof/>
        </w:rPr>
        <w:t xml:space="preserve"> EDF Financial Regulation").</w:t>
      </w:r>
    </w:p>
    <w:p>
      <w:pPr>
        <w:pBdr>
          <w:top w:val="nil"/>
          <w:left w:val="nil"/>
          <w:bottom w:val="nil"/>
          <w:right w:val="nil"/>
          <w:between w:val="nil"/>
          <w:bar w:val="nil"/>
        </w:pBdr>
        <w:spacing w:before="0" w:after="240"/>
        <w:rPr>
          <w:noProof/>
        </w:rPr>
      </w:pPr>
      <w:r>
        <w:rPr>
          <w:noProof/>
        </w:rPr>
        <w:t>The documents mentioned above contain multi-annual commitments by Member States to support financially the EDF treasury. The 11</w:t>
      </w:r>
      <w:r>
        <w:rPr>
          <w:noProof/>
          <w:vertAlign w:val="superscript"/>
        </w:rPr>
        <w:t>th</w:t>
      </w:r>
      <w:r>
        <w:rPr>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w:t>
      </w:r>
    </w:p>
    <w:p>
      <w:pPr>
        <w:pBdr>
          <w:top w:val="nil"/>
          <w:left w:val="nil"/>
          <w:bottom w:val="nil"/>
          <w:right w:val="nil"/>
          <w:between w:val="nil"/>
          <w:bar w:val="nil"/>
        </w:pBdr>
        <w:spacing w:before="0" w:after="240"/>
        <w:rPr>
          <w:rFonts w:eastAsia="Arial Unicode MS"/>
          <w:noProof/>
        </w:rPr>
      </w:pPr>
      <w:r>
        <w:rPr>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Article 7 of the Internal Agreement</w:t>
      </w:r>
      <w:r>
        <w:rPr>
          <w:rStyle w:val="FootnoteReference"/>
          <w:rFonts w:eastAsia="Arial Unicode MS"/>
          <w:noProof/>
          <w:lang w:eastAsia="en-GB"/>
        </w:rPr>
        <w:footnoteReference w:id="4"/>
      </w:r>
      <w:r>
        <w:rPr>
          <w:noProof/>
        </w:rPr>
        <w:t xml:space="preserve"> the contributions by Member States to the 11th EDF are to be approved by means of a Council decision adopted by qualified majority.</w:t>
      </w:r>
    </w:p>
    <w:p>
      <w:pPr>
        <w:pBdr>
          <w:top w:val="nil"/>
          <w:left w:val="nil"/>
          <w:bottom w:val="nil"/>
          <w:right w:val="nil"/>
          <w:between w:val="nil"/>
          <w:bar w:val="nil"/>
        </w:pBdr>
        <w:spacing w:before="0" w:after="240"/>
        <w:rPr>
          <w:noProof/>
        </w:rPr>
      </w:pPr>
      <w:r>
        <w:rPr>
          <w:noProof/>
        </w:rPr>
        <w:t>In accordance with Article 21(7) of the 11</w:t>
      </w:r>
      <w:r>
        <w:rPr>
          <w:noProof/>
          <w:vertAlign w:val="superscript"/>
        </w:rPr>
        <w:t>th</w:t>
      </w:r>
      <w:r>
        <w:rPr>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EDF Financial Regulation calls for contributions shall first use up the amounts available from previous EDFs, one after the other. For the Commission, all amounts from previous EDFs having been used up, the calls for contributions in this proposal therefore concern amounts under the 11</w:t>
      </w:r>
      <w:r>
        <w:rPr>
          <w:rFonts w:eastAsia="Arial Unicode MS"/>
          <w:noProof/>
          <w:vertAlign w:val="superscript"/>
        </w:rPr>
        <w:t>th</w:t>
      </w:r>
      <w:r>
        <w:rPr>
          <w:rFonts w:eastAsia="Arial Unicode MS"/>
          <w:noProof/>
        </w:rPr>
        <w:t xml:space="preserve"> EDF.</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21(5) of the 11</w:t>
      </w:r>
      <w:r>
        <w:rPr>
          <w:rFonts w:eastAsia="Arial Unicode MS"/>
          <w:noProof/>
          <w:vertAlign w:val="superscript"/>
        </w:rPr>
        <w:t>th</w:t>
      </w:r>
      <w:r>
        <w:rPr>
          <w:rFonts w:eastAsia="Arial Unicode MS"/>
          <w:noProof/>
        </w:rPr>
        <w:t xml:space="preserve"> EDF Financial Regulation, the Council shall decide on this proposal at the latest 21 calendar days following the presentation by the Commission of its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2018/0340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third instalment for 2018</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5"/>
      </w:r>
      <w:r>
        <w:rPr>
          <w:noProof/>
        </w:rPr>
        <w:t xml:space="preserve"> ("the Internal Agreement") and in particular Article 7(2) thereof,</w:t>
      </w:r>
    </w:p>
    <w:p>
      <w:pPr>
        <w:rPr>
          <w:noProof/>
        </w:rPr>
      </w:pPr>
      <w:r>
        <w:rPr>
          <w:noProof/>
        </w:rPr>
        <w:t>Having regard to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6"/>
      </w:r>
      <w:r>
        <w:rPr>
          <w:noProof/>
        </w:rPr>
        <w:t>, and in particular Article 21(5)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21(5) of the 11</w:t>
      </w:r>
      <w:r>
        <w:rPr>
          <w:noProof/>
          <w:vertAlign w:val="superscript"/>
        </w:rPr>
        <w:t>th</w:t>
      </w:r>
      <w:r>
        <w:rPr>
          <w:noProof/>
        </w:rPr>
        <w:t xml:space="preserve"> EDF Financial Regulation, the Commission shall present a proposal by 10 October 2018 specifying (a) the amount of the third instalment of the contribution for 2018, (b) a revised annual amount of the contribution for 2018, in cases where the amount deviates from actual needs.</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to the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11</w:t>
      </w:r>
      <w:r>
        <w:rPr>
          <w:noProof/>
          <w:vertAlign w:val="superscript"/>
        </w:rPr>
        <w:t>th</w:t>
      </w:r>
      <w:r>
        <w:rPr>
          <w:noProof/>
        </w:rPr>
        <w:t xml:space="preserve"> EDF should be made for funds called by the European Commission.</w:t>
      </w:r>
    </w:p>
    <w:p>
      <w:pPr>
        <w:pStyle w:val="ManualConsidrant"/>
        <w:rPr>
          <w:noProof/>
          <w:szCs w:val="24"/>
          <w:lang w:eastAsia="en-GB"/>
        </w:rPr>
      </w:pPr>
      <w:r>
        <w:t>(4)</w:t>
      </w:r>
      <w:r>
        <w:tab/>
      </w:r>
      <w:r>
        <w:rPr>
          <w:noProof/>
        </w:rPr>
        <w:t>By means of Decision (EU) 2018/965, the Council has adopted on 9 July 2018, on a proposal by the European Commission, the Decision to set the annual amount of the Member States' EDF contributions for 2018 at EUR 4 250 000 000 for the European Commission, and at EUR 250 000 000 for the European Investment Bank</w:t>
      </w:r>
      <w:r>
        <w:rPr>
          <w:rStyle w:val="FootnoteReference"/>
          <w:noProof/>
        </w:rPr>
        <w:footnoteReference w:id="7"/>
      </w:r>
      <w:r>
        <w:rPr>
          <w:noProof/>
        </w:rPr>
        <w:t>.</w:t>
      </w:r>
      <w:r>
        <w:rPr>
          <w:noProof/>
          <w:szCs w:val="24"/>
          <w:lang w:eastAsia="en-GB"/>
        </w:rPr>
        <w:t xml:space="preserve">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third instalment for 2018 are set out in the table in the Annex to this Decision.</w:t>
      </w:r>
    </w:p>
    <w:p>
      <w:pPr>
        <w:pStyle w:val="Titrearticle"/>
        <w:rPr>
          <w:noProof/>
        </w:rPr>
      </w:pPr>
      <w:r>
        <w:rPr>
          <w:noProof/>
        </w:rPr>
        <w:t>Article 2</w:t>
      </w:r>
    </w:p>
    <w:p>
      <w:pPr>
        <w:keepLines/>
        <w:rPr>
          <w:noProof/>
        </w:rPr>
      </w:pPr>
      <w:r>
        <w:rPr>
          <w:noProof/>
        </w:rPr>
        <w:t>This Decision is addressed to the Member States.</w:t>
      </w:r>
    </w:p>
    <w:p>
      <w:pPr>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pPr>
      <w:r>
        <w:rPr>
          <w:rStyle w:val="FootnoteReference"/>
        </w:rPr>
        <w:footnoteRef/>
      </w:r>
      <w:r>
        <w:tab/>
      </w:r>
      <w:r>
        <w:rPr>
          <w:noProof/>
        </w:rPr>
        <w:t>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p>
  </w:footnote>
  <w:footnote w:id="5">
    <w:p>
      <w:pPr>
        <w:pStyle w:val="FootnoteText"/>
        <w:rPr>
          <w:lang w:val="pl-PL"/>
        </w:rPr>
      </w:pPr>
      <w:r>
        <w:rPr>
          <w:rStyle w:val="FootnoteReference"/>
        </w:rPr>
        <w:footnoteRef/>
      </w:r>
      <w:r>
        <w:rPr>
          <w:lang w:val="pl-PL"/>
        </w:rPr>
        <w:tab/>
        <w:t>OJ L 210, 6.8.2013, p. 1</w:t>
      </w:r>
    </w:p>
  </w:footnote>
  <w:footnote w:id="6">
    <w:p>
      <w:pPr>
        <w:pStyle w:val="FootnoteText"/>
        <w:rPr>
          <w:lang w:val="pl-PL"/>
        </w:rPr>
      </w:pPr>
      <w:r>
        <w:rPr>
          <w:rStyle w:val="FootnoteReference"/>
        </w:rPr>
        <w:footnoteRef/>
      </w:r>
      <w:r>
        <w:rPr>
          <w:lang w:val="pl-PL"/>
        </w:rPr>
        <w:tab/>
        <w:t>OJ L 58, 3.3.2015, p. 17-38</w:t>
      </w:r>
    </w:p>
  </w:footnote>
  <w:footnote w:id="7">
    <w:p>
      <w:pPr>
        <w:pStyle w:val="FootnoteText"/>
        <w:rPr>
          <w:lang w:val="pl-PL"/>
        </w:rPr>
      </w:pPr>
      <w:r>
        <w:rPr>
          <w:rStyle w:val="FootnoteReference"/>
        </w:rPr>
        <w:footnoteRef/>
      </w:r>
      <w:r>
        <w:rPr>
          <w:lang w:val="pl-PL"/>
        </w:rPr>
        <w:tab/>
        <w:t>OJ L 172, 9.7.2018,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C81C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ED8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8C21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9EB6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982D3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0E4E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F4ABF8"/>
    <w:lvl w:ilvl="0">
      <w:start w:val="1"/>
      <w:numFmt w:val="decimal"/>
      <w:pStyle w:val="ListNumber"/>
      <w:lvlText w:val="%1."/>
      <w:lvlJc w:val="left"/>
      <w:pPr>
        <w:tabs>
          <w:tab w:val="num" w:pos="360"/>
        </w:tabs>
        <w:ind w:left="360" w:hanging="360"/>
      </w:pPr>
    </w:lvl>
  </w:abstractNum>
  <w:abstractNum w:abstractNumId="7">
    <w:nsid w:val="FFFFFF89"/>
    <w:multiLevelType w:val="singleLevel"/>
    <w:tmpl w:val="A78899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01 16:14: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C94E303-FD14-48CB-ACB4-7290E5E54496"/>
    <w:docVar w:name="LW_COVERPAGE_TYPE" w:val="1"/>
    <w:docVar w:name="LW_CROSSREFERENCE" w:val="&lt;UNUSED&gt;"/>
    <w:docVar w:name="LW_DocType" w:val="COM"/>
    <w:docVar w:name="LW_EMISSION" w:val="4.10.2018"/>
    <w:docVar w:name="LW_EMISSION_ISODATE" w:val="2018-10-0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40"/>
    <w:docVar w:name="LW_REF.II.NEW.CP_YEAR" w:val="2018"/>
    <w:docVar w:name="LW_REF.INST.NEW" w:val="COM"/>
    <w:docVar w:name="LW_REF.INST.NEW_ADOPTED" w:val="final"/>
    <w:docVar w:name="LW_REF.INST.NEW_TEXT" w:val="(2018)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third instalment for 2018"/>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5</Pages>
  <Words>1038</Words>
  <Characters>5494</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2018-09-12T09:53:00Z</dcterms:created>
  <dcterms:modified xsi:type="dcterms:W3CDTF">2018-10-01T14:14:00Z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