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CADE8D2B-78B4-4206-BB99-4923E0DBB682" style="width:450.75pt;height:361.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0" w:line="240" w:lineRule="auto"/>
        <w:rPr>
          <w:rFonts w:ascii="Times New Roman" w:hAnsi="Times New Roman"/>
          <w:b/>
          <w:noProof/>
          <w:sz w:val="24"/>
        </w:rPr>
      </w:pPr>
      <w:bookmarkStart w:id="1" w:name="_Toc485222989"/>
      <w:bookmarkStart w:id="2" w:name="_Toc394048479"/>
      <w:bookmarkStart w:id="3" w:name="_Toc369271376"/>
      <w:bookmarkStart w:id="4" w:name="_Toc332353732"/>
      <w:bookmarkStart w:id="5" w:name="_GoBack"/>
      <w:bookmarkEnd w:id="5"/>
      <w:r>
        <w:rPr>
          <w:noProof/>
        </w:rPr>
        <w:lastRenderedPageBreak/>
        <w:br w:type="page"/>
      </w:r>
    </w:p>
    <w:p>
      <w:pPr>
        <w:pStyle w:val="Typedudocument"/>
        <w:rPr>
          <w:noProof/>
        </w:rPr>
      </w:pPr>
      <w:r>
        <w:rPr>
          <w:noProof/>
        </w:rPr>
        <w:lastRenderedPageBreak/>
        <w:t>ДОКЛАД НА КОМИСИЯТА ДО ЕВРОПЕЙСКИЯ ПАРЛАМЕНТ И СЪВЕТА</w:t>
      </w:r>
    </w:p>
    <w:p>
      <w:pPr>
        <w:pStyle w:val="Titreobjet"/>
        <w:rPr>
          <w:noProof/>
          <w:lang w:val="en-GB"/>
        </w:rPr>
      </w:pPr>
      <w:r>
        <w:rPr>
          <w:noProof/>
        </w:rPr>
        <w:t>Регламент (ЕC) № 995/2010 на Европейския парламент и на Съвета от 20 октомври 2010 г. за определяне на задълженията на операторите, които пускат на пазара дървен материал и изделия от дървен материал (Регламентът на ЕС относно дървения материал)</w:t>
      </w:r>
      <w:r>
        <w:rPr>
          <w:noProof/>
        </w:rPr>
        <w:br/>
      </w:r>
      <w:r>
        <w:rPr>
          <w:noProof/>
        </w:rPr>
        <w:br/>
        <w:t>Двугодишен доклад за периода март 2015—февруари 2017 г.</w:t>
      </w:r>
    </w:p>
    <w:p>
      <w:pPr>
        <w:pStyle w:val="ListParagraph"/>
        <w:numPr>
          <w:ilvl w:val="0"/>
          <w:numId w:val="1"/>
        </w:numPr>
        <w:spacing w:line="270" w:lineRule="atLeast"/>
        <w:contextualSpacing w:val="0"/>
        <w:jc w:val="both"/>
        <w:rPr>
          <w:rFonts w:ascii="Times New Roman" w:hAnsi="Times New Roman"/>
          <w:b/>
          <w:bCs/>
          <w:noProof/>
          <w:sz w:val="24"/>
          <w:szCs w:val="24"/>
        </w:rPr>
      </w:pPr>
      <w:r>
        <w:rPr>
          <w:rFonts w:ascii="Times New Roman" w:hAnsi="Times New Roman"/>
          <w:b/>
          <w:noProof/>
          <w:sz w:val="24"/>
        </w:rPr>
        <w:t>Въведение</w:t>
      </w:r>
      <w:bookmarkEnd w:id="1"/>
    </w:p>
    <w:p>
      <w:pPr>
        <w:spacing w:line="270" w:lineRule="atLeast"/>
        <w:jc w:val="both"/>
        <w:rPr>
          <w:rFonts w:ascii="Times New Roman" w:hAnsi="Times New Roman"/>
          <w:noProof/>
          <w:sz w:val="24"/>
          <w:szCs w:val="24"/>
        </w:rPr>
      </w:pPr>
      <w:r>
        <w:rPr>
          <w:rFonts w:ascii="Times New Roman" w:hAnsi="Times New Roman"/>
          <w:noProof/>
          <w:sz w:val="24"/>
        </w:rPr>
        <w:t xml:space="preserve">През 2010 г. Европейският съюз (ЕС) прие Регламент (ЕС) № 995/2010 (Регламент за ЕС относно дървения материал, наричан по-долу РЕСДМ). В него се определят задълженията на операторите, които пускат на пазара дървен материал и изделия от дървен материал, като част от изпълнението на плана за действие на ЕС за прилагане на законодателството в областта на горите, управление и търговия (FLEGT). Този план за действие е инструмент на политиката на ЕС за борба с незаконната сеч в горите в целия свят. Друг ключов елемент на плана за действие за FLEGT са споразуменията за доброволно партньорство (СДП) — правнообвързващи търговски споразумения между ЕС и държавите производителки на дървен материал извън ЕС, които имат за цел да се подобри управлението на горите и правоприлагането и да се гарантира, че за ЕС се изнасят само проверен дървен материал и проверени изделия от дървен материал. Дървеният материал с разрешително FLEGT се счита за съвместим с РЕСДМ. По този начин РЕСДМ се превръща в ключов инструмент за справяне с проблема от гледна точка на търсенето, както и за допълване и насърчаване на СДП за FLEGT, които са насочени към предлагането. </w:t>
      </w:r>
    </w:p>
    <w:p>
      <w:pPr>
        <w:spacing w:line="270" w:lineRule="atLeast"/>
        <w:jc w:val="both"/>
        <w:rPr>
          <w:rFonts w:ascii="Times New Roman" w:hAnsi="Times New Roman"/>
          <w:noProof/>
          <w:sz w:val="24"/>
          <w:szCs w:val="24"/>
        </w:rPr>
      </w:pPr>
      <w:r>
        <w:rPr>
          <w:rFonts w:ascii="Times New Roman" w:hAnsi="Times New Roman"/>
          <w:noProof/>
          <w:sz w:val="24"/>
        </w:rPr>
        <w:t>Търговията с дървен материал има важна роля в ЕС. Според Евростат през периода 2006—2016 г. на пазара на ЕС са пуснати повече от 2 милиарда тона дървен материал и изделия от дървен материал</w:t>
      </w:r>
      <w:r>
        <w:rPr>
          <w:rFonts w:ascii="Times New Roman" w:hAnsi="Times New Roman"/>
          <w:noProof/>
          <w:sz w:val="24"/>
          <w:vertAlign w:val="superscript"/>
        </w:rPr>
        <w:footnoteReference w:id="1"/>
      </w:r>
      <w:r>
        <w:rPr>
          <w:rFonts w:ascii="Times New Roman" w:hAnsi="Times New Roman"/>
          <w:noProof/>
          <w:sz w:val="24"/>
        </w:rPr>
        <w:t xml:space="preserve"> (на стойност над 1 трилион евро). Повече от 25 % от този дървен материал е внесен от държави извън ЕС, а част от останалата търговия в рамките на ЕС може да включва дървен материал или изделия от дървен материал, които първоначално са били внесени в ЕС. През 2014 г. стойността на дървообработващите отрасли на ЕС, измерена чрез брутна добавена стойност, възлиза на 107 милиарда евро, като в тях са заети 3,3 милиона лица (съответно 6,2 % и 11 % от общото производство)</w:t>
      </w:r>
      <w:r>
        <w:rPr>
          <w:rFonts w:ascii="Times New Roman" w:hAnsi="Times New Roman"/>
          <w:noProof/>
          <w:sz w:val="24"/>
          <w:vertAlign w:val="superscript"/>
        </w:rPr>
        <w:footnoteReference w:id="2"/>
      </w:r>
      <w:r>
        <w:rPr>
          <w:rFonts w:ascii="Times New Roman" w:hAnsi="Times New Roman"/>
          <w:noProof/>
          <w:sz w:val="24"/>
        </w:rPr>
        <w:t>.</w:t>
      </w:r>
    </w:p>
    <w:p>
      <w:pPr>
        <w:spacing w:line="270" w:lineRule="atLeast"/>
        <w:jc w:val="both"/>
        <w:rPr>
          <w:rFonts w:ascii="Times New Roman" w:hAnsi="Times New Roman"/>
          <w:noProof/>
          <w:sz w:val="24"/>
          <w:szCs w:val="24"/>
        </w:rPr>
      </w:pPr>
      <w:r>
        <w:rPr>
          <w:rFonts w:ascii="Times New Roman" w:hAnsi="Times New Roman"/>
          <w:noProof/>
          <w:sz w:val="24"/>
        </w:rPr>
        <w:t>РЕСДМ влезе в сила в ЕС през март 2013 г. Той е от значение за Европейското икономическо пространство (ЕИП) и следователно е приложим в Исландия, Лихтенщайн и Норвегия. РЕСДМ влезе в сила в ЕИП, считано от 1 май 2015 г. Надзорният орган (НО) на Европейската асоциация за свободна търговия (ЕАСТ) следи за прилагането на РЕСДМ в тези държави.</w:t>
      </w:r>
    </w:p>
    <w:p>
      <w:pPr>
        <w:spacing w:line="270" w:lineRule="atLeast"/>
        <w:jc w:val="both"/>
        <w:rPr>
          <w:rFonts w:ascii="Times New Roman" w:hAnsi="Times New Roman"/>
          <w:noProof/>
          <w:sz w:val="24"/>
          <w:szCs w:val="24"/>
        </w:rPr>
      </w:pPr>
      <w:r>
        <w:rPr>
          <w:rFonts w:ascii="Times New Roman" w:hAnsi="Times New Roman"/>
          <w:noProof/>
          <w:sz w:val="24"/>
        </w:rPr>
        <w:t>В член 20, параграф 2 от РЕСДМ се изисква Комисията да изготвя доклад въз основа на информацията, предоставена от държавите членки в двугодишните им доклади, който да представя на Европейския парламент и на Съвета на всеки две години.</w:t>
      </w:r>
    </w:p>
    <w:p>
      <w:pPr>
        <w:spacing w:line="270" w:lineRule="atLeast"/>
        <w:jc w:val="both"/>
        <w:rPr>
          <w:rFonts w:ascii="Times New Roman" w:hAnsi="Times New Roman"/>
          <w:noProof/>
          <w:sz w:val="24"/>
          <w:szCs w:val="24"/>
        </w:rPr>
      </w:pPr>
      <w:r>
        <w:rPr>
          <w:rFonts w:ascii="Times New Roman" w:hAnsi="Times New Roman"/>
          <w:noProof/>
          <w:sz w:val="24"/>
        </w:rPr>
        <w:t>Настоящият доклад съдържа анализ на докладите, представени от всички 28 държави членки и от Норвегия — след споразумение с НО — относно изпълнението на РЕСДМ, и обхваща периода от март 2015 г. до февруари 2017 г.</w:t>
      </w:r>
      <w:r>
        <w:rPr>
          <w:rStyle w:val="FootnoteReference"/>
          <w:rFonts w:ascii="Times New Roman" w:hAnsi="Times New Roman"/>
          <w:noProof/>
          <w:sz w:val="24"/>
        </w:rPr>
        <w:footnoteReference w:id="3"/>
      </w:r>
      <w:r>
        <w:rPr>
          <w:rFonts w:ascii="Times New Roman" w:hAnsi="Times New Roman"/>
          <w:noProof/>
          <w:sz w:val="24"/>
        </w:rPr>
        <w:t>. В него подробно се описва как се изпълнява РЕСДМ в ЕС и в ЕИП и се очертават заключенията и следващите стъпки. Освен това в настоящия доклад се отчита постигнатият напредък по отношение на споразуменията за доброволно партньорство за FLEGT и приносът им за свеждане до минимум на наличието на незаконно добит дървен материал и изделия от дървен материал на вътрешния пазар.</w:t>
      </w:r>
    </w:p>
    <w:p>
      <w:pPr>
        <w:spacing w:line="270" w:lineRule="atLeast"/>
        <w:jc w:val="both"/>
        <w:rPr>
          <w:rFonts w:ascii="Times New Roman" w:hAnsi="Times New Roman"/>
          <w:noProof/>
          <w:sz w:val="24"/>
          <w:szCs w:val="24"/>
        </w:rPr>
      </w:pPr>
      <w:r>
        <w:rPr>
          <w:rFonts w:ascii="Times New Roman" w:hAnsi="Times New Roman"/>
          <w:noProof/>
          <w:sz w:val="24"/>
        </w:rPr>
        <w:t>Световният център за мониторинг на опазването на околната среда към Програмата на ООН за околната среда (UNEP WCMC), изготви по-подробен анализ на националните доклади за Комисията. Той съдържа повече подробности и е достъпен на интернет страницата на Комисията</w:t>
      </w:r>
      <w:r>
        <w:rPr>
          <w:rFonts w:ascii="Times New Roman" w:hAnsi="Times New Roman"/>
          <w:noProof/>
          <w:sz w:val="24"/>
          <w:vertAlign w:val="superscript"/>
        </w:rPr>
        <w:footnoteReference w:id="4"/>
      </w:r>
      <w:r>
        <w:rPr>
          <w:rFonts w:ascii="Times New Roman" w:hAnsi="Times New Roman"/>
          <w:noProof/>
          <w:sz w:val="24"/>
        </w:rPr>
        <w:t>.</w:t>
      </w:r>
    </w:p>
    <w:p>
      <w:pPr>
        <w:pStyle w:val="ListParagraph"/>
        <w:numPr>
          <w:ilvl w:val="0"/>
          <w:numId w:val="1"/>
        </w:numPr>
        <w:spacing w:line="270" w:lineRule="atLeast"/>
        <w:contextualSpacing w:val="0"/>
        <w:jc w:val="both"/>
        <w:rPr>
          <w:rFonts w:ascii="Times New Roman" w:hAnsi="Times New Roman"/>
          <w:b/>
          <w:bCs/>
          <w:noProof/>
          <w:sz w:val="24"/>
          <w:szCs w:val="24"/>
        </w:rPr>
      </w:pPr>
      <w:r>
        <w:rPr>
          <w:rFonts w:ascii="Times New Roman" w:hAnsi="Times New Roman"/>
          <w:b/>
          <w:noProof/>
          <w:sz w:val="24"/>
        </w:rPr>
        <w:t>Контекст</w:t>
      </w:r>
    </w:p>
    <w:p>
      <w:pPr>
        <w:spacing w:line="270" w:lineRule="atLeast"/>
        <w:jc w:val="both"/>
        <w:rPr>
          <w:rFonts w:ascii="Times New Roman" w:hAnsi="Times New Roman"/>
          <w:noProof/>
          <w:sz w:val="24"/>
          <w:szCs w:val="24"/>
        </w:rPr>
      </w:pPr>
      <w:r>
        <w:rPr>
          <w:rFonts w:ascii="Times New Roman" w:hAnsi="Times New Roman"/>
          <w:noProof/>
          <w:sz w:val="24"/>
        </w:rPr>
        <w:t>РЕСДМ е част от широк набор от мерки, въведени с Плана за действие за FLEGT, който представлява всеобхватният отговор на ЕС на разпространения проблем с незаконната сеч и неговото опустошително въздействие върху горите.</w:t>
      </w:r>
    </w:p>
    <w:p>
      <w:pPr>
        <w:spacing w:line="270" w:lineRule="atLeast"/>
        <w:jc w:val="both"/>
        <w:rPr>
          <w:rFonts w:ascii="Times New Roman" w:hAnsi="Times New Roman"/>
          <w:noProof/>
          <w:sz w:val="24"/>
          <w:szCs w:val="24"/>
        </w:rPr>
      </w:pPr>
      <w:r>
        <w:rPr>
          <w:rFonts w:ascii="Times New Roman" w:hAnsi="Times New Roman"/>
          <w:noProof/>
          <w:sz w:val="24"/>
        </w:rPr>
        <w:t>Планът за действие за FLEGT беше приет през 2003 г. и в него се определят процеси и мерки за: i) решаване на проблема с незаконната сеч и свързаната с нея търговия и ii) гарантиране на законността на дървения материал, изнасян за ЕС. Ключов елемент от Плана за действие за FLEGT са доброволните споразумения за партньорство (СДП), подписани между ЕС и държавите производителки на дървен материал, които не са членки на ЕС. Тъй като в Плана за действие за FLEGT се признава възможността за разработване на ново законодателство с цел преодоляване на ограниченията на двустранния и ориентиран към предлагането подход, през 2008 г. Комисията представи законодателно предложение. Това доведе до приемане на РЕСДМ през 2010 г.</w:t>
      </w:r>
    </w:p>
    <w:p>
      <w:pPr>
        <w:spacing w:line="270" w:lineRule="atLeast"/>
        <w:jc w:val="both"/>
        <w:rPr>
          <w:rFonts w:ascii="Times New Roman" w:hAnsi="Times New Roman"/>
          <w:noProof/>
          <w:sz w:val="24"/>
          <w:szCs w:val="24"/>
        </w:rPr>
      </w:pPr>
      <w:r>
        <w:rPr>
          <w:rFonts w:ascii="Times New Roman" w:hAnsi="Times New Roman"/>
          <w:noProof/>
          <w:sz w:val="24"/>
        </w:rPr>
        <w:t>С РЕСДМ бяха установени три ключови задължения:</w:t>
      </w:r>
    </w:p>
    <w:p>
      <w:pPr>
        <w:pStyle w:val="ListParagraph"/>
        <w:numPr>
          <w:ilvl w:val="0"/>
          <w:numId w:val="25"/>
        </w:numPr>
        <w:spacing w:line="270" w:lineRule="atLeast"/>
        <w:jc w:val="both"/>
        <w:rPr>
          <w:rFonts w:ascii="Times New Roman" w:hAnsi="Times New Roman"/>
          <w:noProof/>
          <w:sz w:val="24"/>
          <w:szCs w:val="24"/>
        </w:rPr>
      </w:pPr>
      <w:r>
        <w:rPr>
          <w:rFonts w:ascii="Times New Roman" w:hAnsi="Times New Roman"/>
          <w:noProof/>
          <w:sz w:val="24"/>
        </w:rPr>
        <w:t>в него се забранява пускането на пазара на незаконно добит дървен материал (т.е. дървен материал, получен в нарушение на приложимото законодателство в държавата, в която е добит) или изделия, получени от такъв дървен материал;</w:t>
      </w:r>
    </w:p>
    <w:p>
      <w:pPr>
        <w:pStyle w:val="ListParagraph"/>
        <w:spacing w:line="270" w:lineRule="atLeast"/>
        <w:ind w:left="360"/>
        <w:jc w:val="both"/>
        <w:rPr>
          <w:rFonts w:ascii="Times New Roman" w:hAnsi="Times New Roman"/>
          <w:noProof/>
          <w:sz w:val="24"/>
          <w:szCs w:val="24"/>
        </w:rPr>
      </w:pPr>
    </w:p>
    <w:p>
      <w:pPr>
        <w:pStyle w:val="ListParagraph"/>
        <w:numPr>
          <w:ilvl w:val="0"/>
          <w:numId w:val="25"/>
        </w:numPr>
        <w:spacing w:line="270" w:lineRule="atLeast"/>
        <w:jc w:val="both"/>
        <w:rPr>
          <w:rFonts w:ascii="Times New Roman" w:hAnsi="Times New Roman"/>
          <w:noProof/>
          <w:sz w:val="24"/>
          <w:szCs w:val="24"/>
        </w:rPr>
      </w:pPr>
      <w:r>
        <w:rPr>
          <w:rFonts w:ascii="Times New Roman" w:hAnsi="Times New Roman"/>
          <w:noProof/>
          <w:sz w:val="24"/>
        </w:rPr>
        <w:t>в РЕСДМ се изисква операторите, които пускат на пазара на ЕС за първи път дървен материал и изделия от дървен материал, да извършват „надлежна проверка“, т.е. да провеждат процедура за управление на риска, за да гарантират, че на пазара на ЕС се пускат само законно добит дървен материал (дървен материал, получен в съответствие с приложимото законодателство в държавата, в която е добит) или изделия, получени от такъв дървен материал;</w:t>
      </w:r>
    </w:p>
    <w:p>
      <w:pPr>
        <w:pStyle w:val="ListParagraph"/>
        <w:rPr>
          <w:rFonts w:ascii="Times New Roman" w:hAnsi="Times New Roman"/>
          <w:noProof/>
          <w:sz w:val="24"/>
          <w:szCs w:val="24"/>
        </w:rPr>
      </w:pPr>
    </w:p>
    <w:p>
      <w:pPr>
        <w:pStyle w:val="ListParagraph"/>
        <w:numPr>
          <w:ilvl w:val="0"/>
          <w:numId w:val="25"/>
        </w:numPr>
        <w:spacing w:line="270" w:lineRule="atLeast"/>
        <w:jc w:val="both"/>
        <w:rPr>
          <w:rFonts w:ascii="Times New Roman" w:hAnsi="Times New Roman"/>
          <w:noProof/>
          <w:sz w:val="24"/>
          <w:szCs w:val="24"/>
        </w:rPr>
      </w:pPr>
      <w:r>
        <w:rPr>
          <w:rFonts w:ascii="Times New Roman" w:hAnsi="Times New Roman"/>
          <w:noProof/>
          <w:sz w:val="24"/>
        </w:rPr>
        <w:t>в него се изисква търговците на дървен материал и изделия от дървен материал, които вече са пуснати на пазара на ЕС, да водят регистър на своите доставчици и клиенти („задължение за проследяване“).</w:t>
      </w:r>
    </w:p>
    <w:p>
      <w:pPr>
        <w:spacing w:line="270" w:lineRule="atLeast"/>
        <w:jc w:val="both"/>
        <w:rPr>
          <w:rFonts w:ascii="Times New Roman" w:hAnsi="Times New Roman"/>
          <w:noProof/>
          <w:sz w:val="24"/>
          <w:szCs w:val="24"/>
        </w:rPr>
      </w:pPr>
      <w:r>
        <w:rPr>
          <w:rFonts w:ascii="Times New Roman" w:hAnsi="Times New Roman"/>
          <w:noProof/>
          <w:sz w:val="24"/>
        </w:rPr>
        <w:t>РЕСДМ е първият правен инструмент на равнище Европейски съюз, който включва задължителна надлежна проверка — ключов принцип за устойчива корпоративна отговорност в съответствие с ръководните принципи на ООН за бизнес и права на човека (UNGP).</w:t>
      </w:r>
    </w:p>
    <w:p>
      <w:pPr>
        <w:spacing w:line="270" w:lineRule="atLeast"/>
        <w:jc w:val="both"/>
        <w:rPr>
          <w:rFonts w:ascii="Times New Roman" w:hAnsi="Times New Roman"/>
          <w:noProof/>
          <w:sz w:val="24"/>
          <w:szCs w:val="24"/>
        </w:rPr>
      </w:pPr>
      <w:r>
        <w:rPr>
          <w:rFonts w:ascii="Times New Roman" w:hAnsi="Times New Roman"/>
          <w:noProof/>
          <w:sz w:val="24"/>
        </w:rPr>
        <w:t>В съответствие с член 20, параграф 3 Комисията извърши първия преглед на функционирането и ефективността на РЕСДМ през първите две години от неговото прилагане. Прегледът беше под формата на оценка, проведена в съответствие с насоките на ЕС за по-добро регулиране</w:t>
      </w:r>
      <w:r>
        <w:rPr>
          <w:rStyle w:val="FootnoteReference"/>
          <w:rFonts w:ascii="Times New Roman" w:hAnsi="Times New Roman"/>
          <w:noProof/>
          <w:sz w:val="24"/>
        </w:rPr>
        <w:footnoteReference w:id="5"/>
      </w:r>
      <w:r>
        <w:rPr>
          <w:rFonts w:ascii="Times New Roman" w:hAnsi="Times New Roman"/>
          <w:noProof/>
          <w:sz w:val="24"/>
        </w:rPr>
        <w:t>. Той се основаваше на докладите на държавите членки за периода от март 2013 г. до февруари 2015 г. и на опита им с прилагането на РЕСДМ до този момент. Комисията публикува своя доклад на 18 февруари 2016 г.</w:t>
      </w:r>
      <w:r>
        <w:rPr>
          <w:rStyle w:val="FootnoteReference"/>
          <w:rFonts w:ascii="Times New Roman" w:hAnsi="Times New Roman"/>
          <w:noProof/>
          <w:sz w:val="24"/>
        </w:rPr>
        <w:footnoteReference w:id="6"/>
      </w:r>
      <w:r>
        <w:rPr>
          <w:rFonts w:ascii="Times New Roman" w:hAnsi="Times New Roman"/>
          <w:noProof/>
          <w:sz w:val="24"/>
        </w:rPr>
        <w:t xml:space="preserve">. </w:t>
      </w:r>
    </w:p>
    <w:p>
      <w:pPr>
        <w:spacing w:line="270" w:lineRule="atLeast"/>
        <w:jc w:val="both"/>
        <w:rPr>
          <w:rFonts w:ascii="Times New Roman" w:hAnsi="Times New Roman"/>
          <w:noProof/>
          <w:sz w:val="24"/>
          <w:szCs w:val="24"/>
        </w:rPr>
      </w:pPr>
      <w:r>
        <w:rPr>
          <w:rFonts w:ascii="Times New Roman" w:hAnsi="Times New Roman"/>
          <w:noProof/>
          <w:sz w:val="24"/>
        </w:rPr>
        <w:t>Въпреки че ограниченият период беше недостатъчен за цялостно оценяване на функционирането и ефективността на РЕСДМ, по-специално тъй като изискването за задължителна надлежна проверка беше съвсем ново, в доклада се стигна до заключението, че въвеждането и изпълнението на РЕСДМ е бавно и неравномерно през първите две години и продължава да бъде непълно. По време на оценката не всички държави членки бяха изпълнили всичките си задължения по РЕСДМ. Доказателствата показват, че операторите постепенно започват да изпълняват задължението за надлежна проверка и че е налице по-голяма информираност за проблема с незаконната сеч сред промишлеността на ЕС и сред потребителите от ЕС. Въпреки това неравномерното и неефективното прилагане през първите две години не позволи установяването на еднакви условия на конкуренция. Необходими са повече усилия както от страна на държавите членки, така и от частния сектор, за да се гарантира неговото ефективно и ефикасно прилагане.</w:t>
      </w:r>
    </w:p>
    <w:p>
      <w:pPr>
        <w:spacing w:line="270" w:lineRule="atLeast"/>
        <w:jc w:val="both"/>
        <w:rPr>
          <w:rFonts w:ascii="Times New Roman" w:hAnsi="Times New Roman"/>
          <w:noProof/>
          <w:sz w:val="24"/>
          <w:szCs w:val="24"/>
        </w:rPr>
      </w:pPr>
      <w:r>
        <w:rPr>
          <w:rFonts w:ascii="Times New Roman" w:hAnsi="Times New Roman"/>
          <w:noProof/>
          <w:sz w:val="24"/>
        </w:rPr>
        <w:t>Тези резултати бяха използвани за по-нататъшно подобряване на изпълнението и прилагането на РЕСДМ чрез i) насърчаване на сътрудничеството между държавите членки и Комисията и обмен на информация по време на срещите на експертната група за FLEGT—РЕСДМ</w:t>
      </w:r>
      <w:r>
        <w:rPr>
          <w:rStyle w:val="FootnoteReference"/>
          <w:rFonts w:ascii="Times New Roman" w:hAnsi="Times New Roman"/>
          <w:noProof/>
          <w:sz w:val="24"/>
        </w:rPr>
        <w:footnoteReference w:id="7"/>
      </w:r>
      <w:r>
        <w:rPr>
          <w:rFonts w:ascii="Times New Roman" w:hAnsi="Times New Roman"/>
          <w:noProof/>
          <w:sz w:val="24"/>
        </w:rPr>
        <w:t xml:space="preserve">; ii) разработване на нови документи с насоки или актуализиране на съществуващите; iii) публикуване на двумесечни информационни бележки по въпроси, свързани с РЕСДМ. </w:t>
      </w:r>
    </w:p>
    <w:p>
      <w:pPr>
        <w:pStyle w:val="ListParagraph"/>
        <w:keepNext/>
        <w:keepLines/>
        <w:numPr>
          <w:ilvl w:val="0"/>
          <w:numId w:val="1"/>
        </w:numPr>
        <w:spacing w:line="270" w:lineRule="atLeast"/>
        <w:contextualSpacing w:val="0"/>
        <w:jc w:val="both"/>
        <w:outlineLvl w:val="1"/>
        <w:rPr>
          <w:rFonts w:ascii="Times New Roman" w:hAnsi="Times New Roman"/>
          <w:b/>
          <w:bCs/>
          <w:noProof/>
          <w:sz w:val="24"/>
          <w:szCs w:val="24"/>
        </w:rPr>
      </w:pPr>
      <w:r>
        <w:rPr>
          <w:rFonts w:ascii="Times New Roman" w:hAnsi="Times New Roman"/>
          <w:b/>
          <w:noProof/>
          <w:sz w:val="24"/>
        </w:rPr>
        <w:t>Доклади по РЕСДМ</w:t>
      </w:r>
    </w:p>
    <w:p>
      <w:pPr>
        <w:spacing w:line="270" w:lineRule="atLeast"/>
        <w:jc w:val="both"/>
        <w:rPr>
          <w:rFonts w:ascii="Times New Roman" w:hAnsi="Times New Roman"/>
          <w:noProof/>
          <w:sz w:val="24"/>
          <w:szCs w:val="24"/>
        </w:rPr>
      </w:pPr>
      <w:r>
        <w:rPr>
          <w:rFonts w:ascii="Times New Roman" w:hAnsi="Times New Roman"/>
          <w:noProof/>
          <w:sz w:val="24"/>
        </w:rPr>
        <w:t>В съответствие с член 20, параграф 1 държавите членки и държавите от ЕИП/ЕАСТ (наричани по-долу „държави“) са длъжни да представят на Комисията до 30 април на всяка втора година (след 3 март 2013 г.) доклад относно прилагането на РЕСДМ, който обхваща предишните две години. Тези доклади са важен инструмент за наблюдение на изпълнението на РЕСДМ, за определяне на развитията или предизвикателствата и възможните решения, както и за обмен на информация между държавите и с други заинтересовани страни.</w:t>
      </w:r>
    </w:p>
    <w:p>
      <w:pPr>
        <w:pStyle w:val="ListParagraph"/>
        <w:keepNext/>
        <w:keepLines/>
        <w:numPr>
          <w:ilvl w:val="0"/>
          <w:numId w:val="1"/>
        </w:numPr>
        <w:spacing w:line="270" w:lineRule="atLeast"/>
        <w:contextualSpacing w:val="0"/>
        <w:jc w:val="both"/>
        <w:outlineLvl w:val="1"/>
        <w:rPr>
          <w:rFonts w:ascii="Times New Roman" w:hAnsi="Times New Roman"/>
          <w:b/>
          <w:bCs/>
          <w:noProof/>
          <w:sz w:val="24"/>
          <w:szCs w:val="24"/>
        </w:rPr>
      </w:pPr>
      <w:r>
        <w:rPr>
          <w:rFonts w:ascii="Times New Roman" w:hAnsi="Times New Roman"/>
          <w:b/>
          <w:noProof/>
          <w:sz w:val="24"/>
        </w:rPr>
        <w:t>Изпълнение — текущо състояние</w:t>
      </w:r>
      <w:bookmarkEnd w:id="2"/>
      <w:bookmarkEnd w:id="3"/>
      <w:bookmarkEnd w:id="4"/>
    </w:p>
    <w:p>
      <w:pPr>
        <w:pStyle w:val="ListParagraph"/>
        <w:keepNext/>
        <w:keepLines/>
        <w:numPr>
          <w:ilvl w:val="1"/>
          <w:numId w:val="1"/>
        </w:numPr>
        <w:spacing w:line="270" w:lineRule="atLeast"/>
        <w:ind w:left="426" w:hanging="426"/>
        <w:contextualSpacing w:val="0"/>
        <w:jc w:val="both"/>
        <w:outlineLvl w:val="0"/>
        <w:rPr>
          <w:rFonts w:ascii="Times New Roman" w:hAnsi="Times New Roman"/>
          <w:b/>
          <w:noProof/>
          <w:sz w:val="24"/>
          <w:szCs w:val="24"/>
        </w:rPr>
      </w:pPr>
      <w:bookmarkStart w:id="6" w:name="_Toc485222991"/>
      <w:r>
        <w:rPr>
          <w:rFonts w:ascii="Times New Roman" w:hAnsi="Times New Roman"/>
          <w:b/>
          <w:noProof/>
          <w:sz w:val="24"/>
        </w:rPr>
        <w:t xml:space="preserve">Определяне на компетентните </w:t>
      </w:r>
      <w:bookmarkEnd w:id="6"/>
      <w:r>
        <w:rPr>
          <w:rFonts w:ascii="Times New Roman" w:hAnsi="Times New Roman"/>
          <w:b/>
          <w:noProof/>
          <w:sz w:val="24"/>
        </w:rPr>
        <w:t xml:space="preserve">органи </w:t>
      </w:r>
    </w:p>
    <w:p>
      <w:pPr>
        <w:spacing w:line="270" w:lineRule="atLeast"/>
        <w:jc w:val="both"/>
        <w:rPr>
          <w:rFonts w:ascii="Times New Roman" w:hAnsi="Times New Roman"/>
          <w:noProof/>
          <w:sz w:val="24"/>
          <w:szCs w:val="24"/>
        </w:rPr>
      </w:pPr>
      <w:r>
        <w:rPr>
          <w:rFonts w:ascii="Times New Roman" w:hAnsi="Times New Roman"/>
          <w:noProof/>
          <w:sz w:val="24"/>
        </w:rPr>
        <w:t>Съгласно член 7, параграф 1 от държавите се изисква да определят един или повече компетентни органи, които да отговарят по-специално за извършването на проверки на равни интервали от време относно спазването на РЕСДМ от страна на операторите съгласно член 4 (забрана за пускане на пазара на ЕС на незаконно добит дървен материал или на изделия, получени от такъв дървен материал, и задължение за наличие на система за надлежна проверка) и член 6 (елементите, които системата за надлежна проверка трябва да съдържа). Всички докладващи държави предоставиха подробности относно определените компетентни органи</w:t>
      </w:r>
      <w:r>
        <w:rPr>
          <w:rFonts w:ascii="Times New Roman" w:hAnsi="Times New Roman"/>
          <w:noProof/>
          <w:sz w:val="24"/>
          <w:vertAlign w:val="superscript"/>
        </w:rPr>
        <w:footnoteReference w:id="8"/>
      </w:r>
      <w:r>
        <w:rPr>
          <w:rFonts w:ascii="Times New Roman" w:hAnsi="Times New Roman"/>
          <w:noProof/>
          <w:sz w:val="24"/>
        </w:rPr>
        <w:t>. Институционалните структури, законовите правомощия и статутът на определените органи показват различия между държавите поради различията в техните правни уредби и институционални рамки.</w:t>
      </w:r>
    </w:p>
    <w:p>
      <w:pPr>
        <w:pStyle w:val="Chaptertext"/>
        <w:jc w:val="both"/>
        <w:rPr>
          <w:rFonts w:ascii="Times New Roman" w:eastAsia="Calibri" w:hAnsi="Times New Roman" w:cs="Times New Roman"/>
          <w:noProof/>
          <w:sz w:val="24"/>
          <w:szCs w:val="24"/>
        </w:rPr>
      </w:pPr>
      <w:r>
        <w:rPr>
          <w:rFonts w:ascii="Times New Roman" w:hAnsi="Times New Roman"/>
          <w:noProof/>
          <w:sz w:val="24"/>
        </w:rPr>
        <w:t>В докладите се посочва, че по отношение на внесения дървен материал националните компетентни органи носят пълна отговорност за проверката на операторите в 21 държави; по отношение на местния дървен материал националните компетентни органи носят пълна отговорност за проверката на операторите в 19 държави. В останалите държави тази отговорност е частично или изцяло делегирана на регионални компетентни органи. В някои случаи други органи могат да подпомогнат проверките.</w:t>
      </w:r>
    </w:p>
    <w:p>
      <w:pPr>
        <w:pStyle w:val="ListParagraph"/>
        <w:keepNext/>
        <w:keepLines/>
        <w:numPr>
          <w:ilvl w:val="1"/>
          <w:numId w:val="1"/>
        </w:numPr>
        <w:spacing w:line="270" w:lineRule="atLeast"/>
        <w:ind w:left="426" w:hanging="426"/>
        <w:contextualSpacing w:val="0"/>
        <w:jc w:val="both"/>
        <w:outlineLvl w:val="0"/>
        <w:rPr>
          <w:rFonts w:ascii="Times New Roman" w:hAnsi="Times New Roman"/>
          <w:b/>
          <w:noProof/>
          <w:sz w:val="24"/>
          <w:szCs w:val="24"/>
        </w:rPr>
      </w:pPr>
      <w:r>
        <w:rPr>
          <w:rFonts w:ascii="Times New Roman" w:hAnsi="Times New Roman"/>
          <w:b/>
          <w:noProof/>
          <w:sz w:val="24"/>
        </w:rPr>
        <w:t xml:space="preserve"> Санкции</w:t>
      </w:r>
    </w:p>
    <w:p>
      <w:pPr>
        <w:spacing w:line="270" w:lineRule="atLeast"/>
        <w:jc w:val="both"/>
        <w:rPr>
          <w:rFonts w:ascii="Times New Roman" w:hAnsi="Times New Roman"/>
          <w:noProof/>
          <w:sz w:val="24"/>
          <w:szCs w:val="24"/>
        </w:rPr>
      </w:pPr>
      <w:r>
        <w:rPr>
          <w:rFonts w:ascii="Times New Roman" w:hAnsi="Times New Roman"/>
          <w:noProof/>
          <w:sz w:val="24"/>
        </w:rPr>
        <w:t>Съгласно член 19 от държавите се изисква да определят правилата относно санкциите, приложими при нарушения на разпоредбите на РЕСДМ; предвидените санкции трябва да бъдат ефективни, пропорционални и възпиращи. От тях също така се изисква да предприемат всички необходими мерки, за да се гарантира прилагането на тези правила. Всички докладващи държави предоставиха подробности относно своите правни рамки.</w:t>
      </w:r>
    </w:p>
    <w:p>
      <w:pPr>
        <w:spacing w:line="270" w:lineRule="atLeast"/>
        <w:jc w:val="both"/>
        <w:rPr>
          <w:rFonts w:ascii="Times New Roman" w:hAnsi="Times New Roman"/>
          <w:noProof/>
          <w:sz w:val="24"/>
          <w:szCs w:val="24"/>
        </w:rPr>
      </w:pPr>
      <w:r>
        <w:rPr>
          <w:rFonts w:ascii="Times New Roman" w:hAnsi="Times New Roman"/>
          <w:noProof/>
          <w:sz w:val="24"/>
        </w:rPr>
        <w:t>Всички докладващи държави предоставиха информация за обхвата на санкциите за потенциални нарушения на РЕСДМ</w:t>
      </w:r>
      <w:r>
        <w:rPr>
          <w:rFonts w:ascii="Times New Roman" w:hAnsi="Times New Roman"/>
          <w:noProof/>
          <w:sz w:val="24"/>
          <w:vertAlign w:val="superscript"/>
        </w:rPr>
        <w:footnoteReference w:id="9"/>
      </w:r>
      <w:r>
        <w:rPr>
          <w:rFonts w:ascii="Times New Roman" w:hAnsi="Times New Roman"/>
          <w:noProof/>
          <w:sz w:val="24"/>
        </w:rPr>
        <w:t>. Санкциите могат да бъдат както административни, така и наказателни в 13 държави, само административни в 10 държави и само наказателни в две държави. Четири държави не са посочили естеството на санкциите (административни и/или наказателни).</w:t>
      </w:r>
    </w:p>
    <w:p>
      <w:pPr>
        <w:spacing w:line="270" w:lineRule="atLeast"/>
        <w:jc w:val="both"/>
        <w:rPr>
          <w:rFonts w:ascii="Times New Roman" w:hAnsi="Times New Roman"/>
          <w:noProof/>
          <w:sz w:val="24"/>
          <w:szCs w:val="24"/>
        </w:rPr>
      </w:pPr>
      <w:r>
        <w:rPr>
          <w:rFonts w:ascii="Times New Roman" w:hAnsi="Times New Roman"/>
          <w:noProof/>
          <w:sz w:val="24"/>
        </w:rPr>
        <w:t>В 21 държави могат да се издават уведомления за коригиращи действия, когато бъдат открити пропуски. Те дават възможност на операторите да коригират своята система за надлежна проверка преди да бъдат проверени отново. Те могат да бъдат комбинирани с временни мерки, като например изземване на дървен материал или забрана за пускането му на пазара.</w:t>
      </w:r>
    </w:p>
    <w:p>
      <w:pPr>
        <w:pStyle w:val="Chaptertext"/>
        <w:jc w:val="both"/>
        <w:rPr>
          <w:rFonts w:ascii="Times New Roman" w:eastAsia="Calibri" w:hAnsi="Times New Roman" w:cs="Times New Roman"/>
          <w:noProof/>
          <w:sz w:val="24"/>
          <w:szCs w:val="24"/>
        </w:rPr>
      </w:pPr>
      <w:r>
        <w:rPr>
          <w:rFonts w:ascii="Times New Roman" w:hAnsi="Times New Roman"/>
          <w:noProof/>
          <w:sz w:val="24"/>
        </w:rPr>
        <w:t>Подробности относно глобите, приложими при нарушения на РЕСДМ, бяха предоставени от 25 държави; те варират от едва 14 EUR до глоби с неограничен размер (вж. фигура 1). Най-големите докладвани глоби са тези, които са свързани със забраната за пускане на пазара на ЕС на незаконно добит дървен материал и на изделия, произведени от такъв дървен материал:</w:t>
      </w:r>
    </w:p>
    <w:p>
      <w:pPr>
        <w:pStyle w:val="Chaptertext"/>
        <w:numPr>
          <w:ilvl w:val="0"/>
          <w:numId w:val="24"/>
        </w:numPr>
        <w:ind w:left="426" w:hanging="284"/>
        <w:jc w:val="both"/>
        <w:rPr>
          <w:rFonts w:ascii="Times New Roman" w:eastAsia="Calibri" w:hAnsi="Times New Roman" w:cs="Times New Roman"/>
          <w:noProof/>
          <w:sz w:val="24"/>
          <w:szCs w:val="24"/>
        </w:rPr>
      </w:pPr>
      <w:r>
        <w:rPr>
          <w:rFonts w:ascii="Times New Roman" w:hAnsi="Times New Roman"/>
          <w:noProof/>
          <w:sz w:val="24"/>
        </w:rPr>
        <w:t>до 100 000 EUR: Австрия, България, Хърватия, Кипър, Германия (административни наказания), Гърция, Унгария, Литва, Малта, Нидерландия, Полша, Португалия, Словакия, Словения и Швеция;</w:t>
      </w:r>
    </w:p>
    <w:p>
      <w:pPr>
        <w:pStyle w:val="Chaptertext"/>
        <w:numPr>
          <w:ilvl w:val="0"/>
          <w:numId w:val="24"/>
        </w:numPr>
        <w:ind w:left="426" w:hanging="284"/>
        <w:jc w:val="both"/>
        <w:rPr>
          <w:rFonts w:ascii="Times New Roman" w:eastAsia="Calibri" w:hAnsi="Times New Roman" w:cs="Times New Roman"/>
          <w:noProof/>
          <w:sz w:val="24"/>
          <w:szCs w:val="24"/>
        </w:rPr>
      </w:pPr>
      <w:r>
        <w:rPr>
          <w:rFonts w:ascii="Times New Roman" w:hAnsi="Times New Roman"/>
          <w:noProof/>
          <w:sz w:val="24"/>
        </w:rPr>
        <w:t>до 1 000 000 EUR: Чешката република, Франция, Ирландия, Италия, Латвия, Люксембург и Испания;</w:t>
      </w:r>
    </w:p>
    <w:p>
      <w:pPr>
        <w:pStyle w:val="Chaptertext"/>
        <w:numPr>
          <w:ilvl w:val="0"/>
          <w:numId w:val="24"/>
        </w:numPr>
        <w:ind w:left="426" w:hanging="284"/>
        <w:jc w:val="both"/>
        <w:rPr>
          <w:rFonts w:ascii="Times New Roman" w:eastAsia="Calibri" w:hAnsi="Times New Roman" w:cs="Times New Roman"/>
          <w:noProof/>
          <w:sz w:val="24"/>
          <w:szCs w:val="24"/>
        </w:rPr>
      </w:pPr>
      <w:r>
        <w:rPr>
          <w:rFonts w:ascii="Times New Roman" w:hAnsi="Times New Roman"/>
          <w:noProof/>
          <w:sz w:val="24"/>
        </w:rPr>
        <w:t>над 1 000 000 EUR: Белгия, Естония, Германия (наказателни санкции) и Обединеното кралство.</w:t>
      </w:r>
    </w:p>
    <w:p>
      <w:pPr>
        <w:pStyle w:val="Chaptertext"/>
        <w:jc w:val="both"/>
        <w:rPr>
          <w:rFonts w:ascii="Times New Roman" w:eastAsia="Calibri" w:hAnsi="Times New Roman" w:cs="Times New Roman"/>
          <w:noProof/>
          <w:sz w:val="24"/>
          <w:szCs w:val="24"/>
        </w:rPr>
      </w:pPr>
      <w:r>
        <w:rPr>
          <w:rFonts w:ascii="Times New Roman" w:hAnsi="Times New Roman"/>
          <w:noProof/>
          <w:sz w:val="24"/>
        </w:rPr>
        <w:t>Дания съобщи, че не е определила граница. Във Финландия и Швеция</w:t>
      </w:r>
      <w:r>
        <w:rPr>
          <w:rFonts w:ascii="Times New Roman" w:hAnsi="Times New Roman"/>
          <w:noProof/>
          <w:sz w:val="24"/>
          <w:vertAlign w:val="superscript"/>
        </w:rPr>
        <w:footnoteReference w:id="10"/>
      </w:r>
      <w:r>
        <w:rPr>
          <w:rFonts w:ascii="Times New Roman" w:hAnsi="Times New Roman"/>
          <w:noProof/>
          <w:sz w:val="24"/>
        </w:rPr>
        <w:t xml:space="preserve"> глобите се основават на приходите на нарушителите. </w:t>
      </w:r>
    </w:p>
    <w:p>
      <w:pPr>
        <w:pStyle w:val="Chaptertext"/>
        <w:jc w:val="both"/>
        <w:rPr>
          <w:rFonts w:ascii="Times New Roman" w:eastAsia="Calibri" w:hAnsi="Times New Roman" w:cs="Times New Roman"/>
          <w:noProof/>
          <w:sz w:val="24"/>
          <w:szCs w:val="24"/>
        </w:rPr>
      </w:pPr>
      <w:r>
        <w:rPr>
          <w:rFonts w:ascii="Times New Roman" w:hAnsi="Times New Roman"/>
          <w:noProof/>
          <w:sz w:val="24"/>
        </w:rPr>
        <w:t>Изземването на дървен материал или изделие(изделия) от дървен материал беше докладвано като потенциална санкция от 19 държави, докато 10 държави могат да спрат действието на разрешението за търговия.</w:t>
      </w:r>
    </w:p>
    <w:p>
      <w:pPr>
        <w:pStyle w:val="Chaptertext"/>
        <w:jc w:val="both"/>
        <w:rPr>
          <w:rFonts w:ascii="Times New Roman" w:eastAsia="Calibri" w:hAnsi="Times New Roman" w:cs="Times New Roman"/>
          <w:noProof/>
          <w:sz w:val="24"/>
          <w:szCs w:val="24"/>
        </w:rPr>
      </w:pPr>
      <w:r>
        <w:rPr>
          <w:rFonts w:ascii="Times New Roman" w:hAnsi="Times New Roman"/>
          <w:noProof/>
          <w:sz w:val="24"/>
        </w:rPr>
        <w:t>Нарушенията на РЕСДМ са наказуеми с лишаване от свобода в 15 държави, като най-тежката потенциална присъда е 10 години (Гърция), а най-леката — 30 дни (Люксембург).</w:t>
      </w:r>
    </w:p>
    <w:p>
      <w:pPr>
        <w:rPr>
          <w:noProof/>
        </w:rPr>
      </w:pPr>
    </w:p>
    <w:p>
      <w:pPr>
        <w:rPr>
          <w:noProof/>
        </w:rPr>
      </w:pPr>
      <w:r>
        <w:rPr>
          <w:noProof/>
          <w:lang w:val="en-US" w:eastAsia="en-US" w:bidi="ar-SA"/>
        </w:rPr>
        <w:drawing>
          <wp:inline distT="0" distB="0" distL="0" distR="0">
            <wp:extent cx="5759450" cy="4026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026933"/>
                    </a:xfrm>
                    <a:prstGeom prst="rect">
                      <a:avLst/>
                    </a:prstGeom>
                    <a:noFill/>
                    <a:ln>
                      <a:noFill/>
                    </a:ln>
                  </pic:spPr>
                </pic:pic>
              </a:graphicData>
            </a:graphic>
          </wp:inline>
        </w:drawing>
      </w:r>
    </w:p>
    <w:p>
      <w:pPr>
        <w:pStyle w:val="Chaptertext"/>
        <w:spacing w:line="240" w:lineRule="auto"/>
        <w:jc w:val="both"/>
        <w:rPr>
          <w:rFonts w:ascii="Times New Roman" w:eastAsia="Times New Roman" w:hAnsi="Times New Roman" w:cs="Times New Roman"/>
          <w:noProof/>
          <w:szCs w:val="20"/>
        </w:rPr>
      </w:pPr>
      <w:bookmarkStart w:id="7" w:name="_Toc483504240"/>
      <w:bookmarkStart w:id="8" w:name="_Toc483943644"/>
      <w:bookmarkStart w:id="9" w:name="_Toc484202227"/>
      <w:r>
        <w:rPr>
          <w:rFonts w:ascii="Times New Roman" w:hAnsi="Times New Roman"/>
          <w:b/>
          <w:noProof/>
        </w:rPr>
        <w:t>Фигура 1</w:t>
      </w:r>
      <w:r>
        <w:rPr>
          <w:rFonts w:ascii="Times New Roman" w:hAnsi="Times New Roman"/>
          <w:noProof/>
        </w:rPr>
        <w:t>:</w:t>
      </w:r>
      <w:bookmarkEnd w:id="7"/>
      <w:bookmarkEnd w:id="8"/>
      <w:bookmarkEnd w:id="9"/>
      <w:r>
        <w:rPr>
          <w:rFonts w:ascii="Times New Roman" w:hAnsi="Times New Roman"/>
          <w:noProof/>
        </w:rPr>
        <w:t xml:space="preserve"> Максималните парични санкции*, наложени на операторите в резултат на нарушения, свързани със задълженията за надлежна проверка, забраната за пускане на пазара на незаконно добит дървен материал и на изделия, произведени от такъв дървен материал, както и задължението за проследяване по цялата верига на доставки по РЕСДМ, когато е посочена. Данните за Гърция и Швеция бяха предоставени в отговор на искания за допълнителна информация. *Максималната санкция по отношение на наказателните санкции в Обединеното кралство е глоба с неограничен размер, като такава е глобата и в Германия (посочените цифри се отнасят само за административни наказания). </w:t>
      </w:r>
    </w:p>
    <w:p>
      <w:pPr>
        <w:pStyle w:val="Chaptertext"/>
        <w:jc w:val="both"/>
        <w:rPr>
          <w:rFonts w:ascii="Times New Roman" w:eastAsia="Calibri" w:hAnsi="Times New Roman" w:cs="Times New Roman"/>
          <w:noProof/>
          <w:sz w:val="24"/>
          <w:szCs w:val="24"/>
        </w:rPr>
      </w:pPr>
    </w:p>
    <w:p>
      <w:pPr>
        <w:pStyle w:val="Chaptertext"/>
        <w:jc w:val="both"/>
        <w:rPr>
          <w:rFonts w:ascii="Times New Roman" w:eastAsia="Calibri" w:hAnsi="Times New Roman" w:cs="Times New Roman"/>
          <w:noProof/>
          <w:sz w:val="24"/>
          <w:szCs w:val="24"/>
        </w:rPr>
      </w:pPr>
      <w:r>
        <w:rPr>
          <w:rFonts w:ascii="Times New Roman" w:hAnsi="Times New Roman"/>
          <w:noProof/>
          <w:sz w:val="24"/>
        </w:rPr>
        <w:t>В повечето държави, които докладват относно съпоставимото законодателство (например закони за изпълнение на Регламента за FLEGT</w:t>
      </w:r>
      <w:r>
        <w:rPr>
          <w:rStyle w:val="FootnoteReference"/>
          <w:rFonts w:ascii="Times New Roman" w:hAnsi="Times New Roman"/>
          <w:noProof/>
          <w:sz w:val="24"/>
        </w:rPr>
        <w:footnoteReference w:id="11"/>
      </w:r>
      <w:r>
        <w:rPr>
          <w:rFonts w:ascii="Times New Roman" w:hAnsi="Times New Roman"/>
          <w:noProof/>
          <w:sz w:val="24"/>
        </w:rPr>
        <w:t xml:space="preserve"> или на Регламента за търговията с диви животински и растителни видове</w:t>
      </w:r>
      <w:r>
        <w:rPr>
          <w:rStyle w:val="FootnoteReference"/>
          <w:rFonts w:ascii="Times New Roman" w:hAnsi="Times New Roman"/>
          <w:noProof/>
          <w:sz w:val="24"/>
        </w:rPr>
        <w:footnoteReference w:id="12"/>
      </w:r>
      <w:r>
        <w:rPr>
          <w:rFonts w:ascii="Times New Roman" w:hAnsi="Times New Roman"/>
          <w:noProof/>
          <w:sz w:val="24"/>
        </w:rPr>
        <w:t>), предвидените глоби за нарушения на РЕСДМ са сходни с налаганите за нарушения на съпоставимото законодателство.</w:t>
      </w:r>
    </w:p>
    <w:p>
      <w:pPr>
        <w:pStyle w:val="ListParagraph"/>
        <w:keepNext/>
        <w:numPr>
          <w:ilvl w:val="1"/>
          <w:numId w:val="1"/>
        </w:numPr>
        <w:spacing w:line="270" w:lineRule="atLeast"/>
        <w:ind w:left="357" w:hanging="357"/>
        <w:contextualSpacing w:val="0"/>
        <w:jc w:val="both"/>
        <w:rPr>
          <w:rFonts w:ascii="Times New Roman" w:hAnsi="Times New Roman"/>
          <w:b/>
          <w:strike/>
          <w:noProof/>
          <w:sz w:val="24"/>
          <w:szCs w:val="24"/>
        </w:rPr>
      </w:pPr>
      <w:r>
        <w:rPr>
          <w:rFonts w:ascii="Times New Roman" w:hAnsi="Times New Roman"/>
          <w:b/>
          <w:noProof/>
          <w:sz w:val="24"/>
        </w:rPr>
        <w:t>Проверки на операторите, търговците и организациите за мониторинг</w:t>
      </w:r>
    </w:p>
    <w:p>
      <w:pPr>
        <w:keepNext/>
        <w:spacing w:line="270" w:lineRule="atLeast"/>
        <w:rPr>
          <w:rFonts w:ascii="Times New Roman" w:hAnsi="Times New Roman"/>
          <w:i/>
          <w:noProof/>
          <w:sz w:val="24"/>
          <w:szCs w:val="24"/>
        </w:rPr>
      </w:pPr>
      <w:bookmarkStart w:id="10" w:name="_Toc483504243"/>
      <w:bookmarkStart w:id="11" w:name="_Toc483943648"/>
      <w:bookmarkStart w:id="12" w:name="_Toc484202232"/>
      <w:r>
        <w:rPr>
          <w:rFonts w:ascii="Times New Roman" w:hAnsi="Times New Roman"/>
          <w:i/>
          <w:noProof/>
          <w:sz w:val="24"/>
        </w:rPr>
        <w:t>4.3.1 Приблизителен брой на операторите</w:t>
      </w:r>
    </w:p>
    <w:p>
      <w:pPr>
        <w:spacing w:line="240" w:lineRule="auto"/>
        <w:jc w:val="both"/>
        <w:rPr>
          <w:rFonts w:ascii="Times New Roman" w:hAnsi="Times New Roman"/>
          <w:noProof/>
          <w:sz w:val="24"/>
          <w:szCs w:val="24"/>
        </w:rPr>
      </w:pPr>
      <w:r>
        <w:rPr>
          <w:rFonts w:ascii="Times New Roman" w:hAnsi="Times New Roman"/>
          <w:noProof/>
          <w:sz w:val="24"/>
        </w:rPr>
        <w:t>22 държави предоставиха данни за приблизителния общ брой на операторите (вж. таблица 1). Важно е да се отбележи, че макар това да не е изискване на РЕСДМ, някои държави изискват регистриране на операторите. При други данните се основават на различни източници (митнически данни и други национални бази данни или регистри, включително разрешителни за дърводобив). В допълнение към това броят на операторите зависи от размера на дърводобивната промишленост на всяка държава и от структурата на нейния горски сектор. Освен това данните за броя на операторите невинаги са пряко съпоставими, тъй като някои от тях могат да включват само активни оператори, докато други включват оператори, които е вероятно вече да не са активни. Операторите също могат да се различават по отношение на размера, нивото на риска във веригите за доставки, честотата на внос на дървен материал и количествата и стойността на внесения дървен материал.</w:t>
      </w:r>
    </w:p>
    <w:p>
      <w:pPr>
        <w:jc w:val="both"/>
        <w:rPr>
          <w:rFonts w:ascii="Times New Roman" w:hAnsi="Times New Roman"/>
          <w:noProof/>
          <w:sz w:val="24"/>
          <w:szCs w:val="24"/>
        </w:rPr>
      </w:pPr>
    </w:p>
    <w:p>
      <w:pPr>
        <w:keepNext/>
        <w:spacing w:line="240" w:lineRule="auto"/>
        <w:jc w:val="both"/>
        <w:rPr>
          <w:rFonts w:ascii="Times New Roman" w:hAnsi="Times New Roman"/>
          <w:b/>
          <w:noProof/>
          <w:sz w:val="20"/>
          <w:szCs w:val="20"/>
        </w:rPr>
      </w:pPr>
      <w:r>
        <w:rPr>
          <w:rFonts w:ascii="Times New Roman" w:hAnsi="Times New Roman"/>
          <w:b/>
          <w:noProof/>
          <w:sz w:val="20"/>
        </w:rPr>
        <w:t>Таблица 1: Приблизителен брой оператори, които пускат дървен материал на пазара на ЕС, по държави</w:t>
      </w:r>
    </w:p>
    <w:p>
      <w:pPr>
        <w:keepNext/>
        <w:spacing w:line="240" w:lineRule="auto"/>
        <w:jc w:val="both"/>
        <w:rPr>
          <w:rFonts w:ascii="Times New Roman" w:hAnsi="Times New Roman"/>
          <w:b/>
          <w:noProof/>
          <w:sz w:val="20"/>
          <w:szCs w:val="20"/>
        </w:rPr>
        <w:sectPr>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8" w:right="1418" w:bottom="1418" w:left="1418" w:header="709" w:footer="709" w:gutter="0"/>
          <w:cols w:space="708"/>
          <w:docGrid w:linePitch="360"/>
        </w:sectPr>
      </w:pPr>
    </w:p>
    <w:tbl>
      <w:tblPr>
        <w:tblW w:w="3686" w:type="dxa"/>
        <w:tblInd w:w="15" w:type="dxa"/>
        <w:tblBorders>
          <w:top w:val="single" w:sz="4" w:space="0" w:color="999E34"/>
          <w:bottom w:val="single" w:sz="4" w:space="0" w:color="999E34"/>
          <w:insideH w:val="single" w:sz="4" w:space="0" w:color="999E34"/>
        </w:tblBorders>
        <w:tblCellMar>
          <w:left w:w="57" w:type="dxa"/>
          <w:right w:w="57" w:type="dxa"/>
        </w:tblCellMar>
        <w:tblLook w:val="04A0" w:firstRow="1" w:lastRow="0" w:firstColumn="1" w:lastColumn="0" w:noHBand="0" w:noVBand="1"/>
      </w:tblPr>
      <w:tblGrid>
        <w:gridCol w:w="1276"/>
        <w:gridCol w:w="1134"/>
        <w:gridCol w:w="1276"/>
      </w:tblGrid>
      <w:tr>
        <w:trPr>
          <w:tblHeader/>
        </w:trPr>
        <w:tc>
          <w:tcPr>
            <w:tcW w:w="1276" w:type="dxa"/>
            <w:tcBorders>
              <w:bottom w:val="single" w:sz="2" w:space="0" w:color="999E34"/>
            </w:tcBorders>
            <w:shd w:val="clear" w:color="auto" w:fill="999E34"/>
            <w:noWrap/>
            <w:tcMar>
              <w:top w:w="15" w:type="dxa"/>
              <w:left w:w="15" w:type="dxa"/>
              <w:bottom w:w="0" w:type="dxa"/>
              <w:right w:w="15" w:type="dxa"/>
            </w:tcMar>
            <w:vAlign w:val="bottom"/>
            <w:hideMark/>
          </w:tcPr>
          <w:p>
            <w:pPr>
              <w:autoSpaceDE w:val="0"/>
              <w:autoSpaceDN w:val="0"/>
              <w:adjustRightInd w:val="0"/>
              <w:spacing w:after="0" w:line="240" w:lineRule="auto"/>
              <w:rPr>
                <w:rFonts w:ascii="Helvetica" w:hAnsi="Helvetica" w:cs="Helvetica"/>
                <w:bCs/>
                <w:noProof/>
                <w:color w:val="FFFFFF"/>
                <w:sz w:val="16"/>
                <w:szCs w:val="16"/>
              </w:rPr>
            </w:pPr>
            <w:r>
              <w:rPr>
                <w:rFonts w:ascii="Helvetica" w:hAnsi="Helvetica"/>
                <w:noProof/>
                <w:color w:val="FFFFFF"/>
                <w:sz w:val="16"/>
              </w:rPr>
              <w:t xml:space="preserve">Държава </w:t>
            </w:r>
          </w:p>
        </w:tc>
        <w:tc>
          <w:tcPr>
            <w:tcW w:w="1134" w:type="dxa"/>
            <w:tcBorders>
              <w:bottom w:val="single" w:sz="2" w:space="0" w:color="999E34"/>
            </w:tcBorders>
            <w:shd w:val="clear" w:color="auto" w:fill="999E34"/>
            <w:noWrap/>
            <w:tcMar>
              <w:top w:w="15" w:type="dxa"/>
              <w:left w:w="15" w:type="dxa"/>
              <w:bottom w:w="0" w:type="dxa"/>
              <w:right w:w="15" w:type="dxa"/>
            </w:tcMar>
            <w:vAlign w:val="bottom"/>
            <w:hideMark/>
          </w:tcPr>
          <w:p>
            <w:pPr>
              <w:autoSpaceDE w:val="0"/>
              <w:autoSpaceDN w:val="0"/>
              <w:adjustRightInd w:val="0"/>
              <w:spacing w:after="0" w:line="240" w:lineRule="auto"/>
              <w:jc w:val="center"/>
              <w:rPr>
                <w:rFonts w:ascii="Helvetica" w:hAnsi="Helvetica" w:cs="Helvetica"/>
                <w:bCs/>
                <w:noProof/>
                <w:color w:val="FFFFFF"/>
                <w:sz w:val="16"/>
                <w:szCs w:val="16"/>
              </w:rPr>
            </w:pPr>
            <w:r>
              <w:rPr>
                <w:rFonts w:ascii="Helvetica" w:hAnsi="Helvetica"/>
                <w:noProof/>
                <w:color w:val="FFFFFF"/>
                <w:sz w:val="16"/>
              </w:rPr>
              <w:t>Местен</w:t>
            </w:r>
          </w:p>
        </w:tc>
        <w:tc>
          <w:tcPr>
            <w:tcW w:w="1276" w:type="dxa"/>
            <w:tcBorders>
              <w:bottom w:val="single" w:sz="2" w:space="0" w:color="999E34"/>
            </w:tcBorders>
            <w:shd w:val="clear" w:color="auto" w:fill="999E34"/>
            <w:noWrap/>
            <w:tcMar>
              <w:top w:w="15" w:type="dxa"/>
              <w:left w:w="15" w:type="dxa"/>
              <w:bottom w:w="0" w:type="dxa"/>
              <w:right w:w="15" w:type="dxa"/>
            </w:tcMar>
            <w:vAlign w:val="bottom"/>
            <w:hideMark/>
          </w:tcPr>
          <w:p>
            <w:pPr>
              <w:autoSpaceDE w:val="0"/>
              <w:autoSpaceDN w:val="0"/>
              <w:adjustRightInd w:val="0"/>
              <w:spacing w:after="0" w:line="240" w:lineRule="auto"/>
              <w:jc w:val="center"/>
              <w:rPr>
                <w:rFonts w:ascii="Helvetica" w:hAnsi="Helvetica" w:cs="Helvetica"/>
                <w:bCs/>
                <w:noProof/>
                <w:color w:val="FFFFFF"/>
                <w:sz w:val="16"/>
                <w:szCs w:val="16"/>
              </w:rPr>
            </w:pPr>
            <w:r>
              <w:rPr>
                <w:rFonts w:ascii="Helvetica" w:hAnsi="Helvetica"/>
                <w:noProof/>
                <w:color w:val="FFFFFF"/>
                <w:sz w:val="16"/>
              </w:rPr>
              <w:t>Внесен</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Австрия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145 000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6000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Белгия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неизвестно</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неизвестно</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България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4013</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неизвестно</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Хърватия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50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5000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Кипър</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63</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781</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Чешка република</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300 000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2500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Дания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28 000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3800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Естония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10 000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450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Финландия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350 000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2000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Франция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5000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14 000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Германия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2 000 000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25 000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Гърция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1930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604</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Унгария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46 700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2674</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Ирландия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неизвестно</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неизвестно</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rPr>
                <w:rFonts w:ascii="Helvetica" w:hAnsi="Helvetica" w:cs="Helvetica"/>
                <w:noProof/>
                <w:sz w:val="16"/>
                <w:szCs w:val="16"/>
              </w:rPr>
            </w:pPr>
            <w:r>
              <w:rPr>
                <w:rFonts w:ascii="Helvetica" w:hAnsi="Helvetica"/>
                <w:noProof/>
                <w:sz w:val="16"/>
              </w:rPr>
              <w:t>Италия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right"/>
              <w:rPr>
                <w:rFonts w:ascii="Helvetica" w:hAnsi="Helvetica" w:cs="Helvetica"/>
                <w:noProof/>
                <w:sz w:val="16"/>
                <w:szCs w:val="16"/>
              </w:rPr>
            </w:pPr>
            <w:r>
              <w:rPr>
                <w:rFonts w:ascii="Helvetica" w:hAnsi="Helvetica"/>
                <w:noProof/>
                <w:sz w:val="16"/>
              </w:rPr>
              <w:t>не е посочено</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right"/>
              <w:rPr>
                <w:rFonts w:ascii="Helvetica" w:hAnsi="Helvetica" w:cs="Helvetica"/>
                <w:noProof/>
                <w:sz w:val="16"/>
                <w:szCs w:val="16"/>
              </w:rPr>
            </w:pPr>
            <w:r>
              <w:rPr>
                <w:rFonts w:ascii="Helvetica" w:hAnsi="Helvetica"/>
                <w:noProof/>
                <w:sz w:val="16"/>
              </w:rPr>
              <w:t>не е посочено</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Латвия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140 000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290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Литва</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25 940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800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Люксембург</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245</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Малта</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неизвестно</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750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Нидерландия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4900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Норвегия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120 000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5000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Полша</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45</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73</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Португалия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2525*</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853*</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Румъния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4372</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162</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Словакия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9700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неизвестно</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Словения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460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1423</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Испания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1000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11 000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Швеция</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100</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4500</w:t>
            </w:r>
          </w:p>
        </w:tc>
      </w:tr>
      <w:tr>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Helvetica" w:hAnsi="Helvetica" w:cs="Helvetica"/>
                <w:noProof/>
                <w:sz w:val="16"/>
                <w:szCs w:val="16"/>
              </w:rPr>
            </w:pPr>
            <w:r>
              <w:rPr>
                <w:rFonts w:ascii="Helvetica" w:hAnsi="Helvetica"/>
                <w:noProof/>
                <w:sz w:val="16"/>
              </w:rPr>
              <w:t>Обединено кралство</w:t>
            </w:r>
          </w:p>
        </w:tc>
        <w:tc>
          <w:tcPr>
            <w:tcW w:w="1134"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неизвестно</w:t>
            </w:r>
          </w:p>
        </w:tc>
        <w:tc>
          <w:tcPr>
            <w:tcW w:w="1276"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right"/>
              <w:rPr>
                <w:rFonts w:ascii="Helvetica" w:hAnsi="Helvetica" w:cs="Helvetica"/>
                <w:noProof/>
                <w:sz w:val="16"/>
                <w:szCs w:val="16"/>
              </w:rPr>
            </w:pPr>
            <w:r>
              <w:rPr>
                <w:rFonts w:ascii="Helvetica" w:hAnsi="Helvetica"/>
                <w:noProof/>
                <w:sz w:val="16"/>
              </w:rPr>
              <w:t>6000</w:t>
            </w:r>
          </w:p>
        </w:tc>
      </w:tr>
    </w:tbl>
    <w:p>
      <w:pPr>
        <w:spacing w:line="240" w:lineRule="auto"/>
        <w:rPr>
          <w:noProof/>
          <w:sz w:val="16"/>
          <w:szCs w:val="16"/>
        </w:rPr>
        <w:sectPr>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418" w:right="1418" w:bottom="1418" w:left="1418" w:header="709" w:footer="709" w:gutter="0"/>
          <w:cols w:num="2" w:space="708"/>
          <w:docGrid w:linePitch="360"/>
        </w:sectPr>
      </w:pPr>
    </w:p>
    <w:p>
      <w:pPr>
        <w:spacing w:line="240" w:lineRule="auto"/>
        <w:rPr>
          <w:rFonts w:ascii="Times New Roman" w:hAnsi="Times New Roman"/>
          <w:noProof/>
          <w:sz w:val="24"/>
        </w:rPr>
      </w:pPr>
      <w:r>
        <w:rPr>
          <w:rFonts w:ascii="Times New Roman" w:hAnsi="Times New Roman"/>
          <w:noProof/>
          <w:sz w:val="16"/>
        </w:rPr>
        <w:t>*Представлява действителният брой на регистрираните оператори</w:t>
      </w:r>
    </w:p>
    <w:p>
      <w:pPr>
        <w:spacing w:line="270" w:lineRule="atLeast"/>
        <w:jc w:val="both"/>
        <w:rPr>
          <w:rFonts w:ascii="Times New Roman" w:hAnsi="Times New Roman"/>
          <w:i/>
          <w:noProof/>
          <w:sz w:val="24"/>
          <w:szCs w:val="24"/>
        </w:rPr>
      </w:pPr>
    </w:p>
    <w:p>
      <w:pPr>
        <w:keepNext/>
        <w:spacing w:line="270" w:lineRule="atLeast"/>
        <w:jc w:val="both"/>
        <w:rPr>
          <w:rFonts w:ascii="Times New Roman" w:hAnsi="Times New Roman"/>
          <w:i/>
          <w:noProof/>
          <w:sz w:val="24"/>
          <w:szCs w:val="24"/>
        </w:rPr>
      </w:pPr>
      <w:bookmarkStart w:id="13" w:name="_Toc485222994"/>
      <w:bookmarkEnd w:id="10"/>
      <w:bookmarkEnd w:id="11"/>
      <w:bookmarkEnd w:id="12"/>
      <w:r>
        <w:rPr>
          <w:rFonts w:ascii="Times New Roman" w:hAnsi="Times New Roman"/>
          <w:i/>
          <w:noProof/>
          <w:sz w:val="24"/>
        </w:rPr>
        <w:t>4.3.2 Планове за проверки на операторите и търговците</w:t>
      </w:r>
    </w:p>
    <w:p>
      <w:pPr>
        <w:pStyle w:val="Chaptertext"/>
        <w:jc w:val="both"/>
        <w:rPr>
          <w:rFonts w:ascii="Times New Roman" w:hAnsi="Times New Roman"/>
          <w:noProof/>
          <w:sz w:val="24"/>
          <w:szCs w:val="24"/>
        </w:rPr>
      </w:pPr>
      <w:r>
        <w:rPr>
          <w:rFonts w:ascii="Times New Roman" w:hAnsi="Times New Roman"/>
          <w:noProof/>
          <w:sz w:val="24"/>
        </w:rPr>
        <w:t>Съгласно член 10 от държавите се изисква да подготвят и периодично да преразглеждат плановете за проверки посредством основан на риска подход, като се осигурява гъвкавост за провеждане на допълнителни проверки в отговор на нова информация, като например основателна загриженост</w:t>
      </w:r>
      <w:r>
        <w:rPr>
          <w:rStyle w:val="FootnoteReference"/>
          <w:rFonts w:ascii="Times New Roman" w:hAnsi="Times New Roman"/>
          <w:noProof/>
          <w:sz w:val="24"/>
        </w:rPr>
        <w:footnoteReference w:id="13"/>
      </w:r>
      <w:r>
        <w:rPr>
          <w:rFonts w:ascii="Times New Roman" w:hAnsi="Times New Roman"/>
          <w:noProof/>
          <w:sz w:val="24"/>
        </w:rPr>
        <w:t>. От тях също така се изисква да съхраняват данни за тези проверки (член 11). Всички държави потвърдиха, че такива планове са налице, макар че България е докладвала само за плана за проверки на операторите по отношение на местен дървен материал; повечето държави не предоставиха достатъчно подробности за плановете, които да позволят по-подробно сравнение. Белгия съобщи, че поради ограничения на ресурсите е отдаден приоритет на проверката на жалби вместо на планирането на проверки</w:t>
      </w:r>
      <w:r>
        <w:rPr>
          <w:rFonts w:ascii="Times New Roman" w:hAnsi="Times New Roman"/>
          <w:noProof/>
          <w:sz w:val="24"/>
          <w:vertAlign w:val="superscript"/>
        </w:rPr>
        <w:footnoteReference w:id="14"/>
      </w:r>
      <w:r>
        <w:rPr>
          <w:rFonts w:ascii="Times New Roman" w:hAnsi="Times New Roman"/>
          <w:noProof/>
          <w:sz w:val="24"/>
        </w:rPr>
        <w:t>.</w:t>
      </w:r>
    </w:p>
    <w:p>
      <w:pPr>
        <w:pStyle w:val="Chaptertext"/>
        <w:jc w:val="both"/>
        <w:rPr>
          <w:rFonts w:ascii="Times New Roman" w:hAnsi="Times New Roman"/>
          <w:noProof/>
          <w:sz w:val="24"/>
          <w:szCs w:val="24"/>
        </w:rPr>
      </w:pPr>
      <w:r>
        <w:rPr>
          <w:rFonts w:ascii="Times New Roman" w:hAnsi="Times New Roman"/>
          <w:noProof/>
          <w:sz w:val="24"/>
        </w:rPr>
        <w:t>Държавите използват предимно митнически данни и собствени регистри на оператори, за да идентифицират операторите за проверките. При разработването на основани на риска планове за проверки всички държави вземат предвид редица рискови критерии, включително — наред с другото — държавата на дърводобив, изделията, видовете и опасенията на трети страни (вж. фигура 2).</w:t>
      </w:r>
    </w:p>
    <w:p>
      <w:pPr>
        <w:keepNext/>
        <w:spacing w:line="270" w:lineRule="atLeast"/>
        <w:rPr>
          <w:rFonts w:ascii="Times New Roman" w:hAnsi="Times New Roman"/>
          <w:noProof/>
          <w:sz w:val="24"/>
          <w:szCs w:val="24"/>
        </w:rPr>
      </w:pPr>
    </w:p>
    <w:p>
      <w:pPr>
        <w:spacing w:line="270" w:lineRule="atLeast"/>
        <w:jc w:val="both"/>
        <w:rPr>
          <w:rFonts w:ascii="Times New Roman" w:hAnsi="Times New Roman"/>
          <w:i/>
          <w:noProof/>
          <w:sz w:val="24"/>
          <w:szCs w:val="24"/>
        </w:rPr>
      </w:pPr>
      <w:r>
        <w:rPr>
          <w:noProof/>
          <w:lang w:val="en-US" w:eastAsia="en-US" w:bidi="ar-SA"/>
        </w:rPr>
        <w:drawing>
          <wp:inline distT="0" distB="0" distL="0" distR="0">
            <wp:extent cx="5759450" cy="369165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691656"/>
                    </a:xfrm>
                    <a:prstGeom prst="rect">
                      <a:avLst/>
                    </a:prstGeom>
                    <a:noFill/>
                    <a:ln>
                      <a:noFill/>
                    </a:ln>
                  </pic:spPr>
                </pic:pic>
              </a:graphicData>
            </a:graphic>
          </wp:inline>
        </w:drawing>
      </w:r>
    </w:p>
    <w:p>
      <w:pPr>
        <w:rPr>
          <w:rFonts w:ascii="Times New Roman" w:hAnsi="Times New Roman"/>
          <w:noProof/>
          <w:sz w:val="20"/>
          <w:szCs w:val="20"/>
        </w:rPr>
      </w:pPr>
      <w:r>
        <w:rPr>
          <w:rFonts w:ascii="Times New Roman" w:hAnsi="Times New Roman"/>
          <w:b/>
          <w:noProof/>
          <w:sz w:val="20"/>
        </w:rPr>
        <w:t>Фигура 2:</w:t>
      </w:r>
      <w:r>
        <w:rPr>
          <w:rFonts w:ascii="Times New Roman" w:hAnsi="Times New Roman"/>
          <w:noProof/>
          <w:color w:val="999E34"/>
          <w:sz w:val="20"/>
        </w:rPr>
        <w:t xml:space="preserve"> </w:t>
      </w:r>
      <w:r>
        <w:rPr>
          <w:rFonts w:ascii="Times New Roman" w:hAnsi="Times New Roman"/>
          <w:noProof/>
          <w:sz w:val="20"/>
        </w:rPr>
        <w:t>Критерии за риск, които държавите вземат предвид при планиране на проверките</w:t>
      </w:r>
    </w:p>
    <w:p>
      <w:pPr>
        <w:spacing w:line="270" w:lineRule="atLeast"/>
        <w:jc w:val="both"/>
        <w:rPr>
          <w:rFonts w:ascii="Times New Roman" w:hAnsi="Times New Roman"/>
          <w:i/>
          <w:noProof/>
          <w:sz w:val="24"/>
          <w:szCs w:val="24"/>
        </w:rPr>
      </w:pPr>
    </w:p>
    <w:p>
      <w:pPr>
        <w:spacing w:line="270" w:lineRule="atLeast"/>
        <w:jc w:val="both"/>
        <w:rPr>
          <w:rFonts w:ascii="Times New Roman" w:hAnsi="Times New Roman"/>
          <w:i/>
          <w:noProof/>
          <w:sz w:val="24"/>
          <w:szCs w:val="24"/>
        </w:rPr>
      </w:pPr>
      <w:r>
        <w:rPr>
          <w:rFonts w:ascii="Times New Roman" w:hAnsi="Times New Roman"/>
          <w:i/>
          <w:noProof/>
          <w:sz w:val="24"/>
        </w:rPr>
        <w:t>4.3.3 Проверки на операторите</w:t>
      </w:r>
    </w:p>
    <w:p>
      <w:pPr>
        <w:spacing w:line="270" w:lineRule="atLeast"/>
        <w:jc w:val="both"/>
        <w:rPr>
          <w:rFonts w:ascii="Times New Roman" w:hAnsi="Times New Roman"/>
          <w:noProof/>
          <w:sz w:val="24"/>
          <w:szCs w:val="24"/>
        </w:rPr>
      </w:pPr>
      <w:r>
        <w:rPr>
          <w:rFonts w:ascii="Times New Roman" w:hAnsi="Times New Roman"/>
          <w:noProof/>
          <w:sz w:val="24"/>
        </w:rPr>
        <w:t>От март 2015 г. до февруари 2017 г. са извършени общо повече от 17 700 проверки от компетентните органи по отношение на операторите, които пускат на пазара местен дървен материал, и почти 2800 проверки на операторите, които пускат на пазара внесен дървен материал.</w:t>
      </w:r>
    </w:p>
    <w:p>
      <w:pPr>
        <w:spacing w:line="270" w:lineRule="atLeast"/>
        <w:jc w:val="both"/>
        <w:rPr>
          <w:rFonts w:ascii="Times New Roman" w:hAnsi="Times New Roman"/>
          <w:noProof/>
          <w:sz w:val="24"/>
          <w:szCs w:val="24"/>
        </w:rPr>
      </w:pPr>
      <w:r>
        <w:rPr>
          <w:rFonts w:ascii="Times New Roman" w:hAnsi="Times New Roman"/>
          <w:noProof/>
          <w:sz w:val="24"/>
        </w:rPr>
        <w:t>По отношение на местния дървен материал 20 държави са извършили 80 % или повече от предвидените от тях проверки, а по отношение на внесения дървен материал — 22 държави (вж. приложение А).</w:t>
      </w:r>
    </w:p>
    <w:p>
      <w:pPr>
        <w:spacing w:line="270" w:lineRule="atLeast"/>
        <w:jc w:val="both"/>
        <w:rPr>
          <w:rFonts w:ascii="Times New Roman" w:hAnsi="Times New Roman"/>
          <w:noProof/>
          <w:sz w:val="24"/>
          <w:szCs w:val="24"/>
        </w:rPr>
      </w:pPr>
      <w:r>
        <w:rPr>
          <w:rFonts w:ascii="Times New Roman" w:hAnsi="Times New Roman"/>
          <w:noProof/>
          <w:sz w:val="24"/>
        </w:rPr>
        <w:t>Броят на проверките на операторите, които търгуват с местен дървен материал, варира значително в отделните държави, като някои от тях докладват за хиляди проверки, а други — за ограничен брой или за липса на проверки. В някои държави проверките по РЕСДМ се интегрират като част от проверките, извършвани от органите, отговорни за управлението на горите. В тези случаи държавите докладват по различен начин за броя на проверките (например Германия не докладва планове или брой проверки, въпреки че е посочила редица санкции, които се налагат). Белгия, Хърватия, Ирландия, Малта, Нидерландия и Обединеното кралство не са извършвали проверки на операторите по отношение на местен дървен материал, като посочват редица причини, включително ограничено вътрешно производство.</w:t>
      </w:r>
    </w:p>
    <w:p>
      <w:pPr>
        <w:spacing w:line="270" w:lineRule="atLeast"/>
        <w:jc w:val="both"/>
        <w:rPr>
          <w:rFonts w:ascii="Times New Roman" w:hAnsi="Times New Roman"/>
          <w:noProof/>
          <w:sz w:val="24"/>
          <w:szCs w:val="24"/>
        </w:rPr>
      </w:pPr>
      <w:r>
        <w:rPr>
          <w:rFonts w:ascii="Times New Roman" w:hAnsi="Times New Roman"/>
          <w:noProof/>
          <w:sz w:val="24"/>
        </w:rPr>
        <w:t>В допълнение към горепосочените критерии за риск държавите също така докладват, че извършват проверки в конкретни области, например по отношение на износа на обла дървесина от Украйна (поради забраната за износ, въведена от украинските национални органи), дърва за огрев (Унгария), внос от държави кандидатки/потенциални кандидатки и високорисков внос от Беларус, Бразилия, Камерун, Индонезия</w:t>
      </w:r>
      <w:r>
        <w:rPr>
          <w:rFonts w:ascii="Times New Roman" w:hAnsi="Times New Roman"/>
          <w:noProof/>
          <w:sz w:val="24"/>
          <w:vertAlign w:val="superscript"/>
        </w:rPr>
        <w:footnoteReference w:id="15"/>
      </w:r>
      <w:r>
        <w:rPr>
          <w:rFonts w:ascii="Times New Roman" w:hAnsi="Times New Roman"/>
          <w:noProof/>
          <w:sz w:val="24"/>
        </w:rPr>
        <w:t>, Мианмар , Виетнам, Китай, Малайзия, Руската федерация, Украйна и Тайван, конкретни изделия (нарязан дървен материал, целулозна маса, подови настилки, фурнир, шперплат, дърва за огрев, обла дървесина, мебели) и определени видове, например тиково дърво или дъб.</w:t>
      </w:r>
    </w:p>
    <w:p>
      <w:pPr>
        <w:spacing w:after="0" w:line="240" w:lineRule="auto"/>
        <w:rPr>
          <w:rFonts w:ascii="Times New Roman" w:hAnsi="Times New Roman"/>
          <w:i/>
          <w:noProof/>
          <w:sz w:val="24"/>
          <w:szCs w:val="24"/>
        </w:rPr>
      </w:pPr>
      <w:r>
        <w:rPr>
          <w:noProof/>
        </w:rPr>
        <w:br w:type="page"/>
      </w:r>
    </w:p>
    <w:p>
      <w:pPr>
        <w:spacing w:line="270" w:lineRule="atLeast"/>
        <w:jc w:val="both"/>
        <w:rPr>
          <w:rFonts w:ascii="Times New Roman" w:hAnsi="Times New Roman"/>
          <w:i/>
          <w:noProof/>
          <w:sz w:val="24"/>
          <w:szCs w:val="24"/>
        </w:rPr>
      </w:pPr>
      <w:r>
        <w:rPr>
          <w:rFonts w:ascii="Times New Roman" w:hAnsi="Times New Roman"/>
          <w:i/>
          <w:noProof/>
          <w:sz w:val="24"/>
        </w:rPr>
        <w:t>4.3.4 Проверки на търговците</w:t>
      </w:r>
    </w:p>
    <w:p>
      <w:pPr>
        <w:spacing w:line="270" w:lineRule="atLeast"/>
        <w:jc w:val="both"/>
        <w:rPr>
          <w:rFonts w:ascii="Times New Roman" w:hAnsi="Times New Roman"/>
          <w:noProof/>
          <w:sz w:val="24"/>
          <w:szCs w:val="24"/>
        </w:rPr>
      </w:pPr>
      <w:r>
        <w:rPr>
          <w:rFonts w:ascii="Times New Roman" w:hAnsi="Times New Roman"/>
          <w:noProof/>
          <w:sz w:val="24"/>
        </w:rPr>
        <w:t>19 държави проверяват търговците и спазването от тяхна страна на задължението за проследяване, като броят на проверките варира от една (Дания, Франция, Люксембург) до 747 (Кипър).</w:t>
      </w:r>
    </w:p>
    <w:p>
      <w:pPr>
        <w:rPr>
          <w:rFonts w:ascii="Times New Roman" w:hAnsi="Times New Roman"/>
          <w:i/>
          <w:noProof/>
          <w:sz w:val="24"/>
          <w:szCs w:val="24"/>
        </w:rPr>
      </w:pPr>
      <w:r>
        <w:rPr>
          <w:rFonts w:ascii="Times New Roman" w:hAnsi="Times New Roman"/>
          <w:i/>
          <w:noProof/>
          <w:sz w:val="24"/>
        </w:rPr>
        <w:t xml:space="preserve">4.3.5 Основателна загриженост </w:t>
      </w:r>
    </w:p>
    <w:p>
      <w:pPr>
        <w:spacing w:line="270" w:lineRule="atLeast"/>
        <w:jc w:val="both"/>
        <w:rPr>
          <w:rFonts w:ascii="Times New Roman" w:hAnsi="Times New Roman"/>
          <w:noProof/>
          <w:sz w:val="24"/>
          <w:szCs w:val="24"/>
        </w:rPr>
      </w:pPr>
      <w:r>
        <w:rPr>
          <w:rFonts w:ascii="Times New Roman" w:hAnsi="Times New Roman"/>
          <w:noProof/>
          <w:sz w:val="24"/>
        </w:rPr>
        <w:t xml:space="preserve">В допълнение към проверките, извършвани съгласно основаните на риска планове, в съответствие с член 10, параграф 2 проверки могат да се извършват, когато даден компетентен орган разполага със съответна информация, включително въз основа на основателна загриженост, изразена от трети страни, относно спазването на РЕСДМ от страна на определен оператор. 14 страни съобщават, че са получили данни за основателна загриженост относно оператори, главно от неправителствени организации (НПО) и митници (вж. фигура 3). От 80 идентифицирани оператори са били проверени 69 (86 %), а на 33 (около 50 %) са били наложени санкции. В някои случаи проверките все още са продължавали по време на докладването. </w:t>
      </w:r>
    </w:p>
    <w:p>
      <w:pPr>
        <w:spacing w:line="270" w:lineRule="atLeast"/>
        <w:jc w:val="both"/>
        <w:rPr>
          <w:rFonts w:ascii="Times New Roman" w:hAnsi="Times New Roman"/>
          <w:noProof/>
          <w:sz w:val="24"/>
          <w:szCs w:val="24"/>
        </w:rPr>
      </w:pPr>
      <w:r>
        <w:rPr>
          <w:rFonts w:ascii="Times New Roman" w:hAnsi="Times New Roman"/>
          <w:noProof/>
          <w:sz w:val="24"/>
        </w:rPr>
        <w:t>Също така данни за основателна загриженост във връзка с търговци са получени от седем държави, като тези данни са подадени главно от НПО и представители на обществеността. От 64 идентифицирани търговци са били проверени 63 (98 %), а на 16 (около 25 %) са били наложени санкции.</w:t>
      </w:r>
    </w:p>
    <w:p>
      <w:pPr>
        <w:rPr>
          <w:noProof/>
        </w:rPr>
      </w:pPr>
    </w:p>
    <w:p>
      <w:pPr>
        <w:rPr>
          <w:noProof/>
        </w:rPr>
      </w:pPr>
      <w:r>
        <w:rPr>
          <w:noProof/>
          <w:lang w:val="en-US" w:eastAsia="en-US" w:bidi="ar-SA"/>
        </w:rPr>
        <w:drawing>
          <wp:inline distT="0" distB="0" distL="0" distR="0">
            <wp:extent cx="4733925" cy="2314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314575"/>
                    </a:xfrm>
                    <a:prstGeom prst="rect">
                      <a:avLst/>
                    </a:prstGeom>
                    <a:noFill/>
                    <a:ln>
                      <a:noFill/>
                    </a:ln>
                  </pic:spPr>
                </pic:pic>
              </a:graphicData>
            </a:graphic>
          </wp:inline>
        </w:drawing>
      </w:r>
    </w:p>
    <w:p>
      <w:pPr>
        <w:rPr>
          <w:rFonts w:ascii="Times New Roman" w:hAnsi="Times New Roman"/>
          <w:b/>
          <w:noProof/>
          <w:sz w:val="20"/>
          <w:szCs w:val="20"/>
        </w:rPr>
      </w:pPr>
      <w:r>
        <w:rPr>
          <w:rFonts w:ascii="Times New Roman" w:hAnsi="Times New Roman"/>
          <w:b/>
          <w:noProof/>
          <w:sz w:val="20"/>
        </w:rPr>
        <w:t xml:space="preserve">Фигура 3: </w:t>
      </w:r>
      <w:r>
        <w:rPr>
          <w:rFonts w:ascii="Times New Roman" w:hAnsi="Times New Roman"/>
          <w:noProof/>
          <w:sz w:val="20"/>
        </w:rPr>
        <w:t>Държави, които са получили данни за основателна загриженост относно оператори, брой проверени оператори и наложени санкции</w:t>
      </w:r>
    </w:p>
    <w:p>
      <w:pPr>
        <w:rPr>
          <w:noProof/>
        </w:rPr>
        <w:sectPr>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18" w:right="1418" w:bottom="1418" w:left="1418" w:header="709" w:footer="709" w:gutter="0"/>
          <w:cols w:space="708"/>
          <w:docGrid w:linePitch="360"/>
        </w:sectPr>
      </w:pPr>
    </w:p>
    <w:p>
      <w:pPr>
        <w:keepNext/>
        <w:spacing w:line="270" w:lineRule="atLeast"/>
        <w:jc w:val="both"/>
        <w:rPr>
          <w:rFonts w:ascii="Times New Roman" w:hAnsi="Times New Roman"/>
          <w:i/>
          <w:noProof/>
          <w:sz w:val="24"/>
          <w:szCs w:val="24"/>
        </w:rPr>
      </w:pPr>
      <w:bookmarkStart w:id="14" w:name="_Toc484202237"/>
      <w:r>
        <w:rPr>
          <w:rFonts w:ascii="Times New Roman" w:hAnsi="Times New Roman"/>
          <w:i/>
          <w:noProof/>
          <w:sz w:val="24"/>
        </w:rPr>
        <w:t>4.3.6 Действия по правоприлагане, произтичащи от проверките</w:t>
      </w:r>
      <w:bookmarkEnd w:id="14"/>
    </w:p>
    <w:p>
      <w:pPr>
        <w:spacing w:line="270" w:lineRule="atLeast"/>
        <w:jc w:val="both"/>
        <w:rPr>
          <w:rFonts w:ascii="Times New Roman" w:hAnsi="Times New Roman"/>
          <w:noProof/>
          <w:sz w:val="24"/>
          <w:szCs w:val="24"/>
        </w:rPr>
      </w:pPr>
      <w:r>
        <w:rPr>
          <w:rFonts w:ascii="Times New Roman" w:hAnsi="Times New Roman"/>
          <w:noProof/>
          <w:sz w:val="24"/>
        </w:rPr>
        <w:t xml:space="preserve">Пропуски при </w:t>
      </w:r>
      <w:r>
        <w:rPr>
          <w:rFonts w:ascii="Times New Roman" w:hAnsi="Times New Roman"/>
          <w:b/>
          <w:noProof/>
          <w:sz w:val="24"/>
        </w:rPr>
        <w:t>надлежната проверка</w:t>
      </w:r>
      <w:r>
        <w:rPr>
          <w:rFonts w:ascii="Times New Roman" w:hAnsi="Times New Roman"/>
          <w:noProof/>
          <w:sz w:val="24"/>
        </w:rPr>
        <w:t>, свързани с пускането на пазара на местен дървен материал, са довели до 583 искания за предприемане на коригиращи действия, в които се изисква операторите да подобрят системата си за надлежна проверка (3 % от проверките), 269 санкции (1,5 % от проверките), 154 други мерки (1 % от проверките) и 1 съдебно дело. По отношение на внесения дървен материал са издадени 483 искания за предприемане на коригиращи действия (17 % от проверките) и са наложени 103 санкции (4 % от проверките) и 277 други мерки (10 % от проверките), като са заведени 5 съдебни дела.</w:t>
      </w:r>
    </w:p>
    <w:p>
      <w:pPr>
        <w:spacing w:line="270" w:lineRule="atLeast"/>
        <w:jc w:val="both"/>
        <w:rPr>
          <w:rFonts w:ascii="Times New Roman" w:hAnsi="Times New Roman"/>
          <w:noProof/>
          <w:sz w:val="24"/>
          <w:szCs w:val="24"/>
        </w:rPr>
      </w:pPr>
      <w:r>
        <w:rPr>
          <w:rFonts w:ascii="Times New Roman" w:hAnsi="Times New Roman"/>
          <w:noProof/>
          <w:sz w:val="24"/>
        </w:rPr>
        <w:t xml:space="preserve">Нарушенията на </w:t>
      </w:r>
      <w:r>
        <w:rPr>
          <w:rFonts w:ascii="Times New Roman" w:hAnsi="Times New Roman"/>
          <w:b/>
          <w:noProof/>
          <w:sz w:val="24"/>
        </w:rPr>
        <w:t>забраните</w:t>
      </w:r>
      <w:r>
        <w:rPr>
          <w:rFonts w:ascii="Times New Roman" w:hAnsi="Times New Roman"/>
          <w:noProof/>
          <w:sz w:val="24"/>
        </w:rPr>
        <w:t xml:space="preserve"> за пускане на пазара на незаконно добит местен дървен материал доведоха до 189 искания за предприемане на коригиращи действия (1 % от проверките), 628 санкции (3,5 % от проверките), 197 други мерки (1 % от проверките) и 20 съдебни дела. Във връзка с внесения дървен материал бяха издадени 22 искания за предприемане на коригиращи действия (1 % от проверките) и бяха наложени 27 санкции (1 % от проверките).</w:t>
      </w:r>
    </w:p>
    <w:p>
      <w:pPr>
        <w:spacing w:line="270" w:lineRule="atLeast"/>
        <w:jc w:val="both"/>
        <w:rPr>
          <w:rFonts w:ascii="Times New Roman" w:hAnsi="Times New Roman"/>
          <w:noProof/>
          <w:sz w:val="24"/>
          <w:szCs w:val="24"/>
        </w:rPr>
      </w:pPr>
      <w:r>
        <w:rPr>
          <w:rFonts w:ascii="Times New Roman" w:hAnsi="Times New Roman"/>
          <w:noProof/>
          <w:sz w:val="24"/>
        </w:rPr>
        <w:t xml:space="preserve">Проблемите с </w:t>
      </w:r>
      <w:r>
        <w:rPr>
          <w:rFonts w:ascii="Times New Roman" w:hAnsi="Times New Roman"/>
          <w:b/>
          <w:noProof/>
          <w:sz w:val="24"/>
        </w:rPr>
        <w:t>проследяването</w:t>
      </w:r>
      <w:r>
        <w:rPr>
          <w:rFonts w:ascii="Times New Roman" w:hAnsi="Times New Roman"/>
          <w:noProof/>
          <w:sz w:val="24"/>
        </w:rPr>
        <w:t xml:space="preserve"> на местния дървен материал доведоха до 144 искания за предприемане на коригиращи действия (1 % от проверките), 95 санкции (0,5 % от проверките) и 190 други мерки, приложени по отношение на търговците. Във връзка с внесения дървен материал бяха издадени 20 искания за предприемане на коригиращи действия (1 % от проверките) и бяха наложени 4 санкции и 9 други мерки по отношение на търговците.</w:t>
      </w:r>
    </w:p>
    <w:p>
      <w:pPr>
        <w:spacing w:line="270" w:lineRule="atLeast"/>
        <w:jc w:val="both"/>
        <w:rPr>
          <w:rFonts w:ascii="Times New Roman" w:hAnsi="Times New Roman"/>
          <w:noProof/>
          <w:sz w:val="24"/>
          <w:szCs w:val="24"/>
        </w:rPr>
      </w:pPr>
      <w:r>
        <w:rPr>
          <w:rFonts w:ascii="Times New Roman" w:hAnsi="Times New Roman"/>
          <w:noProof/>
          <w:sz w:val="24"/>
        </w:rPr>
        <w:t>По-голямата част от санкциите се отнасят до местния дървен материал (вж. фигура 4).</w:t>
      </w:r>
    </w:p>
    <w:p>
      <w:pPr>
        <w:spacing w:line="270" w:lineRule="atLeast"/>
        <w:jc w:val="both"/>
        <w:rPr>
          <w:rFonts w:ascii="Times New Roman" w:hAnsi="Times New Roman"/>
          <w:noProof/>
          <w:sz w:val="24"/>
          <w:szCs w:val="24"/>
        </w:rPr>
      </w:pPr>
    </w:p>
    <w:p>
      <w:pPr>
        <w:spacing w:line="240" w:lineRule="auto"/>
        <w:jc w:val="both"/>
        <w:rPr>
          <w:rFonts w:ascii="Times New Roman" w:hAnsi="Times New Roman"/>
          <w:noProof/>
          <w:sz w:val="24"/>
          <w:szCs w:val="24"/>
        </w:rPr>
      </w:pPr>
      <w:r>
        <w:rPr>
          <w:noProof/>
          <w:lang w:val="en-US" w:eastAsia="en-US" w:bidi="ar-SA"/>
        </w:rPr>
        <w:drawing>
          <wp:inline distT="0" distB="0" distL="0" distR="0">
            <wp:extent cx="5759450" cy="41565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156584"/>
                    </a:xfrm>
                    <a:prstGeom prst="rect">
                      <a:avLst/>
                    </a:prstGeom>
                    <a:noFill/>
                    <a:ln>
                      <a:noFill/>
                    </a:ln>
                  </pic:spPr>
                </pic:pic>
              </a:graphicData>
            </a:graphic>
          </wp:inline>
        </w:drawing>
      </w:r>
    </w:p>
    <w:p>
      <w:pPr>
        <w:rPr>
          <w:rFonts w:ascii="Times New Roman" w:hAnsi="Times New Roman"/>
          <w:noProof/>
          <w:sz w:val="20"/>
          <w:szCs w:val="20"/>
        </w:rPr>
      </w:pPr>
      <w:r>
        <w:rPr>
          <w:rFonts w:ascii="Times New Roman" w:hAnsi="Times New Roman"/>
          <w:b/>
          <w:noProof/>
          <w:sz w:val="20"/>
        </w:rPr>
        <w:t xml:space="preserve">Фигура 4: </w:t>
      </w:r>
      <w:r>
        <w:rPr>
          <w:rFonts w:ascii="Times New Roman" w:hAnsi="Times New Roman"/>
          <w:noProof/>
          <w:sz w:val="20"/>
        </w:rPr>
        <w:t>Общ брой наложени санкции в държавите, докладвали за налагането на санкции</w:t>
      </w:r>
    </w:p>
    <w:p>
      <w:pPr>
        <w:keepNext/>
        <w:spacing w:line="270" w:lineRule="atLeast"/>
        <w:jc w:val="both"/>
        <w:rPr>
          <w:rFonts w:ascii="Times New Roman" w:hAnsi="Times New Roman"/>
          <w:i/>
          <w:noProof/>
          <w:sz w:val="24"/>
          <w:szCs w:val="24"/>
        </w:rPr>
      </w:pPr>
    </w:p>
    <w:p>
      <w:pPr>
        <w:keepNext/>
        <w:spacing w:line="270" w:lineRule="atLeast"/>
        <w:jc w:val="both"/>
        <w:rPr>
          <w:rFonts w:ascii="Times New Roman" w:hAnsi="Times New Roman"/>
          <w:i/>
          <w:noProof/>
          <w:sz w:val="24"/>
          <w:szCs w:val="24"/>
        </w:rPr>
      </w:pPr>
      <w:r>
        <w:rPr>
          <w:rFonts w:ascii="Times New Roman" w:hAnsi="Times New Roman"/>
          <w:i/>
          <w:noProof/>
          <w:sz w:val="24"/>
        </w:rPr>
        <w:t>4.3.7 Проверки на организациите за мониторинг</w:t>
      </w:r>
    </w:p>
    <w:p>
      <w:pPr>
        <w:tabs>
          <w:tab w:val="left" w:pos="284"/>
        </w:tabs>
        <w:spacing w:line="270" w:lineRule="atLeast"/>
        <w:jc w:val="both"/>
        <w:rPr>
          <w:rFonts w:ascii="Times New Roman" w:hAnsi="Times New Roman"/>
          <w:noProof/>
          <w:sz w:val="24"/>
          <w:szCs w:val="24"/>
        </w:rPr>
      </w:pPr>
      <w:r>
        <w:rPr>
          <w:rFonts w:ascii="Times New Roman" w:hAnsi="Times New Roman"/>
          <w:noProof/>
          <w:sz w:val="24"/>
        </w:rPr>
        <w:t>В съответствие с член 8, параграф 4 от РЕСДМ и член 6, параграф 1 от Регламент за изпълнение (ЕС) № 607/2012</w:t>
      </w:r>
      <w:r>
        <w:rPr>
          <w:rStyle w:val="FootnoteReference"/>
          <w:rFonts w:ascii="Times New Roman" w:hAnsi="Times New Roman"/>
          <w:noProof/>
          <w:sz w:val="24"/>
        </w:rPr>
        <w:footnoteReference w:id="16"/>
      </w:r>
      <w:r>
        <w:rPr>
          <w:rFonts w:ascii="Times New Roman" w:hAnsi="Times New Roman"/>
          <w:noProof/>
          <w:sz w:val="24"/>
        </w:rPr>
        <w:t xml:space="preserve"> на Комисията за подробните правила относно системата за надлежна проверка, както и честотата и характера на проверките на организациите за мониторинг</w:t>
      </w:r>
      <w:r>
        <w:rPr>
          <w:rStyle w:val="FootnoteReference"/>
          <w:rFonts w:ascii="Times New Roman" w:hAnsi="Times New Roman"/>
          <w:noProof/>
          <w:sz w:val="24"/>
        </w:rPr>
        <w:footnoteReference w:id="17"/>
      </w:r>
      <w:r>
        <w:rPr>
          <w:rFonts w:ascii="Times New Roman" w:hAnsi="Times New Roman"/>
          <w:noProof/>
          <w:sz w:val="24"/>
        </w:rPr>
        <w:t>, компетентните органи следва да проверяват организациите за мониторинг, регистрирани в тяхната държава, най-малко веднъж на всеки две години. До края на периода за докладване (март 2017 г.) в ЕС са признати 13 организации за мониторинг</w:t>
      </w:r>
      <w:r>
        <w:rPr>
          <w:rFonts w:ascii="Times New Roman" w:hAnsi="Times New Roman"/>
          <w:noProof/>
          <w:sz w:val="24"/>
          <w:vertAlign w:val="superscript"/>
        </w:rPr>
        <w:footnoteReference w:id="18"/>
      </w:r>
      <w:r>
        <w:rPr>
          <w:rFonts w:ascii="Times New Roman" w:hAnsi="Times New Roman"/>
          <w:noProof/>
          <w:sz w:val="24"/>
        </w:rPr>
        <w:t>. Всички организации за мониторинг, с изключение на ICILA S.R.L.</w:t>
      </w:r>
      <w:r>
        <w:rPr>
          <w:rStyle w:val="FootnoteReference"/>
          <w:rFonts w:ascii="Times New Roman" w:hAnsi="Times New Roman"/>
          <w:noProof/>
          <w:sz w:val="24"/>
        </w:rPr>
        <w:footnoteReference w:id="19"/>
      </w:r>
      <w:r>
        <w:rPr>
          <w:rFonts w:ascii="Times New Roman" w:hAnsi="Times New Roman"/>
          <w:noProof/>
          <w:sz w:val="24"/>
        </w:rPr>
        <w:t xml:space="preserve"> в Италия, които трябваше да бъдат проверени през периода на докладване, бяха проверени от компетентните органи, като нито една от проверките не доведе до отправяне на уведомление до Комисията за проблеми, които биха могли да доведат до оттегляне на признаване като организация за мониторинг.</w:t>
      </w:r>
    </w:p>
    <w:p>
      <w:pPr>
        <w:tabs>
          <w:tab w:val="left" w:pos="567"/>
        </w:tabs>
        <w:spacing w:line="270" w:lineRule="atLeast"/>
        <w:ind w:left="567" w:hanging="567"/>
        <w:rPr>
          <w:rFonts w:ascii="Times New Roman" w:hAnsi="Times New Roman"/>
          <w:b/>
          <w:noProof/>
          <w:sz w:val="24"/>
          <w:szCs w:val="24"/>
        </w:rPr>
      </w:pPr>
      <w:bookmarkStart w:id="15" w:name="_Toc483504247"/>
      <w:bookmarkStart w:id="16" w:name="_Toc483943651"/>
      <w:bookmarkStart w:id="17" w:name="_Toc484202239"/>
      <w:r>
        <w:rPr>
          <w:rFonts w:ascii="Times New Roman" w:hAnsi="Times New Roman"/>
          <w:b/>
          <w:noProof/>
          <w:sz w:val="24"/>
        </w:rPr>
        <w:t xml:space="preserve">4.4 </w:t>
      </w:r>
      <w:r>
        <w:rPr>
          <w:noProof/>
        </w:rPr>
        <w:tab/>
      </w:r>
      <w:r>
        <w:rPr>
          <w:rFonts w:ascii="Times New Roman" w:hAnsi="Times New Roman"/>
          <w:b/>
          <w:noProof/>
          <w:sz w:val="24"/>
        </w:rPr>
        <w:t>Споразуменията за доброволно партньорство (СДП) за FLEGT — принос към изпълнението и прилагането на РЕСДМ</w:t>
      </w:r>
      <w:bookmarkEnd w:id="15"/>
      <w:bookmarkEnd w:id="16"/>
      <w:bookmarkEnd w:id="17"/>
    </w:p>
    <w:p>
      <w:pPr>
        <w:spacing w:line="270" w:lineRule="atLeast"/>
        <w:jc w:val="both"/>
        <w:rPr>
          <w:rFonts w:ascii="Times New Roman" w:hAnsi="Times New Roman"/>
          <w:noProof/>
          <w:sz w:val="24"/>
          <w:szCs w:val="24"/>
        </w:rPr>
      </w:pPr>
      <w:r>
        <w:rPr>
          <w:rFonts w:ascii="Times New Roman" w:hAnsi="Times New Roman"/>
          <w:noProof/>
          <w:sz w:val="24"/>
        </w:rPr>
        <w:t>До момента са сключени шест СДП с Камерун, Централноафриканската република, Гана, Индонезия, Либерия и Конго. В ход са преговори с още девет държави партньорки: Кот д'Ивоар, Демократична република Конго, Габон, Гвиана, Хондурас, Лаос, Малайзия, Тайланд и Виетнам.</w:t>
      </w:r>
    </w:p>
    <w:p>
      <w:pPr>
        <w:spacing w:line="270" w:lineRule="atLeast"/>
        <w:jc w:val="both"/>
        <w:rPr>
          <w:rFonts w:ascii="Times New Roman" w:hAnsi="Times New Roman"/>
          <w:noProof/>
          <w:sz w:val="24"/>
          <w:szCs w:val="24"/>
        </w:rPr>
      </w:pPr>
      <w:r>
        <w:rPr>
          <w:rFonts w:ascii="Times New Roman" w:hAnsi="Times New Roman"/>
          <w:noProof/>
          <w:sz w:val="24"/>
        </w:rPr>
        <w:t>Понастоящем единствено Индонезия прилага схема на разрешителни FLEGT с ЕС, на която беше даден ход на 15 ноември 2016 г.</w:t>
      </w:r>
    </w:p>
    <w:p>
      <w:pPr>
        <w:spacing w:line="270" w:lineRule="atLeast"/>
        <w:jc w:val="both"/>
        <w:rPr>
          <w:rFonts w:ascii="Times New Roman" w:hAnsi="Times New Roman"/>
          <w:noProof/>
          <w:sz w:val="24"/>
          <w:szCs w:val="24"/>
        </w:rPr>
      </w:pPr>
      <w:r>
        <w:rPr>
          <w:rFonts w:ascii="Times New Roman" w:hAnsi="Times New Roman"/>
          <w:noProof/>
          <w:sz w:val="24"/>
        </w:rPr>
        <w:t>Според оценката на плана за действие за FLEGT, публикувана през 2016 г.</w:t>
      </w:r>
      <w:r>
        <w:rPr>
          <w:rStyle w:val="FootnoteReference"/>
          <w:rFonts w:ascii="Times New Roman" w:hAnsi="Times New Roman"/>
          <w:noProof/>
          <w:sz w:val="24"/>
        </w:rPr>
        <w:footnoteReference w:id="20"/>
      </w:r>
      <w:r>
        <w:rPr>
          <w:rFonts w:ascii="Times New Roman" w:hAnsi="Times New Roman"/>
          <w:noProof/>
          <w:sz w:val="24"/>
        </w:rPr>
        <w:t>, СДП като цяло са довели до добри резултати по отношение на подобряването на управлението и правната реформа, по-специално чрез установяване на ефективни процеси за участие на множество заинтересовани страни, изграждане на капацитет, повишаване на прозрачността и политически диалог. Освен това като част от СДП бяха разработени системи за гарантиране на законността на дървения материал с цел проверка дали изделията от дървен материал са в съответствие с националното законодателство на държавата партньорка по СДП. Макар че тези усилия, с изключение на Индонезия, все още не са довели до поток от дървен материал с разрешително FLEGT, предприетите вече стъпки в държавите партньорки улесниха — до известна степен — спазването на изискванията на РЕСДМ.</w:t>
      </w:r>
    </w:p>
    <w:p>
      <w:pPr>
        <w:spacing w:line="270" w:lineRule="atLeast"/>
        <w:jc w:val="both"/>
        <w:rPr>
          <w:rFonts w:ascii="Times New Roman" w:hAnsi="Times New Roman"/>
          <w:noProof/>
          <w:sz w:val="24"/>
          <w:szCs w:val="24"/>
        </w:rPr>
      </w:pPr>
      <w:r>
        <w:rPr>
          <w:rFonts w:ascii="Times New Roman" w:hAnsi="Times New Roman"/>
          <w:noProof/>
          <w:sz w:val="24"/>
        </w:rPr>
        <w:t>Що се отнася до отговорите по държави, само четири от 22-те държави, които са докладвали как СДП спомагат за свеждане до минимум на наличието на незаконно добит дървен материал и изделия от дървен материал на пазара на ЕС, отбелязват, че схемата на разрешителни FLEGT в Индонезия вече улеснява спазването на РЕСДМ и може да доведе до намален брой проверки. Други обаче очакват това да се случи в бъдеще. Към момента на докладването шест държави отбелязаха, че все още не са налице надеждни констатации относно това дали и как СДП са допринесли за изпълнението и прилагането на РЕСДМ. Знанията и експертният опит, придобити от процесите в рамките на FLEGT, бяха счетени за полезни при проверките по РЕСДМ от две държави, а една държава отбеляза, че наличната информация за СДП е твърде обща в контекста на проверките по РЕСДМ и че следва да се предоставя повече информация относно случаите на нарушения. 14 държави докладваха за ограничено въздействие или за липса на въздействие, като девет от тях обясниха, че търговията им с държави по СДП е минимална или че такава не съществува.</w:t>
      </w:r>
    </w:p>
    <w:p>
      <w:pPr>
        <w:spacing w:line="270" w:lineRule="atLeast"/>
        <w:jc w:val="both"/>
        <w:rPr>
          <w:rFonts w:ascii="Times New Roman" w:hAnsi="Times New Roman"/>
          <w:noProof/>
          <w:sz w:val="24"/>
          <w:szCs w:val="24"/>
        </w:rPr>
      </w:pPr>
      <w:r>
        <w:rPr>
          <w:rFonts w:ascii="Times New Roman" w:hAnsi="Times New Roman"/>
          <w:noProof/>
          <w:sz w:val="24"/>
        </w:rPr>
        <w:t>Що се отнася до приноса за изпълнението и прилагането на РЕСДМ, оценките на държавите за потенциалната значимост на различните процеси по СДП (сключени или в процес на договаряне) се различават значително в зависимост от различните нива на търговска експозиция. Камерун, Демократична република Конго, Индонезия, Малайзия, Конго и Виетнам са част в процесите по СДП, които най-често се считат за имащи висока или средна степен на значимост, следвани от Централноафриканската република, Кот д’Ивоар, Габон и Тайланд. Потенциалната значимост на други СДП се възприема най-вече като ниска. Има някои изключения — например едно СДП с висока потенциална значимост само за една или две държави.</w:t>
      </w:r>
    </w:p>
    <w:p>
      <w:pPr>
        <w:spacing w:line="270" w:lineRule="atLeast"/>
        <w:jc w:val="both"/>
        <w:rPr>
          <w:rFonts w:ascii="Times New Roman" w:hAnsi="Times New Roman"/>
          <w:noProof/>
          <w:sz w:val="24"/>
          <w:szCs w:val="24"/>
        </w:rPr>
      </w:pPr>
      <w:r>
        <w:rPr>
          <w:rFonts w:ascii="Times New Roman" w:hAnsi="Times New Roman"/>
          <w:noProof/>
          <w:sz w:val="24"/>
        </w:rPr>
        <w:t>Компетентните органи установиха няколко други държави, които не са участвали в процес по СДП и които представляват приоритет във връзка с изпълнението и прилагането на РЕСДМ, включително Русия, Китай, Украйна и Бразилия.</w:t>
      </w:r>
    </w:p>
    <w:p>
      <w:pPr>
        <w:keepNext/>
        <w:spacing w:line="270" w:lineRule="atLeast"/>
        <w:jc w:val="both"/>
        <w:rPr>
          <w:rFonts w:ascii="Times New Roman" w:hAnsi="Times New Roman"/>
          <w:b/>
          <w:noProof/>
          <w:sz w:val="24"/>
          <w:szCs w:val="24"/>
        </w:rPr>
      </w:pPr>
      <w:bookmarkStart w:id="18" w:name="_Toc484202240"/>
      <w:bookmarkEnd w:id="13"/>
      <w:r>
        <w:rPr>
          <w:rFonts w:ascii="Times New Roman" w:hAnsi="Times New Roman"/>
          <w:b/>
          <w:noProof/>
          <w:sz w:val="24"/>
        </w:rPr>
        <w:t>4.5 Сътрудничество при изпълнението и прилагането на РЕСДМ</w:t>
      </w:r>
      <w:bookmarkEnd w:id="18"/>
    </w:p>
    <w:p>
      <w:pPr>
        <w:spacing w:line="270" w:lineRule="atLeast"/>
        <w:jc w:val="both"/>
        <w:rPr>
          <w:rFonts w:ascii="Times New Roman" w:hAnsi="Times New Roman"/>
          <w:noProof/>
          <w:sz w:val="24"/>
          <w:szCs w:val="24"/>
        </w:rPr>
      </w:pPr>
      <w:r>
        <w:rPr>
          <w:rFonts w:ascii="Times New Roman" w:hAnsi="Times New Roman"/>
          <w:noProof/>
          <w:sz w:val="24"/>
        </w:rPr>
        <w:t>В член 12 сътрудничеството се насърчава, за да се гарантират спазването на РЕСДМ и обменът на информация относно сериозните пропуски, установени при проверките, и относно санкциите, наложени на национално равнище. 26 държави съобщиха, че работят заедно с национални агенции с цел обмен на информация или координиране на съвместни проверки, по-специално митнически или данъчни агенции, органи по Конвенцията по международната търговия със застрашени видове от дивата фауна и флора (CITES) и полицейски или други правоприлагащи органи.</w:t>
      </w:r>
    </w:p>
    <w:p>
      <w:pPr>
        <w:spacing w:line="270" w:lineRule="atLeast"/>
        <w:jc w:val="both"/>
        <w:rPr>
          <w:rFonts w:ascii="Times New Roman" w:hAnsi="Times New Roman"/>
          <w:noProof/>
          <w:sz w:val="24"/>
          <w:szCs w:val="24"/>
        </w:rPr>
      </w:pPr>
      <w:r>
        <w:rPr>
          <w:rFonts w:ascii="Times New Roman" w:hAnsi="Times New Roman"/>
          <w:noProof/>
          <w:sz w:val="24"/>
        </w:rPr>
        <w:t>Освен това 19 държави съобщиха, че работят съвместно с други компетентни органи и други институции на ЕС. Това се отнася най-вече до участието в срещи на експертната група РЕСДМ—FLEGT, използването на онлайн платформата на компетентните органи по РЕСДМ—FLEGT, управлявана от Комисията чрез Capacity4dev</w:t>
      </w:r>
      <w:r>
        <w:rPr>
          <w:rStyle w:val="FootnoteReference"/>
          <w:rFonts w:ascii="Times New Roman" w:hAnsi="Times New Roman"/>
          <w:noProof/>
          <w:sz w:val="24"/>
        </w:rPr>
        <w:footnoteReference w:id="21"/>
      </w:r>
      <w:r>
        <w:rPr>
          <w:rFonts w:ascii="Times New Roman" w:hAnsi="Times New Roman"/>
          <w:noProof/>
          <w:sz w:val="24"/>
        </w:rPr>
        <w:t>, сътрудничеството с Комисията и участието в скандинавско-балтийското сътрудничество.</w:t>
      </w:r>
    </w:p>
    <w:p>
      <w:pPr>
        <w:spacing w:line="270" w:lineRule="atLeast"/>
        <w:jc w:val="both"/>
        <w:rPr>
          <w:rFonts w:ascii="Times New Roman" w:hAnsi="Times New Roman"/>
          <w:noProof/>
          <w:sz w:val="24"/>
          <w:szCs w:val="24"/>
        </w:rPr>
      </w:pPr>
      <w:r>
        <w:rPr>
          <w:rFonts w:ascii="Times New Roman" w:hAnsi="Times New Roman"/>
          <w:noProof/>
          <w:sz w:val="24"/>
        </w:rPr>
        <w:t>16 държави съобщиха за обмен на информация с институции в държави извън ЕС, по-специално в Съединените щати, както и с НПО.</w:t>
      </w:r>
    </w:p>
    <w:p>
      <w:pPr>
        <w:spacing w:line="270" w:lineRule="atLeast"/>
        <w:jc w:val="both"/>
        <w:rPr>
          <w:rFonts w:ascii="Times New Roman" w:hAnsi="Times New Roman"/>
          <w:b/>
          <w:noProof/>
          <w:sz w:val="24"/>
          <w:szCs w:val="24"/>
        </w:rPr>
      </w:pPr>
      <w:bookmarkStart w:id="19" w:name="_Toc483504254"/>
      <w:bookmarkStart w:id="20" w:name="_Toc483943656"/>
      <w:bookmarkStart w:id="21" w:name="_Toc484202244"/>
      <w:r>
        <w:rPr>
          <w:rFonts w:ascii="Times New Roman" w:hAnsi="Times New Roman"/>
          <w:b/>
          <w:noProof/>
          <w:sz w:val="24"/>
        </w:rPr>
        <w:t>4.6 Налични ресурси за изпълнението и прилагането на РЕСДМ</w:t>
      </w:r>
      <w:bookmarkEnd w:id="19"/>
      <w:bookmarkEnd w:id="20"/>
      <w:bookmarkEnd w:id="21"/>
    </w:p>
    <w:p>
      <w:pPr>
        <w:pStyle w:val="Chaptertext"/>
        <w:jc w:val="both"/>
        <w:rPr>
          <w:rFonts w:ascii="Times New Roman" w:eastAsia="Calibri" w:hAnsi="Times New Roman" w:cs="Times New Roman"/>
          <w:noProof/>
          <w:sz w:val="24"/>
          <w:szCs w:val="24"/>
        </w:rPr>
      </w:pPr>
      <w:r>
        <w:rPr>
          <w:rFonts w:ascii="Times New Roman" w:hAnsi="Times New Roman"/>
          <w:noProof/>
          <w:sz w:val="24"/>
        </w:rPr>
        <w:t>Човешките и финансовите ресурси, с които разполагат компетентните органи за изпълнение и прилагане на РЕСДМ, варират значително в отделните държави, въпреки че докладваните ресурси са трудни за сравняване поради различните равнища на подробности, предоставени от държавите. Човешките ресурси са в обхват от едва една осма (0,125) от еквивалент на пълно работно време (ЕПРВ) до осем ЕПРВ за внесен дървен материал и от една осма (0,125) ЕПРВ до 20 ЕПРВ</w:t>
      </w:r>
      <w:r>
        <w:rPr>
          <w:rFonts w:ascii="Times New Roman" w:hAnsi="Times New Roman"/>
          <w:noProof/>
          <w:sz w:val="24"/>
          <w:vertAlign w:val="superscript"/>
        </w:rPr>
        <w:footnoteReference w:id="22"/>
      </w:r>
      <w:r>
        <w:rPr>
          <w:rFonts w:ascii="Times New Roman" w:hAnsi="Times New Roman"/>
          <w:noProof/>
          <w:sz w:val="24"/>
        </w:rPr>
        <w:t xml:space="preserve"> за местен дървен материал, въпреки че основният личен състав се подкрепя от допълнителни човешки ресурси в редица държави. Наличните финансови ресурси се различават значително, тъй като бюджетите изглежда са изключително ограничени в някои държави (например Белгия), докато в други не са определени бюджетни ограничения (например Германия)</w:t>
      </w:r>
    </w:p>
    <w:p>
      <w:pPr>
        <w:pStyle w:val="ListParagraph"/>
        <w:numPr>
          <w:ilvl w:val="0"/>
          <w:numId w:val="1"/>
        </w:numPr>
        <w:spacing w:line="270" w:lineRule="atLeast"/>
        <w:jc w:val="both"/>
        <w:rPr>
          <w:rFonts w:ascii="Times New Roman" w:hAnsi="Times New Roman"/>
          <w:b/>
          <w:noProof/>
          <w:sz w:val="24"/>
          <w:szCs w:val="24"/>
        </w:rPr>
      </w:pPr>
      <w:r>
        <w:rPr>
          <w:rFonts w:ascii="Times New Roman" w:hAnsi="Times New Roman"/>
          <w:b/>
          <w:noProof/>
          <w:sz w:val="24"/>
        </w:rPr>
        <w:t>Техническа помощ и развитие на капацитета на операторите</w:t>
      </w:r>
    </w:p>
    <w:p>
      <w:pPr>
        <w:spacing w:line="270" w:lineRule="atLeast"/>
        <w:jc w:val="both"/>
        <w:rPr>
          <w:rFonts w:ascii="Times New Roman" w:hAnsi="Times New Roman"/>
          <w:noProof/>
          <w:sz w:val="24"/>
          <w:szCs w:val="24"/>
        </w:rPr>
      </w:pPr>
      <w:r>
        <w:rPr>
          <w:rFonts w:ascii="Times New Roman" w:hAnsi="Times New Roman"/>
          <w:noProof/>
          <w:sz w:val="24"/>
        </w:rPr>
        <w:t>През периода на докладване 23 държави предоставиха помощ и обучение на операторите, главно чрез курсове, лекции или семинари, последвани от предоставяне на информация онлайн. Седем държави докладваха също, че обучението е предоставено за оператори от НПО и че помощта включва информация онлайн, семинари, курсове, печатни материали и общи съвети относно изискванията на РЕСДМ.</w:t>
      </w:r>
    </w:p>
    <w:p>
      <w:pPr>
        <w:spacing w:line="270" w:lineRule="atLeast"/>
        <w:jc w:val="both"/>
        <w:rPr>
          <w:rFonts w:ascii="Times New Roman" w:hAnsi="Times New Roman"/>
          <w:noProof/>
          <w:sz w:val="24"/>
          <w:szCs w:val="24"/>
        </w:rPr>
      </w:pPr>
      <w:r>
        <w:rPr>
          <w:rFonts w:ascii="Times New Roman" w:hAnsi="Times New Roman"/>
          <w:noProof/>
          <w:sz w:val="24"/>
        </w:rPr>
        <w:t>Докладваният брой оператори се колебае в различните държави — от 23 (Норвегия) до 2500 (Германия). Делът на получилите обучение оператори, които са били микропредприятия и малки и средни предприятия (МСП), е в интервала от 42 % (Испания) до 100 % (Кипър, Чешка република, Малта, Латвия и Португалия); средно 88 % от обучените оператори са МСП.</w:t>
      </w:r>
    </w:p>
    <w:p>
      <w:pPr>
        <w:pStyle w:val="ListParagraph"/>
        <w:keepNext/>
        <w:numPr>
          <w:ilvl w:val="0"/>
          <w:numId w:val="1"/>
        </w:numPr>
        <w:spacing w:line="270" w:lineRule="atLeast"/>
        <w:ind w:left="357" w:hanging="357"/>
        <w:jc w:val="both"/>
        <w:rPr>
          <w:rFonts w:ascii="Times New Roman" w:hAnsi="Times New Roman"/>
          <w:b/>
          <w:noProof/>
          <w:sz w:val="24"/>
          <w:szCs w:val="24"/>
        </w:rPr>
      </w:pPr>
      <w:r>
        <w:rPr>
          <w:rFonts w:ascii="Times New Roman" w:hAnsi="Times New Roman"/>
          <w:b/>
          <w:noProof/>
          <w:sz w:val="24"/>
        </w:rPr>
        <w:t>Методи за комуникация</w:t>
      </w:r>
    </w:p>
    <w:p>
      <w:pPr>
        <w:spacing w:line="270" w:lineRule="atLeast"/>
        <w:jc w:val="both"/>
        <w:rPr>
          <w:rFonts w:ascii="Times New Roman" w:hAnsi="Times New Roman"/>
          <w:noProof/>
          <w:sz w:val="24"/>
          <w:szCs w:val="24"/>
        </w:rPr>
      </w:pPr>
      <w:r>
        <w:rPr>
          <w:rFonts w:ascii="Times New Roman" w:hAnsi="Times New Roman"/>
          <w:noProof/>
          <w:sz w:val="24"/>
        </w:rPr>
        <w:t>За разпространение на информация до заинтересованите страни компетентните органи най-често са използвали интернет страници (23 държави), срещи/конференции/семинари (18 държави), електронни съобщения (15 държави), телефонни обаждания (12 държави) и други методи (15 държави). Компетентните органи са повишили осведомеността на операторите (13 държави), търговците (9 държави), отрасловите организации (7 държави) и широката общественост (6 държави). При отговарянето във връзка с изразена загриженост, жалби и молби за обжалване, които бяха получени главно от НПО (9 държави), оператори (8 държави) и търговци (6 държави), електронната поща беше най-често използваният метод на комуникация (16 държави).</w:t>
      </w:r>
    </w:p>
    <w:p>
      <w:pPr>
        <w:pStyle w:val="ListParagraph"/>
        <w:keepNext/>
        <w:numPr>
          <w:ilvl w:val="0"/>
          <w:numId w:val="1"/>
        </w:numPr>
        <w:spacing w:line="270" w:lineRule="atLeast"/>
        <w:ind w:left="357" w:hanging="357"/>
        <w:jc w:val="both"/>
        <w:rPr>
          <w:rFonts w:ascii="Times New Roman" w:hAnsi="Times New Roman"/>
          <w:b/>
          <w:noProof/>
          <w:sz w:val="24"/>
          <w:szCs w:val="24"/>
        </w:rPr>
      </w:pPr>
      <w:r>
        <w:rPr>
          <w:rFonts w:ascii="Times New Roman" w:hAnsi="Times New Roman"/>
          <w:b/>
          <w:noProof/>
          <w:sz w:val="24"/>
        </w:rPr>
        <w:t>Заключения</w:t>
      </w:r>
    </w:p>
    <w:p>
      <w:pPr>
        <w:spacing w:after="0" w:line="270" w:lineRule="atLeast"/>
        <w:ind w:right="-45"/>
        <w:jc w:val="both"/>
        <w:rPr>
          <w:rFonts w:ascii="Times New Roman" w:hAnsi="Times New Roman"/>
          <w:noProof/>
          <w:sz w:val="24"/>
          <w:szCs w:val="24"/>
        </w:rPr>
      </w:pPr>
      <w:r>
        <w:rPr>
          <w:rFonts w:ascii="Times New Roman" w:hAnsi="Times New Roman"/>
          <w:noProof/>
          <w:sz w:val="24"/>
        </w:rPr>
        <w:t>Настоящият втори доклад относно изпълнението на РЕСДМ показва стабилен напредък четири години след началото на неговото прилагане. Почти всички държави спазват формалните изисквания на РЕСДМ</w:t>
      </w:r>
      <w:r>
        <w:rPr>
          <w:rFonts w:ascii="Times New Roman" w:hAnsi="Times New Roman"/>
          <w:noProof/>
          <w:sz w:val="24"/>
          <w:vertAlign w:val="superscript"/>
        </w:rPr>
        <w:footnoteReference w:id="23"/>
      </w:r>
      <w:r>
        <w:rPr>
          <w:rFonts w:ascii="Times New Roman" w:hAnsi="Times New Roman"/>
          <w:noProof/>
          <w:sz w:val="24"/>
        </w:rPr>
        <w:t>. През периода на докладване броят на извършените проверки и санкциите, наложени за нарушения на РЕСДМ, значително нарасна.</w:t>
      </w:r>
    </w:p>
    <w:p>
      <w:pPr>
        <w:spacing w:after="0"/>
        <w:ind w:right="-46"/>
        <w:jc w:val="both"/>
        <w:rPr>
          <w:rFonts w:ascii="Times New Roman" w:hAnsi="Times New Roman"/>
          <w:noProof/>
          <w:sz w:val="24"/>
          <w:szCs w:val="24"/>
        </w:rPr>
      </w:pPr>
    </w:p>
    <w:p>
      <w:pPr>
        <w:spacing w:line="270" w:lineRule="atLeast"/>
        <w:ind w:right="-45"/>
        <w:jc w:val="both"/>
        <w:rPr>
          <w:rFonts w:ascii="Times New Roman" w:hAnsi="Times New Roman"/>
          <w:noProof/>
          <w:sz w:val="24"/>
          <w:szCs w:val="24"/>
        </w:rPr>
      </w:pPr>
      <w:r>
        <w:rPr>
          <w:rFonts w:ascii="Times New Roman" w:hAnsi="Times New Roman"/>
          <w:noProof/>
          <w:sz w:val="24"/>
        </w:rPr>
        <w:t>Въпреки очевидния напредък са необходими непрекъснати усилия, за да се осигури еднакво и ефективно прилагане на РЕСДМ в различните държави. Неравномерното прилагане може да има потенциални последици както по отношение на ефективността на законодателството, така и по отношение на еднаквите условия на конкуренция за операторите на пазара. В няколко държави броят на проверките остава относително нисък в сравнение с броя на операторите и може би е доста под нивото, необходимо за постигането на действително разубеждаващ ефект в целия отрасъл. Освен това следва да се положат допълнителни усилия, за да се гарантира, че обхватът и качеството на извършените проверки отразяват един по-последователен подход в целия ЕС. През 2017 г. Комисията изпрати официално уведомително писмо до Белгия във връзка с количеството и качеството на проверките, извършвани от нейните компетентни органи, и съответно мотивирано становище до Словакия относно правилата за санкциите, приложими при нарушения на разпоредбите на РЕСДМ относно внесения дървен материал. Освен това Комисията провежда двустранни диалози с редица държави членки относно изпълнението на РЕСДМ.</w:t>
      </w:r>
    </w:p>
    <w:p>
      <w:pPr>
        <w:spacing w:line="270" w:lineRule="atLeast"/>
        <w:ind w:right="-45"/>
        <w:jc w:val="both"/>
        <w:rPr>
          <w:noProof/>
          <w:sz w:val="16"/>
          <w:szCs w:val="16"/>
        </w:rPr>
      </w:pPr>
      <w:r>
        <w:rPr>
          <w:rFonts w:ascii="Times New Roman" w:hAnsi="Times New Roman"/>
          <w:noProof/>
          <w:sz w:val="24"/>
        </w:rPr>
        <w:t>Въпреки че в някои държави е постигнат напредък, настоящото равнище на технически капацитет и ресурси (човешки и финансови), предвидено за компетентните органи, невинаги съответства на нуждите и трябва да бъде укрепено в повечето държави членки, за да се увеличи броят и качеството на проверките за съответствие.</w:t>
      </w:r>
    </w:p>
    <w:p>
      <w:pPr>
        <w:spacing w:line="270" w:lineRule="atLeast"/>
        <w:jc w:val="both"/>
        <w:rPr>
          <w:rFonts w:ascii="Times New Roman" w:hAnsi="Times New Roman"/>
          <w:noProof/>
          <w:sz w:val="24"/>
          <w:szCs w:val="24"/>
        </w:rPr>
      </w:pPr>
      <w:r>
        <w:rPr>
          <w:rFonts w:ascii="Times New Roman" w:hAnsi="Times New Roman"/>
          <w:noProof/>
          <w:sz w:val="24"/>
        </w:rPr>
        <w:t>Основаните на опита на държавите членки доказателства за това как СДП допринасят за изпълнението на РЕСДМ, все още са ограничени, по-специално като се има предвид, че само една държава партньорка по СДП — Индонезия, понастоящем издава разрешителни FLEGT. Независимо от това съгласно оценката на плана за действие за FLEGT СДП са допринесли — до известна степен — за изпълнението на РЕСДМ чрез подобряване на управлението.</w:t>
      </w:r>
    </w:p>
    <w:p>
      <w:pPr>
        <w:spacing w:line="270" w:lineRule="atLeast"/>
        <w:jc w:val="both"/>
        <w:rPr>
          <w:rFonts w:ascii="Times New Roman" w:hAnsi="Times New Roman"/>
          <w:b/>
          <w:noProof/>
          <w:sz w:val="24"/>
          <w:szCs w:val="24"/>
        </w:rPr>
      </w:pPr>
      <w:r>
        <w:rPr>
          <w:rFonts w:ascii="Times New Roman" w:hAnsi="Times New Roman"/>
          <w:b/>
          <w:noProof/>
          <w:sz w:val="24"/>
        </w:rPr>
        <w:t>8. Следващи стъпки</w:t>
      </w:r>
    </w:p>
    <w:p>
      <w:pPr>
        <w:spacing w:line="270" w:lineRule="atLeast"/>
        <w:ind w:right="-45"/>
        <w:jc w:val="both"/>
        <w:rPr>
          <w:rFonts w:ascii="Times New Roman" w:hAnsi="Times New Roman"/>
          <w:noProof/>
          <w:sz w:val="24"/>
          <w:szCs w:val="24"/>
        </w:rPr>
      </w:pPr>
      <w:r>
        <w:rPr>
          <w:rFonts w:ascii="Times New Roman" w:hAnsi="Times New Roman"/>
          <w:noProof/>
          <w:sz w:val="24"/>
        </w:rPr>
        <w:t>Комисията ще продължи сътрудничеството си с държавите членки за допълване на насоките за РЕСДМ, когато е необходимо, с цел постигане на еднакво прилагане на РЕСДМ и улесняване на изпълнението му от страна на операторите.</w:t>
      </w:r>
    </w:p>
    <w:p>
      <w:pPr>
        <w:spacing w:line="270" w:lineRule="atLeast"/>
        <w:ind w:right="-45"/>
        <w:jc w:val="both"/>
        <w:rPr>
          <w:rFonts w:ascii="Times New Roman" w:eastAsia="Times New Roman" w:hAnsi="Times New Roman"/>
          <w:noProof/>
          <w:sz w:val="24"/>
          <w:szCs w:val="20"/>
        </w:rPr>
      </w:pPr>
      <w:r>
        <w:rPr>
          <w:rFonts w:ascii="Times New Roman" w:hAnsi="Times New Roman"/>
          <w:noProof/>
          <w:sz w:val="24"/>
        </w:rPr>
        <w:t>Комисията ще продължи да улеснява комуникацията и да подпомага сближаването на подходите в правоприлагането между компетентните органи на срещите на експертните групи и чрез платформата за комуникация на компетентните органи. Това включва изготвянето и анализа на информация за случаи, които може да изискват специално внимание от страна на компетентните органи, въз основа на публично достъпна информация и конкретни доклади както в ЕС, така и в държави извън ЕС. Новият инструмент „Партньорски преглед на изпълнението на политиките в областта на околната среда“</w:t>
      </w:r>
      <w:r>
        <w:rPr>
          <w:rStyle w:val="FootnoteReference"/>
          <w:rFonts w:ascii="Times New Roman" w:hAnsi="Times New Roman"/>
          <w:noProof/>
          <w:sz w:val="24"/>
        </w:rPr>
        <w:footnoteReference w:id="24"/>
      </w:r>
      <w:r>
        <w:rPr>
          <w:rFonts w:ascii="Times New Roman" w:hAnsi="Times New Roman"/>
          <w:noProof/>
          <w:sz w:val="24"/>
        </w:rPr>
        <w:t xml:space="preserve"> по Програмата за техническа помощ и обмен на информация (TAIEX), на който беше даден ход от Комисията, ще осигури допълнителна възможност за подкрепа на държавите членки при обмена на опит и извлечени поуки</w:t>
      </w:r>
      <w:r>
        <w:rPr>
          <w:rStyle w:val="FootnoteReference"/>
          <w:rFonts w:ascii="Times New Roman" w:hAnsi="Times New Roman"/>
          <w:noProof/>
          <w:sz w:val="24"/>
        </w:rPr>
        <w:footnoteReference w:id="25"/>
      </w:r>
      <w:r>
        <w:rPr>
          <w:rFonts w:ascii="Times New Roman" w:hAnsi="Times New Roman"/>
          <w:noProof/>
          <w:sz w:val="24"/>
        </w:rPr>
        <w:t>.</w:t>
      </w:r>
    </w:p>
    <w:p>
      <w:pPr>
        <w:spacing w:line="270" w:lineRule="atLeast"/>
        <w:ind w:right="-45"/>
        <w:jc w:val="both"/>
        <w:rPr>
          <w:rFonts w:ascii="Times New Roman" w:eastAsia="Times New Roman" w:hAnsi="Times New Roman"/>
          <w:noProof/>
          <w:sz w:val="24"/>
          <w:szCs w:val="20"/>
        </w:rPr>
      </w:pPr>
      <w:r>
        <w:rPr>
          <w:rFonts w:ascii="Times New Roman" w:hAnsi="Times New Roman"/>
          <w:noProof/>
          <w:sz w:val="24"/>
        </w:rPr>
        <w:t>Комисията ще продължи да проучва допълнителни средства за подобряване на изпълнението на РЕСДМ в сътрудничество с държавите членки и съответните заинтересовани страни.</w:t>
      </w:r>
    </w:p>
    <w:p>
      <w:pPr>
        <w:spacing w:line="270" w:lineRule="atLeast"/>
        <w:ind w:right="-45"/>
        <w:jc w:val="both"/>
        <w:rPr>
          <w:rFonts w:ascii="Times New Roman" w:eastAsia="Times New Roman" w:hAnsi="Times New Roman"/>
          <w:noProof/>
          <w:sz w:val="24"/>
          <w:szCs w:val="20"/>
        </w:rPr>
      </w:pPr>
      <w:r>
        <w:rPr>
          <w:rFonts w:ascii="Times New Roman" w:hAnsi="Times New Roman"/>
          <w:noProof/>
          <w:sz w:val="24"/>
        </w:rPr>
        <w:t>Освен това се извършва анализ на търговията, за да се оценят тенденциите и моделите и да се идентифицират видовете, изделията и търговските пътища, на които компетентните органи следва да обръщат внимание. Също така се подготвя анализ на законодателството на държавите членки за изпълнение на РЕСДМ и Регламента за FLEGT, за да се определят най-добри практики и възможни области за подобрение. Комисията ще даде ход и на проучване относно прилагането на задълженията по РЕСДМ от операторите, представляващи различни сегменти на отрасъла. Целта на това проучване е да се набележат най-добри практики, предизвикателства и пропуски, като се вземат предвид свързаните с качеството и разходоефективните практики при прилагането на системите за надлежна проверка, както и да се осигури анализ на административните разходи и други последици за отрасъла, по-специално МСП, от спазването на РЕСДМ.</w:t>
      </w:r>
    </w:p>
    <w:p>
      <w:pPr>
        <w:spacing w:line="270" w:lineRule="atLeast"/>
        <w:ind w:right="-45"/>
        <w:jc w:val="both"/>
        <w:rPr>
          <w:rFonts w:ascii="Times New Roman" w:eastAsia="Times New Roman" w:hAnsi="Times New Roman"/>
          <w:noProof/>
          <w:sz w:val="24"/>
          <w:szCs w:val="20"/>
        </w:rPr>
      </w:pPr>
      <w:r>
        <w:rPr>
          <w:rFonts w:ascii="Times New Roman" w:hAnsi="Times New Roman"/>
          <w:noProof/>
          <w:sz w:val="24"/>
        </w:rPr>
        <w:t>По отношение на СДП е налице възможност за засилване на полезните взаимодействия с РЕСДМ, като се гарантира, че прилагането на СДП в държави, които все още не разполагат с функционираща схема на разрешителни FLEGT, води до по-леснодостъпна информация, която е от значение за изпълнението на РЕСДМ.</w:t>
      </w:r>
    </w:p>
    <w:p>
      <w:pPr>
        <w:spacing w:line="270" w:lineRule="atLeast"/>
        <w:ind w:right="-45"/>
        <w:jc w:val="both"/>
        <w:rPr>
          <w:rFonts w:ascii="Times New Roman" w:eastAsia="Times New Roman" w:hAnsi="Times New Roman"/>
          <w:noProof/>
          <w:sz w:val="24"/>
          <w:szCs w:val="20"/>
        </w:rPr>
      </w:pPr>
      <w:r>
        <w:rPr>
          <w:rFonts w:ascii="Times New Roman" w:hAnsi="Times New Roman"/>
          <w:noProof/>
          <w:sz w:val="24"/>
        </w:rPr>
        <w:t>Настоящото второ докладване позволи да се определят допълнителни области, в които форматът на докладване може да се подобри. Следователно форматът на докладване за 2019 г. може да бъде преразгледан, за да се подобри допълнително съпоставимостта на данните, по-специално във връзка с членове 10, 12 и 19. За следващия цикъл на докладване Комисията ще обмисли създаването на електронна платформа за докладване, която да подобри ефикасността и да улесни работата на държавите членки.</w:t>
      </w:r>
    </w:p>
    <w:p>
      <w:pPr>
        <w:spacing w:after="0" w:line="240" w:lineRule="auto"/>
        <w:rPr>
          <w:rFonts w:ascii="Times New Roman" w:hAnsi="Times New Roman"/>
          <w:b/>
          <w:noProof/>
          <w:sz w:val="20"/>
          <w:szCs w:val="20"/>
        </w:rPr>
      </w:pPr>
      <w:r>
        <w:rPr>
          <w:noProof/>
        </w:rPr>
        <w:br w:type="page"/>
      </w:r>
    </w:p>
    <w:p>
      <w:pPr>
        <w:spacing w:line="240" w:lineRule="auto"/>
        <w:jc w:val="right"/>
        <w:rPr>
          <w:rFonts w:ascii="Times New Roman" w:hAnsi="Times New Roman"/>
          <w:b/>
          <w:noProof/>
          <w:sz w:val="20"/>
          <w:szCs w:val="20"/>
        </w:rPr>
      </w:pPr>
      <w:r>
        <w:rPr>
          <w:rFonts w:ascii="Times New Roman" w:hAnsi="Times New Roman"/>
          <w:b/>
          <w:noProof/>
          <w:sz w:val="20"/>
        </w:rPr>
        <w:t>ПРИЛОЖЕНИЕ А</w:t>
      </w:r>
    </w:p>
    <w:p>
      <w:pPr>
        <w:spacing w:line="240" w:lineRule="auto"/>
        <w:jc w:val="both"/>
        <w:rPr>
          <w:rFonts w:ascii="Times New Roman" w:hAnsi="Times New Roman"/>
          <w:b/>
          <w:noProof/>
          <w:sz w:val="18"/>
          <w:szCs w:val="20"/>
        </w:rPr>
      </w:pPr>
      <w:r>
        <w:rPr>
          <w:rFonts w:ascii="Times New Roman" w:hAnsi="Times New Roman"/>
          <w:b/>
          <w:noProof/>
          <w:sz w:val="18"/>
        </w:rPr>
        <w:t>Брой различни видове проверки, планирани и извършени по държави (те могат да включват индивидуални проверки или брой проверени оператори). (Ключ: Пл.: планирани проверки, Пров.: проведени проверки, Наст.: настолен преглед, Док.: документален преглед на място, Изд.: проверка на изделията на място, Комб.: документален преглед и проверка на изделията на място).</w:t>
      </w:r>
    </w:p>
    <w:tbl>
      <w:tblPr>
        <w:tblW w:w="0" w:type="auto"/>
        <w:tblBorders>
          <w:top w:val="single" w:sz="4" w:space="0" w:color="999E34"/>
          <w:bottom w:val="single" w:sz="4" w:space="0" w:color="999E34"/>
          <w:insideH w:val="single" w:sz="4" w:space="0" w:color="999E34"/>
        </w:tblBorders>
        <w:tblLayout w:type="fixed"/>
        <w:tblCellMar>
          <w:left w:w="0" w:type="dxa"/>
          <w:right w:w="0" w:type="dxa"/>
        </w:tblCellMar>
        <w:tblLook w:val="04A0" w:firstRow="1" w:lastRow="0" w:firstColumn="1" w:lastColumn="0" w:noHBand="0" w:noVBand="1"/>
      </w:tblPr>
      <w:tblGrid>
        <w:gridCol w:w="1287"/>
        <w:gridCol w:w="722"/>
        <w:gridCol w:w="490"/>
        <w:gridCol w:w="621"/>
        <w:gridCol w:w="621"/>
        <w:gridCol w:w="621"/>
        <w:gridCol w:w="621"/>
        <w:gridCol w:w="621"/>
        <w:gridCol w:w="621"/>
        <w:gridCol w:w="621"/>
        <w:gridCol w:w="709"/>
        <w:gridCol w:w="824"/>
        <w:gridCol w:w="706"/>
      </w:tblGrid>
      <w:tr>
        <w:trPr>
          <w:trHeight w:val="20"/>
          <w:tblHeader/>
        </w:trPr>
        <w:tc>
          <w:tcPr>
            <w:tcW w:w="1287"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rPr>
                <w:rFonts w:ascii="Times New Roman" w:eastAsia="Times New Roman" w:hAnsi="Times New Roman"/>
                <w:bCs/>
                <w:noProof/>
                <w:color w:val="FFFFFF" w:themeColor="background1"/>
                <w:sz w:val="16"/>
                <w:szCs w:val="16"/>
              </w:rPr>
            </w:pPr>
            <w:r>
              <w:rPr>
                <w:rFonts w:ascii="Times New Roman" w:hAnsi="Times New Roman"/>
                <w:noProof/>
                <w:color w:val="FFFFFF" w:themeColor="background1"/>
                <w:sz w:val="16"/>
              </w:rPr>
              <w:t>Държава</w:t>
            </w:r>
          </w:p>
        </w:tc>
        <w:tc>
          <w:tcPr>
            <w:tcW w:w="722" w:type="dxa"/>
            <w:tcBorders>
              <w:bottom w:val="single" w:sz="2" w:space="0" w:color="999E34"/>
            </w:tcBorders>
            <w:shd w:val="clear" w:color="auto" w:fill="999E34"/>
            <w:noWrap/>
            <w:tcMar>
              <w:top w:w="15" w:type="dxa"/>
              <w:left w:w="15" w:type="dxa"/>
              <w:bottom w:w="0" w:type="dxa"/>
              <w:right w:w="15" w:type="dxa"/>
            </w:tcMar>
            <w:vAlign w:val="bottom"/>
            <w:hideMark/>
          </w:tcPr>
          <w:p>
            <w:pPr>
              <w:spacing w:after="0" w:line="240" w:lineRule="auto"/>
              <w:rPr>
                <w:rFonts w:ascii="Times New Roman" w:hAnsi="Times New Roman"/>
                <w:bCs/>
                <w:noProof/>
                <w:color w:val="FFFFFF" w:themeColor="background1"/>
                <w:sz w:val="16"/>
                <w:szCs w:val="16"/>
              </w:rPr>
            </w:pPr>
            <w:r>
              <w:rPr>
                <w:rFonts w:ascii="Times New Roman" w:hAnsi="Times New Roman"/>
                <w:noProof/>
                <w:color w:val="FFFFFF" w:themeColor="background1"/>
                <w:sz w:val="16"/>
              </w:rPr>
              <w:t>Вид дървен материал</w:t>
            </w:r>
          </w:p>
        </w:tc>
        <w:tc>
          <w:tcPr>
            <w:tcW w:w="490"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Пл.</w:t>
            </w:r>
          </w:p>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Наст.</w:t>
            </w:r>
          </w:p>
        </w:tc>
        <w:tc>
          <w:tcPr>
            <w:tcW w:w="621"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Пров.</w:t>
            </w:r>
          </w:p>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Наст.</w:t>
            </w:r>
          </w:p>
        </w:tc>
        <w:tc>
          <w:tcPr>
            <w:tcW w:w="621"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Пл.</w:t>
            </w:r>
          </w:p>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Док.</w:t>
            </w:r>
          </w:p>
        </w:tc>
        <w:tc>
          <w:tcPr>
            <w:tcW w:w="621"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Пров.</w:t>
            </w:r>
          </w:p>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Док.</w:t>
            </w:r>
          </w:p>
        </w:tc>
        <w:tc>
          <w:tcPr>
            <w:tcW w:w="621"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Пл.</w:t>
            </w:r>
          </w:p>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Изд.</w:t>
            </w:r>
          </w:p>
        </w:tc>
        <w:tc>
          <w:tcPr>
            <w:tcW w:w="621"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Пров.</w:t>
            </w:r>
          </w:p>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Изд.</w:t>
            </w:r>
          </w:p>
        </w:tc>
        <w:tc>
          <w:tcPr>
            <w:tcW w:w="621"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Пл.</w:t>
            </w:r>
          </w:p>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Комб.</w:t>
            </w:r>
          </w:p>
        </w:tc>
        <w:tc>
          <w:tcPr>
            <w:tcW w:w="621"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Пров.</w:t>
            </w:r>
          </w:p>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Комб.</w:t>
            </w:r>
          </w:p>
        </w:tc>
        <w:tc>
          <w:tcPr>
            <w:tcW w:w="709"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Общо планирани</w:t>
            </w:r>
          </w:p>
        </w:tc>
        <w:tc>
          <w:tcPr>
            <w:tcW w:w="824" w:type="dxa"/>
            <w:tcBorders>
              <w:bottom w:val="single" w:sz="2" w:space="0" w:color="999E34"/>
            </w:tcBorders>
            <w:shd w:val="clear" w:color="auto" w:fill="999E34"/>
            <w:tcMar>
              <w:top w:w="15" w:type="dxa"/>
              <w:left w:w="15" w:type="dxa"/>
              <w:bottom w:w="0" w:type="dxa"/>
              <w:right w:w="15" w:type="dxa"/>
            </w:tcMar>
            <w:vAlign w:val="bottom"/>
            <w:hideMark/>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Общо проведени</w:t>
            </w:r>
          </w:p>
        </w:tc>
        <w:tc>
          <w:tcPr>
            <w:tcW w:w="706" w:type="dxa"/>
            <w:tcBorders>
              <w:bottom w:val="single" w:sz="2" w:space="0" w:color="999E34"/>
            </w:tcBorders>
            <w:shd w:val="clear" w:color="auto" w:fill="999E34"/>
          </w:tcPr>
          <w:p>
            <w:pPr>
              <w:spacing w:after="0" w:line="240" w:lineRule="auto"/>
              <w:jc w:val="center"/>
              <w:rPr>
                <w:rFonts w:ascii="Times New Roman" w:hAnsi="Times New Roman"/>
                <w:bCs/>
                <w:noProof/>
                <w:color w:val="FFFFFF" w:themeColor="background1"/>
                <w:sz w:val="16"/>
                <w:szCs w:val="16"/>
              </w:rPr>
            </w:pPr>
            <w:r>
              <w:rPr>
                <w:rFonts w:ascii="Times New Roman" w:hAnsi="Times New Roman"/>
                <w:noProof/>
                <w:color w:val="FFFFFF" w:themeColor="background1"/>
                <w:sz w:val="16"/>
              </w:rPr>
              <w:t>Съотношение</w:t>
            </w:r>
          </w:p>
        </w:tc>
      </w:tr>
      <w:tr>
        <w:trPr>
          <w:trHeight w:val="20"/>
        </w:trPr>
        <w:tc>
          <w:tcPr>
            <w:tcW w:w="1287" w:type="dxa"/>
            <w:tcBorders>
              <w:top w:val="single" w:sz="2" w:space="0" w:color="999E34"/>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Австрия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133</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424</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141</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165</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979</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863</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88 %</w:t>
            </w:r>
          </w:p>
        </w:tc>
      </w:tr>
      <w:tr>
        <w:trPr>
          <w:trHeight w:val="20"/>
        </w:trPr>
        <w:tc>
          <w:tcPr>
            <w:tcW w:w="1287" w:type="dxa"/>
            <w:tcBorders>
              <w:top w:val="nil"/>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17</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28</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56 %</w:t>
            </w:r>
          </w:p>
        </w:tc>
      </w:tr>
      <w:tr>
        <w:trPr>
          <w:trHeight w:val="20"/>
        </w:trPr>
        <w:tc>
          <w:tcPr>
            <w:tcW w:w="1287" w:type="dxa"/>
            <w:tcBorders>
              <w:top w:val="single" w:sz="2" w:space="0" w:color="999E34"/>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Белгия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p>
        </w:tc>
      </w:tr>
      <w:tr>
        <w:trPr>
          <w:trHeight w:val="20"/>
        </w:trPr>
        <w:tc>
          <w:tcPr>
            <w:tcW w:w="1287" w:type="dxa"/>
            <w:tcBorders>
              <w:top w:val="nil"/>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19</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top w:val="single" w:sz="2" w:space="0" w:color="999E34"/>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България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141</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180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144</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355</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361</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610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725</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119 %</w:t>
            </w:r>
          </w:p>
        </w:tc>
      </w:tr>
      <w:tr>
        <w:trPr>
          <w:trHeight w:val="20"/>
        </w:trPr>
        <w:tc>
          <w:tcPr>
            <w:tcW w:w="1287" w:type="dxa"/>
            <w:tcBorders>
              <w:top w:val="nil"/>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32</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26</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48</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41</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85 %</w:t>
            </w:r>
          </w:p>
        </w:tc>
      </w:tr>
      <w:tr>
        <w:trPr>
          <w:trHeight w:val="20"/>
        </w:trPr>
        <w:tc>
          <w:tcPr>
            <w:tcW w:w="1287" w:type="dxa"/>
            <w:tcBorders>
              <w:top w:val="single" w:sz="2" w:space="0" w:color="999E34"/>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Хърватия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46</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46</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46</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920 %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Кипър</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62</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64</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124</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130</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105 %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44</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31</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92</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106</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115 %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Чешка република</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113</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119</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113</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119</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105 %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68</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68</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97 %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Дания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58</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24—40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58</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145 %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Естония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1135</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794</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1135</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794</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70 %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75 %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Финландия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32</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32</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107 %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Франция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320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171</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320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320</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Германия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190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190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118</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118</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309</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309</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Гърция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62</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26</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52</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149</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117</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237</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209</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88 %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78</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66</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86</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73</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85 %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Унгария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2000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3950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2 010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3965</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197 %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25</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25</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25</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25</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42 %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Ирландия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highlight w:val="yellow"/>
              </w:rPr>
            </w:pP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highlight w:val="yellow"/>
              </w:rPr>
            </w:pPr>
            <w:r>
              <w:rPr>
                <w:rFonts w:ascii="Times New Roman" w:hAnsi="Times New Roman"/>
                <w:noProof/>
                <w:color w:val="FFFFFF" w:themeColor="background1"/>
                <w:sz w:val="16"/>
              </w:rPr>
              <w:t>***</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318</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318</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358*</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highlight w:val="yellow"/>
              </w:rPr>
            </w:pPr>
            <w:r>
              <w:rPr>
                <w:rFonts w:ascii="Times New Roman" w:hAnsi="Times New Roman"/>
                <w:noProof/>
                <w:sz w:val="16"/>
              </w:rPr>
              <w:t>358*</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highlight w:val="yellow"/>
              </w:rPr>
            </w:pPr>
            <w:r>
              <w:rPr>
                <w:rFonts w:ascii="Times New Roman" w:hAnsi="Times New Roman"/>
                <w:noProof/>
                <w:color w:val="FFFFFF" w:themeColor="background1"/>
                <w:sz w:val="16"/>
              </w:rPr>
              <w:t>100 %*</w:t>
            </w:r>
          </w:p>
        </w:tc>
      </w:tr>
      <w:tr>
        <w:trPr>
          <w:trHeight w:val="20"/>
        </w:trPr>
        <w:tc>
          <w:tcPr>
            <w:tcW w:w="1287" w:type="dxa"/>
            <w:tcBorders>
              <w:bottom w:val="nil"/>
            </w:tcBorders>
            <w:shd w:val="clear" w:color="auto" w:fill="auto"/>
            <w:noWrap/>
            <w:tcMar>
              <w:top w:w="15" w:type="dxa"/>
              <w:left w:w="15" w:type="dxa"/>
              <w:bottom w:w="0" w:type="dxa"/>
              <w:right w:w="15" w:type="dxa"/>
            </w:tcMar>
            <w:vAlign w:val="bottom"/>
          </w:tcPr>
          <w:p>
            <w:pPr>
              <w:spacing w:after="0" w:line="240" w:lineRule="auto"/>
              <w:rPr>
                <w:rFonts w:ascii="Times New Roman" w:hAnsi="Times New Roman"/>
                <w:noProof/>
                <w:sz w:val="16"/>
                <w:szCs w:val="16"/>
              </w:rPr>
            </w:pPr>
            <w:r>
              <w:rPr>
                <w:rFonts w:ascii="Times New Roman" w:hAnsi="Times New Roman"/>
                <w:noProof/>
                <w:sz w:val="16"/>
              </w:rPr>
              <w:t>Италия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r>
              <w:rPr>
                <w:rFonts w:ascii="Times New Roman" w:hAnsi="Times New Roman"/>
                <w:noProof/>
                <w:sz w:val="16"/>
              </w:rPr>
              <w:t>53</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r>
              <w:rPr>
                <w:rFonts w:ascii="Times New Roman" w:hAnsi="Times New Roman"/>
                <w:noProof/>
                <w:sz w:val="16"/>
              </w:rPr>
              <w:t>53</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r>
              <w:rPr>
                <w:rFonts w:ascii="Times New Roman" w:hAnsi="Times New Roman"/>
                <w:noProof/>
                <w:sz w:val="16"/>
              </w:rPr>
              <w:t>53</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r>
              <w:rPr>
                <w:rFonts w:ascii="Times New Roman" w:hAnsi="Times New Roman"/>
                <w:noProof/>
                <w:sz w:val="16"/>
              </w:rPr>
              <w:t>53</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r>
              <w:rPr>
                <w:rFonts w:ascii="Times New Roman" w:hAnsi="Times New Roman"/>
                <w:noProof/>
                <w:sz w:val="16"/>
              </w:rPr>
              <w:t>107</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r>
              <w:rPr>
                <w:rFonts w:ascii="Times New Roman" w:hAnsi="Times New Roman"/>
                <w:noProof/>
                <w:sz w:val="16"/>
              </w:rPr>
              <w:t>107</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r>
              <w:rPr>
                <w:rFonts w:ascii="Times New Roman" w:hAnsi="Times New Roman"/>
                <w:noProof/>
                <w:sz w:val="16"/>
              </w:rPr>
              <w:t>107</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r>
              <w:rPr>
                <w:rFonts w:ascii="Times New Roman" w:hAnsi="Times New Roman"/>
                <w:noProof/>
                <w:sz w:val="16"/>
              </w:rPr>
              <w:t>107</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top w:val="single" w:sz="4" w:space="0" w:color="999E34"/>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Латвия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19</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24</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24</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Литва</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8</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8</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52</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7256</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7264</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12107 %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155</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227</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155</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227</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147 %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Люксембург</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13</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12</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13</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12</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92 %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17</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17</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17</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17</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bottom w:val="nil"/>
            </w:tcBorders>
            <w:shd w:val="clear" w:color="auto" w:fill="auto"/>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Малта</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p>
        </w:tc>
      </w:tr>
      <w:tr>
        <w:trPr>
          <w:trHeight w:val="20"/>
        </w:trPr>
        <w:tc>
          <w:tcPr>
            <w:tcW w:w="1287" w:type="dxa"/>
            <w:tcBorders>
              <w:top w:val="nil"/>
              <w:bottom w:val="single" w:sz="4" w:space="0" w:color="999E34"/>
            </w:tcBorders>
            <w:shd w:val="clear" w:color="auto" w:fill="auto"/>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Нидерландия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62</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74**</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74 %</w:t>
            </w:r>
          </w:p>
        </w:tc>
      </w:tr>
      <w:tr>
        <w:trPr>
          <w:trHeight w:val="20"/>
        </w:trPr>
        <w:tc>
          <w:tcPr>
            <w:tcW w:w="1287" w:type="dxa"/>
            <w:tcBorders>
              <w:bottom w:val="nil"/>
            </w:tcBorders>
            <w:shd w:val="clear" w:color="auto" w:fill="auto"/>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Норвегия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24</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24</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30</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125 %</w:t>
            </w:r>
          </w:p>
        </w:tc>
      </w:tr>
      <w:tr>
        <w:trPr>
          <w:trHeight w:val="20"/>
        </w:trPr>
        <w:tc>
          <w:tcPr>
            <w:tcW w:w="1287" w:type="dxa"/>
            <w:tcBorders>
              <w:top w:val="nil"/>
              <w:bottom w:val="single" w:sz="4" w:space="0" w:color="999E34"/>
            </w:tcBorders>
            <w:shd w:val="clear" w:color="auto" w:fill="auto"/>
            <w:tcMar>
              <w:top w:w="15" w:type="dxa"/>
              <w:left w:w="15" w:type="dxa"/>
              <w:bottom w:w="0" w:type="dxa"/>
              <w:right w:w="15" w:type="dxa"/>
            </w:tcMar>
            <w:vAlign w:val="bottom"/>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23</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230 %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Полша</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25</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25</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45</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45</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49</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49</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13</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13</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73</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73</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Португалия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vMerge w:val="restart"/>
            <w:tcBorders>
              <w:top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77****</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152</w:t>
            </w:r>
          </w:p>
        </w:tc>
        <w:tc>
          <w:tcPr>
            <w:tcW w:w="709" w:type="dxa"/>
            <w:vMerge w:val="restart"/>
            <w:tcBorders>
              <w:top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77****</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152</w:t>
            </w:r>
          </w:p>
        </w:tc>
        <w:tc>
          <w:tcPr>
            <w:tcW w:w="706" w:type="dxa"/>
            <w:vMerge w:val="restart"/>
            <w:tcBorders>
              <w:top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413 %****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vMerge/>
            <w:tcBorders>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166</w:t>
            </w:r>
          </w:p>
        </w:tc>
        <w:tc>
          <w:tcPr>
            <w:tcW w:w="709" w:type="dxa"/>
            <w:vMerge/>
            <w:tcBorders>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166</w:t>
            </w:r>
          </w:p>
        </w:tc>
        <w:tc>
          <w:tcPr>
            <w:tcW w:w="706" w:type="dxa"/>
            <w:vMerge/>
            <w:tcBorders>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Румъния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1593</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599</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104</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1133</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230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866;118</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402</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3759</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1492</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40 %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24</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19</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12</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31</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45</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126</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79</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63 %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Словакия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1200</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1328</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1200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1328</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111 %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Словения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356</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38</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20</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400</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424</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106 %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26</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29</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26</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29</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112 %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Испания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26</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38</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75</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65</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87 %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170</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47</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425</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217</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51 %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Швеция</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14</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top w:val="nil"/>
              <w:bottom w:val="single" w:sz="4"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9</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66</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62</w:t>
            </w: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71</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71</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r>
        <w:trPr>
          <w:trHeight w:val="20"/>
        </w:trPr>
        <w:tc>
          <w:tcPr>
            <w:tcW w:w="1287" w:type="dxa"/>
            <w:tcBorders>
              <w:bottom w:val="nil"/>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Обединено кралство</w:t>
            </w: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местен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tcPr>
          <w:p>
            <w:pPr>
              <w:spacing w:after="0" w:line="240" w:lineRule="auto"/>
              <w:jc w:val="center"/>
              <w:rPr>
                <w:rFonts w:ascii="Times New Roman" w:hAnsi="Times New Roman"/>
                <w:noProof/>
                <w:sz w:val="16"/>
                <w:szCs w:val="16"/>
              </w:rPr>
            </w:pP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p>
        </w:tc>
      </w:tr>
      <w:tr>
        <w:trPr>
          <w:trHeight w:val="20"/>
        </w:trPr>
        <w:tc>
          <w:tcPr>
            <w:tcW w:w="1287" w:type="dxa"/>
            <w:tcBorders>
              <w:top w:val="nil"/>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p>
        </w:tc>
        <w:tc>
          <w:tcPr>
            <w:tcW w:w="722"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rPr>
                <w:rFonts w:ascii="Times New Roman" w:hAnsi="Times New Roman"/>
                <w:noProof/>
                <w:sz w:val="16"/>
                <w:szCs w:val="16"/>
              </w:rPr>
            </w:pPr>
            <w:r>
              <w:rPr>
                <w:rFonts w:ascii="Times New Roman" w:hAnsi="Times New Roman"/>
                <w:noProof/>
                <w:sz w:val="16"/>
              </w:rPr>
              <w:t>внесен</w:t>
            </w:r>
          </w:p>
        </w:tc>
        <w:tc>
          <w:tcPr>
            <w:tcW w:w="490"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55</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p>
        </w:tc>
        <w:tc>
          <w:tcPr>
            <w:tcW w:w="621"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184</w:t>
            </w:r>
          </w:p>
        </w:tc>
        <w:tc>
          <w:tcPr>
            <w:tcW w:w="621"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184</w:t>
            </w:r>
          </w:p>
        </w:tc>
        <w:tc>
          <w:tcPr>
            <w:tcW w:w="709" w:type="dxa"/>
            <w:tcBorders>
              <w:top w:val="single" w:sz="2" w:space="0" w:color="999E34"/>
              <w:bottom w:val="single" w:sz="2" w:space="0" w:color="999E34"/>
            </w:tcBorders>
            <w:shd w:val="clear" w:color="auto" w:fill="auto"/>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184</w:t>
            </w:r>
          </w:p>
        </w:tc>
        <w:tc>
          <w:tcPr>
            <w:tcW w:w="824" w:type="dxa"/>
            <w:tcBorders>
              <w:top w:val="single" w:sz="2" w:space="0" w:color="999E34"/>
              <w:bottom w:val="single" w:sz="2" w:space="0" w:color="999E34"/>
            </w:tcBorders>
            <w:shd w:val="clear" w:color="auto" w:fill="C2C755"/>
            <w:noWrap/>
            <w:tcMar>
              <w:top w:w="15" w:type="dxa"/>
              <w:left w:w="15" w:type="dxa"/>
              <w:bottom w:w="0" w:type="dxa"/>
              <w:right w:w="15" w:type="dxa"/>
            </w:tcMar>
            <w:vAlign w:val="bottom"/>
            <w:hideMark/>
          </w:tcPr>
          <w:p>
            <w:pPr>
              <w:spacing w:after="0" w:line="240" w:lineRule="auto"/>
              <w:jc w:val="center"/>
              <w:rPr>
                <w:rFonts w:ascii="Times New Roman" w:hAnsi="Times New Roman"/>
                <w:noProof/>
                <w:sz w:val="16"/>
                <w:szCs w:val="16"/>
              </w:rPr>
            </w:pPr>
            <w:r>
              <w:rPr>
                <w:rFonts w:ascii="Times New Roman" w:hAnsi="Times New Roman"/>
                <w:noProof/>
                <w:sz w:val="16"/>
              </w:rPr>
              <w:t>184</w:t>
            </w:r>
          </w:p>
        </w:tc>
        <w:tc>
          <w:tcPr>
            <w:tcW w:w="706" w:type="dxa"/>
            <w:tcBorders>
              <w:top w:val="single" w:sz="2" w:space="0" w:color="999E34"/>
              <w:bottom w:val="single" w:sz="2" w:space="0" w:color="999E34"/>
            </w:tcBorders>
            <w:shd w:val="clear" w:color="auto" w:fill="999E34"/>
            <w:vAlign w:val="bottom"/>
          </w:tcPr>
          <w:p>
            <w:pPr>
              <w:spacing w:after="0" w:line="240" w:lineRule="auto"/>
              <w:jc w:val="center"/>
              <w:rPr>
                <w:rFonts w:ascii="Times New Roman" w:hAnsi="Times New Roman"/>
                <w:noProof/>
                <w:color w:val="FFFFFF" w:themeColor="background1"/>
                <w:sz w:val="16"/>
                <w:szCs w:val="16"/>
              </w:rPr>
            </w:pPr>
            <w:r>
              <w:rPr>
                <w:rFonts w:ascii="Times New Roman" w:hAnsi="Times New Roman"/>
                <w:noProof/>
                <w:color w:val="FFFFFF" w:themeColor="background1"/>
                <w:sz w:val="16"/>
              </w:rPr>
              <w:t>100 %</w:t>
            </w:r>
          </w:p>
        </w:tc>
      </w:tr>
    </w:tbl>
    <w:p>
      <w:pPr>
        <w:spacing w:line="240" w:lineRule="auto"/>
        <w:rPr>
          <w:rFonts w:ascii="Times New Roman" w:hAnsi="Times New Roman"/>
          <w:noProof/>
          <w:sz w:val="24"/>
          <w:szCs w:val="24"/>
        </w:rPr>
      </w:pPr>
      <w:r>
        <w:rPr>
          <w:rFonts w:ascii="Times New Roman" w:hAnsi="Times New Roman"/>
          <w:noProof/>
          <w:sz w:val="16"/>
        </w:rPr>
        <w:t>*Поради предоставените ограничени подробности това е, което е изведено като заключение;   **Включва повторни проверки; *** Проверки, чието провеждане е потвърдено; ****Съчетава проверки на оператори, които търгуват с местен и/или внесен дървен материал</w:t>
      </w:r>
    </w:p>
    <w:sectPr>
      <w:headerReference w:type="even" r:id="rId38"/>
      <w:headerReference w:type="default" r:id="rId39"/>
      <w:footerReference w:type="even" r:id="rId40"/>
      <w:footerReference w:type="default" r:id="rId41"/>
      <w:headerReference w:type="first" r:id="rId42"/>
      <w:footerReference w:type="first" r:id="rId43"/>
      <w:pgSz w:w="11906" w:h="16838"/>
      <w:pgMar w:top="1418" w:right="1418" w:bottom="1418" w:left="1418"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617473"/>
      <w:docPartObj>
        <w:docPartGallery w:val="Page Numbers (Bottom of Page)"/>
        <w:docPartUnique/>
      </w:docPartObj>
    </w:sdtPr>
    <w:sdtEndPr>
      <w:rPr>
        <w:rFonts w:ascii="Times New Roman" w:hAnsi="Times New Roman"/>
        <w:sz w:val="24"/>
        <w:szCs w:val="24"/>
      </w:rPr>
    </w:sdtEndPr>
    <w:sdtContent>
      <w:p>
        <w:pPr>
          <w:pStyle w:val="Footer"/>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10</w:t>
        </w:r>
        <w:r>
          <w:rPr>
            <w:rFonts w:ascii="Times New Roman" w:hAnsi="Times New Roman"/>
            <w:sz w:val="24"/>
            <w:szCs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15</w:t>
    </w:r>
    <w:r>
      <w:rPr>
        <w:rFonts w:ascii="Times New Roman" w:hAnsi="Times New Roman"/>
        <w:sz w:val="24"/>
        <w:szCs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303208"/>
      <w:docPartObj>
        <w:docPartGallery w:val="Page Numbers (Bottom of Page)"/>
        <w:docPartUnique/>
      </w:docPartObj>
    </w:sdtPr>
    <w:sdtEndPr>
      <w:rPr>
        <w:rFonts w:ascii="Times New Roman" w:hAnsi="Times New Roman"/>
        <w:sz w:val="24"/>
        <w:szCs w:val="24"/>
      </w:rPr>
    </w:sdtEndPr>
    <w:sdtContent>
      <w:p>
        <w:pPr>
          <w:pStyle w:val="Footer"/>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6</w:t>
        </w:r>
        <w:r>
          <w:rPr>
            <w:rFonts w:ascii="Times New Roman" w:hAnsi="Times New Roman"/>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939262"/>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7</w:t>
        </w:r>
        <w: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tabs>
          <w:tab w:val="left" w:pos="284"/>
        </w:tabs>
        <w:ind w:left="284" w:hanging="284"/>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Дървен материал и изделия от дървен материал, класирани в комбинираната номенклатура, предвидена в приложение I към Регламент (ЕИО) № 2658/87 на Съвета, за които се прилага РЕСДМ.</w:t>
      </w:r>
    </w:p>
  </w:footnote>
  <w:footnote w:id="2">
    <w:p>
      <w:pPr>
        <w:pStyle w:val="FootnoteText"/>
        <w:tabs>
          <w:tab w:val="left" w:pos="284"/>
        </w:tabs>
        <w:ind w:left="284" w:hanging="284"/>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Евростат 2018 г., Изделия от дървен материал и</w:t>
      </w:r>
      <w:r>
        <w:t xml:space="preserve"> търговия с дървен материал по дейност (</w:t>
      </w:r>
      <w:r>
        <w:rPr>
          <w:rFonts w:ascii="Times New Roman" w:hAnsi="Times New Roman"/>
        </w:rPr>
        <w:t xml:space="preserve">NACE Rev 2) за производство (дървообработващи отрасли (производство на дървен материал и изделия от дървен материал (16)+производство на пулп, хартия и хартиени продукти (17)+печатна дейност (18.1)+производство на мебели (31) (тук се включват приблизителни оценки), </w:t>
      </w:r>
      <w:hyperlink r:id="rId1">
        <w:r>
          <w:rPr>
            <w:rStyle w:val="Hyperlink"/>
            <w:rFonts w:ascii="Times New Roman" w:hAnsi="Times New Roman"/>
          </w:rPr>
          <w:t>http://ec.europa.eu/eurostat/statistics-explained/index.php/Wood_products_-_production_and_trade</w:t>
        </w:r>
      </w:hyperlink>
    </w:p>
  </w:footnote>
  <w:footnote w:id="3">
    <w:p>
      <w:pPr>
        <w:pStyle w:val="FootnoteText"/>
        <w:tabs>
          <w:tab w:val="left" w:pos="284"/>
        </w:tabs>
      </w:pPr>
      <w:r>
        <w:rPr>
          <w:rStyle w:val="FootnoteReference"/>
        </w:rPr>
        <w:footnoteRef/>
      </w:r>
      <w:r>
        <w:t xml:space="preserve"> </w:t>
      </w:r>
      <w:r>
        <w:tab/>
      </w:r>
      <w:r>
        <w:rPr>
          <w:rFonts w:ascii="Times New Roman" w:hAnsi="Times New Roman"/>
        </w:rPr>
        <w:t>Надзорният орган на ЕАСТ не е получил доклади от Исландия и Лихтенщайн.</w:t>
      </w:r>
    </w:p>
  </w:footnote>
  <w:footnote w:id="4">
    <w:p>
      <w:pPr>
        <w:pStyle w:val="FootnoteText"/>
        <w:tabs>
          <w:tab w:val="left" w:pos="284"/>
        </w:tabs>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hyperlink r:id="rId2">
        <w:r>
          <w:rPr>
            <w:rStyle w:val="Hyperlink"/>
            <w:rFonts w:ascii="Times New Roman" w:hAnsi="Times New Roman"/>
          </w:rPr>
          <w:t>http://ec.europa.eu/environment/forests/flegt.htm</w:t>
        </w:r>
      </w:hyperlink>
    </w:p>
  </w:footnote>
  <w:footnote w:id="5">
    <w:p>
      <w:pPr>
        <w:pStyle w:val="FootnoteText"/>
        <w:tabs>
          <w:tab w:val="left" w:pos="284"/>
        </w:tabs>
      </w:pPr>
      <w:r>
        <w:rPr>
          <w:rStyle w:val="FootnoteReference"/>
        </w:rPr>
        <w:footnoteRef/>
      </w:r>
      <w:r>
        <w:t xml:space="preserve"> </w:t>
      </w:r>
      <w:r>
        <w:tab/>
      </w:r>
      <w:r>
        <w:rPr>
          <w:rFonts w:ascii="Times New Roman" w:hAnsi="Times New Roman"/>
        </w:rPr>
        <w:t>Съобщение на Комисията относно програма за пригодност и резултатност на регулаторната рамка (REFIT) — COM(2014) 368.</w:t>
      </w:r>
    </w:p>
  </w:footnote>
  <w:footnote w:id="6">
    <w:p>
      <w:pPr>
        <w:pStyle w:val="FootnoteText"/>
        <w:tabs>
          <w:tab w:val="left" w:pos="284"/>
        </w:tabs>
        <w:rPr>
          <w:rFonts w:ascii="Times New Roman" w:hAnsi="Times New Roman"/>
          <w:lang w:val="pt-PT"/>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COM(2016) 74 final.</w:t>
      </w:r>
    </w:p>
  </w:footnote>
  <w:footnote w:id="7">
    <w:p>
      <w:pPr>
        <w:pStyle w:val="FootnoteText"/>
        <w:tabs>
          <w:tab w:val="left" w:pos="284"/>
        </w:tabs>
        <w:rPr>
          <w:lang w:val="pt-PT"/>
        </w:rPr>
      </w:pPr>
      <w:r>
        <w:rPr>
          <w:rStyle w:val="FootnoteReference"/>
        </w:rPr>
        <w:footnoteRef/>
      </w:r>
      <w:r>
        <w:t xml:space="preserve"> </w:t>
      </w:r>
      <w:r>
        <w:tab/>
      </w:r>
      <w:r>
        <w:rPr>
          <w:rFonts w:ascii="Times New Roman" w:hAnsi="Times New Roman"/>
        </w:rPr>
        <w:t>http://ec.europa.eu/transparency/regexpert/index.cfm?do=groupDetail.groupDetail&amp;groupID=3282</w:t>
      </w:r>
    </w:p>
  </w:footnote>
  <w:footnote w:id="8">
    <w:p>
      <w:pPr>
        <w:tabs>
          <w:tab w:val="left" w:pos="284"/>
        </w:tabs>
        <w:spacing w:after="0" w:line="240" w:lineRule="auto"/>
        <w:jc w:val="both"/>
        <w:rPr>
          <w:rFonts w:ascii="Times New Roman" w:hAnsi="Times New Roman"/>
          <w:sz w:val="20"/>
          <w:szCs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 xml:space="preserve">Вж. </w:t>
      </w:r>
      <w:hyperlink r:id="rId3">
        <w:r>
          <w:rPr>
            <w:rStyle w:val="Hyperlink"/>
            <w:rFonts w:ascii="Times New Roman" w:hAnsi="Times New Roman"/>
            <w:color w:val="auto"/>
            <w:sz w:val="20"/>
          </w:rPr>
          <w:t>http://ec.europa.eu/environment/forests/pdf/list_competent_authorities_eutr.pdf</w:t>
        </w:r>
      </w:hyperlink>
    </w:p>
  </w:footnote>
  <w:footnote w:id="9">
    <w:p>
      <w:pPr>
        <w:pStyle w:val="FootnoteText"/>
        <w:tabs>
          <w:tab w:val="left" w:pos="284"/>
        </w:tabs>
        <w:ind w:left="284" w:hanging="284"/>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Когато информацията не е била включена в националния доклад, от националните органи е била поискана допълнителна информация.</w:t>
      </w:r>
    </w:p>
  </w:footnote>
  <w:footnote w:id="10">
    <w:p>
      <w:pPr>
        <w:pStyle w:val="FootnoteText"/>
        <w:tabs>
          <w:tab w:val="left" w:pos="284"/>
        </w:tabs>
        <w:ind w:left="284" w:hanging="284"/>
        <w:rPr>
          <w:rFonts w:ascii="Times New Roman" w:hAnsi="Times New Roman"/>
          <w:sz w:val="16"/>
          <w:szCs w:val="16"/>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Тази информация не беше включена в националния доклад, но беше предоставена в отговор на искане за допълнителна информация.</w:t>
      </w:r>
    </w:p>
  </w:footnote>
  <w:footnote w:id="11">
    <w:p>
      <w:pPr>
        <w:pStyle w:val="FootnoteText"/>
        <w:tabs>
          <w:tab w:val="left" w:pos="284"/>
        </w:tabs>
        <w:ind w:left="284" w:hanging="284"/>
        <w:rPr>
          <w:rFonts w:ascii="Times New Roman" w:hAnsi="Times New Roman"/>
        </w:rPr>
      </w:pPr>
      <w:r>
        <w:rPr>
          <w:rStyle w:val="FootnoteReference"/>
        </w:rPr>
        <w:footnoteRef/>
      </w:r>
      <w:r>
        <w:t xml:space="preserve"> </w:t>
      </w:r>
      <w:r>
        <w:tab/>
      </w:r>
      <w:r>
        <w:rPr>
          <w:rFonts w:ascii="Times New Roman" w:hAnsi="Times New Roman"/>
        </w:rPr>
        <w:t>Регламент (ЕО) № 2173/2005</w:t>
      </w:r>
      <w:r>
        <w:rPr>
          <w:rFonts w:ascii="Times New Roman" w:hAnsi="Times New Roman"/>
          <w:vertAlign w:val="superscript"/>
        </w:rPr>
        <w:footnoteRef/>
      </w:r>
      <w:r>
        <w:rPr>
          <w:rFonts w:ascii="Times New Roman" w:hAnsi="Times New Roman"/>
        </w:rPr>
        <w:t xml:space="preserve"> от 20 декември 2005 г. за установяването на схема на разрешителни FLEGT за вноса на дървесина в Европейската общност</w:t>
      </w:r>
    </w:p>
  </w:footnote>
  <w:footnote w:id="12">
    <w:p>
      <w:pPr>
        <w:pStyle w:val="FootnoteText"/>
        <w:tabs>
          <w:tab w:val="left" w:pos="284"/>
        </w:tabs>
        <w:ind w:left="284" w:hanging="284"/>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Регламент (ЕО) № 338/97 на Съвета </w:t>
      </w:r>
      <w:r>
        <w:rPr>
          <w:rStyle w:val="st1"/>
          <w:rFonts w:ascii="Times New Roman" w:hAnsi="Times New Roman"/>
          <w:color w:val="545454"/>
        </w:rPr>
        <w:t>от 9 декември 1996 г.</w:t>
      </w:r>
      <w:r>
        <w:rPr>
          <w:rFonts w:ascii="Times New Roman" w:hAnsi="Times New Roman"/>
        </w:rPr>
        <w:t xml:space="preserve"> относно защитата на видовете от дивата флора и фауна чрез регулиране на търговията с тях</w:t>
      </w:r>
    </w:p>
  </w:footnote>
  <w:footnote w:id="13">
    <w:p>
      <w:pPr>
        <w:pStyle w:val="FootnoteText"/>
        <w:tabs>
          <w:tab w:val="left" w:pos="284"/>
        </w:tabs>
        <w:ind w:left="284" w:hanging="284"/>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Всяка съответна информация за неспазване на РЕСДМ — и подкрепена с доказателства — която е сведена до знанието на компетентен орган.</w:t>
      </w:r>
    </w:p>
  </w:footnote>
  <w:footnote w:id="14">
    <w:p>
      <w:pPr>
        <w:pStyle w:val="FootnoteText"/>
        <w:tabs>
          <w:tab w:val="left" w:pos="284"/>
        </w:tabs>
        <w:ind w:left="284" w:hanging="284"/>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През октомври 2017 г. Комисията изпрати официално уведомително писмо до Белгия, в което от държавата се иска да спазва правилата на РЕСДМ: http://europa.eu/rapid/press-release_MEMO-17-3494_bg.htm</w:t>
      </w:r>
    </w:p>
  </w:footnote>
  <w:footnote w:id="15">
    <w:p>
      <w:pPr>
        <w:pStyle w:val="FootnoteText"/>
        <w:rPr>
          <w:rFonts w:ascii="Times New Roman" w:hAnsi="Times New Roman"/>
          <w:sz w:val="16"/>
          <w:szCs w:val="16"/>
        </w:rPr>
      </w:pPr>
      <w:r>
        <w:rPr>
          <w:rStyle w:val="FootnoteReference"/>
          <w:rFonts w:ascii="Times New Roman" w:hAnsi="Times New Roman"/>
        </w:rPr>
        <w:footnoteRef/>
      </w:r>
      <w:r>
        <w:rPr>
          <w:rFonts w:ascii="Times New Roman" w:hAnsi="Times New Roman"/>
        </w:rPr>
        <w:t xml:space="preserve"> Преди началото на издаването на разрешителни FLEGT</w:t>
      </w:r>
    </w:p>
  </w:footnote>
  <w:footnote w:id="16">
    <w:p>
      <w:pPr>
        <w:pStyle w:val="FootnoteText"/>
        <w:tabs>
          <w:tab w:val="left" w:pos="284"/>
        </w:tabs>
        <w:rPr>
          <w:rFonts w:ascii="Times New Roman" w:hAnsi="Times New Roman"/>
        </w:rPr>
      </w:pPr>
      <w:r>
        <w:rPr>
          <w:rStyle w:val="FootnoteReference"/>
          <w:rFonts w:ascii="Times New Roman" w:hAnsi="Times New Roman"/>
        </w:rPr>
        <w:footnoteRef/>
      </w:r>
      <w:r>
        <w:tab/>
      </w:r>
      <w:r>
        <w:rPr>
          <w:rFonts w:ascii="Times New Roman" w:hAnsi="Times New Roman"/>
        </w:rPr>
        <w:t>ОВ L 177, 7.7.2012 г., стр. 16.</w:t>
      </w:r>
    </w:p>
  </w:footnote>
  <w:footnote w:id="17">
    <w:p>
      <w:pPr>
        <w:pStyle w:val="FootnoteText"/>
        <w:tabs>
          <w:tab w:val="left" w:pos="284"/>
        </w:tabs>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Организациите за мониторинг са субекти (публични или частни), признати от Комисията — ако заявителите изпълняват изискванията, посочени в член 8, параграф 2 от РЕСДМ — и отговарят за осигуряването на системи за надлежна проверка за операторите и за проверка на правилното им използване от страна на операторите.</w:t>
      </w:r>
    </w:p>
  </w:footnote>
  <w:footnote w:id="18">
    <w:p>
      <w:pPr>
        <w:pStyle w:val="FootnoteText"/>
        <w:tabs>
          <w:tab w:val="left" w:pos="284"/>
        </w:tabs>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http://ec.europa.eu/environment/forests/pdf/List_of_recognised_MOs.pdf</w:t>
      </w:r>
    </w:p>
  </w:footnote>
  <w:footnote w:id="19">
    <w:p>
      <w:pPr>
        <w:pStyle w:val="FootnoteText"/>
        <w:tabs>
          <w:tab w:val="left" w:pos="284"/>
        </w:tabs>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Считано от 1 юли 2015 г., ICILA S.R.L. стана CSI S.p.A.</w:t>
      </w:r>
    </w:p>
  </w:footnote>
  <w:footnote w:id="20">
    <w:p>
      <w:pPr>
        <w:pStyle w:val="FootnoteText"/>
        <w:tabs>
          <w:tab w:val="left" w:pos="284"/>
        </w:tabs>
      </w:pPr>
      <w:r>
        <w:rPr>
          <w:rStyle w:val="FootnoteReference"/>
        </w:rPr>
        <w:footnoteRef/>
      </w:r>
      <w:r>
        <w:t xml:space="preserve"> </w:t>
      </w:r>
      <w:r>
        <w:tab/>
      </w:r>
      <w:r>
        <w:rPr>
          <w:rFonts w:ascii="Times New Roman" w:hAnsi="Times New Roman"/>
          <w:kern w:val="1"/>
        </w:rPr>
        <w:t>SWD(2016) 275</w:t>
      </w:r>
    </w:p>
  </w:footnote>
  <w:footnote w:id="21">
    <w:p>
      <w:pPr>
        <w:pStyle w:val="FootnoteText"/>
        <w:tabs>
          <w:tab w:val="left" w:pos="284"/>
        </w:tabs>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https://europa.eu/capacity4dev/eutr-competent-authorities</w:t>
      </w:r>
    </w:p>
  </w:footnote>
  <w:footnote w:id="22">
    <w:p>
      <w:pPr>
        <w:pStyle w:val="FootnoteText"/>
        <w:tabs>
          <w:tab w:val="left" w:pos="284"/>
        </w:tabs>
        <w:ind w:left="284" w:hanging="284"/>
        <w:rPr>
          <w:rFonts w:ascii="Times New Roman" w:hAnsi="Times New Roman"/>
          <w:sz w:val="18"/>
          <w:szCs w:val="18"/>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Сравнително високият брой на служителите, докладван от Италия, Гърция, Дания и евентуално други държави, може да се дължи на включването на митническия личен състав като цяло.</w:t>
      </w:r>
    </w:p>
  </w:footnote>
  <w:footnote w:id="23">
    <w:p>
      <w:pPr>
        <w:pStyle w:val="FootnoteText"/>
        <w:tabs>
          <w:tab w:val="left" w:pos="284"/>
        </w:tabs>
        <w:ind w:left="284" w:hanging="284"/>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С изключение на Словакия, която е обект на процедура за нарушение и в процес на изменение на националното си законодателство, за да обхване по подходящ начин вноса на дървен материал.</w:t>
      </w:r>
    </w:p>
  </w:footnote>
  <w:footnote w:id="24">
    <w:p>
      <w:pPr>
        <w:pStyle w:val="FootnoteText"/>
        <w:tabs>
          <w:tab w:val="left" w:pos="284"/>
        </w:tabs>
      </w:pPr>
      <w:r>
        <w:rPr>
          <w:rStyle w:val="FootnoteReference"/>
        </w:rPr>
        <w:footnoteRef/>
      </w:r>
      <w:r>
        <w:t xml:space="preserve"> </w:t>
      </w:r>
      <w:r>
        <w:tab/>
      </w:r>
      <w:r>
        <w:rPr>
          <w:rFonts w:ascii="Times New Roman" w:hAnsi="Times New Roman"/>
        </w:rPr>
        <w:t>http://ec.europa.eu/environment/eir/p2p/index_en.htm</w:t>
      </w:r>
    </w:p>
  </w:footnote>
  <w:footnote w:id="25">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Беше получено искане от Португалия за организиране на семинар относно изпълнението на РЕСДМ от компетентните органи на средиземноморските държави.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D79E3"/>
    <w:multiLevelType w:val="hybridMultilevel"/>
    <w:tmpl w:val="BC942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2B02523"/>
    <w:multiLevelType w:val="multilevel"/>
    <w:tmpl w:val="4D9A8474"/>
    <w:styleLink w:val="Style1"/>
    <w:lvl w:ilvl="0">
      <w:start w:val="1"/>
      <w:numFmt w:val="decimal"/>
      <w:suff w:val="space"/>
      <w:lvlText w:val="Chapter %1."/>
      <w:lvlJc w:val="left"/>
      <w:pPr>
        <w:ind w:left="0" w:firstLine="0"/>
      </w:pPr>
      <w:rPr>
        <w:rFonts w:hint="default"/>
      </w:rPr>
    </w:lvl>
    <w:lvl w:ilvl="1">
      <w:start w:val="1"/>
      <w:numFmt w:val="decimal"/>
      <w:suff w:val="nothing"/>
      <w:lvlText w:val="%2.%1"/>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12F743FE"/>
    <w:multiLevelType w:val="hybridMultilevel"/>
    <w:tmpl w:val="5644D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0F6330"/>
    <w:multiLevelType w:val="hybridMultilevel"/>
    <w:tmpl w:val="C5388ADE"/>
    <w:styleLink w:val="ECAnalysis1"/>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
    <w:nsid w:val="24934EB9"/>
    <w:multiLevelType w:val="hybridMultilevel"/>
    <w:tmpl w:val="B696441A"/>
    <w:lvl w:ilvl="0" w:tplc="046847CC">
      <w:start w:val="1"/>
      <w:numFmt w:val="upperLetter"/>
      <w:pStyle w:val="Subheading"/>
      <w:lvlText w:val="%1."/>
      <w:lvlJc w:val="left"/>
      <w:pPr>
        <w:ind w:left="1353"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8200A1E"/>
    <w:multiLevelType w:val="hybridMultilevel"/>
    <w:tmpl w:val="04625FA0"/>
    <w:lvl w:ilvl="0" w:tplc="1A82386C">
      <w:start w:val="1"/>
      <w:numFmt w:val="upperRoman"/>
      <w:lvlText w:val="%1."/>
      <w:lvlJc w:val="left"/>
      <w:pPr>
        <w:ind w:left="1440" w:hanging="108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nsid w:val="28405D50"/>
    <w:multiLevelType w:val="hybridMultilevel"/>
    <w:tmpl w:val="3FBA2A5A"/>
    <w:lvl w:ilvl="0" w:tplc="92E27886">
      <w:start w:val="7"/>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E52619"/>
    <w:multiLevelType w:val="hybridMultilevel"/>
    <w:tmpl w:val="48D6B25C"/>
    <w:lvl w:ilvl="0" w:tplc="E8105590">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1F64E7"/>
    <w:multiLevelType w:val="hybridMultilevel"/>
    <w:tmpl w:val="D666A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53741A0"/>
    <w:multiLevelType w:val="hybridMultilevel"/>
    <w:tmpl w:val="3DF68DCE"/>
    <w:lvl w:ilvl="0" w:tplc="99BC39C2">
      <w:start w:val="1"/>
      <w:numFmt w:val="upp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0">
    <w:nsid w:val="3B7527DE"/>
    <w:multiLevelType w:val="hybridMultilevel"/>
    <w:tmpl w:val="815C3D26"/>
    <w:lvl w:ilvl="0" w:tplc="6F64EED8">
      <w:start w:val="1"/>
      <w:numFmt w:val="bullet"/>
      <w:pStyle w:val="Bulletedlisttwocolumn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BA5D60"/>
    <w:multiLevelType w:val="hybridMultilevel"/>
    <w:tmpl w:val="CBB69BC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2">
    <w:nsid w:val="48412FCB"/>
    <w:multiLevelType w:val="hybridMultilevel"/>
    <w:tmpl w:val="939A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490304"/>
    <w:multiLevelType w:val="hybridMultilevel"/>
    <w:tmpl w:val="A7FCD742"/>
    <w:lvl w:ilvl="0" w:tplc="837C945E">
      <w:start w:val="1"/>
      <w:numFmt w:val="decimal"/>
      <w:pStyle w:val="Numberedlisttwocolumn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87441D"/>
    <w:multiLevelType w:val="multilevel"/>
    <w:tmpl w:val="5E7EA2E0"/>
    <w:styleLink w:val="ECAnalysis2"/>
    <w:lvl w:ilvl="0">
      <w:start w:val="3"/>
      <w:numFmt w:val="decimal"/>
      <w:lvlText w:val="Chapter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nsid w:val="5DC64D9E"/>
    <w:multiLevelType w:val="multilevel"/>
    <w:tmpl w:val="8BEA3B60"/>
    <w:styleLink w:val="ECAnalysis"/>
    <w:lvl w:ilvl="0">
      <w:start w:val="3"/>
      <w:numFmt w:val="decimal"/>
      <w:lvlText w:val="Chapter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5E716592"/>
    <w:multiLevelType w:val="multilevel"/>
    <w:tmpl w:val="C64E2AC6"/>
    <w:styleLink w:val="StyleNumberedBookAntiqua14ptBoldLeft127cmHanging"/>
    <w:lvl w:ilvl="0">
      <w:start w:val="1"/>
      <w:numFmt w:val="decimal"/>
      <w:lvlText w:val="%1."/>
      <w:lvlJc w:val="left"/>
      <w:pPr>
        <w:ind w:left="1080" w:hanging="360"/>
      </w:pPr>
      <w:rPr>
        <w:rFonts w:ascii="Book Antiqua" w:hAnsi="Book Antiqua"/>
        <w:b/>
        <w:bCs/>
        <w:sz w:val="3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60D520D7"/>
    <w:multiLevelType w:val="multilevel"/>
    <w:tmpl w:val="5490B396"/>
    <w:lvl w:ilvl="0">
      <w:start w:val="1"/>
      <w:numFmt w:val="decimal"/>
      <w:lvlText w:val="%1."/>
      <w:lvlJc w:val="left"/>
      <w:pPr>
        <w:ind w:left="360" w:hanging="360"/>
      </w:pPr>
      <w:rPr>
        <w:rFonts w:cs="Times New Roman"/>
      </w:rPr>
    </w:lvl>
    <w:lvl w:ilvl="1">
      <w:start w:val="1"/>
      <w:numFmt w:val="decimal"/>
      <w:isLgl/>
      <w:lvlText w:val="%1.%2"/>
      <w:lvlJc w:val="left"/>
      <w:pPr>
        <w:ind w:left="644" w:hanging="360"/>
      </w:pPr>
      <w:rPr>
        <w:rFonts w:cs="Times New Roman" w:hint="default"/>
        <w:strike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8">
    <w:nsid w:val="642B0761"/>
    <w:multiLevelType w:val="hybridMultilevel"/>
    <w:tmpl w:val="7B22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8D1A32"/>
    <w:multiLevelType w:val="hybridMultilevel"/>
    <w:tmpl w:val="13F4E5E6"/>
    <w:lvl w:ilvl="0" w:tplc="CAF00C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2236DE9"/>
    <w:multiLevelType w:val="hybridMultilevel"/>
    <w:tmpl w:val="71C88FDE"/>
    <w:lvl w:ilvl="0" w:tplc="BDCE2D84">
      <w:start w:val="5"/>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B623B39"/>
    <w:multiLevelType w:val="hybridMultilevel"/>
    <w:tmpl w:val="57C6D3D2"/>
    <w:lvl w:ilvl="0" w:tplc="58A2AB6E">
      <w:start w:val="1"/>
      <w:numFmt w:val="upperRoman"/>
      <w:pStyle w:val="EUChapterHeading"/>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F5F3740"/>
    <w:multiLevelType w:val="hybridMultilevel"/>
    <w:tmpl w:val="BB2E44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18"/>
  </w:num>
  <w:num w:numId="11">
    <w:abstractNumId w:val="3"/>
  </w:num>
  <w:num w:numId="12">
    <w:abstractNumId w:val="15"/>
  </w:num>
  <w:num w:numId="13">
    <w:abstractNumId w:val="1"/>
  </w:num>
  <w:num w:numId="14">
    <w:abstractNumId w:val="14"/>
  </w:num>
  <w:num w:numId="15">
    <w:abstractNumId w:val="21"/>
  </w:num>
  <w:num w:numId="16">
    <w:abstractNumId w:val="4"/>
  </w:num>
  <w:num w:numId="17">
    <w:abstractNumId w:val="16"/>
  </w:num>
  <w:num w:numId="18">
    <w:abstractNumId w:val="10"/>
  </w:num>
  <w:num w:numId="19">
    <w:abstractNumId w:val="13"/>
  </w:num>
  <w:num w:numId="20">
    <w:abstractNumId w:val="19"/>
  </w:num>
  <w:num w:numId="21">
    <w:abstractNumId w:val="12"/>
  </w:num>
  <w:num w:numId="22">
    <w:abstractNumId w:val="8"/>
  </w:num>
  <w:num w:numId="23">
    <w:abstractNumId w:val="6"/>
  </w:num>
  <w:num w:numId="24">
    <w:abstractNumId w:val="2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ADE8D2B-78B4-4206-BB99-4923E0DBB682"/>
    <w:docVar w:name="LW_COVERPAGE_TYPE" w:val="1"/>
    <w:docVar w:name="LW_CROSSREFERENCE" w:val="&lt;UNUSED&gt;"/>
    <w:docVar w:name="LW_DocType" w:val="NORMAL"/>
    <w:docVar w:name="LW_EMISSION" w:val="5.10.2018"/>
    <w:docVar w:name="LW_EMISSION_ISODATE" w:val="2018-10-05"/>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6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u1056?\u1077?\u1075?\u1083?\u1072?\u1084?\u1077?\u1085?\u1090? (\u1045?C) \u8470? 995/2010 \u1085?\u1072? \u1045?\u1074?\u1088?\u1086?\u1087?\u1077?\u1081?\u1089?\u1082?\u1080?\u1103? \u1087?\u1072?\u1088?\u1083?\u1072?\u1084?\u1077?\u1085?\u1090? \u1080? \u1085?\u1072? \u1057?\u1098?\u1074?\u1077?\u1090?\u1072? \u1086?\u1090? 20 \u1086?\u1082?\u1090?\u1086?\u1084?\u1074?\u1088?\u1080? 2010 \u1075?. \u1079?\u1072? \u1086?\u1087?\u1088?\u1077?\u1076?\u1077?\u1083?\u1103?\u1085?\u1077? \u1085?\u1072? \u1079?\u1072?\u1076?\u1098?\u1083?\u1078?\u1077?\u1085?\u1080?\u1103?\u1090?\u1072? \u1085?\u1072? \u1086?\u1087?\u1077?\u1088?\u1072?\u1090?\u1086?\u1088?\u1080?\u1090?\u1077?, \u1082?\u1086?\u1080?\u1090?\u1086? \u1087?\u1091?\u1089?\u1082?\u1072?\u1090? \u1085?\u1072? \u1087?\u1072?\u1079?\u1072?\u1088?\u1072? \u1076?\u1098?\u1088?\u1074?\u1077?\u1085? \u1084?\u1072?\u1090?\u1077?\u1088?\u1080?\u1072?\u1083? \u1080? \u1080?\u1079?\u1076?\u1077?\u1083?\u1080?\u1103? \u1086?\u1090? \u1076?\u1098?\u1088?\u1074?\u1077?\u1085? \u1084?\u1072?\u1090?\u1077?\u1088?\u1080?\u1072?\u1083? (\u1056?\u1077?\u1075?\u1083?\u1072?\u1084?\u1077?\u1085?\u1090?\u1098?\u1090? \u1085?\u1072? \u1045?\u1057? \u1086?\u1090?\u1085?\u1086?\u1089?\u1085?\u1086? \u1076?\u1098?\u1088?\u1074?\u1077?\u1085?\u1080?\u1103? \u1084?\u1072?\u1090?\u1077?\u1088?\u1080?\u1072?\u1083?)_x000b__x000b_\u1044?\u1074?\u1091?\u1075?\u1086?\u1076?\u1080?\u1096?\u1077?\u1085? \u1076?\u1086?\u1082?\u1083?\u1072?\u1076? \u1079?\u1072? \u1087?\u1077?\u1088?\u1080?\u1086?\u1076?\u1072? \u1084?\u1072?\u1088?\u1090? 2015\u8212?\u1092?\u1077?\u1074?\u1088?\u1091?\u1072?\u1088?\u1080? 2017 \u1075?."/>
    <w:docVar w:name="LW_TYPE.DOC.CP" w:val="\u1044?\u1054?\u1050?\u1051?\u1040?\u1044? \u1053?\u1040? \u1050?\u1054?\u1052?\u1048?\u1057?\u1048?\u1071?\u1058?\u1040? \u1044?\u1054? \u1045?\u1042?\u1056?\u1054?\u1055?\u1045?\u1049?\u1057?\u1050?\u1048?\u1071? \u1055?\u1040?\u1056?\u1051?\u1040?\u1052?\u1045?\u1053?\u1058? \u1048? \u1057?\u1066?\u1042?\u1045?\u1058?\u1040?"/>
  </w:docVar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bg-BG" w:eastAsia="bg-BG" w:bidi="bg-BG"/>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nhideWhenUsed="0"/>
    <w:lsdException w:name="caption" w:locked="1" w:uiPriority="35" w:qFormat="1"/>
    <w:lsdException w:name="footnote reference" w:locked="1" w:semiHidden="0" w:unhideWhenUsed="0"/>
    <w:lsdException w:name="page number" w:uiPriority="0"/>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Body Text 2" w:uiPriority="0"/>
    <w:lsdException w:name="Body Text 3" w:uiPriority="0"/>
    <w:lsdException w:name="Strong" w:locked="1" w:semiHidden="0" w:uiPriority="22" w:unhideWhenUsed="0" w:qFormat="1"/>
    <w:lsdException w:name="Emphasis" w:locked="1" w:semiHidden="0" w:uiPriority="20" w:unhideWhenUsed="0" w:qFormat="1"/>
    <w:lsdException w:name="annotation subject" w:uiPriority="0"/>
    <w:lsdException w:name="Table Classic 1" w:uiPriority="0"/>
    <w:lsdException w:name="Table Classic 4"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locked/>
    <w:pPr>
      <w:keepNext/>
      <w:keepLines/>
      <w:spacing w:before="240" w:after="0" w:line="270" w:lineRule="atLeast"/>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locked/>
    <w:pPr>
      <w:keepNext/>
      <w:keepLines/>
      <w:spacing w:line="640" w:lineRule="atLeast"/>
      <w:outlineLvl w:val="1"/>
    </w:pPr>
    <w:rPr>
      <w:rFonts w:ascii="Constantia" w:eastAsiaTheme="majorEastAsia" w:hAnsi="Constantia" w:cstheme="majorBidi"/>
      <w:bCs/>
      <w:color w:val="007C9A"/>
      <w:sz w:val="60"/>
      <w:szCs w:val="26"/>
    </w:rPr>
  </w:style>
  <w:style w:type="paragraph" w:styleId="Heading3">
    <w:name w:val="heading 3"/>
    <w:basedOn w:val="Normal"/>
    <w:next w:val="Normal"/>
    <w:link w:val="Heading3Char"/>
    <w:unhideWhenUsed/>
    <w:qFormat/>
    <w:locked/>
    <w:pPr>
      <w:keepNext/>
      <w:keepLines/>
      <w:spacing w:after="0" w:line="540" w:lineRule="atLeast"/>
      <w:outlineLvl w:val="2"/>
    </w:pPr>
    <w:rPr>
      <w:rFonts w:ascii="Constantia" w:eastAsiaTheme="majorEastAsia" w:hAnsi="Constantia" w:cstheme="majorBidi"/>
      <w:bCs/>
      <w:sz w:val="40"/>
    </w:rPr>
  </w:style>
  <w:style w:type="paragraph" w:styleId="Heading4">
    <w:name w:val="heading 4"/>
    <w:next w:val="Normal"/>
    <w:link w:val="Heading4Char"/>
    <w:qFormat/>
    <w:locked/>
    <w:pPr>
      <w:keepNext/>
      <w:ind w:left="2160"/>
      <w:outlineLvl w:val="3"/>
    </w:pPr>
    <w:rPr>
      <w:rFonts w:ascii="Book Antiqua" w:eastAsia="Times New Roman" w:hAnsi="Book Antiqua"/>
      <w:b/>
      <w:bCs/>
      <w:i/>
      <w:iCs/>
      <w:noProof/>
      <w:sz w:val="24"/>
      <w:szCs w:val="20"/>
    </w:rPr>
  </w:style>
  <w:style w:type="paragraph" w:styleId="Heading5">
    <w:name w:val="heading 5"/>
    <w:basedOn w:val="Normal"/>
    <w:next w:val="Normal"/>
    <w:link w:val="Heading5Char"/>
    <w:uiPriority w:val="9"/>
    <w:qFormat/>
    <w:locked/>
    <w:pPr>
      <w:keepNext/>
      <w:keepLines/>
      <w:spacing w:before="200" w:after="0" w:line="240" w:lineRule="auto"/>
      <w:ind w:left="2880"/>
      <w:outlineLvl w:val="4"/>
    </w:pPr>
    <w:rPr>
      <w:rFonts w:ascii="Cambria" w:eastAsia="Times New Roman" w:hAnsi="Cambria"/>
      <w:color w:val="243F60"/>
      <w:sz w:val="24"/>
      <w:szCs w:val="24"/>
    </w:rPr>
  </w:style>
  <w:style w:type="paragraph" w:styleId="Heading6">
    <w:name w:val="heading 6"/>
    <w:basedOn w:val="Normal"/>
    <w:next w:val="Normal"/>
    <w:link w:val="Heading6Char"/>
    <w:uiPriority w:val="9"/>
    <w:qFormat/>
    <w:locked/>
    <w:pPr>
      <w:keepNext/>
      <w:keepLines/>
      <w:spacing w:before="200" w:after="0" w:line="240" w:lineRule="auto"/>
      <w:ind w:left="3600"/>
      <w:outlineLvl w:val="5"/>
    </w:pPr>
    <w:rPr>
      <w:rFonts w:ascii="Cambria" w:eastAsia="Times New Roman" w:hAnsi="Cambria"/>
      <w:i/>
      <w:iCs/>
      <w:color w:val="243F60"/>
      <w:sz w:val="24"/>
      <w:szCs w:val="24"/>
    </w:rPr>
  </w:style>
  <w:style w:type="paragraph" w:styleId="Heading7">
    <w:name w:val="heading 7"/>
    <w:basedOn w:val="Normal"/>
    <w:next w:val="Normal"/>
    <w:link w:val="Heading7Char"/>
    <w:uiPriority w:val="9"/>
    <w:qFormat/>
    <w:locked/>
    <w:pPr>
      <w:keepNext/>
      <w:keepLines/>
      <w:spacing w:before="200" w:after="0" w:line="240" w:lineRule="auto"/>
      <w:ind w:left="4320"/>
      <w:outlineLvl w:val="6"/>
    </w:pPr>
    <w:rPr>
      <w:rFonts w:ascii="Cambria" w:eastAsia="Times New Roman" w:hAnsi="Cambria"/>
      <w:i/>
      <w:iCs/>
      <w:color w:val="404040"/>
      <w:sz w:val="24"/>
      <w:szCs w:val="24"/>
    </w:rPr>
  </w:style>
  <w:style w:type="paragraph" w:styleId="Heading8">
    <w:name w:val="heading 8"/>
    <w:basedOn w:val="Normal"/>
    <w:next w:val="Normal"/>
    <w:link w:val="Heading8Char"/>
    <w:uiPriority w:val="9"/>
    <w:qFormat/>
    <w:locked/>
    <w:pPr>
      <w:keepNext/>
      <w:keepLines/>
      <w:spacing w:before="200" w:after="0" w:line="240" w:lineRule="auto"/>
      <w:ind w:left="50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locked/>
    <w:pPr>
      <w:keepNext/>
      <w:keepLines/>
      <w:spacing w:before="200" w:after="0" w:line="240" w:lineRule="auto"/>
      <w:ind w:left="5760"/>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uiPriority w:val="99"/>
    <w:rPr>
      <w:rFonts w:cs="Times New Roman"/>
      <w:color w:val="0000FF"/>
      <w:shd w:val="clear" w:color="auto" w:fill="auto"/>
    </w:rPr>
  </w:style>
  <w:style w:type="paragraph" w:customStyle="1" w:styleId="Pagedecouverture">
    <w:name w:val="Page de couverture"/>
    <w:basedOn w:val="Normal"/>
    <w:next w:val="Normal"/>
    <w:uiPriority w:val="99"/>
    <w:pPr>
      <w:spacing w:after="0" w:line="240" w:lineRule="auto"/>
      <w:jc w:val="both"/>
    </w:pPr>
    <w:rPr>
      <w:rFonts w:ascii="Times New Roman" w:hAnsi="Times New Roman"/>
      <w:sz w:val="24"/>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customStyle="1" w:styleId="Typedudocument">
    <w:name w:val="Type du document"/>
    <w:basedOn w:val="Normal"/>
    <w:next w:val="Normal"/>
    <w:link w:val="TypedudocumentChar"/>
    <w:uiPriority w:val="99"/>
    <w:pPr>
      <w:spacing w:before="360" w:after="0" w:line="240" w:lineRule="auto"/>
      <w:jc w:val="center"/>
    </w:pPr>
    <w:rPr>
      <w:rFonts w:ascii="Times New Roman" w:hAnsi="Times New Roman"/>
      <w:b/>
      <w:sz w:val="24"/>
    </w:rPr>
  </w:style>
  <w:style w:type="paragraph" w:customStyle="1" w:styleId="Titreobjet">
    <w:name w:val="Titre objet"/>
    <w:basedOn w:val="Normal"/>
    <w:next w:val="Normal"/>
    <w:uiPriority w:val="99"/>
    <w:pPr>
      <w:spacing w:before="360" w:after="360" w:line="240" w:lineRule="auto"/>
      <w:jc w:val="center"/>
    </w:pPr>
    <w:rPr>
      <w:rFonts w:ascii="Times New Roman" w:hAnsi="Times New Roman"/>
      <w:b/>
      <w:sz w:val="24"/>
    </w:rPr>
  </w:style>
  <w:style w:type="paragraph" w:customStyle="1" w:styleId="FooterCoverPage">
    <w:name w:val="Footer Cover Page"/>
    <w:basedOn w:val="Normal"/>
    <w:link w:val="FooterCoverPageChar"/>
    <w:uiPriority w:val="99"/>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ypedudocumentChar">
    <w:name w:val="Type du document Char"/>
    <w:basedOn w:val="DefaultParagraphFont"/>
    <w:link w:val="Typedudocument"/>
    <w:uiPriority w:val="99"/>
    <w:locked/>
    <w:rPr>
      <w:rFonts w:ascii="Times New Roman" w:hAnsi="Times New Roman" w:cs="Times New Roman"/>
      <w:b/>
      <w:sz w:val="24"/>
    </w:rPr>
  </w:style>
  <w:style w:type="character" w:customStyle="1" w:styleId="FooterCoverPageChar">
    <w:name w:val="Footer Cover Page Char"/>
    <w:basedOn w:val="TypedudocumentChar"/>
    <w:link w:val="FooterCoverPage"/>
    <w:uiPriority w:val="99"/>
    <w:locked/>
    <w:rPr>
      <w:rFonts w:ascii="Times New Roman" w:hAnsi="Times New Roman" w:cs="Times New Roman"/>
      <w:b w:val="0"/>
      <w:sz w:val="24"/>
    </w:rPr>
  </w:style>
  <w:style w:type="paragraph" w:customStyle="1" w:styleId="HeaderCoverPage">
    <w:name w:val="Header Cover Page"/>
    <w:basedOn w:val="Normal"/>
    <w:link w:val="HeaderCoverPageChar"/>
    <w:uiPriority w:val="99"/>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TypedudocumentChar"/>
    <w:link w:val="HeaderCoverPage"/>
    <w:uiPriority w:val="99"/>
    <w:locked/>
    <w:rPr>
      <w:rFonts w:ascii="Times New Roman" w:hAnsi="Times New Roman" w:cs="Times New Roman"/>
      <w:b w:val="0"/>
      <w:sz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uiPriority w:val="99"/>
    <w:pPr>
      <w:spacing w:after="0" w:line="240" w:lineRule="auto"/>
    </w:pPr>
    <w:rPr>
      <w:rFonts w:ascii="Constantia" w:eastAsia="Times New Roman" w:hAnsi="Constantia"/>
      <w:sz w:val="20"/>
      <w:szCs w:val="20"/>
    </w:rPr>
  </w:style>
  <w:style w:type="character" w:customStyle="1" w:styleId="FootnoteTextChar">
    <w:name w:val="Footnote Text Char"/>
    <w:aliases w:val="Footnote Char,Testo nota a piè di pagina_Rientro Char,stile 1 Char,Footnote1 Char,Footnote2 Char,Footnote3 Char,Footnote4 Char,Footnote5 Char,Footnote6 Char,Footnote7 Char,Footnote8 Char,Footnote9 Char,Footnote10 Char,Footnote11 Char"/>
    <w:basedOn w:val="DefaultParagraphFont"/>
    <w:uiPriority w:val="99"/>
    <w:locked/>
    <w:rPr>
      <w:rFonts w:ascii="Constantia" w:hAnsi="Constantia" w:cs="Times New Roman"/>
      <w:sz w:val="20"/>
      <w:szCs w:val="20"/>
      <w:lang w:eastAsia="bg-BG"/>
    </w:rPr>
  </w:style>
  <w:style w:type="character" w:styleId="FootnoteReference">
    <w:name w:val="footnote reference"/>
    <w:aliases w:val="number,Footnote symbol,Voetnootverwijzing,Times 10 Point,Exposant 3 Point,Footnote reference number,note TESI,SUPERS,EN Footnote Reference,Ref,de nota al pie,Footnote Reference Superscript,Footnote sign,BVI fnr,stylish"/>
    <w:basedOn w:val="DefaultParagraphFont"/>
    <w:uiPriority w:val="99"/>
    <w:rPr>
      <w:rFonts w:cs="Times New Roman"/>
      <w:vertAlign w:val="superscript"/>
    </w:rPr>
  </w:style>
  <w:style w:type="table" w:styleId="TableGrid">
    <w:name w:val="Table Grid"/>
    <w:basedOn w:val="TableNormal"/>
    <w:uiPriority w:val="5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table" w:customStyle="1" w:styleId="TableGrid1">
    <w:name w:val="Table Grid1"/>
    <w:uiPriority w:val="5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locked/>
    <w:rPr>
      <w:rFonts w:cs="Times New Roman"/>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locked/>
    <w:rPr>
      <w:rFonts w:cs="Times New Roman"/>
      <w:b/>
      <w:bCs/>
      <w:sz w:val="20"/>
      <w:szCs w:val="20"/>
    </w:rPr>
  </w:style>
  <w:style w:type="paragraph" w:styleId="Revision">
    <w:name w:val="Revision"/>
    <w:hidden/>
    <w:uiPriority w:val="99"/>
    <w:semiHidden/>
  </w:style>
  <w:style w:type="character" w:styleId="Emphasis">
    <w:name w:val="Emphasis"/>
    <w:basedOn w:val="DefaultParagraphFont"/>
    <w:uiPriority w:val="20"/>
    <w:qFormat/>
    <w:locked/>
    <w:rPr>
      <w:i/>
      <w:iCs/>
    </w:rPr>
  </w:style>
  <w:style w:type="paragraph" w:customStyle="1" w:styleId="Default">
    <w:name w:val="Default"/>
    <w:pPr>
      <w:autoSpaceDE w:val="0"/>
      <w:autoSpaceDN w:val="0"/>
      <w:adjustRightInd w:val="0"/>
    </w:pPr>
    <w:rPr>
      <w:rFonts w:cs="Calibri"/>
      <w:color w:val="000000"/>
      <w:sz w:val="24"/>
      <w:szCs w:val="24"/>
    </w:rPr>
  </w:style>
  <w:style w:type="character" w:styleId="FollowedHyperlink">
    <w:name w:val="FollowedHyperlink"/>
    <w:basedOn w:val="DefaultParagraphFont"/>
    <w:uiPriority w:val="99"/>
    <w:unhideWhenUsed/>
    <w:rPr>
      <w:color w:val="800080" w:themeColor="followedHyperlink"/>
      <w:u w:val="single"/>
    </w:rPr>
  </w:style>
  <w:style w:type="character" w:customStyle="1" w:styleId="Heading2Char">
    <w:name w:val="Heading 2 Char"/>
    <w:basedOn w:val="DefaultParagraphFont"/>
    <w:link w:val="Heading2"/>
    <w:uiPriority w:val="9"/>
    <w:rPr>
      <w:rFonts w:ascii="Constantia" w:eastAsiaTheme="majorEastAsia" w:hAnsi="Constantia" w:cstheme="majorBidi"/>
      <w:bCs/>
      <w:color w:val="007C9A"/>
      <w:sz w:val="60"/>
      <w:szCs w:val="26"/>
      <w:lang w:val="bg-BG" w:eastAsia="bg-BG"/>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bg-BG" w:eastAsia="bg-BG"/>
    </w:rPr>
  </w:style>
  <w:style w:type="paragraph" w:customStyle="1" w:styleId="Chaptertext">
    <w:name w:val="Chapter text"/>
    <w:basedOn w:val="Normal"/>
    <w:next w:val="Normal"/>
    <w:qFormat/>
    <w:pPr>
      <w:spacing w:line="270" w:lineRule="atLeast"/>
    </w:pPr>
    <w:rPr>
      <w:rFonts w:ascii="Constantia" w:eastAsiaTheme="minorEastAsia" w:hAnsi="Constantia" w:cstheme="minorBidi"/>
      <w:sz w:val="20"/>
    </w:rPr>
  </w:style>
  <w:style w:type="paragraph" w:customStyle="1" w:styleId="Chaptersubheading">
    <w:name w:val="Chapter subheading"/>
    <w:basedOn w:val="Chaptertext"/>
    <w:next w:val="Chaptertext"/>
    <w:qFormat/>
    <w:pPr>
      <w:spacing w:after="0" w:line="240" w:lineRule="auto"/>
    </w:pPr>
    <w:rPr>
      <w:color w:val="007C9A"/>
      <w:sz w:val="28"/>
      <w:szCs w:val="28"/>
    </w:rPr>
  </w:style>
  <w:style w:type="character" w:customStyle="1" w:styleId="Heading3Char">
    <w:name w:val="Heading 3 Char"/>
    <w:basedOn w:val="DefaultParagraphFont"/>
    <w:link w:val="Heading3"/>
    <w:rPr>
      <w:rFonts w:ascii="Constantia" w:eastAsiaTheme="majorEastAsia" w:hAnsi="Constantia" w:cstheme="majorBidi"/>
      <w:bCs/>
      <w:sz w:val="40"/>
      <w:lang w:val="bg-BG" w:eastAsia="bg-BG"/>
    </w:rPr>
  </w:style>
  <w:style w:type="character" w:customStyle="1" w:styleId="Heading4Char">
    <w:name w:val="Heading 4 Char"/>
    <w:basedOn w:val="DefaultParagraphFont"/>
    <w:link w:val="Heading4"/>
    <w:rPr>
      <w:rFonts w:ascii="Book Antiqua" w:eastAsia="Times New Roman" w:hAnsi="Book Antiqua"/>
      <w:b/>
      <w:bCs/>
      <w:i/>
      <w:iCs/>
      <w:noProof/>
      <w:sz w:val="24"/>
      <w:szCs w:val="20"/>
      <w:lang w:val="bg-BG" w:eastAsia="bg-BG"/>
    </w:rPr>
  </w:style>
  <w:style w:type="character" w:customStyle="1" w:styleId="Heading5Char">
    <w:name w:val="Heading 5 Char"/>
    <w:basedOn w:val="DefaultParagraphFont"/>
    <w:link w:val="Heading5"/>
    <w:uiPriority w:val="9"/>
    <w:rPr>
      <w:rFonts w:ascii="Cambria" w:eastAsia="Times New Roman" w:hAnsi="Cambria"/>
      <w:color w:val="243F60"/>
      <w:sz w:val="24"/>
      <w:szCs w:val="24"/>
      <w:lang w:val="bg-BG" w:eastAsia="bg-BG"/>
    </w:rPr>
  </w:style>
  <w:style w:type="character" w:customStyle="1" w:styleId="Heading6Char">
    <w:name w:val="Heading 6 Char"/>
    <w:basedOn w:val="DefaultParagraphFont"/>
    <w:link w:val="Heading6"/>
    <w:uiPriority w:val="9"/>
    <w:rPr>
      <w:rFonts w:ascii="Cambria" w:eastAsia="Times New Roman" w:hAnsi="Cambria"/>
      <w:i/>
      <w:iCs/>
      <w:color w:val="243F60"/>
      <w:sz w:val="24"/>
      <w:szCs w:val="24"/>
      <w:lang w:val="bg-BG" w:eastAsia="bg-BG"/>
    </w:rPr>
  </w:style>
  <w:style w:type="character" w:customStyle="1" w:styleId="Heading7Char">
    <w:name w:val="Heading 7 Char"/>
    <w:basedOn w:val="DefaultParagraphFont"/>
    <w:link w:val="Heading7"/>
    <w:uiPriority w:val="9"/>
    <w:rPr>
      <w:rFonts w:ascii="Cambria" w:eastAsia="Times New Roman" w:hAnsi="Cambria"/>
      <w:i/>
      <w:iCs/>
      <w:color w:val="404040"/>
      <w:sz w:val="24"/>
      <w:szCs w:val="24"/>
      <w:lang w:val="bg-BG" w:eastAsia="bg-BG"/>
    </w:rPr>
  </w:style>
  <w:style w:type="character" w:customStyle="1" w:styleId="Heading8Char">
    <w:name w:val="Heading 8 Char"/>
    <w:basedOn w:val="DefaultParagraphFont"/>
    <w:link w:val="Heading8"/>
    <w:uiPriority w:val="9"/>
    <w:rPr>
      <w:rFonts w:ascii="Cambria" w:eastAsia="Times New Roman" w:hAnsi="Cambria"/>
      <w:color w:val="404040"/>
      <w:sz w:val="20"/>
      <w:szCs w:val="20"/>
      <w:lang w:val="bg-BG" w:eastAsia="bg-BG"/>
    </w:rPr>
  </w:style>
  <w:style w:type="character" w:customStyle="1" w:styleId="Heading9Char">
    <w:name w:val="Heading 9 Char"/>
    <w:basedOn w:val="DefaultParagraphFont"/>
    <w:link w:val="Heading9"/>
    <w:uiPriority w:val="9"/>
    <w:rPr>
      <w:rFonts w:ascii="Cambria" w:eastAsia="Times New Roman" w:hAnsi="Cambria"/>
      <w:i/>
      <w:iCs/>
      <w:color w:val="404040"/>
      <w:sz w:val="20"/>
      <w:szCs w:val="20"/>
      <w:lang w:val="bg-BG" w:eastAsia="bg-BG"/>
    </w:rPr>
  </w:style>
  <w:style w:type="paragraph" w:customStyle="1" w:styleId="Sectionheading">
    <w:name w:val="Section heading"/>
    <w:basedOn w:val="Normal"/>
    <w:next w:val="Normal"/>
    <w:qFormat/>
    <w:pPr>
      <w:spacing w:before="270" w:line="270" w:lineRule="atLeast"/>
    </w:pPr>
    <w:rPr>
      <w:rFonts w:ascii="Constantia" w:eastAsiaTheme="minorEastAsia" w:hAnsi="Constantia" w:cstheme="minorBidi"/>
      <w:color w:val="007C9A"/>
      <w:sz w:val="34"/>
    </w:rPr>
  </w:style>
  <w:style w:type="paragraph" w:customStyle="1" w:styleId="Figuretext">
    <w:name w:val="Figure text"/>
    <w:basedOn w:val="Normal"/>
    <w:qFormat/>
    <w:pPr>
      <w:spacing w:line="270" w:lineRule="atLeast"/>
    </w:pPr>
    <w:rPr>
      <w:rFonts w:ascii="Constantia" w:eastAsiaTheme="minorEastAsia" w:hAnsi="Constantia" w:cstheme="minorBidi"/>
      <w:sz w:val="20"/>
    </w:rPr>
  </w:style>
  <w:style w:type="paragraph" w:customStyle="1" w:styleId="Executivesummaryintro">
    <w:name w:val="Executive summary intro"/>
    <w:basedOn w:val="Normal"/>
    <w:next w:val="Normal"/>
    <w:qFormat/>
    <w:pPr>
      <w:spacing w:line="270" w:lineRule="atLeast"/>
    </w:pPr>
    <w:rPr>
      <w:rFonts w:ascii="Constantia" w:eastAsiaTheme="minorEastAsia" w:hAnsi="Constantia" w:cstheme="minorBidi"/>
      <w:sz w:val="24"/>
      <w:szCs w:val="24"/>
    </w:rPr>
  </w:style>
  <w:style w:type="paragraph" w:customStyle="1" w:styleId="Thisreportheadings">
    <w:name w:val="This report headings"/>
    <w:basedOn w:val="Normal"/>
    <w:next w:val="Normal"/>
    <w:qFormat/>
    <w:pPr>
      <w:spacing w:before="270" w:after="0" w:line="270" w:lineRule="atLeast"/>
    </w:pPr>
    <w:rPr>
      <w:rFonts w:ascii="Constantia" w:eastAsiaTheme="minorEastAsia" w:hAnsi="Constantia" w:cstheme="minorBidi"/>
      <w:color w:val="77A6B7"/>
      <w:sz w:val="24"/>
    </w:rPr>
  </w:style>
  <w:style w:type="paragraph" w:customStyle="1" w:styleId="Tablelables">
    <w:name w:val="Table lables"/>
    <w:basedOn w:val="Normal"/>
    <w:qFormat/>
    <w:pPr>
      <w:spacing w:before="200" w:line="270" w:lineRule="atLeast"/>
    </w:pPr>
    <w:rPr>
      <w:rFonts w:ascii="Helvetica" w:eastAsiaTheme="minorEastAsia" w:hAnsi="Helvetica" w:cstheme="minorBidi"/>
      <w:b/>
      <w:sz w:val="24"/>
      <w:szCs w:val="24"/>
    </w:rPr>
  </w:style>
  <w:style w:type="paragraph" w:customStyle="1" w:styleId="Casestudytext">
    <w:name w:val="Case study text"/>
    <w:basedOn w:val="Normal"/>
    <w:qFormat/>
    <w:pPr>
      <w:spacing w:after="0" w:line="270" w:lineRule="atLeast"/>
    </w:pPr>
    <w:rPr>
      <w:rFonts w:ascii="Helvetica" w:eastAsiaTheme="minorEastAsia" w:hAnsi="Helvetica" w:cstheme="minorBidi"/>
      <w:sz w:val="20"/>
      <w:szCs w:val="20"/>
    </w:rPr>
  </w:style>
  <w:style w:type="paragraph" w:styleId="Caption">
    <w:name w:val="caption"/>
    <w:basedOn w:val="Normal"/>
    <w:next w:val="Normal"/>
    <w:uiPriority w:val="35"/>
    <w:unhideWhenUsed/>
    <w:qFormat/>
    <w:locked/>
    <w:pPr>
      <w:spacing w:after="0" w:line="240" w:lineRule="auto"/>
    </w:pPr>
    <w:rPr>
      <w:rFonts w:ascii="Constantia" w:eastAsiaTheme="minorEastAsia" w:hAnsi="Constantia" w:cstheme="minorBidi"/>
      <w:bCs/>
      <w:color w:val="007C9A"/>
      <w:sz w:val="34"/>
      <w:szCs w:val="18"/>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sz w:val="24"/>
      <w:szCs w:val="24"/>
    </w:rPr>
  </w:style>
  <w:style w:type="paragraph" w:customStyle="1" w:styleId="Reportheader">
    <w:name w:val="Report header"/>
    <w:basedOn w:val="Normal"/>
    <w:qFormat/>
    <w:pPr>
      <w:spacing w:after="0" w:line="240" w:lineRule="auto"/>
    </w:pPr>
    <w:rPr>
      <w:rFonts w:ascii="Constantia" w:eastAsiaTheme="minorEastAsia" w:hAnsi="Constantia" w:cstheme="minorBidi"/>
      <w:sz w:val="23"/>
    </w:rPr>
  </w:style>
  <w:style w:type="paragraph" w:customStyle="1" w:styleId="Reporttitle">
    <w:name w:val="Report title"/>
    <w:basedOn w:val="Normal"/>
    <w:next w:val="Reportdescription"/>
    <w:qFormat/>
    <w:pPr>
      <w:spacing w:line="1000" w:lineRule="atLeast"/>
    </w:pPr>
    <w:rPr>
      <w:rFonts w:ascii="Constantia" w:eastAsiaTheme="minorEastAsia" w:hAnsi="Constantia" w:cstheme="minorBidi"/>
      <w:color w:val="007C9A"/>
      <w:sz w:val="80"/>
    </w:rPr>
  </w:style>
  <w:style w:type="paragraph" w:customStyle="1" w:styleId="Reportdescription">
    <w:name w:val="Report description"/>
    <w:basedOn w:val="Normal"/>
    <w:next w:val="Normal"/>
    <w:qFormat/>
    <w:pPr>
      <w:spacing w:before="120" w:line="440" w:lineRule="atLeast"/>
    </w:pPr>
    <w:rPr>
      <w:rFonts w:ascii="Constantia" w:eastAsiaTheme="minorEastAsia" w:hAnsi="Constantia" w:cstheme="minorBidi"/>
      <w:color w:val="77A6B7"/>
      <w:sz w:val="44"/>
    </w:rPr>
  </w:style>
  <w:style w:type="paragraph" w:styleId="NoSpacing">
    <w:name w:val="No Spacing"/>
    <w:link w:val="NoSpacingChar"/>
    <w:uiPriority w:val="1"/>
    <w:qFormat/>
    <w:pPr>
      <w:spacing w:line="270" w:lineRule="atLeast"/>
    </w:pPr>
    <w:rPr>
      <w:rFonts w:ascii="Constantia" w:eastAsiaTheme="minorEastAsia" w:hAnsi="Constantia" w:cstheme="minorBidi"/>
      <w:sz w:val="20"/>
    </w:rPr>
  </w:style>
  <w:style w:type="paragraph" w:customStyle="1" w:styleId="Contentslist">
    <w:name w:val="Contents list"/>
    <w:basedOn w:val="Normal"/>
    <w:qFormat/>
    <w:pPr>
      <w:spacing w:before="200" w:line="240" w:lineRule="auto"/>
    </w:pPr>
    <w:rPr>
      <w:rFonts w:ascii="Constantia" w:eastAsiaTheme="minorEastAsia" w:hAnsi="Constantia" w:cstheme="minorBidi"/>
      <w:sz w:val="24"/>
    </w:rPr>
  </w:style>
  <w:style w:type="paragraph" w:customStyle="1" w:styleId="Introductiontext">
    <w:name w:val="Introduction text"/>
    <w:basedOn w:val="Normal"/>
    <w:next w:val="Normal"/>
    <w:qFormat/>
    <w:pPr>
      <w:spacing w:line="440" w:lineRule="atLeast"/>
    </w:pPr>
    <w:rPr>
      <w:rFonts w:ascii="Constantia" w:eastAsiaTheme="minorEastAsia" w:hAnsi="Constantia" w:cstheme="minorBidi"/>
      <w:sz w:val="28"/>
      <w:szCs w:val="34"/>
    </w:rPr>
  </w:style>
  <w:style w:type="paragraph" w:customStyle="1" w:styleId="Introductionheading">
    <w:name w:val="Introduction heading"/>
    <w:basedOn w:val="Header"/>
    <w:qFormat/>
    <w:pPr>
      <w:tabs>
        <w:tab w:val="clear" w:pos="4536"/>
        <w:tab w:val="clear" w:pos="9072"/>
        <w:tab w:val="center" w:pos="4513"/>
        <w:tab w:val="right" w:pos="9026"/>
      </w:tabs>
    </w:pPr>
    <w:rPr>
      <w:rFonts w:ascii="Constantia" w:eastAsiaTheme="minorEastAsia" w:hAnsi="Constantia" w:cstheme="minorBidi"/>
      <w:color w:val="007C9A"/>
      <w:sz w:val="60"/>
      <w:szCs w:val="44"/>
    </w:rPr>
  </w:style>
  <w:style w:type="paragraph" w:customStyle="1" w:styleId="Chapterintro">
    <w:name w:val="Chapter intro"/>
    <w:basedOn w:val="Normal"/>
    <w:next w:val="Chaptertext"/>
    <w:qFormat/>
    <w:pPr>
      <w:spacing w:line="270" w:lineRule="atLeast"/>
    </w:pPr>
    <w:rPr>
      <w:rFonts w:ascii="Constantia" w:eastAsiaTheme="minorEastAsia" w:hAnsi="Constantia" w:cstheme="minorBidi"/>
      <w:sz w:val="24"/>
      <w:szCs w:val="24"/>
    </w:rPr>
  </w:style>
  <w:style w:type="paragraph" w:customStyle="1" w:styleId="Chapternumber">
    <w:name w:val="Chapter number"/>
    <w:basedOn w:val="Header"/>
    <w:next w:val="Chaptername"/>
    <w:qFormat/>
    <w:pPr>
      <w:tabs>
        <w:tab w:val="clear" w:pos="4536"/>
        <w:tab w:val="clear" w:pos="9072"/>
        <w:tab w:val="center" w:pos="4513"/>
        <w:tab w:val="right" w:pos="9026"/>
      </w:tabs>
      <w:spacing w:line="540" w:lineRule="atLeast"/>
    </w:pPr>
    <w:rPr>
      <w:rFonts w:ascii="Constantia" w:eastAsiaTheme="minorEastAsia" w:hAnsi="Constantia" w:cstheme="minorBidi"/>
      <w:sz w:val="40"/>
      <w:szCs w:val="40"/>
    </w:rPr>
  </w:style>
  <w:style w:type="paragraph" w:customStyle="1" w:styleId="Chaptername">
    <w:name w:val="Chapter name"/>
    <w:basedOn w:val="Reporttitle"/>
    <w:next w:val="Chapterintro"/>
    <w:qFormat/>
    <w:pPr>
      <w:spacing w:line="640" w:lineRule="atLeast"/>
    </w:pPr>
    <w:rPr>
      <w:sz w:val="60"/>
      <w:szCs w:val="60"/>
    </w:rPr>
  </w:style>
  <w:style w:type="paragraph" w:customStyle="1" w:styleId="Tablecontents">
    <w:name w:val="Table contents"/>
    <w:basedOn w:val="Normal"/>
    <w:next w:val="Normal"/>
    <w:qFormat/>
    <w:pPr>
      <w:spacing w:before="160" w:after="160" w:line="200" w:lineRule="atLeast"/>
    </w:pPr>
    <w:rPr>
      <w:rFonts w:ascii="Helvetica" w:eastAsiaTheme="minorEastAsia" w:hAnsi="Helvetica" w:cstheme="minorBidi"/>
      <w:sz w:val="16"/>
      <w:szCs w:val="16"/>
    </w:rPr>
  </w:style>
  <w:style w:type="table" w:customStyle="1" w:styleId="LightShading1">
    <w:name w:val="Light Shading1"/>
    <w:basedOn w:val="TableNormal"/>
    <w:uiPriority w:val="60"/>
    <w:rPr>
      <w:rFonts w:asciiTheme="minorHAnsi" w:eastAsiaTheme="minorEastAsia"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UNEP-WCMCtable">
    <w:name w:val="UNEP-WCMC table"/>
    <w:basedOn w:val="TableNormal"/>
    <w:uiPriority w:val="99"/>
    <w:qFormat/>
    <w:rPr>
      <w:rFonts w:asciiTheme="minorHAnsi" w:eastAsiaTheme="minorEastAsia" w:hAnsiTheme="minorHAnsi" w:cstheme="minorBidi"/>
    </w:rPr>
    <w:tblPr>
      <w:tblStyleRowBandSize w:val="1"/>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tblStylePr w:type="firstRow">
      <w:rPr>
        <w:rFonts w:ascii="Helvetica" w:hAnsi="Helvetica"/>
        <w:b/>
        <w:color w:val="FFFFFF" w:themeColor="background1"/>
        <w:sz w:val="20"/>
      </w:rPr>
      <w:tblPr/>
      <w:tcPr>
        <w:shd w:val="clear" w:color="auto" w:fill="007C9A"/>
      </w:tcPr>
    </w:tblStylePr>
    <w:tblStylePr w:type="band1Horz">
      <w:rPr>
        <w:rFonts w:ascii="Helvetica" w:hAnsi="Helvetica"/>
        <w:sz w:val="16"/>
      </w:rPr>
    </w:tblStylePr>
    <w:tblStylePr w:type="band2Horz">
      <w:rPr>
        <w:rFonts w:ascii="Helvetica" w:hAnsi="Helvetica"/>
        <w:sz w:val="16"/>
      </w:rPr>
      <w:tblPr/>
      <w:tcPr>
        <w:shd w:val="clear" w:color="auto" w:fill="77A6B7"/>
      </w:tcPr>
    </w:tblStylePr>
  </w:style>
  <w:style w:type="table" w:customStyle="1" w:styleId="Casestudy">
    <w:name w:val="Case study"/>
    <w:basedOn w:val="TableNormal"/>
    <w:uiPriority w:val="99"/>
    <w:qFormat/>
    <w:rPr>
      <w:rFonts w:ascii="Helvetica" w:eastAsiaTheme="minorEastAsia" w:hAnsi="Helvetica" w:cstheme="minorBidi"/>
      <w:sz w:val="20"/>
    </w:rPr>
    <w:tblPr>
      <w:tblInd w:w="0" w:type="dxa"/>
      <w:tblCellMar>
        <w:top w:w="0" w:type="dxa"/>
        <w:left w:w="108" w:type="dxa"/>
        <w:bottom w:w="0" w:type="dxa"/>
        <w:right w:w="108" w:type="dxa"/>
      </w:tblCellMar>
    </w:tblPr>
    <w:tcPr>
      <w:shd w:val="clear" w:color="auto" w:fill="auto"/>
    </w:tcPr>
  </w:style>
  <w:style w:type="paragraph" w:styleId="TOCHeading">
    <w:name w:val="TOC Heading"/>
    <w:basedOn w:val="Heading1"/>
    <w:next w:val="Normal"/>
    <w:uiPriority w:val="39"/>
    <w:unhideWhenUsed/>
    <w:qFormat/>
    <w:pPr>
      <w:spacing w:before="0" w:after="200" w:line="276" w:lineRule="auto"/>
      <w:outlineLvl w:val="9"/>
    </w:pPr>
    <w:rPr>
      <w:rFonts w:ascii="Constantia" w:hAnsi="Constantia"/>
      <w:bCs/>
      <w:color w:val="007C9A"/>
      <w:sz w:val="34"/>
      <w:szCs w:val="28"/>
    </w:rPr>
  </w:style>
  <w:style w:type="paragraph" w:styleId="TOC1">
    <w:name w:val="toc 1"/>
    <w:basedOn w:val="Normal"/>
    <w:next w:val="Normal"/>
    <w:autoRedefine/>
    <w:uiPriority w:val="39"/>
    <w:unhideWhenUsed/>
    <w:qFormat/>
    <w:locked/>
    <w:pPr>
      <w:tabs>
        <w:tab w:val="left" w:pos="567"/>
        <w:tab w:val="right" w:leader="dot" w:pos="9039"/>
      </w:tabs>
      <w:spacing w:after="100" w:line="270" w:lineRule="atLeast"/>
    </w:pPr>
    <w:rPr>
      <w:rFonts w:ascii="Constantia" w:eastAsiaTheme="minorEastAsia" w:hAnsi="Constantia" w:cstheme="minorBidi"/>
      <w:sz w:val="20"/>
    </w:rPr>
  </w:style>
  <w:style w:type="paragraph" w:styleId="TOC2">
    <w:name w:val="toc 2"/>
    <w:basedOn w:val="Normal"/>
    <w:next w:val="Normal"/>
    <w:autoRedefine/>
    <w:uiPriority w:val="39"/>
    <w:unhideWhenUsed/>
    <w:qFormat/>
    <w:locked/>
    <w:pPr>
      <w:spacing w:after="100" w:line="270" w:lineRule="atLeast"/>
      <w:ind w:left="200"/>
    </w:pPr>
    <w:rPr>
      <w:rFonts w:ascii="Constantia" w:eastAsiaTheme="minorEastAsia" w:hAnsi="Constantia" w:cstheme="minorBidi"/>
      <w:sz w:val="20"/>
    </w:rPr>
  </w:style>
  <w:style w:type="paragraph" w:styleId="TOC3">
    <w:name w:val="toc 3"/>
    <w:basedOn w:val="Normal"/>
    <w:next w:val="Normal"/>
    <w:autoRedefine/>
    <w:uiPriority w:val="39"/>
    <w:unhideWhenUsed/>
    <w:qFormat/>
    <w:locked/>
    <w:pPr>
      <w:spacing w:after="100" w:line="270" w:lineRule="atLeast"/>
      <w:ind w:left="400"/>
    </w:pPr>
    <w:rPr>
      <w:rFonts w:ascii="Constantia" w:eastAsiaTheme="minorEastAsia" w:hAnsi="Constantia" w:cstheme="minorBidi"/>
      <w:sz w:val="20"/>
    </w:rPr>
  </w:style>
  <w:style w:type="paragraph" w:styleId="TableofFigures">
    <w:name w:val="table of figures"/>
    <w:basedOn w:val="Normal"/>
    <w:next w:val="Normal"/>
    <w:uiPriority w:val="99"/>
    <w:unhideWhenUsed/>
    <w:pPr>
      <w:spacing w:after="0" w:line="270" w:lineRule="atLeast"/>
    </w:pPr>
    <w:rPr>
      <w:rFonts w:ascii="Constantia" w:eastAsiaTheme="minorEastAsia" w:hAnsi="Constantia" w:cstheme="minorBidi"/>
      <w:sz w:val="20"/>
    </w:rPr>
  </w:style>
  <w:style w:type="paragraph" w:customStyle="1" w:styleId="Family">
    <w:name w:val="Family"/>
    <w:basedOn w:val="Normal"/>
    <w:pPr>
      <w:tabs>
        <w:tab w:val="left" w:pos="-720"/>
      </w:tabs>
      <w:suppressAutoHyphens/>
      <w:spacing w:after="120" w:line="240" w:lineRule="auto"/>
      <w:jc w:val="both"/>
    </w:pPr>
    <w:rPr>
      <w:rFonts w:ascii="Book Antiqua" w:eastAsia="Times New Roman" w:hAnsi="Book Antiqua"/>
      <w:spacing w:val="-2"/>
      <w:sz w:val="20"/>
      <w:szCs w:val="20"/>
    </w:rPr>
  </w:style>
  <w:style w:type="character" w:customStyle="1" w:styleId="TitleChar">
    <w:name w:val="Title Char"/>
    <w:basedOn w:val="DefaultParagraphFont"/>
    <w:link w:val="Title"/>
    <w:uiPriority w:val="10"/>
    <w:rPr>
      <w:rFonts w:ascii="Book Antiqua" w:eastAsiaTheme="majorEastAsia" w:hAnsi="Book Antiqua" w:cstheme="majorBidi"/>
      <w:spacing w:val="5"/>
      <w:kern w:val="28"/>
      <w:sz w:val="20"/>
      <w:szCs w:val="20"/>
    </w:rPr>
  </w:style>
  <w:style w:type="paragraph" w:styleId="Title">
    <w:name w:val="Title"/>
    <w:basedOn w:val="Normal"/>
    <w:next w:val="Normal"/>
    <w:link w:val="TitleChar"/>
    <w:uiPriority w:val="10"/>
    <w:qFormat/>
    <w:locked/>
    <w:pPr>
      <w:tabs>
        <w:tab w:val="left" w:pos="-720"/>
      </w:tabs>
      <w:suppressAutoHyphens/>
      <w:spacing w:after="300" w:line="240" w:lineRule="auto"/>
      <w:contextualSpacing/>
      <w:jc w:val="center"/>
    </w:pPr>
    <w:rPr>
      <w:rFonts w:ascii="Book Antiqua" w:eastAsiaTheme="majorEastAsia" w:hAnsi="Book Antiqua" w:cstheme="majorBidi"/>
      <w:spacing w:val="5"/>
      <w:kern w:val="28"/>
      <w:sz w:val="20"/>
      <w:szCs w:val="20"/>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lang w:val="bg-BG" w:eastAsia="bg-BG"/>
    </w:rPr>
  </w:style>
  <w:style w:type="paragraph" w:customStyle="1" w:styleId="Maintext">
    <w:name w:val="Main text"/>
    <w:basedOn w:val="Normal"/>
    <w:link w:val="MaintextChar"/>
    <w:uiPriority w:val="99"/>
    <w:qFormat/>
    <w:pPr>
      <w:spacing w:after="120" w:line="288" w:lineRule="auto"/>
      <w:jc w:val="both"/>
    </w:pPr>
    <w:rPr>
      <w:rFonts w:ascii="Book Antiqua" w:eastAsia="Times New Roman" w:hAnsi="Book Antiqua"/>
    </w:rPr>
  </w:style>
  <w:style w:type="character" w:customStyle="1" w:styleId="MaintextChar">
    <w:name w:val="Main text Char"/>
    <w:basedOn w:val="DefaultParagraphFont"/>
    <w:link w:val="Maintext"/>
    <w:uiPriority w:val="99"/>
    <w:rPr>
      <w:rFonts w:ascii="Book Antiqua" w:eastAsia="Times New Roman" w:hAnsi="Book Antiqua"/>
      <w:lang w:val="bg-BG" w:eastAsia="bg-BG"/>
    </w:rPr>
  </w:style>
  <w:style w:type="paragraph" w:customStyle="1" w:styleId="4h28">
    <w:name w:val="4=h2.8"/>
    <w:basedOn w:val="Default"/>
    <w:next w:val="Default"/>
    <w:uiPriority w:val="99"/>
    <w:rPr>
      <w:rFonts w:ascii="Arial" w:eastAsiaTheme="minorHAnsi" w:hAnsi="Arial" w:cs="Arial"/>
      <w:color w:val="auto"/>
    </w:rPr>
  </w:style>
  <w:style w:type="paragraph" w:customStyle="1" w:styleId="xl66">
    <w:name w:val="xl66"/>
    <w:basedOn w:val="Normal"/>
    <w:pPr>
      <w:spacing w:before="100" w:beforeAutospacing="1" w:after="100" w:afterAutospacing="1" w:line="240" w:lineRule="auto"/>
    </w:pPr>
    <w:rPr>
      <w:rFonts w:ascii="Times New Roman" w:eastAsia="Times New Roman" w:hAnsi="Times New Roman"/>
      <w:b/>
      <w:bCs/>
      <w:sz w:val="24"/>
      <w:szCs w:val="24"/>
    </w:rPr>
  </w:style>
  <w:style w:type="paragraph" w:customStyle="1" w:styleId="xl67">
    <w:name w:val="xl67"/>
    <w:basedOn w:val="Normal"/>
    <w:pPr>
      <w:spacing w:before="100" w:beforeAutospacing="1" w:after="100" w:afterAutospacing="1" w:line="240" w:lineRule="auto"/>
    </w:pPr>
    <w:rPr>
      <w:rFonts w:ascii="Times New Roman" w:eastAsia="Times New Roman" w:hAnsi="Times New Roman"/>
      <w:b/>
      <w:bCs/>
      <w:sz w:val="24"/>
      <w:szCs w:val="24"/>
    </w:rPr>
  </w:style>
  <w:style w:type="paragraph" w:customStyle="1" w:styleId="xl68">
    <w:name w:val="xl68"/>
    <w:basedOn w:val="Normal"/>
    <w:pPr>
      <w:spacing w:before="100" w:beforeAutospacing="1" w:after="100" w:afterAutospacing="1" w:line="240" w:lineRule="auto"/>
    </w:pPr>
    <w:rPr>
      <w:rFonts w:ascii="Times New Roman" w:eastAsia="Times New Roman" w:hAnsi="Times New Roman"/>
      <w:i/>
      <w:iCs/>
      <w:sz w:val="24"/>
      <w:szCs w:val="24"/>
    </w:rPr>
  </w:style>
  <w:style w:type="paragraph" w:customStyle="1" w:styleId="xl69">
    <w:name w:val="xl69"/>
    <w:basedOn w:val="Normal"/>
    <w:pPr>
      <w:spacing w:before="100" w:beforeAutospacing="1" w:after="100" w:afterAutospacing="1" w:line="240" w:lineRule="auto"/>
    </w:pPr>
    <w:rPr>
      <w:rFonts w:ascii="Times New Roman" w:eastAsia="Times New Roman" w:hAnsi="Times New Roman"/>
      <w:b/>
      <w:bCs/>
      <w:i/>
      <w:iCs/>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bg-BG" w:eastAsia="bg-BG"/>
    </w:rPr>
  </w:style>
  <w:style w:type="character" w:customStyle="1" w:styleId="apple-converted-space">
    <w:name w:val="apple-converted-space"/>
    <w:basedOn w:val="DefaultParagraphFont"/>
  </w:style>
  <w:style w:type="paragraph" w:customStyle="1" w:styleId="xl63">
    <w:name w:val="xl63"/>
    <w:basedOn w:val="Normal"/>
    <w:pPr>
      <w:spacing w:before="100" w:beforeAutospacing="1" w:after="100" w:afterAutospacing="1" w:line="240" w:lineRule="auto"/>
    </w:pPr>
    <w:rPr>
      <w:rFonts w:ascii="Helvetica" w:eastAsia="Times New Roman" w:hAnsi="Helvetica"/>
      <w:b/>
      <w:bCs/>
      <w:sz w:val="16"/>
      <w:szCs w:val="16"/>
    </w:rPr>
  </w:style>
  <w:style w:type="paragraph" w:customStyle="1" w:styleId="xl64">
    <w:name w:val="xl64"/>
    <w:basedOn w:val="Normal"/>
    <w:pPr>
      <w:spacing w:before="100" w:beforeAutospacing="1" w:after="100" w:afterAutospacing="1" w:line="240" w:lineRule="auto"/>
    </w:pPr>
    <w:rPr>
      <w:rFonts w:ascii="Helvetica" w:eastAsia="Times New Roman" w:hAnsi="Helvetica"/>
      <w:i/>
      <w:iCs/>
      <w:sz w:val="16"/>
      <w:szCs w:val="16"/>
    </w:rPr>
  </w:style>
  <w:style w:type="paragraph" w:customStyle="1" w:styleId="xl65">
    <w:name w:val="xl65"/>
    <w:basedOn w:val="Normal"/>
    <w:pPr>
      <w:spacing w:before="100" w:beforeAutospacing="1" w:after="100" w:afterAutospacing="1" w:line="240" w:lineRule="auto"/>
    </w:pPr>
    <w:rPr>
      <w:rFonts w:ascii="Helvetica" w:eastAsia="Times New Roman" w:hAnsi="Helvetica"/>
      <w:sz w:val="16"/>
      <w:szCs w:val="16"/>
    </w:rPr>
  </w:style>
  <w:style w:type="paragraph" w:customStyle="1" w:styleId="xl70">
    <w:name w:val="xl70"/>
    <w:basedOn w:val="Normal"/>
    <w:pPr>
      <w:spacing w:before="100" w:beforeAutospacing="1" w:after="100" w:afterAutospacing="1" w:line="240" w:lineRule="auto"/>
    </w:pPr>
    <w:rPr>
      <w:rFonts w:ascii="Helvetica" w:eastAsia="Times New Roman" w:hAnsi="Helvetica"/>
      <w:b/>
      <w:bCs/>
      <w:sz w:val="16"/>
      <w:szCs w:val="16"/>
    </w:rPr>
  </w:style>
  <w:style w:type="paragraph" w:customStyle="1" w:styleId="xl71">
    <w:name w:val="xl71"/>
    <w:basedOn w:val="Normal"/>
    <w:pPr>
      <w:spacing w:before="100" w:beforeAutospacing="1" w:after="100" w:afterAutospacing="1" w:line="240" w:lineRule="auto"/>
    </w:pPr>
    <w:rPr>
      <w:rFonts w:ascii="Helvetica" w:eastAsia="Times New Roman" w:hAnsi="Helvetica"/>
      <w:b/>
      <w:bCs/>
      <w:sz w:val="16"/>
      <w:szCs w:val="16"/>
    </w:rPr>
  </w:style>
  <w:style w:type="paragraph" w:customStyle="1" w:styleId="xl72">
    <w:name w:val="xl72"/>
    <w:basedOn w:val="Normal"/>
    <w:pPr>
      <w:spacing w:before="100" w:beforeAutospacing="1" w:after="100" w:afterAutospacing="1" w:line="240" w:lineRule="auto"/>
    </w:pPr>
    <w:rPr>
      <w:rFonts w:ascii="Helvetica" w:eastAsia="Times New Roman" w:hAnsi="Helvetica"/>
      <w:sz w:val="16"/>
      <w:szCs w:val="16"/>
    </w:rPr>
  </w:style>
  <w:style w:type="paragraph" w:customStyle="1" w:styleId="xl73">
    <w:name w:val="xl73"/>
    <w:basedOn w:val="Normal"/>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unhideWhenUsed/>
    <w:pPr>
      <w:spacing w:after="0" w:line="240" w:lineRule="auto"/>
    </w:pPr>
    <w:rPr>
      <w:rFonts w:asciiTheme="minorHAnsi" w:eastAsiaTheme="minorEastAsia" w:hAnsiTheme="minorHAnsi" w:cstheme="minorBidi"/>
      <w:sz w:val="20"/>
      <w:szCs w:val="32"/>
    </w:rPr>
  </w:style>
  <w:style w:type="character" w:customStyle="1" w:styleId="EndnoteTextChar">
    <w:name w:val="Endnote Text Char"/>
    <w:basedOn w:val="DefaultParagraphFont"/>
    <w:link w:val="EndnoteText"/>
    <w:uiPriority w:val="99"/>
    <w:rPr>
      <w:rFonts w:asciiTheme="minorHAnsi" w:eastAsiaTheme="minorEastAsia" w:hAnsiTheme="minorHAnsi" w:cstheme="minorBidi"/>
      <w:sz w:val="20"/>
      <w:szCs w:val="32"/>
      <w:lang w:val="bg-BG" w:eastAsia="bg-BG"/>
    </w:rPr>
  </w:style>
  <w:style w:type="table" w:customStyle="1" w:styleId="UNEP-WCMCtable1">
    <w:name w:val="UNEP-WCMC table1"/>
    <w:basedOn w:val="TableNormal"/>
    <w:uiPriority w:val="99"/>
    <w:qFormat/>
    <w:rPr>
      <w:rFonts w:asciiTheme="minorHAnsi" w:eastAsiaTheme="minorEastAsia" w:hAnsiTheme="minorHAnsi" w:cstheme="minorBidi"/>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
    <w:tcPr>
      <w:shd w:val="clear" w:color="auto" w:fill="auto"/>
    </w:tcPr>
    <w:tblStylePr w:type="firstRow">
      <w:rPr>
        <w:rFonts w:ascii="Helvetica" w:hAnsi="Helvetica"/>
        <w:b/>
        <w:color w:val="FFFFFF" w:themeColor="background1"/>
        <w:sz w:val="20"/>
      </w:rPr>
      <w:tblPr/>
      <w:tcPr>
        <w:shd w:val="clear" w:color="auto" w:fill="007C9A"/>
      </w:tcPr>
    </w:tblStylePr>
    <w:tblStylePr w:type="band1Horz">
      <w:rPr>
        <w:rFonts w:ascii="Helvetica" w:hAnsi="Helvetica"/>
        <w:sz w:val="16"/>
      </w:rPr>
    </w:tblStylePr>
    <w:tblStylePr w:type="band2Horz">
      <w:rPr>
        <w:rFonts w:ascii="Helvetica" w:hAnsi="Helvetica"/>
        <w:sz w:val="16"/>
      </w:rPr>
    </w:tblStylePr>
  </w:style>
  <w:style w:type="paragraph" w:customStyle="1" w:styleId="ST">
    <w:name w:val="ST"/>
    <w:basedOn w:val="Normal"/>
    <w:qFormat/>
    <w:pPr>
      <w:widowControl w:val="0"/>
      <w:spacing w:after="120" w:line="240" w:lineRule="auto"/>
      <w:outlineLvl w:val="0"/>
    </w:pPr>
    <w:rPr>
      <w:rFonts w:ascii="Times New Roman" w:eastAsia="Times New Roman" w:hAnsi="Times New Roman" w:cstheme="majorBidi"/>
      <w:bCs/>
      <w:sz w:val="24"/>
    </w:rPr>
  </w:style>
  <w:style w:type="paragraph" w:customStyle="1" w:styleId="STcountry">
    <w:name w:val="ST country"/>
    <w:basedOn w:val="Normal"/>
    <w:qFormat/>
    <w:pPr>
      <w:widowControl w:val="0"/>
      <w:adjustRightInd w:val="0"/>
      <w:spacing w:after="240" w:line="360" w:lineRule="atLeast"/>
      <w:jc w:val="center"/>
      <w:textAlignment w:val="baseline"/>
    </w:pPr>
    <w:rPr>
      <w:rFonts w:ascii="Times New Roman" w:eastAsia="Times New Roman" w:hAnsi="Times New Roman"/>
      <w:b/>
      <w:smallCaps/>
      <w:sz w:val="24"/>
    </w:rPr>
  </w:style>
  <w:style w:type="paragraph" w:customStyle="1" w:styleId="STtableheading">
    <w:name w:val="ST table heading"/>
    <w:basedOn w:val="ST"/>
    <w:qFormat/>
    <w:pPr>
      <w:spacing w:after="0"/>
    </w:pPr>
    <w:rPr>
      <w:rFonts w:cs="Times New Roman"/>
      <w:b/>
      <w:sz w:val="20"/>
      <w:szCs w:val="20"/>
    </w:rPr>
  </w:style>
  <w:style w:type="paragraph" w:customStyle="1" w:styleId="STtable">
    <w:name w:val="ST table"/>
    <w:basedOn w:val="Normal"/>
    <w:qFormat/>
    <w:pPr>
      <w:widowControl w:val="0"/>
      <w:adjustRightInd w:val="0"/>
      <w:spacing w:after="0" w:line="240" w:lineRule="auto"/>
      <w:textAlignment w:val="baseline"/>
    </w:pPr>
    <w:rPr>
      <w:rFonts w:ascii="Times New Roman" w:eastAsia="Times New Roman" w:hAnsi="Times New Roman"/>
      <w:sz w:val="20"/>
    </w:rPr>
  </w:style>
  <w:style w:type="paragraph" w:customStyle="1" w:styleId="STtablenumbers">
    <w:name w:val="ST table numbers"/>
    <w:basedOn w:val="Normal"/>
    <w:qFormat/>
    <w:pPr>
      <w:spacing w:after="0" w:line="240" w:lineRule="auto"/>
      <w:jc w:val="right"/>
    </w:pPr>
    <w:rPr>
      <w:rFonts w:ascii="Times New Roman" w:eastAsia="Times New Roman" w:hAnsi="Times New Roman"/>
      <w:color w:val="000000"/>
      <w:sz w:val="20"/>
      <w:szCs w:val="20"/>
    </w:rPr>
  </w:style>
  <w:style w:type="paragraph" w:customStyle="1" w:styleId="STrefs">
    <w:name w:val="ST refs"/>
    <w:basedOn w:val="Normal"/>
    <w:qFormat/>
    <w:pPr>
      <w:widowControl w:val="0"/>
      <w:adjustRightInd w:val="0"/>
      <w:spacing w:after="120" w:line="240" w:lineRule="auto"/>
      <w:ind w:left="425" w:hanging="425"/>
      <w:textAlignment w:val="baseline"/>
    </w:pPr>
    <w:rPr>
      <w:rFonts w:ascii="Times New Roman" w:eastAsiaTheme="minorEastAsia" w:hAnsi="Times New Roman" w:cs="Book Antiqua"/>
      <w:sz w:val="24"/>
    </w:rPr>
  </w:style>
  <w:style w:type="character" w:styleId="PageNumber">
    <w:name w:val="page number"/>
    <w:basedOn w:val="DefaultParagraphFont"/>
  </w:style>
  <w:style w:type="paragraph" w:customStyle="1" w:styleId="chap3">
    <w:name w:val="chap 3"/>
    <w:basedOn w:val="Normal"/>
    <w:link w:val="chap3Char"/>
    <w:qFormat/>
    <w:pPr>
      <w:spacing w:before="120" w:after="0" w:line="288" w:lineRule="auto"/>
      <w:jc w:val="both"/>
    </w:pPr>
    <w:rPr>
      <w:rFonts w:ascii="Book Antiqua" w:eastAsia="Times New Roman" w:hAnsi="Book Antiqua"/>
    </w:rPr>
  </w:style>
  <w:style w:type="character" w:customStyle="1" w:styleId="chap3Char">
    <w:name w:val="chap 3 Char"/>
    <w:basedOn w:val="DefaultParagraphFont"/>
    <w:link w:val="chap3"/>
    <w:rPr>
      <w:rFonts w:ascii="Book Antiqua" w:eastAsia="Times New Roman" w:hAnsi="Book Antiqua"/>
      <w:lang w:val="bg-BG" w:eastAsia="bg-BG"/>
    </w:rPr>
  </w:style>
  <w:style w:type="paragraph" w:customStyle="1" w:styleId="Figureheading">
    <w:name w:val="Figure heading"/>
    <w:basedOn w:val="Normal"/>
    <w:link w:val="FigureheadingChar"/>
    <w:qFormat/>
    <w:pPr>
      <w:spacing w:after="120" w:line="240" w:lineRule="auto"/>
      <w:jc w:val="both"/>
    </w:pPr>
    <w:rPr>
      <w:rFonts w:ascii="Book Antiqua" w:eastAsia="Times New Roman" w:hAnsi="Book Antiqua"/>
      <w:b/>
      <w:sz w:val="20"/>
      <w:szCs w:val="20"/>
    </w:rPr>
  </w:style>
  <w:style w:type="character" w:customStyle="1" w:styleId="FigureheadingChar">
    <w:name w:val="Figure heading Char"/>
    <w:basedOn w:val="DefaultParagraphFont"/>
    <w:link w:val="Figureheading"/>
    <w:rPr>
      <w:rFonts w:ascii="Book Antiqua" w:eastAsia="Times New Roman" w:hAnsi="Book Antiqua"/>
      <w:b/>
      <w:sz w:val="20"/>
      <w:szCs w:val="20"/>
      <w:lang w:val="bg-BG" w:eastAsia="bg-BG"/>
    </w:rPr>
  </w:style>
  <w:style w:type="paragraph" w:customStyle="1" w:styleId="maintext0">
    <w:name w:val="main text"/>
    <w:basedOn w:val="Normal"/>
    <w:link w:val="maintextChar0"/>
    <w:autoRedefine/>
    <w:pPr>
      <w:spacing w:before="120" w:after="120" w:line="288" w:lineRule="auto"/>
      <w:jc w:val="both"/>
    </w:pPr>
    <w:rPr>
      <w:rFonts w:ascii="Book Antiqua" w:eastAsia="Times New Roman" w:hAnsi="Book Antiqua"/>
    </w:rPr>
  </w:style>
  <w:style w:type="character" w:customStyle="1" w:styleId="maintextChar0">
    <w:name w:val="main text Char"/>
    <w:basedOn w:val="DefaultParagraphFont"/>
    <w:link w:val="maintext0"/>
    <w:rPr>
      <w:rFonts w:ascii="Book Antiqua" w:eastAsia="Times New Roman" w:hAnsi="Book Antiqua"/>
      <w:lang w:val="bg-BG" w:eastAsia="bg-BG"/>
    </w:rPr>
  </w:style>
  <w:style w:type="paragraph" w:customStyle="1" w:styleId="Tabletitle">
    <w:name w:val="Table title"/>
    <w:basedOn w:val="Table1"/>
    <w:link w:val="TabletitleChar"/>
    <w:qFormat/>
    <w:pPr>
      <w:spacing w:after="120"/>
      <w:ind w:left="0"/>
    </w:pPr>
  </w:style>
  <w:style w:type="paragraph" w:customStyle="1" w:styleId="Table1">
    <w:name w:val="Table1"/>
    <w:basedOn w:val="Normal"/>
    <w:autoRedefine/>
    <w:pPr>
      <w:keepNext/>
      <w:keepLines/>
      <w:spacing w:after="0" w:line="288" w:lineRule="auto"/>
      <w:ind w:left="360"/>
    </w:pPr>
    <w:rPr>
      <w:rFonts w:ascii="Book Antiqua" w:eastAsia="Times New Roman" w:hAnsi="Book Antiqua"/>
      <w:b/>
      <w:bCs/>
      <w:snapToGrid w:val="0"/>
      <w:sz w:val="20"/>
      <w:szCs w:val="20"/>
    </w:rPr>
  </w:style>
  <w:style w:type="paragraph" w:customStyle="1" w:styleId="HeaderRow">
    <w:name w:val="Header Row"/>
    <w:basedOn w:val="Normal"/>
    <w:pPr>
      <w:spacing w:before="60" w:after="60" w:line="240" w:lineRule="auto"/>
    </w:pPr>
    <w:rPr>
      <w:rFonts w:ascii="Book Antiqua" w:eastAsia="Times New Roman" w:hAnsi="Book Antiqua"/>
      <w:b/>
      <w:sz w:val="20"/>
      <w:szCs w:val="24"/>
    </w:rPr>
  </w:style>
  <w:style w:type="paragraph" w:customStyle="1" w:styleId="Tablecontent">
    <w:name w:val="Table content"/>
    <w:basedOn w:val="Normal"/>
    <w:qFormat/>
    <w:pPr>
      <w:spacing w:before="60" w:after="0" w:line="240" w:lineRule="auto"/>
    </w:pPr>
    <w:rPr>
      <w:rFonts w:ascii="Book Antiqua" w:eastAsia="Times New Roman" w:hAnsi="Book Antiqua"/>
      <w:sz w:val="20"/>
      <w:szCs w:val="24"/>
    </w:rPr>
  </w:style>
  <w:style w:type="paragraph" w:customStyle="1" w:styleId="xl27">
    <w:name w:val="xl27"/>
    <w:basedOn w:val="Normal"/>
    <w:pPr>
      <w:spacing w:before="100" w:beforeAutospacing="1" w:after="100" w:afterAutospacing="1" w:line="240" w:lineRule="auto"/>
    </w:pPr>
    <w:rPr>
      <w:rFonts w:ascii="Arial" w:eastAsia="Times New Roman" w:hAnsi="Arial" w:cs="Arial"/>
      <w:sz w:val="24"/>
      <w:szCs w:val="24"/>
    </w:rPr>
  </w:style>
  <w:style w:type="paragraph" w:customStyle="1" w:styleId="Figuretitle">
    <w:name w:val="Figure title"/>
    <w:basedOn w:val="Normal"/>
    <w:qFormat/>
    <w:pPr>
      <w:spacing w:before="120" w:after="0" w:line="288" w:lineRule="auto"/>
      <w:jc w:val="both"/>
    </w:pPr>
    <w:rPr>
      <w:rFonts w:ascii="Book Antiqua" w:eastAsia="Times New Roman" w:hAnsi="Book Antiqua" w:cs="Arial"/>
      <w:b/>
      <w:sz w:val="20"/>
      <w:szCs w:val="20"/>
    </w:rPr>
  </w:style>
  <w:style w:type="paragraph" w:customStyle="1" w:styleId="diagtable">
    <w:name w:val="diag_table"/>
    <w:basedOn w:val="maintext0"/>
  </w:style>
  <w:style w:type="paragraph" w:styleId="BodyText3">
    <w:name w:val="Body Text 3"/>
    <w:basedOn w:val="Normal"/>
    <w:link w:val="BodyText3Char"/>
    <w:pPr>
      <w:spacing w:after="0" w:line="240" w:lineRule="auto"/>
    </w:pPr>
    <w:rPr>
      <w:rFonts w:ascii="Book Antiqua" w:eastAsia="Times New Roman" w:hAnsi="Book Antiqua"/>
      <w:b/>
      <w:bCs/>
      <w:szCs w:val="24"/>
    </w:rPr>
  </w:style>
  <w:style w:type="character" w:customStyle="1" w:styleId="BodyText3Char">
    <w:name w:val="Body Text 3 Char"/>
    <w:basedOn w:val="DefaultParagraphFont"/>
    <w:link w:val="BodyText3"/>
    <w:rPr>
      <w:rFonts w:ascii="Book Antiqua" w:eastAsia="Times New Roman" w:hAnsi="Book Antiqua"/>
      <w:b/>
      <w:bCs/>
      <w:szCs w:val="24"/>
      <w:lang w:val="bg-BG" w:eastAsia="bg-BG"/>
    </w:rPr>
  </w:style>
  <w:style w:type="paragraph" w:customStyle="1" w:styleId="TableContent0">
    <w:name w:val="Table Content"/>
    <w:basedOn w:val="maintext0"/>
  </w:style>
  <w:style w:type="paragraph" w:customStyle="1" w:styleId="Ch3summarytext">
    <w:name w:val="Ch3 summary text"/>
    <w:basedOn w:val="maintext0"/>
    <w:next w:val="maintext0"/>
  </w:style>
  <w:style w:type="paragraph" w:customStyle="1" w:styleId="maintext1">
    <w:name w:val="maintext"/>
    <w:basedOn w:val="Normal"/>
    <w:pPr>
      <w:spacing w:after="120" w:line="288" w:lineRule="auto"/>
      <w:jc w:val="both"/>
    </w:pPr>
    <w:rPr>
      <w:rFonts w:ascii="Book Antiqua" w:hAnsi="Book Antiqua"/>
    </w:rPr>
  </w:style>
  <w:style w:type="paragraph" w:styleId="BodyText2">
    <w:name w:val="Body Text 2"/>
    <w:basedOn w:val="Normal"/>
    <w:link w:val="BodyText2Char"/>
    <w:pPr>
      <w:spacing w:after="0" w:line="240" w:lineRule="auto"/>
      <w:jc w:val="center"/>
    </w:pPr>
    <w:rPr>
      <w:rFonts w:ascii="Book Antiqua" w:eastAsia="Times New Roman" w:hAnsi="Book Antiqua"/>
      <w:szCs w:val="24"/>
    </w:rPr>
  </w:style>
  <w:style w:type="character" w:customStyle="1" w:styleId="BodyText2Char">
    <w:name w:val="Body Text 2 Char"/>
    <w:basedOn w:val="DefaultParagraphFont"/>
    <w:link w:val="BodyText2"/>
    <w:rPr>
      <w:rFonts w:ascii="Book Antiqua" w:eastAsia="Times New Roman" w:hAnsi="Book Antiqua"/>
      <w:szCs w:val="24"/>
      <w:lang w:val="bg-BG" w:eastAsia="bg-BG"/>
    </w:rPr>
  </w:style>
  <w:style w:type="paragraph" w:styleId="BodyText">
    <w:name w:val="Body Text"/>
    <w:basedOn w:val="Normal"/>
    <w:link w:val="BodyTextChar"/>
    <w:pPr>
      <w:spacing w:after="0" w:line="240" w:lineRule="auto"/>
    </w:pPr>
    <w:rPr>
      <w:rFonts w:ascii="Book Antiqua" w:eastAsia="Times New Roman" w:hAnsi="Book Antiqua"/>
      <w:szCs w:val="24"/>
    </w:rPr>
  </w:style>
  <w:style w:type="character" w:customStyle="1" w:styleId="BodyTextChar">
    <w:name w:val="Body Text Char"/>
    <w:basedOn w:val="DefaultParagraphFont"/>
    <w:link w:val="BodyText"/>
    <w:rPr>
      <w:rFonts w:ascii="Book Antiqua" w:eastAsia="Times New Roman" w:hAnsi="Book Antiqua"/>
      <w:szCs w:val="24"/>
      <w:lang w:val="bg-BG" w:eastAsia="bg-BG"/>
    </w:rPr>
  </w:style>
  <w:style w:type="paragraph" w:customStyle="1" w:styleId="Tableheading">
    <w:name w:val="Table heading"/>
    <w:basedOn w:val="Normal"/>
    <w:link w:val="TableheadingChar"/>
    <w:qFormat/>
    <w:pPr>
      <w:spacing w:after="0" w:line="240" w:lineRule="auto"/>
    </w:pPr>
    <w:rPr>
      <w:rFonts w:ascii="Book Antiqua" w:eastAsia="Times New Roman" w:hAnsi="Book Antiqua"/>
      <w:b/>
      <w:sz w:val="20"/>
      <w:szCs w:val="20"/>
    </w:rPr>
  </w:style>
  <w:style w:type="character" w:customStyle="1" w:styleId="TableheadingChar">
    <w:name w:val="Table heading Char"/>
    <w:basedOn w:val="chap3Char"/>
    <w:link w:val="Tableheading"/>
    <w:rPr>
      <w:rFonts w:ascii="Book Antiqua" w:eastAsia="Times New Roman" w:hAnsi="Book Antiqua"/>
      <w:b/>
      <w:sz w:val="20"/>
      <w:szCs w:val="20"/>
      <w:lang w:val="bg-BG" w:eastAsia="bg-BG"/>
    </w:rPr>
  </w:style>
  <w:style w:type="paragraph" w:customStyle="1" w:styleId="MainText2">
    <w:name w:val="Main Text"/>
    <w:basedOn w:val="Normal"/>
    <w:link w:val="MainTextChar1"/>
    <w:pPr>
      <w:spacing w:after="0" w:line="240" w:lineRule="auto"/>
      <w:jc w:val="both"/>
    </w:pPr>
    <w:rPr>
      <w:rFonts w:ascii="Book Antiqua" w:eastAsia="Times New Roman" w:hAnsi="Book Antiqua"/>
      <w:szCs w:val="24"/>
    </w:rPr>
  </w:style>
  <w:style w:type="character" w:customStyle="1" w:styleId="MainTextChar1">
    <w:name w:val="Main Text Char"/>
    <w:basedOn w:val="DefaultParagraphFont"/>
    <w:link w:val="MainText2"/>
    <w:rPr>
      <w:rFonts w:ascii="Book Antiqua" w:eastAsia="Times New Roman" w:hAnsi="Book Antiqua"/>
      <w:szCs w:val="24"/>
      <w:lang w:val="bg-BG" w:eastAsia="bg-BG"/>
    </w:rPr>
  </w:style>
  <w:style w:type="numbering" w:customStyle="1" w:styleId="NoList1">
    <w:name w:val="No List1"/>
    <w:next w:val="NoList"/>
    <w:uiPriority w:val="99"/>
    <w:semiHidden/>
    <w:unhideWhenUsed/>
  </w:style>
  <w:style w:type="paragraph" w:customStyle="1" w:styleId="CenteredText">
    <w:name w:val="CenteredText"/>
    <w:basedOn w:val="Normal"/>
    <w:pPr>
      <w:spacing w:after="0" w:line="240" w:lineRule="auto"/>
      <w:jc w:val="center"/>
    </w:pPr>
    <w:rPr>
      <w:rFonts w:ascii="Arial" w:eastAsia="Times New Roman" w:hAnsi="Arial" w:cs="Arial"/>
      <w:sz w:val="24"/>
      <w:szCs w:val="24"/>
    </w:rPr>
  </w:style>
  <w:style w:type="paragraph" w:customStyle="1" w:styleId="maintextbullet">
    <w:name w:val="main text.bullet"/>
    <w:basedOn w:val="maintext0"/>
  </w:style>
  <w:style w:type="paragraph" w:customStyle="1" w:styleId="maintext1abc">
    <w:name w:val="main text.1.a)b)c)"/>
    <w:basedOn w:val="Normal"/>
    <w:pPr>
      <w:tabs>
        <w:tab w:val="num" w:pos="851"/>
      </w:tabs>
      <w:spacing w:after="0" w:line="240" w:lineRule="auto"/>
      <w:ind w:left="851" w:hanging="445"/>
    </w:pPr>
    <w:rPr>
      <w:rFonts w:ascii="Book Antiqua" w:eastAsia="Times New Roman" w:hAnsi="Book Antiqua"/>
      <w:sz w:val="24"/>
      <w:szCs w:val="24"/>
    </w:rPr>
  </w:style>
  <w:style w:type="paragraph" w:customStyle="1" w:styleId="Header1">
    <w:name w:val="Header1"/>
    <w:basedOn w:val="Normal"/>
    <w:pPr>
      <w:spacing w:after="240" w:line="240" w:lineRule="auto"/>
      <w:jc w:val="both"/>
    </w:pPr>
    <w:rPr>
      <w:rFonts w:ascii="Book Antiqua" w:eastAsia="Times New Roman" w:hAnsi="Book Antiqua"/>
      <w:b/>
      <w:bCs/>
      <w:sz w:val="36"/>
      <w:szCs w:val="36"/>
    </w:rPr>
  </w:style>
  <w:style w:type="paragraph" w:customStyle="1" w:styleId="maintext1bullet">
    <w:name w:val="main text.1.bullet"/>
    <w:basedOn w:val="Normal"/>
    <w:pPr>
      <w:tabs>
        <w:tab w:val="num" w:pos="738"/>
      </w:tabs>
      <w:spacing w:after="0" w:line="240" w:lineRule="auto"/>
      <w:ind w:left="738" w:hanging="360"/>
    </w:pPr>
    <w:rPr>
      <w:rFonts w:ascii="Book Antiqua" w:eastAsia="Times New Roman" w:hAnsi="Book Antiqua"/>
      <w:sz w:val="24"/>
      <w:szCs w:val="24"/>
    </w:rPr>
  </w:style>
  <w:style w:type="paragraph" w:customStyle="1" w:styleId="subpararomannum">
    <w:name w:val="sub para roman num"/>
    <w:basedOn w:val="Normal"/>
    <w:pPr>
      <w:tabs>
        <w:tab w:val="num" w:pos="360"/>
        <w:tab w:val="num" w:pos="851"/>
      </w:tabs>
      <w:suppressAutoHyphens/>
      <w:spacing w:after="120" w:line="240" w:lineRule="auto"/>
      <w:ind w:left="851" w:hanging="425"/>
      <w:jc w:val="both"/>
    </w:pPr>
    <w:rPr>
      <w:rFonts w:ascii="Book Antiqua" w:eastAsia="Times New Roman" w:hAnsi="Book Antiqua"/>
      <w:spacing w:val="-2"/>
    </w:rPr>
  </w:style>
  <w:style w:type="paragraph" w:customStyle="1" w:styleId="xl25">
    <w:name w:val="xl25"/>
    <w:basedOn w:val="Normal"/>
    <w:pPr>
      <w:shd w:val="clear" w:color="auto" w:fill="FFFF00"/>
      <w:spacing w:before="100" w:beforeAutospacing="1" w:after="100" w:afterAutospacing="1" w:line="240" w:lineRule="auto"/>
    </w:pPr>
    <w:rPr>
      <w:rFonts w:ascii="Arial Unicode MS" w:eastAsia="Arial Unicode MS" w:hAnsi="Arial Unicode MS" w:cs="Arial Unicode MS"/>
      <w:sz w:val="20"/>
      <w:szCs w:val="24"/>
    </w:rPr>
  </w:style>
  <w:style w:type="paragraph" w:customStyle="1" w:styleId="xl26">
    <w:name w:val="xl26"/>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Arial Unicode MS" w:eastAsia="Arial Unicode MS" w:hAnsi="Arial Unicode MS" w:cs="Arial Unicode MS"/>
      <w:color w:val="000000"/>
      <w:sz w:val="20"/>
      <w:szCs w:val="24"/>
    </w:rPr>
  </w:style>
  <w:style w:type="paragraph" w:customStyle="1" w:styleId="xl28">
    <w:name w:val="xl28"/>
    <w:basedOn w:val="Normal"/>
    <w:pPr>
      <w:shd w:val="clear" w:color="000000" w:fill="FFFF00"/>
      <w:spacing w:before="100" w:beforeAutospacing="1" w:after="100" w:afterAutospacing="1" w:line="240" w:lineRule="auto"/>
    </w:pPr>
    <w:rPr>
      <w:rFonts w:ascii="Arial Unicode MS" w:eastAsia="Arial Unicode MS" w:hAnsi="Arial Unicode MS" w:cs="Arial Unicode MS"/>
      <w:color w:val="000000"/>
      <w:sz w:val="20"/>
      <w:szCs w:val="24"/>
    </w:rPr>
  </w:style>
  <w:style w:type="paragraph" w:customStyle="1" w:styleId="xl29">
    <w:name w:val="xl29"/>
    <w:basedOn w:val="Normal"/>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line="240" w:lineRule="auto"/>
    </w:pPr>
    <w:rPr>
      <w:rFonts w:ascii="Arial Unicode MS" w:eastAsia="Arial Unicode MS" w:hAnsi="Arial Unicode MS" w:cs="Arial Unicode MS"/>
      <w:color w:val="000000"/>
      <w:sz w:val="20"/>
      <w:szCs w:val="24"/>
    </w:rPr>
  </w:style>
  <w:style w:type="paragraph" w:styleId="TOC4">
    <w:name w:val="toc 4"/>
    <w:basedOn w:val="Normal"/>
    <w:next w:val="Normal"/>
    <w:autoRedefine/>
    <w:uiPriority w:val="39"/>
    <w:locked/>
    <w:pPr>
      <w:spacing w:after="0" w:line="240" w:lineRule="auto"/>
      <w:ind w:left="720"/>
    </w:pPr>
    <w:rPr>
      <w:rFonts w:asciiTheme="minorHAnsi" w:eastAsia="Times New Roman" w:hAnsiTheme="minorHAnsi"/>
      <w:sz w:val="20"/>
      <w:szCs w:val="20"/>
    </w:rPr>
  </w:style>
  <w:style w:type="paragraph" w:styleId="TOC5">
    <w:name w:val="toc 5"/>
    <w:basedOn w:val="Normal"/>
    <w:next w:val="Normal"/>
    <w:autoRedefine/>
    <w:uiPriority w:val="39"/>
    <w:locked/>
    <w:pPr>
      <w:spacing w:after="0" w:line="240" w:lineRule="auto"/>
      <w:ind w:left="960"/>
    </w:pPr>
    <w:rPr>
      <w:rFonts w:asciiTheme="minorHAnsi" w:eastAsia="Times New Roman" w:hAnsiTheme="minorHAnsi"/>
      <w:sz w:val="20"/>
      <w:szCs w:val="20"/>
    </w:rPr>
  </w:style>
  <w:style w:type="paragraph" w:styleId="TOC6">
    <w:name w:val="toc 6"/>
    <w:basedOn w:val="Normal"/>
    <w:next w:val="Normal"/>
    <w:autoRedefine/>
    <w:uiPriority w:val="39"/>
    <w:locked/>
    <w:pPr>
      <w:spacing w:after="0" w:line="240" w:lineRule="auto"/>
      <w:ind w:left="1200"/>
    </w:pPr>
    <w:rPr>
      <w:rFonts w:asciiTheme="minorHAnsi" w:eastAsia="Times New Roman" w:hAnsiTheme="minorHAnsi"/>
      <w:sz w:val="20"/>
      <w:szCs w:val="20"/>
    </w:rPr>
  </w:style>
  <w:style w:type="paragraph" w:styleId="TOC7">
    <w:name w:val="toc 7"/>
    <w:basedOn w:val="Normal"/>
    <w:next w:val="Normal"/>
    <w:autoRedefine/>
    <w:uiPriority w:val="39"/>
    <w:locked/>
    <w:pPr>
      <w:spacing w:after="0" w:line="240" w:lineRule="auto"/>
      <w:ind w:left="1440"/>
    </w:pPr>
    <w:rPr>
      <w:rFonts w:asciiTheme="minorHAnsi" w:eastAsia="Times New Roman" w:hAnsiTheme="minorHAnsi"/>
      <w:sz w:val="20"/>
      <w:szCs w:val="20"/>
    </w:rPr>
  </w:style>
  <w:style w:type="paragraph" w:styleId="TOC8">
    <w:name w:val="toc 8"/>
    <w:basedOn w:val="Normal"/>
    <w:next w:val="Normal"/>
    <w:autoRedefine/>
    <w:uiPriority w:val="39"/>
    <w:locked/>
    <w:pPr>
      <w:spacing w:after="0" w:line="240" w:lineRule="auto"/>
      <w:ind w:left="1680"/>
    </w:pPr>
    <w:rPr>
      <w:rFonts w:asciiTheme="minorHAnsi" w:eastAsia="Times New Roman" w:hAnsiTheme="minorHAnsi"/>
      <w:sz w:val="20"/>
      <w:szCs w:val="20"/>
    </w:rPr>
  </w:style>
  <w:style w:type="paragraph" w:styleId="TOC9">
    <w:name w:val="toc 9"/>
    <w:basedOn w:val="Normal"/>
    <w:next w:val="Normal"/>
    <w:autoRedefine/>
    <w:uiPriority w:val="39"/>
    <w:locked/>
    <w:pPr>
      <w:spacing w:after="0" w:line="240" w:lineRule="auto"/>
      <w:ind w:left="1920"/>
    </w:pPr>
    <w:rPr>
      <w:rFonts w:asciiTheme="minorHAnsi" w:eastAsia="Times New Roman" w:hAnsiTheme="minorHAnsi"/>
      <w:sz w:val="20"/>
      <w:szCs w:val="20"/>
    </w:rPr>
  </w:style>
  <w:style w:type="paragraph" w:customStyle="1" w:styleId="Headerrow0">
    <w:name w:val="Header row"/>
    <w:basedOn w:val="Tablecontent"/>
    <w:pPr>
      <w:spacing w:before="0"/>
    </w:pPr>
    <w:rPr>
      <w:rFonts w:cs="Arial"/>
      <w:b/>
      <w:szCs w:val="20"/>
    </w:rPr>
  </w:style>
  <w:style w:type="paragraph" w:customStyle="1" w:styleId="TableHeader">
    <w:name w:val="Table Header"/>
    <w:basedOn w:val="Normal"/>
    <w:pPr>
      <w:widowControl w:val="0"/>
      <w:tabs>
        <w:tab w:val="left" w:pos="480"/>
        <w:tab w:val="left" w:pos="720"/>
        <w:tab w:val="left" w:pos="3480"/>
        <w:tab w:val="left" w:pos="4800"/>
        <w:tab w:val="left" w:pos="6120"/>
        <w:tab w:val="right" w:pos="8760"/>
      </w:tabs>
      <w:suppressAutoHyphens/>
      <w:spacing w:after="0" w:line="240" w:lineRule="auto"/>
      <w:jc w:val="center"/>
    </w:pPr>
    <w:rPr>
      <w:rFonts w:ascii="Times New Roman" w:eastAsia="Times New Roman" w:hAnsi="Times New Roman"/>
      <w:b/>
      <w:bCs/>
      <w:spacing w:val="-2"/>
    </w:rPr>
  </w:style>
  <w:style w:type="paragraph" w:customStyle="1" w:styleId="xl74">
    <w:name w:val="xl74"/>
    <w:basedOn w:val="Normal"/>
    <w:pPr>
      <w:pBdr>
        <w:bottom w:val="dotted" w:sz="4" w:space="0" w:color="auto"/>
      </w:pBdr>
      <w:spacing w:before="100" w:beforeAutospacing="1" w:after="100" w:afterAutospacing="1" w:line="240" w:lineRule="auto"/>
    </w:pPr>
    <w:rPr>
      <w:rFonts w:ascii="Book Antiqua" w:eastAsia="Times New Roman" w:hAnsi="Book Antiqua"/>
      <w:i/>
      <w:iCs/>
      <w:sz w:val="24"/>
      <w:szCs w:val="24"/>
    </w:rPr>
  </w:style>
  <w:style w:type="paragraph" w:customStyle="1" w:styleId="xl75">
    <w:name w:val="xl75"/>
    <w:basedOn w:val="Normal"/>
    <w:pPr>
      <w:pBdr>
        <w:top w:val="dotted" w:sz="4" w:space="0" w:color="auto"/>
        <w:bottom w:val="dotted" w:sz="4" w:space="0" w:color="auto"/>
      </w:pBdr>
      <w:spacing w:before="100" w:beforeAutospacing="1" w:after="100" w:afterAutospacing="1" w:line="240" w:lineRule="auto"/>
    </w:pPr>
    <w:rPr>
      <w:rFonts w:ascii="Book Antiqua" w:eastAsia="Times New Roman" w:hAnsi="Book Antiqua"/>
      <w:i/>
      <w:iCs/>
      <w:sz w:val="24"/>
      <w:szCs w:val="24"/>
    </w:rPr>
  </w:style>
  <w:style w:type="paragraph" w:customStyle="1" w:styleId="xl76">
    <w:name w:val="xl76"/>
    <w:basedOn w:val="Normal"/>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pPr>
      <w:pBdr>
        <w:bottom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78">
    <w:name w:val="xl78"/>
    <w:basedOn w:val="Normal"/>
    <w:pPr>
      <w:pBdr>
        <w:top w:val="dotted" w:sz="4" w:space="0" w:color="auto"/>
        <w:bottom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79">
    <w:name w:val="xl79"/>
    <w:basedOn w:val="Normal"/>
    <w:pPr>
      <w:spacing w:before="100" w:beforeAutospacing="1" w:after="100" w:afterAutospacing="1" w:line="240" w:lineRule="auto"/>
    </w:pPr>
    <w:rPr>
      <w:rFonts w:ascii="Book Antiqua" w:eastAsia="Times New Roman" w:hAnsi="Book Antiqua"/>
      <w:sz w:val="24"/>
      <w:szCs w:val="24"/>
    </w:rPr>
  </w:style>
  <w:style w:type="paragraph" w:customStyle="1" w:styleId="xl80">
    <w:name w:val="xl80"/>
    <w:basedOn w:val="Normal"/>
    <w:pPr>
      <w:pBdr>
        <w:bottom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81">
    <w:name w:val="xl81"/>
    <w:basedOn w:val="Normal"/>
    <w:pPr>
      <w:spacing w:before="100" w:beforeAutospacing="1" w:after="100" w:afterAutospacing="1" w:line="240" w:lineRule="auto"/>
    </w:pPr>
    <w:rPr>
      <w:rFonts w:ascii="Book Antiqua" w:eastAsia="Times New Roman" w:hAnsi="Book Antiqua"/>
      <w:sz w:val="24"/>
      <w:szCs w:val="24"/>
    </w:rPr>
  </w:style>
  <w:style w:type="paragraph" w:customStyle="1" w:styleId="xl82">
    <w:name w:val="xl82"/>
    <w:basedOn w:val="Normal"/>
    <w:pPr>
      <w:spacing w:before="100" w:beforeAutospacing="1" w:after="100" w:afterAutospacing="1" w:line="240" w:lineRule="auto"/>
    </w:pPr>
    <w:rPr>
      <w:rFonts w:ascii="Book Antiqua" w:eastAsia="Times New Roman" w:hAnsi="Book Antiqua"/>
      <w:i/>
      <w:iCs/>
      <w:sz w:val="24"/>
      <w:szCs w:val="24"/>
    </w:rPr>
  </w:style>
  <w:style w:type="paragraph" w:customStyle="1" w:styleId="xl83">
    <w:name w:val="xl83"/>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
    <w:pPr>
      <w:spacing w:before="100" w:beforeAutospacing="1" w:after="100" w:afterAutospacing="1" w:line="240" w:lineRule="auto"/>
    </w:pPr>
    <w:rPr>
      <w:rFonts w:ascii="Times New Roman" w:eastAsia="Times New Roman" w:hAnsi="Times New Roman"/>
      <w:b/>
      <w:bCs/>
      <w:sz w:val="24"/>
      <w:szCs w:val="24"/>
    </w:rPr>
  </w:style>
  <w:style w:type="paragraph" w:customStyle="1" w:styleId="xl85">
    <w:name w:val="xl85"/>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pPr>
      <w:pBdr>
        <w:bottom w:val="dotted"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7">
    <w:name w:val="xl87"/>
    <w:basedOn w:val="Normal"/>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88">
    <w:name w:val="xl88"/>
    <w:basedOn w:val="Normal"/>
    <w:pPr>
      <w:pBdr>
        <w:bottom w:val="dotted"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9">
    <w:name w:val="xl89"/>
    <w:basedOn w:val="Normal"/>
    <w:pPr>
      <w:pBdr>
        <w:top w:val="dotted"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0">
    <w:name w:val="xl90"/>
    <w:basedOn w:val="Normal"/>
    <w:pPr>
      <w:pBdr>
        <w:top w:val="dotted" w:sz="4" w:space="0" w:color="auto"/>
        <w:bottom w:val="dotted"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1">
    <w:name w:val="xl91"/>
    <w:basedOn w:val="Normal"/>
    <w:pPr>
      <w:pBdr>
        <w:bottom w:val="dotted" w:sz="4" w:space="0" w:color="auto"/>
      </w:pBdr>
      <w:spacing w:before="100" w:beforeAutospacing="1" w:after="100" w:afterAutospacing="1" w:line="240" w:lineRule="auto"/>
      <w:jc w:val="center"/>
    </w:pPr>
    <w:rPr>
      <w:rFonts w:ascii="Book Antiqua" w:eastAsia="Times New Roman" w:hAnsi="Book Antiqua"/>
      <w:sz w:val="24"/>
      <w:szCs w:val="24"/>
    </w:rPr>
  </w:style>
  <w:style w:type="paragraph" w:customStyle="1" w:styleId="xl92">
    <w:name w:val="xl92"/>
    <w:basedOn w:val="Normal"/>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93">
    <w:name w:val="xl93"/>
    <w:basedOn w:val="Normal"/>
    <w:pPr>
      <w:pBdr>
        <w:bottom w:val="dotted"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4">
    <w:name w:val="xl94"/>
    <w:basedOn w:val="Normal"/>
    <w:pPr>
      <w:shd w:val="clear" w:color="000000" w:fill="FFFF00"/>
      <w:spacing w:before="100" w:beforeAutospacing="1" w:after="100" w:afterAutospacing="1" w:line="240" w:lineRule="auto"/>
      <w:jc w:val="center"/>
    </w:pPr>
    <w:rPr>
      <w:rFonts w:ascii="Times New Roman" w:eastAsia="Times New Roman" w:hAnsi="Times New Roman"/>
      <w:sz w:val="24"/>
      <w:szCs w:val="24"/>
    </w:rPr>
  </w:style>
  <w:style w:type="paragraph" w:customStyle="1" w:styleId="xl95">
    <w:name w:val="xl95"/>
    <w:basedOn w:val="Normal"/>
    <w:pPr>
      <w:pBdr>
        <w:top w:val="dotted"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rPr>
  </w:style>
  <w:style w:type="paragraph" w:customStyle="1" w:styleId="xl96">
    <w:name w:val="xl96"/>
    <w:basedOn w:val="Normal"/>
    <w:pPr>
      <w:pBdr>
        <w:top w:val="dotted" w:sz="4" w:space="0" w:color="auto"/>
        <w:bottom w:val="dotted"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rPr>
  </w:style>
  <w:style w:type="paragraph" w:customStyle="1" w:styleId="xl97">
    <w:name w:val="xl97"/>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98">
    <w:name w:val="xl98"/>
    <w:basedOn w:val="Normal"/>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9">
    <w:name w:val="xl99"/>
    <w:basedOn w:val="Normal"/>
    <w:pPr>
      <w:pBdr>
        <w:top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0">
    <w:name w:val="xl100"/>
    <w:basedOn w:val="Normal"/>
    <w:pPr>
      <w:pBdr>
        <w:top w:val="single" w:sz="8" w:space="0" w:color="auto"/>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102">
    <w:name w:val="xl102"/>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3">
    <w:name w:val="xl103"/>
    <w:basedOn w:val="Normal"/>
    <w:pPr>
      <w:pBdr>
        <w:top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4">
    <w:name w:val="xl104"/>
    <w:basedOn w:val="Normal"/>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5">
    <w:name w:val="xl1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106">
    <w:name w:val="xl106"/>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7">
    <w:name w:val="xl107"/>
    <w:basedOn w:val="Normal"/>
    <w:pPr>
      <w:pBdr>
        <w:top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108">
    <w:name w:val="xl108"/>
    <w:basedOn w:val="Normal"/>
    <w:pPr>
      <w:pBdr>
        <w:bottom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109">
    <w:name w:val="xl109"/>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10">
    <w:name w:val="xl110"/>
    <w:basedOn w:val="Normal"/>
    <w:pPr>
      <w:spacing w:before="100" w:beforeAutospacing="1" w:after="100" w:afterAutospacing="1" w:line="240" w:lineRule="auto"/>
      <w:textAlignment w:val="center"/>
    </w:pPr>
    <w:rPr>
      <w:rFonts w:ascii="Book Antiqua" w:eastAsia="Times New Roman" w:hAnsi="Book Antiqua"/>
      <w:i/>
      <w:iCs/>
      <w:sz w:val="24"/>
      <w:szCs w:val="24"/>
    </w:rPr>
  </w:style>
  <w:style w:type="paragraph" w:customStyle="1" w:styleId="xl111">
    <w:name w:val="xl111"/>
    <w:basedOn w:val="Normal"/>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2">
    <w:name w:val="xl112"/>
    <w:basedOn w:val="Normal"/>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3">
    <w:name w:val="xl113"/>
    <w:basedOn w:val="Normal"/>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4">
    <w:name w:val="xl114"/>
    <w:basedOn w:val="Normal"/>
    <w:pPr>
      <w:pBdr>
        <w:top w:val="dotted" w:sz="4" w:space="0" w:color="auto"/>
        <w:bottom w:val="dotted" w:sz="4" w:space="0" w:color="auto"/>
      </w:pBdr>
      <w:spacing w:before="100" w:beforeAutospacing="1" w:after="100" w:afterAutospacing="1" w:line="240" w:lineRule="auto"/>
      <w:textAlignment w:val="center"/>
    </w:pPr>
    <w:rPr>
      <w:rFonts w:ascii="Book Antiqua" w:eastAsia="Times New Roman" w:hAnsi="Book Antiqua"/>
      <w:i/>
      <w:iCs/>
      <w:sz w:val="24"/>
      <w:szCs w:val="24"/>
    </w:rPr>
  </w:style>
  <w:style w:type="paragraph" w:customStyle="1" w:styleId="xl115">
    <w:name w:val="xl115"/>
    <w:basedOn w:val="Normal"/>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6">
    <w:name w:val="xl116"/>
    <w:basedOn w:val="Normal"/>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7">
    <w:name w:val="xl117"/>
    <w:basedOn w:val="Normal"/>
    <w:pPr>
      <w:pBdr>
        <w:top w:val="dotted" w:sz="4" w:space="0" w:color="auto"/>
        <w:bottom w:val="dotted"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8">
    <w:name w:val="xl118"/>
    <w:basedOn w:val="Normal"/>
    <w:pPr>
      <w:pBdr>
        <w:top w:val="dotted" w:sz="4" w:space="0" w:color="auto"/>
        <w:bottom w:val="dotted" w:sz="4" w:space="0" w:color="auto"/>
      </w:pBdr>
      <w:spacing w:before="100" w:beforeAutospacing="1" w:after="100" w:afterAutospacing="1" w:line="240" w:lineRule="auto"/>
      <w:textAlignment w:val="center"/>
    </w:pPr>
    <w:rPr>
      <w:rFonts w:ascii="Book Antiqua" w:eastAsia="Times New Roman" w:hAnsi="Book Antiqua"/>
      <w:sz w:val="24"/>
      <w:szCs w:val="24"/>
    </w:rPr>
  </w:style>
  <w:style w:type="paragraph" w:customStyle="1" w:styleId="xl119">
    <w:name w:val="xl119"/>
    <w:basedOn w:val="Normal"/>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0">
    <w:name w:val="xl120"/>
    <w:basedOn w:val="Normal"/>
    <w:pPr>
      <w:pBdr>
        <w:top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1">
    <w:name w:val="xl121"/>
    <w:basedOn w:val="Normal"/>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2">
    <w:name w:val="xl122"/>
    <w:basedOn w:val="Normal"/>
    <w:pPr>
      <w:pBdr>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3">
    <w:name w:val="xl123"/>
    <w:basedOn w:val="Normal"/>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4">
    <w:name w:val="xl124"/>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125">
    <w:name w:val="xl125"/>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26">
    <w:name w:val="xl126"/>
    <w:basedOn w:val="Normal"/>
    <w:pPr>
      <w:pBdr>
        <w:bottom w:val="single" w:sz="12" w:space="0" w:color="009999"/>
      </w:pBdr>
      <w:spacing w:before="100" w:beforeAutospacing="1" w:after="100" w:afterAutospacing="1" w:line="240" w:lineRule="auto"/>
      <w:textAlignment w:val="center"/>
    </w:pPr>
    <w:rPr>
      <w:rFonts w:ascii="Book Antiqua" w:eastAsia="Times New Roman" w:hAnsi="Book Antiqua"/>
      <w:sz w:val="24"/>
      <w:szCs w:val="24"/>
    </w:rPr>
  </w:style>
  <w:style w:type="paragraph" w:customStyle="1" w:styleId="xl127">
    <w:name w:val="xl127"/>
    <w:basedOn w:val="Normal"/>
    <w:pPr>
      <w:pBdr>
        <w:bottom w:val="single" w:sz="12" w:space="0" w:color="009999"/>
      </w:pBdr>
      <w:spacing w:before="100" w:beforeAutospacing="1" w:after="100" w:afterAutospacing="1" w:line="240" w:lineRule="auto"/>
      <w:textAlignment w:val="center"/>
    </w:pPr>
    <w:rPr>
      <w:rFonts w:ascii="Book Antiqua" w:eastAsia="Times New Roman" w:hAnsi="Book Antiqua"/>
      <w:i/>
      <w:iCs/>
      <w:sz w:val="24"/>
      <w:szCs w:val="24"/>
    </w:rPr>
  </w:style>
  <w:style w:type="paragraph" w:customStyle="1" w:styleId="xl128">
    <w:name w:val="xl128"/>
    <w:basedOn w:val="Normal"/>
    <w:pPr>
      <w:pBdr>
        <w:bottom w:val="single" w:sz="12" w:space="0" w:color="009999"/>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9">
    <w:name w:val="xl129"/>
    <w:basedOn w:val="Normal"/>
    <w:pPr>
      <w:pBdr>
        <w:bottom w:val="single" w:sz="12" w:space="0" w:color="009999"/>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0">
    <w:name w:val="xl130"/>
    <w:basedOn w:val="Normal"/>
    <w:pPr>
      <w:pBdr>
        <w:bottom w:val="single" w:sz="12" w:space="0" w:color="009999"/>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1">
    <w:name w:val="xl131"/>
    <w:basedOn w:val="Normal"/>
    <w:pPr>
      <w:pBdr>
        <w:bottom w:val="single" w:sz="12" w:space="0" w:color="009999"/>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2">
    <w:name w:val="xl132"/>
    <w:basedOn w:val="Normal"/>
    <w:pPr>
      <w:pBdr>
        <w:bottom w:val="single" w:sz="12" w:space="0" w:color="009999"/>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3">
    <w:name w:val="xl133"/>
    <w:basedOn w:val="Normal"/>
    <w:pPr>
      <w:pBdr>
        <w:top w:val="single" w:sz="12" w:space="0" w:color="009999"/>
        <w:bottom w:val="single" w:sz="8" w:space="0" w:color="009999"/>
      </w:pBdr>
      <w:spacing w:before="100" w:beforeAutospacing="1" w:after="100" w:afterAutospacing="1" w:line="240" w:lineRule="auto"/>
    </w:pPr>
    <w:rPr>
      <w:rFonts w:ascii="Times New Roman" w:eastAsia="Times New Roman" w:hAnsi="Times New Roman"/>
      <w:b/>
      <w:bCs/>
      <w:sz w:val="24"/>
      <w:szCs w:val="24"/>
    </w:rPr>
  </w:style>
  <w:style w:type="paragraph" w:customStyle="1" w:styleId="xl134">
    <w:name w:val="xl134"/>
    <w:basedOn w:val="Normal"/>
    <w:pPr>
      <w:pBdr>
        <w:top w:val="single" w:sz="12" w:space="0" w:color="009999"/>
        <w:bottom w:val="single" w:sz="8" w:space="0" w:color="009999"/>
      </w:pBdr>
      <w:spacing w:before="100" w:beforeAutospacing="1" w:after="100" w:afterAutospacing="1" w:line="240" w:lineRule="auto"/>
    </w:pPr>
    <w:rPr>
      <w:rFonts w:ascii="Book Antiqua" w:eastAsia="Times New Roman" w:hAnsi="Book Antiqua"/>
      <w:b/>
      <w:bCs/>
      <w:sz w:val="24"/>
      <w:szCs w:val="24"/>
    </w:rPr>
  </w:style>
  <w:style w:type="paragraph" w:customStyle="1" w:styleId="xl135">
    <w:name w:val="xl135"/>
    <w:basedOn w:val="Normal"/>
    <w:pPr>
      <w:pBdr>
        <w:top w:val="single" w:sz="12" w:space="0" w:color="009999"/>
        <w:bottom w:val="single" w:sz="8" w:space="0" w:color="009999"/>
      </w:pBdr>
      <w:spacing w:before="100" w:beforeAutospacing="1" w:after="100" w:afterAutospacing="1" w:line="240" w:lineRule="auto"/>
      <w:jc w:val="center"/>
    </w:pPr>
    <w:rPr>
      <w:rFonts w:ascii="Book Antiqua" w:eastAsia="Times New Roman" w:hAnsi="Book Antiqua"/>
      <w:b/>
      <w:bCs/>
      <w:sz w:val="24"/>
      <w:szCs w:val="24"/>
    </w:rPr>
  </w:style>
  <w:style w:type="paragraph" w:customStyle="1" w:styleId="xl136">
    <w:name w:val="xl136"/>
    <w:basedOn w:val="Normal"/>
    <w:pPr>
      <w:pBdr>
        <w:top w:val="single" w:sz="12" w:space="0" w:color="009999"/>
        <w:bottom w:val="single" w:sz="8" w:space="0" w:color="009999"/>
      </w:pBdr>
      <w:spacing w:before="100" w:beforeAutospacing="1" w:after="100" w:afterAutospacing="1" w:line="240" w:lineRule="auto"/>
      <w:jc w:val="center"/>
    </w:pPr>
    <w:rPr>
      <w:rFonts w:ascii="Book Antiqua" w:eastAsia="Times New Roman" w:hAnsi="Book Antiqua"/>
      <w:b/>
      <w:bCs/>
      <w:sz w:val="24"/>
      <w:szCs w:val="24"/>
    </w:rPr>
  </w:style>
  <w:style w:type="paragraph" w:customStyle="1" w:styleId="xl137">
    <w:name w:val="xl137"/>
    <w:basedOn w:val="Normal"/>
    <w:pPr>
      <w:pBdr>
        <w:top w:val="single" w:sz="12" w:space="0" w:color="009999"/>
        <w:bottom w:val="single" w:sz="8" w:space="0" w:color="009999"/>
      </w:pBdr>
      <w:spacing w:before="100" w:beforeAutospacing="1" w:after="100" w:afterAutospacing="1" w:line="240" w:lineRule="auto"/>
    </w:pPr>
    <w:rPr>
      <w:rFonts w:ascii="Book Antiqua" w:eastAsia="Times New Roman" w:hAnsi="Book Antiqua"/>
      <w:b/>
      <w:bCs/>
      <w:sz w:val="24"/>
      <w:szCs w:val="24"/>
    </w:rPr>
  </w:style>
  <w:style w:type="paragraph" w:customStyle="1" w:styleId="xl138">
    <w:name w:val="xl138"/>
    <w:basedOn w:val="Normal"/>
    <w:pPr>
      <w:pBdr>
        <w:bottom w:val="double" w:sz="6" w:space="0" w:color="009999"/>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9">
    <w:name w:val="xl139"/>
    <w:basedOn w:val="Normal"/>
    <w:pPr>
      <w:pBdr>
        <w:bottom w:val="double" w:sz="6" w:space="0" w:color="009999"/>
      </w:pBdr>
      <w:spacing w:before="100" w:beforeAutospacing="1" w:after="100" w:afterAutospacing="1" w:line="240" w:lineRule="auto"/>
    </w:pPr>
    <w:rPr>
      <w:rFonts w:ascii="Book Antiqua" w:eastAsia="Times New Roman" w:hAnsi="Book Antiqua"/>
      <w:sz w:val="24"/>
      <w:szCs w:val="24"/>
    </w:rPr>
  </w:style>
  <w:style w:type="paragraph" w:customStyle="1" w:styleId="xl140">
    <w:name w:val="xl140"/>
    <w:basedOn w:val="Normal"/>
    <w:pPr>
      <w:pBdr>
        <w:bottom w:val="double" w:sz="6" w:space="0" w:color="009999"/>
      </w:pBdr>
      <w:spacing w:before="100" w:beforeAutospacing="1" w:after="100" w:afterAutospacing="1" w:line="240" w:lineRule="auto"/>
    </w:pPr>
    <w:rPr>
      <w:rFonts w:ascii="Book Antiqua" w:eastAsia="Times New Roman" w:hAnsi="Book Antiqua"/>
      <w:b/>
      <w:bCs/>
      <w:sz w:val="24"/>
      <w:szCs w:val="24"/>
    </w:rPr>
  </w:style>
  <w:style w:type="paragraph" w:customStyle="1" w:styleId="xl141">
    <w:name w:val="xl141"/>
    <w:basedOn w:val="Normal"/>
    <w:pPr>
      <w:pBdr>
        <w:bottom w:val="double" w:sz="6" w:space="0" w:color="009999"/>
      </w:pBdr>
      <w:spacing w:before="100" w:beforeAutospacing="1" w:after="100" w:afterAutospacing="1" w:line="240" w:lineRule="auto"/>
    </w:pPr>
    <w:rPr>
      <w:rFonts w:ascii="Times New Roman" w:eastAsia="Times New Roman" w:hAnsi="Times New Roman"/>
      <w:sz w:val="24"/>
      <w:szCs w:val="24"/>
    </w:rPr>
  </w:style>
  <w:style w:type="paragraph" w:customStyle="1" w:styleId="xl142">
    <w:name w:val="xl142"/>
    <w:basedOn w:val="Normal"/>
    <w:pPr>
      <w:pBdr>
        <w:bottom w:val="double" w:sz="6" w:space="0" w:color="009999"/>
      </w:pBdr>
      <w:spacing w:before="100" w:beforeAutospacing="1" w:after="100" w:afterAutospacing="1" w:line="240" w:lineRule="auto"/>
    </w:pPr>
    <w:rPr>
      <w:rFonts w:ascii="Times New Roman" w:eastAsia="Times New Roman" w:hAnsi="Times New Roman"/>
      <w:sz w:val="24"/>
      <w:szCs w:val="24"/>
    </w:rPr>
  </w:style>
  <w:style w:type="paragraph" w:customStyle="1" w:styleId="xl143">
    <w:name w:val="xl143"/>
    <w:basedOn w:val="Normal"/>
    <w:pPr>
      <w:pBdr>
        <w:bottom w:val="double" w:sz="6" w:space="0" w:color="009999"/>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
    <w:pPr>
      <w:pBdr>
        <w:bottom w:val="double" w:sz="6" w:space="0" w:color="009999"/>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5">
    <w:name w:val="xl145"/>
    <w:basedOn w:val="Normal"/>
    <w:pPr>
      <w:pBdr>
        <w:bottom w:val="double" w:sz="6" w:space="0" w:color="009999"/>
      </w:pBdr>
      <w:spacing w:before="100" w:beforeAutospacing="1" w:after="100" w:afterAutospacing="1" w:line="240" w:lineRule="auto"/>
    </w:pPr>
    <w:rPr>
      <w:rFonts w:ascii="Book Antiqua" w:eastAsia="Times New Roman" w:hAnsi="Book Antiqua"/>
      <w:i/>
      <w:iCs/>
      <w:sz w:val="24"/>
      <w:szCs w:val="24"/>
    </w:rPr>
  </w:style>
  <w:style w:type="paragraph" w:customStyle="1" w:styleId="xl146">
    <w:name w:val="xl146"/>
    <w:basedOn w:val="Normal"/>
    <w:pPr>
      <w:pBdr>
        <w:top w:val="dotted" w:sz="4" w:space="0" w:color="auto"/>
        <w:bottom w:val="single" w:sz="12" w:space="0" w:color="009999"/>
      </w:pBdr>
      <w:spacing w:before="100" w:beforeAutospacing="1" w:after="100" w:afterAutospacing="1" w:line="240" w:lineRule="auto"/>
    </w:pPr>
    <w:rPr>
      <w:rFonts w:ascii="Times New Roman" w:eastAsia="Times New Roman" w:hAnsi="Times New Roman"/>
      <w:sz w:val="24"/>
      <w:szCs w:val="24"/>
    </w:rPr>
  </w:style>
  <w:style w:type="paragraph" w:customStyle="1" w:styleId="xl147">
    <w:name w:val="xl147"/>
    <w:basedOn w:val="Normal"/>
    <w:pPr>
      <w:pBdr>
        <w:top w:val="dotted" w:sz="4" w:space="0" w:color="auto"/>
        <w:bottom w:val="single" w:sz="12" w:space="0" w:color="009999"/>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48">
    <w:name w:val="xl148"/>
    <w:basedOn w:val="Normal"/>
    <w:pPr>
      <w:pBdr>
        <w:top w:val="dotted" w:sz="4" w:space="0" w:color="auto"/>
        <w:bottom w:val="single" w:sz="12" w:space="0" w:color="009999"/>
      </w:pBdr>
      <w:spacing w:before="100" w:beforeAutospacing="1" w:after="100" w:afterAutospacing="1" w:line="240" w:lineRule="auto"/>
    </w:pPr>
    <w:rPr>
      <w:rFonts w:ascii="Times New Roman" w:eastAsia="Times New Roman" w:hAnsi="Times New Roman"/>
      <w:sz w:val="24"/>
      <w:szCs w:val="24"/>
    </w:rPr>
  </w:style>
  <w:style w:type="paragraph" w:customStyle="1" w:styleId="xl149">
    <w:name w:val="xl149"/>
    <w:basedOn w:val="Normal"/>
    <w:pPr>
      <w:pBdr>
        <w:bottom w:val="single" w:sz="12" w:space="0" w:color="009999"/>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50">
    <w:name w:val="xl150"/>
    <w:basedOn w:val="Normal"/>
    <w:pPr>
      <w:pBdr>
        <w:top w:val="single" w:sz="12" w:space="0" w:color="009999"/>
        <w:bottom w:val="single" w:sz="8" w:space="0" w:color="009999"/>
      </w:pBdr>
      <w:spacing w:before="100" w:beforeAutospacing="1" w:after="100" w:afterAutospacing="1" w:line="240" w:lineRule="auto"/>
    </w:pPr>
    <w:rPr>
      <w:rFonts w:ascii="Book Antiqua" w:eastAsia="Times New Roman" w:hAnsi="Book Antiqua"/>
      <w:b/>
      <w:bCs/>
      <w:sz w:val="24"/>
      <w:szCs w:val="24"/>
    </w:rPr>
  </w:style>
  <w:style w:type="paragraph" w:styleId="DocumentMap">
    <w:name w:val="Document Map"/>
    <w:basedOn w:val="Normal"/>
    <w:link w:val="DocumentMapChar"/>
    <w:uiPriority w:val="99"/>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Pr>
      <w:rFonts w:ascii="Tahoma" w:hAnsi="Tahoma" w:cs="Tahoma"/>
      <w:sz w:val="16"/>
      <w:szCs w:val="16"/>
      <w:lang w:val="bg-BG" w:eastAsia="bg-BG"/>
    </w:rPr>
  </w:style>
  <w:style w:type="character" w:customStyle="1" w:styleId="TabletitleChar">
    <w:name w:val="Table title Char"/>
    <w:basedOn w:val="DefaultParagraphFont"/>
    <w:link w:val="Tabletitle"/>
    <w:rPr>
      <w:rFonts w:ascii="Book Antiqua" w:eastAsia="Times New Roman" w:hAnsi="Book Antiqua"/>
      <w:b/>
      <w:bCs/>
      <w:snapToGrid w:val="0"/>
      <w:sz w:val="20"/>
      <w:szCs w:val="20"/>
      <w:lang w:val="bg-BG" w:eastAsia="bg-BG"/>
    </w:rPr>
  </w:style>
  <w:style w:type="paragraph" w:customStyle="1" w:styleId="figuretitle0">
    <w:name w:val="figure title"/>
    <w:basedOn w:val="Normal"/>
    <w:link w:val="figuretitleChar"/>
    <w:qFormat/>
    <w:pPr>
      <w:spacing w:after="0" w:line="240" w:lineRule="auto"/>
    </w:pPr>
    <w:rPr>
      <w:rFonts w:ascii="Book Antiqua" w:eastAsia="Times New Roman" w:hAnsi="Book Antiqua"/>
      <w:b/>
      <w:sz w:val="20"/>
      <w:szCs w:val="20"/>
    </w:rPr>
  </w:style>
  <w:style w:type="character" w:customStyle="1" w:styleId="figuretitleChar">
    <w:name w:val="figure title Char"/>
    <w:basedOn w:val="chap3Char"/>
    <w:link w:val="figuretitle0"/>
    <w:rPr>
      <w:rFonts w:ascii="Book Antiqua" w:eastAsia="Times New Roman" w:hAnsi="Book Antiqua"/>
      <w:b/>
      <w:sz w:val="20"/>
      <w:szCs w:val="20"/>
      <w:lang w:val="bg-BG" w:eastAsia="bg-BG"/>
    </w:rPr>
  </w:style>
  <w:style w:type="numbering" w:customStyle="1" w:styleId="ECAnalysis">
    <w:name w:val="EC Analysis"/>
    <w:uiPriority w:val="99"/>
    <w:pPr>
      <w:numPr>
        <w:numId w:val="12"/>
      </w:numPr>
    </w:p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paragraph" w:customStyle="1" w:styleId="Ch3speciesheading">
    <w:name w:val="Ch3 species heading"/>
    <w:basedOn w:val="chap3"/>
    <w:next w:val="Normal"/>
    <w:qFormat/>
    <w:rPr>
      <w:b/>
      <w:i/>
      <w:sz w:val="24"/>
      <w:szCs w:val="20"/>
    </w:rPr>
  </w:style>
  <w:style w:type="paragraph" w:customStyle="1" w:styleId="FootnoteReference1">
    <w:name w:val="Footnote Reference1"/>
    <w:basedOn w:val="Normal"/>
    <w:autoRedefine/>
    <w:qFormat/>
    <w:pPr>
      <w:spacing w:before="100" w:beforeAutospacing="1" w:after="100" w:afterAutospacing="1" w:line="288" w:lineRule="auto"/>
      <w:jc w:val="both"/>
    </w:pPr>
    <w:rPr>
      <w:rFonts w:ascii="Arial" w:eastAsia="Times New Roman" w:hAnsi="Arial" w:cs="Arial"/>
    </w:rPr>
  </w:style>
  <w:style w:type="paragraph" w:customStyle="1" w:styleId="bulletednormal">
    <w:name w:val="bulleted normal"/>
    <w:basedOn w:val="Normal"/>
    <w:link w:val="bulletednormalChar"/>
    <w:qFormat/>
    <w:pPr>
      <w:tabs>
        <w:tab w:val="num" w:pos="360"/>
      </w:tabs>
      <w:spacing w:after="120" w:line="288" w:lineRule="auto"/>
      <w:ind w:left="360" w:hanging="360"/>
      <w:jc w:val="both"/>
    </w:pPr>
    <w:rPr>
      <w:rFonts w:ascii="Book Antiqua" w:eastAsia="Times New Roman" w:hAnsi="Book Antiqua"/>
    </w:rPr>
  </w:style>
  <w:style w:type="character" w:customStyle="1" w:styleId="bulletednormalChar">
    <w:name w:val="bulleted normal Char"/>
    <w:basedOn w:val="DefaultParagraphFont"/>
    <w:link w:val="bulletednormal"/>
    <w:rPr>
      <w:rFonts w:ascii="Book Antiqua" w:eastAsia="Times New Roman" w:hAnsi="Book Antiqua"/>
      <w:lang w:val="bg-BG" w:eastAsia="bg-BG"/>
    </w:rPr>
  </w:style>
  <w:style w:type="character" w:styleId="EndnoteReference">
    <w:name w:val="endnote reference"/>
    <w:basedOn w:val="DefaultParagraphFont"/>
    <w:uiPriority w:val="99"/>
    <w:unhideWhenUsed/>
    <w:rPr>
      <w:vertAlign w:val="superscript"/>
    </w:rPr>
  </w:style>
  <w:style w:type="numbering" w:customStyle="1" w:styleId="NoList3">
    <w:name w:val="No List3"/>
    <w:next w:val="NoList"/>
    <w:uiPriority w:val="99"/>
    <w:semiHidden/>
    <w:unhideWhenUsed/>
  </w:style>
  <w:style w:type="paragraph" w:customStyle="1" w:styleId="Chapter3">
    <w:name w:val="Chapter 3"/>
    <w:aliases w:val="indented"/>
    <w:basedOn w:val="Normal"/>
    <w:pPr>
      <w:spacing w:after="0" w:line="288" w:lineRule="auto"/>
      <w:ind w:left="397"/>
    </w:pPr>
    <w:rPr>
      <w:rFonts w:ascii="Book Antiqua" w:eastAsia="Times New Roman" w:hAnsi="Book Antiqua"/>
      <w:szCs w:val="20"/>
    </w:rPr>
  </w:style>
  <w:style w:type="paragraph" w:customStyle="1" w:styleId="StyleCh3summarytext11pt">
    <w:name w:val="Style Ch3 summary text + 11 pt"/>
    <w:basedOn w:val="Normal"/>
    <w:pPr>
      <w:spacing w:after="0" w:line="288" w:lineRule="auto"/>
      <w:ind w:left="397"/>
      <w:jc w:val="both"/>
    </w:pPr>
    <w:rPr>
      <w:rFonts w:ascii="Book Antiqua" w:eastAsia="Times New Roman" w:hAnsi="Book Antiqua"/>
      <w:b/>
      <w:bCs/>
      <w:szCs w:val="20"/>
    </w:rPr>
  </w:style>
  <w:style w:type="numbering" w:customStyle="1" w:styleId="Style1">
    <w:name w:val="Style1"/>
    <w:uiPriority w:val="99"/>
    <w:pPr>
      <w:numPr>
        <w:numId w:val="13"/>
      </w:numPr>
    </w:pPr>
  </w:style>
  <w:style w:type="numbering" w:customStyle="1" w:styleId="ECAnalysis1">
    <w:name w:val="EC Analysis1"/>
    <w:uiPriority w:val="99"/>
    <w:pPr>
      <w:numPr>
        <w:numId w:val="11"/>
      </w:numPr>
    </w:pPr>
  </w:style>
  <w:style w:type="numbering" w:customStyle="1" w:styleId="ECAnalysis2">
    <w:name w:val="EC Analysis2"/>
    <w:uiPriority w:val="99"/>
    <w:pPr>
      <w:numPr>
        <w:numId w:val="14"/>
      </w:numPr>
    </w:pPr>
  </w:style>
  <w:style w:type="numbering" w:customStyle="1" w:styleId="NoList4">
    <w:name w:val="No List4"/>
    <w:next w:val="NoList"/>
    <w:uiPriority w:val="99"/>
    <w:semiHidden/>
    <w:unhideWhenUsed/>
  </w:style>
  <w:style w:type="numbering" w:customStyle="1" w:styleId="NoList12">
    <w:name w:val="No List12"/>
    <w:next w:val="NoList"/>
    <w:uiPriority w:val="99"/>
    <w:semiHidden/>
    <w:unhideWhenUsed/>
  </w:style>
  <w:style w:type="paragraph" w:customStyle="1" w:styleId="Tablefooter">
    <w:name w:val="Table footer"/>
    <w:basedOn w:val="Normal"/>
    <w:link w:val="TablefooterChar"/>
    <w:qFormat/>
    <w:pPr>
      <w:spacing w:after="0" w:line="288" w:lineRule="auto"/>
    </w:pPr>
    <w:rPr>
      <w:rFonts w:ascii="Book Antiqua" w:eastAsia="Times New Roman" w:hAnsi="Book Antiqua"/>
      <w:sz w:val="20"/>
      <w:szCs w:val="20"/>
    </w:rPr>
  </w:style>
  <w:style w:type="character" w:customStyle="1" w:styleId="TablefooterChar">
    <w:name w:val="Table footer Char"/>
    <w:basedOn w:val="DefaultParagraphFont"/>
    <w:link w:val="Tablefooter"/>
    <w:rPr>
      <w:rFonts w:ascii="Book Antiqua" w:eastAsia="Times New Roman" w:hAnsi="Book Antiqua"/>
      <w:sz w:val="20"/>
      <w:szCs w:val="20"/>
      <w:lang w:val="bg-BG" w:eastAsia="bg-BG"/>
    </w:rPr>
  </w:style>
  <w:style w:type="paragraph" w:customStyle="1" w:styleId="font5">
    <w:name w:val="font5"/>
    <w:basedOn w:val="Normal"/>
    <w:pPr>
      <w:spacing w:before="100" w:beforeAutospacing="1" w:after="100" w:afterAutospacing="1" w:line="240" w:lineRule="auto"/>
    </w:pPr>
    <w:rPr>
      <w:rFonts w:ascii="Book Antiqua" w:eastAsia="Times New Roman" w:hAnsi="Book Antiqua"/>
      <w:color w:val="000000"/>
      <w:sz w:val="20"/>
      <w:szCs w:val="20"/>
    </w:rPr>
  </w:style>
  <w:style w:type="numbering" w:customStyle="1" w:styleId="NoList5">
    <w:name w:val="No List5"/>
    <w:next w:val="NoList"/>
    <w:uiPriority w:val="99"/>
    <w:semiHidden/>
    <w:unhideWhenUsed/>
  </w:style>
  <w:style w:type="numbering" w:customStyle="1" w:styleId="Style11">
    <w:name w:val="Style11"/>
    <w:uiPriority w:val="99"/>
  </w:style>
  <w:style w:type="numbering" w:customStyle="1" w:styleId="ECAnalysis3">
    <w:name w:val="EC Analysis3"/>
    <w:uiPriority w:val="99"/>
  </w:style>
  <w:style w:type="numbering" w:customStyle="1" w:styleId="ECAnalysis21">
    <w:name w:val="EC Analysis21"/>
    <w:uiPriority w:val="99"/>
  </w:style>
  <w:style w:type="numbering" w:customStyle="1" w:styleId="NoList13">
    <w:name w:val="No List13"/>
    <w:next w:val="NoList"/>
    <w:uiPriority w:val="99"/>
    <w:semiHidden/>
    <w:unhideWhenUsed/>
  </w:style>
  <w:style w:type="numbering" w:customStyle="1" w:styleId="NoList111">
    <w:name w:val="No List111"/>
    <w:next w:val="NoList"/>
    <w:uiPriority w:val="99"/>
    <w:semiHidden/>
    <w:unhideWhenUsed/>
  </w:style>
  <w:style w:type="paragraph" w:customStyle="1" w:styleId="font0">
    <w:name w:val="font0"/>
    <w:basedOn w:val="Normal"/>
    <w:pPr>
      <w:spacing w:before="100" w:beforeAutospacing="1" w:after="100" w:afterAutospacing="1" w:line="240" w:lineRule="auto"/>
    </w:pPr>
    <w:rPr>
      <w:rFonts w:ascii="Book Antiqua" w:eastAsia="Times New Roman" w:hAnsi="Book Antiqua"/>
      <w:color w:val="000000"/>
      <w:sz w:val="20"/>
      <w:szCs w:val="20"/>
    </w:rPr>
  </w:style>
  <w:style w:type="paragraph" w:customStyle="1" w:styleId="font6">
    <w:name w:val="font6"/>
    <w:basedOn w:val="Normal"/>
    <w:pPr>
      <w:spacing w:before="100" w:beforeAutospacing="1" w:after="100" w:afterAutospacing="1" w:line="240" w:lineRule="auto"/>
    </w:pPr>
    <w:rPr>
      <w:rFonts w:ascii="Book Antiqua" w:eastAsia="Times New Roman" w:hAnsi="Book Antiqua"/>
      <w:color w:val="000000"/>
      <w:sz w:val="20"/>
      <w:szCs w:val="20"/>
    </w:rPr>
  </w:style>
  <w:style w:type="paragraph" w:customStyle="1" w:styleId="font7">
    <w:name w:val="font7"/>
    <w:basedOn w:val="Normal"/>
    <w:pPr>
      <w:spacing w:before="100" w:beforeAutospacing="1" w:after="100" w:afterAutospacing="1" w:line="240" w:lineRule="auto"/>
    </w:pPr>
    <w:rPr>
      <w:rFonts w:ascii="Book Antiqua" w:eastAsia="Times New Roman" w:hAnsi="Book Antiqua"/>
      <w:i/>
      <w:iCs/>
      <w:color w:val="000000"/>
      <w:sz w:val="20"/>
      <w:szCs w:val="20"/>
    </w:rPr>
  </w:style>
  <w:style w:type="paragraph" w:styleId="PlainText">
    <w:name w:val="Plain Text"/>
    <w:basedOn w:val="Normal"/>
    <w:link w:val="PlainTextChar"/>
    <w:uiPriority w:val="99"/>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Pr>
      <w:rFonts w:ascii="Consolas" w:hAnsi="Consolas"/>
      <w:sz w:val="21"/>
      <w:szCs w:val="21"/>
      <w:lang w:val="bg-BG" w:eastAsia="bg-BG"/>
    </w:rPr>
  </w:style>
  <w:style w:type="table" w:customStyle="1" w:styleId="Tradetable">
    <w:name w:val="Trade table"/>
    <w:basedOn w:val="TableNormal"/>
    <w:uiPriority w:val="99"/>
    <w:rPr>
      <w:rFonts w:ascii="Book Antiqua" w:eastAsia="Times New Roman" w:hAnsi="Book Antiqua"/>
      <w:sz w:val="20"/>
      <w:szCs w:val="20"/>
    </w:rPr>
    <w:tblPr>
      <w:tblInd w:w="0" w:type="dxa"/>
      <w:tblBorders>
        <w:bottom w:val="single" w:sz="4" w:space="0" w:color="auto"/>
      </w:tblBorders>
      <w:tblCellMar>
        <w:top w:w="0" w:type="dxa"/>
        <w:left w:w="108" w:type="dxa"/>
        <w:bottom w:w="0" w:type="dxa"/>
        <w:right w:w="108" w:type="dxa"/>
      </w:tblCellMar>
    </w:tblPr>
    <w:tblStylePr w:type="firstRow">
      <w:rPr>
        <w:rFonts w:ascii="Comic Sans MS" w:hAnsi="Comic Sans MS"/>
        <w:b/>
        <w:sz w:val="20"/>
      </w:rPr>
      <w:tblPr/>
      <w:tcPr>
        <w:tcBorders>
          <w:top w:val="single" w:sz="4" w:space="0" w:color="auto"/>
          <w:bottom w:val="single" w:sz="4" w:space="0" w:color="auto"/>
        </w:tcBorders>
      </w:tcPr>
    </w:tblStylePr>
  </w:style>
  <w:style w:type="paragraph" w:customStyle="1" w:styleId="photocredit">
    <w:name w:val="photo credit"/>
    <w:basedOn w:val="Normal"/>
    <w:link w:val="photocreditChar"/>
    <w:qFormat/>
    <w:pPr>
      <w:spacing w:after="0" w:line="240" w:lineRule="auto"/>
      <w:jc w:val="right"/>
    </w:pPr>
    <w:rPr>
      <w:rFonts w:ascii="Book Antiqua" w:eastAsia="Times New Roman" w:hAnsi="Book Antiqua"/>
      <w:sz w:val="16"/>
      <w:szCs w:val="16"/>
    </w:rPr>
  </w:style>
  <w:style w:type="character" w:customStyle="1" w:styleId="photocreditChar">
    <w:name w:val="photo credit Char"/>
    <w:basedOn w:val="DefaultParagraphFont"/>
    <w:link w:val="photocredit"/>
    <w:rPr>
      <w:rFonts w:ascii="Book Antiqua" w:eastAsia="Times New Roman" w:hAnsi="Book Antiqua"/>
      <w:sz w:val="16"/>
      <w:szCs w:val="16"/>
      <w:lang w:val="bg-BG" w:eastAsia="bg-BG"/>
    </w:rPr>
  </w:style>
  <w:style w:type="character" w:customStyle="1" w:styleId="apple-style-span">
    <w:name w:val="apple-style-span"/>
    <w:basedOn w:val="DefaultParagraphFont"/>
  </w:style>
  <w:style w:type="table" w:styleId="TableClassic1">
    <w:name w:val="Table Classic 1"/>
    <w:basedOn w:val="TableNormal"/>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sciname">
    <w:name w:val="sciname"/>
    <w:basedOn w:val="DefaultParagraphFont"/>
  </w:style>
  <w:style w:type="paragraph" w:customStyle="1" w:styleId="Speciesheader">
    <w:name w:val="Species header"/>
    <w:basedOn w:val="Normal"/>
    <w:link w:val="SpeciesheaderChar"/>
    <w:qFormat/>
    <w:pPr>
      <w:keepLines/>
      <w:spacing w:after="120" w:line="240" w:lineRule="auto"/>
      <w:jc w:val="both"/>
    </w:pPr>
    <w:rPr>
      <w:rFonts w:ascii="Book Antiqua" w:eastAsia="Times New Roman" w:hAnsi="Book Antiqua"/>
      <w:b/>
      <w:i/>
      <w:noProof/>
      <w:sz w:val="24"/>
      <w:szCs w:val="24"/>
    </w:rPr>
  </w:style>
  <w:style w:type="character" w:customStyle="1" w:styleId="SpeciesheaderChar">
    <w:name w:val="Species header Char"/>
    <w:basedOn w:val="DefaultParagraphFont"/>
    <w:link w:val="Speciesheader"/>
    <w:rPr>
      <w:rFonts w:ascii="Book Antiqua" w:eastAsia="Times New Roman" w:hAnsi="Book Antiqua"/>
      <w:b/>
      <w:i/>
      <w:noProof/>
      <w:sz w:val="24"/>
      <w:szCs w:val="24"/>
      <w:lang w:val="bg-BG" w:eastAsia="bg-BG"/>
    </w:rPr>
  </w:style>
  <w:style w:type="character" w:styleId="Strong">
    <w:name w:val="Strong"/>
    <w:basedOn w:val="DefaultParagraphFont"/>
    <w:uiPriority w:val="22"/>
    <w:qFormat/>
    <w:locked/>
    <w:rPr>
      <w:b/>
      <w:bCs/>
    </w:rPr>
  </w:style>
  <w:style w:type="numbering" w:customStyle="1" w:styleId="StyleNumberedBookAntiqua14ptBoldLeft127cmHanging">
    <w:name w:val="Style Numbered Book Antiqua 14 pt Bold Left:  1.27 cm Hanging:..."/>
    <w:basedOn w:val="NoList"/>
    <w:pPr>
      <w:numPr>
        <w:numId w:val="17"/>
      </w:numPr>
    </w:pPr>
  </w:style>
  <w:style w:type="paragraph" w:customStyle="1" w:styleId="Chapterheading">
    <w:name w:val="Chapter heading"/>
    <w:basedOn w:val="Heading1"/>
    <w:qFormat/>
    <w:pPr>
      <w:keepLines w:val="0"/>
      <w:spacing w:before="0" w:after="240" w:line="240" w:lineRule="auto"/>
      <w:ind w:left="1080" w:hanging="720"/>
    </w:pPr>
    <w:rPr>
      <w:rFonts w:ascii="Book Antiqua" w:eastAsia="Times New Roman" w:hAnsi="Book Antiqua"/>
      <w:b/>
      <w:bCs/>
      <w:color w:val="auto"/>
      <w:sz w:val="36"/>
      <w:szCs w:val="36"/>
    </w:rPr>
  </w:style>
  <w:style w:type="paragraph" w:customStyle="1" w:styleId="Subheading">
    <w:name w:val="Sub heading"/>
    <w:basedOn w:val="Heading2"/>
    <w:qFormat/>
    <w:pPr>
      <w:keepLines w:val="0"/>
      <w:numPr>
        <w:numId w:val="16"/>
      </w:numPr>
      <w:spacing w:before="240" w:after="120" w:line="240" w:lineRule="auto"/>
    </w:pPr>
    <w:rPr>
      <w:rFonts w:ascii="Book Antiqua" w:eastAsia="Times New Roman" w:hAnsi="Book Antiqua" w:cs="Arial"/>
      <w:b/>
      <w:color w:val="auto"/>
      <w:sz w:val="28"/>
      <w:szCs w:val="20"/>
    </w:rPr>
  </w:style>
  <w:style w:type="paragraph" w:customStyle="1" w:styleId="EUChapterHeading">
    <w:name w:val="EU Chapter Heading"/>
    <w:basedOn w:val="Heading1"/>
    <w:qFormat/>
    <w:pPr>
      <w:keepNext w:val="0"/>
      <w:keepLines w:val="0"/>
      <w:widowControl w:val="0"/>
      <w:numPr>
        <w:numId w:val="15"/>
      </w:numPr>
      <w:spacing w:before="0" w:after="240" w:line="240" w:lineRule="auto"/>
    </w:pPr>
    <w:rPr>
      <w:rFonts w:ascii="Book Antiqua" w:eastAsia="Times New Roman" w:hAnsi="Book Antiqua"/>
      <w:b/>
      <w:bCs/>
      <w:noProof/>
      <w:color w:val="auto"/>
      <w:sz w:val="36"/>
      <w:szCs w:val="36"/>
    </w:rPr>
  </w:style>
  <w:style w:type="paragraph" w:styleId="Subtitle">
    <w:name w:val="Subtitle"/>
    <w:basedOn w:val="Normal"/>
    <w:next w:val="Normal"/>
    <w:link w:val="SubtitleChar"/>
    <w:uiPriority w:val="11"/>
    <w:qFormat/>
    <w:locked/>
    <w:pPr>
      <w:numPr>
        <w:ilvl w:val="1"/>
      </w:numPr>
      <w:spacing w:line="270" w:lineRule="atLeas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val="bg-BG" w:eastAsia="bg-BG"/>
    </w:rPr>
  </w:style>
  <w:style w:type="paragraph" w:customStyle="1" w:styleId="Figureheadingnew">
    <w:name w:val="Figure heading_new"/>
    <w:basedOn w:val="Normal"/>
    <w:link w:val="FigureheadingnewChar"/>
    <w:pPr>
      <w:spacing w:line="270" w:lineRule="atLeast"/>
    </w:pPr>
    <w:rPr>
      <w:rFonts w:ascii="Constantia" w:eastAsiaTheme="minorEastAsia" w:hAnsi="Constantia" w:cstheme="minorBidi"/>
      <w:color w:val="007C9A"/>
      <w:sz w:val="24"/>
      <w:szCs w:val="24"/>
    </w:rPr>
  </w:style>
  <w:style w:type="character" w:customStyle="1" w:styleId="FigureheadingnewChar">
    <w:name w:val="Figure heading_new Char"/>
    <w:basedOn w:val="DefaultParagraphFont"/>
    <w:link w:val="Figureheadingnew"/>
    <w:rPr>
      <w:rFonts w:ascii="Constantia" w:eastAsiaTheme="minorEastAsia" w:hAnsi="Constantia" w:cstheme="minorBidi"/>
      <w:color w:val="007C9A"/>
      <w:sz w:val="24"/>
      <w:szCs w:val="24"/>
      <w:lang w:val="bg-BG" w:eastAsia="bg-BG"/>
    </w:rPr>
  </w:style>
  <w:style w:type="paragraph" w:customStyle="1" w:styleId="font8">
    <w:name w:val="font8"/>
    <w:basedOn w:val="Normal"/>
    <w:pPr>
      <w:spacing w:before="100" w:beforeAutospacing="1" w:after="100" w:afterAutospacing="1" w:line="240" w:lineRule="auto"/>
    </w:pPr>
    <w:rPr>
      <w:rFonts w:ascii="Arial" w:eastAsia="Times New Roman" w:hAnsi="Arial" w:cs="Arial"/>
      <w:color w:val="000000"/>
      <w:sz w:val="16"/>
      <w:szCs w:val="16"/>
    </w:rPr>
  </w:style>
  <w:style w:type="paragraph" w:customStyle="1" w:styleId="font9">
    <w:name w:val="font9"/>
    <w:basedOn w:val="Normal"/>
    <w:pPr>
      <w:spacing w:before="100" w:beforeAutospacing="1" w:after="100" w:afterAutospacing="1" w:line="240" w:lineRule="auto"/>
    </w:pPr>
    <w:rPr>
      <w:rFonts w:ascii="Arial" w:eastAsia="Times New Roman" w:hAnsi="Arial" w:cs="Arial"/>
      <w:i/>
      <w:iCs/>
      <w:color w:val="000000"/>
      <w:sz w:val="16"/>
      <w:szCs w:val="16"/>
    </w:rPr>
  </w:style>
  <w:style w:type="paragraph" w:customStyle="1" w:styleId="font10">
    <w:name w:val="font10"/>
    <w:basedOn w:val="Normal"/>
    <w:pPr>
      <w:spacing w:before="100" w:beforeAutospacing="1" w:after="100" w:afterAutospacing="1" w:line="240" w:lineRule="auto"/>
    </w:pPr>
    <w:rPr>
      <w:rFonts w:ascii="Arial" w:eastAsia="Times New Roman" w:hAnsi="Arial" w:cs="Arial"/>
      <w:color w:val="000000"/>
      <w:sz w:val="16"/>
      <w:szCs w:val="16"/>
    </w:rPr>
  </w:style>
  <w:style w:type="paragraph" w:customStyle="1" w:styleId="font11">
    <w:name w:val="font11"/>
    <w:basedOn w:val="Normal"/>
    <w:pPr>
      <w:spacing w:before="100" w:beforeAutospacing="1" w:after="100" w:afterAutospacing="1" w:line="240" w:lineRule="auto"/>
    </w:pPr>
    <w:rPr>
      <w:rFonts w:eastAsia="Times New Roman" w:cs="Calibri"/>
      <w:i/>
      <w:iCs/>
      <w:color w:val="000000"/>
    </w:rPr>
  </w:style>
  <w:style w:type="paragraph" w:customStyle="1" w:styleId="font12">
    <w:name w:val="font12"/>
    <w:basedOn w:val="Normal"/>
    <w:pPr>
      <w:spacing w:before="100" w:beforeAutospacing="1" w:after="100" w:afterAutospacing="1" w:line="240" w:lineRule="auto"/>
    </w:pPr>
    <w:rPr>
      <w:rFonts w:eastAsia="Times New Roman" w:cs="Calibri"/>
      <w:color w:val="000000"/>
      <w:sz w:val="16"/>
      <w:szCs w:val="16"/>
    </w:rPr>
  </w:style>
  <w:style w:type="paragraph" w:customStyle="1" w:styleId="Reportinfo">
    <w:name w:val="Report info"/>
    <w:basedOn w:val="Sectionheading"/>
    <w:next w:val="Normal"/>
    <w:qFormat/>
    <w:pPr>
      <w:spacing w:after="0"/>
    </w:pPr>
    <w:rPr>
      <w:color w:val="77A6B7"/>
      <w:sz w:val="24"/>
    </w:rPr>
  </w:style>
  <w:style w:type="paragraph" w:customStyle="1" w:styleId="Bulletedlisttwocolumns">
    <w:name w:val="Bulleted list two columns"/>
    <w:basedOn w:val="ListParagraph"/>
    <w:qFormat/>
    <w:pPr>
      <w:numPr>
        <w:numId w:val="18"/>
      </w:numPr>
      <w:spacing w:line="270" w:lineRule="atLeast"/>
      <w:ind w:left="567" w:hanging="340"/>
    </w:pPr>
    <w:rPr>
      <w:rFonts w:ascii="Constantia" w:eastAsiaTheme="minorEastAsia" w:hAnsi="Constantia" w:cstheme="minorBidi"/>
      <w:sz w:val="20"/>
    </w:rPr>
  </w:style>
  <w:style w:type="paragraph" w:customStyle="1" w:styleId="Copyrightinfo">
    <w:name w:val="Copyright info"/>
    <w:basedOn w:val="Normal"/>
    <w:next w:val="Normal"/>
    <w:qFormat/>
    <w:pPr>
      <w:spacing w:line="270" w:lineRule="atLeast"/>
    </w:pPr>
    <w:rPr>
      <w:rFonts w:ascii="Constantia" w:eastAsiaTheme="minorEastAsia" w:hAnsi="Constantia" w:cstheme="minorBidi"/>
      <w:color w:val="007C9A"/>
      <w:sz w:val="16"/>
      <w:szCs w:val="16"/>
    </w:rPr>
  </w:style>
  <w:style w:type="paragraph" w:customStyle="1" w:styleId="Numberedlisttwocolumns">
    <w:name w:val="Numbered list two columns"/>
    <w:basedOn w:val="Bulletedlisttwocolumns"/>
    <w:qFormat/>
    <w:pPr>
      <w:numPr>
        <w:numId w:val="19"/>
      </w:numPr>
      <w:ind w:left="454" w:hanging="227"/>
    </w:pPr>
  </w:style>
  <w:style w:type="paragraph" w:customStyle="1" w:styleId="Casestudytitle">
    <w:name w:val="Case study title"/>
    <w:basedOn w:val="Caption"/>
    <w:next w:val="Normal"/>
    <w:qFormat/>
    <w:pPr>
      <w:spacing w:after="200"/>
    </w:pPr>
  </w:style>
  <w:style w:type="paragraph" w:customStyle="1" w:styleId="SRG">
    <w:name w:val="SRG"/>
    <w:basedOn w:val="Normal"/>
    <w:link w:val="SRGChar"/>
    <w:qFormat/>
    <w:pPr>
      <w:tabs>
        <w:tab w:val="left" w:pos="-720"/>
      </w:tabs>
      <w:suppressAutoHyphens/>
      <w:spacing w:after="120" w:line="240" w:lineRule="auto"/>
      <w:jc w:val="both"/>
    </w:pPr>
    <w:rPr>
      <w:rFonts w:ascii="Book Antiqua" w:eastAsia="Times New Roman" w:hAnsi="Book Antiqua"/>
      <w:spacing w:val="-2"/>
      <w:sz w:val="20"/>
      <w:szCs w:val="20"/>
    </w:rPr>
  </w:style>
  <w:style w:type="character" w:customStyle="1" w:styleId="SRGChar">
    <w:name w:val="SRG Char"/>
    <w:basedOn w:val="DefaultParagraphFont"/>
    <w:link w:val="SRG"/>
    <w:rPr>
      <w:rFonts w:ascii="Book Antiqua" w:eastAsia="Times New Roman" w:hAnsi="Book Antiqua"/>
      <w:spacing w:val="-2"/>
      <w:sz w:val="20"/>
      <w:szCs w:val="20"/>
      <w:lang w:val="bg-BG" w:eastAsia="bg-BG"/>
    </w:rPr>
  </w:style>
  <w:style w:type="character" w:customStyle="1" w:styleId="nlmxref-aff">
    <w:name w:val="nlm_xref-aff"/>
    <w:basedOn w:val="DefaultParagraphFont"/>
  </w:style>
  <w:style w:type="character" w:styleId="PlaceholderText">
    <w:name w:val="Placeholder Text"/>
    <w:basedOn w:val="DefaultParagraphFont"/>
    <w:uiPriority w:val="99"/>
    <w:semiHidden/>
    <w:rPr>
      <w:color w:val="808080"/>
    </w:rPr>
  </w:style>
  <w:style w:type="paragraph" w:customStyle="1" w:styleId="font13">
    <w:name w:val="font13"/>
    <w:basedOn w:val="Normal"/>
    <w:pPr>
      <w:spacing w:before="100" w:beforeAutospacing="1" w:after="100" w:afterAutospacing="1" w:line="240" w:lineRule="auto"/>
    </w:pPr>
    <w:rPr>
      <w:rFonts w:ascii="Arial" w:eastAsia="Times New Roman" w:hAnsi="Arial" w:cs="Arial"/>
      <w:b/>
      <w:bCs/>
      <w:color w:val="000000"/>
      <w:sz w:val="16"/>
      <w:szCs w:val="16"/>
    </w:rPr>
  </w:style>
  <w:style w:type="paragraph" w:customStyle="1" w:styleId="font14">
    <w:name w:val="font14"/>
    <w:basedOn w:val="Normal"/>
    <w:pPr>
      <w:spacing w:before="100" w:beforeAutospacing="1" w:after="100" w:afterAutospacing="1" w:line="240" w:lineRule="auto"/>
    </w:pPr>
    <w:rPr>
      <w:rFonts w:ascii="Arial" w:eastAsia="Times New Roman" w:hAnsi="Arial" w:cs="Arial"/>
      <w:color w:val="000000"/>
      <w:sz w:val="16"/>
      <w:szCs w:val="16"/>
    </w:rPr>
  </w:style>
  <w:style w:type="paragraph" w:customStyle="1" w:styleId="font15">
    <w:name w:val="font15"/>
    <w:basedOn w:val="Normal"/>
    <w:pPr>
      <w:spacing w:before="100" w:beforeAutospacing="1" w:after="100" w:afterAutospacing="1" w:line="240" w:lineRule="auto"/>
    </w:pPr>
    <w:rPr>
      <w:rFonts w:ascii="Arial" w:eastAsia="Times New Roman" w:hAnsi="Arial" w:cs="Arial"/>
      <w:color w:val="666666"/>
      <w:sz w:val="21"/>
      <w:szCs w:val="21"/>
    </w:rPr>
  </w:style>
  <w:style w:type="character" w:customStyle="1" w:styleId="highlight">
    <w:name w:val="highlight"/>
    <w:basedOn w:val="DefaultParagraphFont"/>
  </w:style>
  <w:style w:type="character" w:customStyle="1" w:styleId="NoSpacingChar">
    <w:name w:val="No Spacing Char"/>
    <w:basedOn w:val="DefaultParagraphFont"/>
    <w:link w:val="NoSpacing"/>
    <w:uiPriority w:val="1"/>
    <w:rPr>
      <w:rFonts w:ascii="Constantia" w:eastAsiaTheme="minorEastAsia" w:hAnsi="Constantia" w:cstheme="minorBidi"/>
      <w:sz w:val="20"/>
      <w:lang w:val="bg-BG" w:eastAsia="bg-BG"/>
    </w:rPr>
  </w:style>
  <w:style w:type="table" w:customStyle="1" w:styleId="GridTable5Dark-Accent61">
    <w:name w:val="Grid Table 5 Dark - Accent 61"/>
    <w:basedOn w:val="TableNormal"/>
    <w:uiPriority w:val="50"/>
    <w:rPr>
      <w:rFonts w:asciiTheme="minorHAnsi" w:eastAsiaTheme="minorHAnsi"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tgc">
    <w:name w:val="_tgc"/>
    <w:basedOn w:val="DefaultParagraphFont"/>
  </w:style>
  <w:style w:type="paragraph" w:styleId="BodyTextIndent">
    <w:name w:val="Body Text Indent"/>
    <w:basedOn w:val="Normal"/>
    <w:link w:val="BodyTextIndentChar"/>
    <w:uiPriority w:val="99"/>
    <w:semiHidden/>
    <w:unhideWhenUsed/>
    <w:pPr>
      <w:spacing w:after="120" w:line="270" w:lineRule="atLeast"/>
      <w:ind w:left="283"/>
    </w:pPr>
    <w:rPr>
      <w:rFonts w:ascii="Constantia" w:eastAsiaTheme="minorEastAsia" w:hAnsi="Constantia" w:cstheme="minorBidi"/>
      <w:sz w:val="20"/>
    </w:rPr>
  </w:style>
  <w:style w:type="character" w:customStyle="1" w:styleId="BodyTextIndentChar">
    <w:name w:val="Body Text Indent Char"/>
    <w:basedOn w:val="DefaultParagraphFont"/>
    <w:link w:val="BodyTextIndent"/>
    <w:uiPriority w:val="99"/>
    <w:semiHidden/>
    <w:rPr>
      <w:rFonts w:ascii="Constantia" w:eastAsiaTheme="minorEastAsia" w:hAnsi="Constantia" w:cstheme="minorBidi"/>
      <w:sz w:val="20"/>
      <w:lang w:val="bg-BG" w:eastAsia="bg-BG"/>
    </w:rPr>
  </w:style>
  <w:style w:type="paragraph" w:styleId="BodyTextFirstIndent2">
    <w:name w:val="Body Text First Indent 2"/>
    <w:basedOn w:val="BodyTextIndent"/>
    <w:link w:val="BodyTextFirstIndent2Char"/>
    <w:uiPriority w:val="99"/>
    <w:semiHidden/>
    <w:unhideWhenUsed/>
    <w:pPr>
      <w:spacing w:after="200"/>
      <w:ind w:left="360" w:firstLine="360"/>
    </w:pPr>
  </w:style>
  <w:style w:type="character" w:customStyle="1" w:styleId="BodyTextFirstIndent2Char">
    <w:name w:val="Body Text First Indent 2 Char"/>
    <w:basedOn w:val="BodyTextIndentChar"/>
    <w:link w:val="BodyTextFirstIndent2"/>
    <w:uiPriority w:val="99"/>
    <w:semiHidden/>
    <w:rPr>
      <w:rFonts w:ascii="Constantia" w:eastAsiaTheme="minorEastAsia" w:hAnsi="Constantia" w:cstheme="minorBidi"/>
      <w:sz w:val="20"/>
      <w:lang w:val="bg-BG" w:eastAsia="bg-BG"/>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TypedudocumentChar"/>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ypedudocumentChar"/>
    <w:link w:val="HeaderSensitivity"/>
    <w:rPr>
      <w:rFonts w:ascii="Times New Roman" w:hAnsi="Times New Roman" w:cs="Times New Roman"/>
      <w:b/>
      <w:sz w:val="32"/>
    </w:rPr>
  </w:style>
  <w:style w:type="character" w:customStyle="1" w:styleId="st1">
    <w:name w:val="st1"/>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bg-BG" w:eastAsia="bg-BG" w:bidi="bg-BG"/>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nhideWhenUsed="0"/>
    <w:lsdException w:name="caption" w:locked="1" w:uiPriority="35" w:qFormat="1"/>
    <w:lsdException w:name="footnote reference" w:locked="1" w:semiHidden="0" w:unhideWhenUsed="0"/>
    <w:lsdException w:name="page number" w:uiPriority="0"/>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Body Text 2" w:uiPriority="0"/>
    <w:lsdException w:name="Body Text 3" w:uiPriority="0"/>
    <w:lsdException w:name="Strong" w:locked="1" w:semiHidden="0" w:uiPriority="22" w:unhideWhenUsed="0" w:qFormat="1"/>
    <w:lsdException w:name="Emphasis" w:locked="1" w:semiHidden="0" w:uiPriority="20" w:unhideWhenUsed="0" w:qFormat="1"/>
    <w:lsdException w:name="annotation subject" w:uiPriority="0"/>
    <w:lsdException w:name="Table Classic 1" w:uiPriority="0"/>
    <w:lsdException w:name="Table Classic 4"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locked/>
    <w:pPr>
      <w:keepNext/>
      <w:keepLines/>
      <w:spacing w:before="240" w:after="0" w:line="270" w:lineRule="atLeast"/>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locked/>
    <w:pPr>
      <w:keepNext/>
      <w:keepLines/>
      <w:spacing w:line="640" w:lineRule="atLeast"/>
      <w:outlineLvl w:val="1"/>
    </w:pPr>
    <w:rPr>
      <w:rFonts w:ascii="Constantia" w:eastAsiaTheme="majorEastAsia" w:hAnsi="Constantia" w:cstheme="majorBidi"/>
      <w:bCs/>
      <w:color w:val="007C9A"/>
      <w:sz w:val="60"/>
      <w:szCs w:val="26"/>
    </w:rPr>
  </w:style>
  <w:style w:type="paragraph" w:styleId="Heading3">
    <w:name w:val="heading 3"/>
    <w:basedOn w:val="Normal"/>
    <w:next w:val="Normal"/>
    <w:link w:val="Heading3Char"/>
    <w:unhideWhenUsed/>
    <w:qFormat/>
    <w:locked/>
    <w:pPr>
      <w:keepNext/>
      <w:keepLines/>
      <w:spacing w:after="0" w:line="540" w:lineRule="atLeast"/>
      <w:outlineLvl w:val="2"/>
    </w:pPr>
    <w:rPr>
      <w:rFonts w:ascii="Constantia" w:eastAsiaTheme="majorEastAsia" w:hAnsi="Constantia" w:cstheme="majorBidi"/>
      <w:bCs/>
      <w:sz w:val="40"/>
    </w:rPr>
  </w:style>
  <w:style w:type="paragraph" w:styleId="Heading4">
    <w:name w:val="heading 4"/>
    <w:next w:val="Normal"/>
    <w:link w:val="Heading4Char"/>
    <w:qFormat/>
    <w:locked/>
    <w:pPr>
      <w:keepNext/>
      <w:ind w:left="2160"/>
      <w:outlineLvl w:val="3"/>
    </w:pPr>
    <w:rPr>
      <w:rFonts w:ascii="Book Antiqua" w:eastAsia="Times New Roman" w:hAnsi="Book Antiqua"/>
      <w:b/>
      <w:bCs/>
      <w:i/>
      <w:iCs/>
      <w:noProof/>
      <w:sz w:val="24"/>
      <w:szCs w:val="20"/>
    </w:rPr>
  </w:style>
  <w:style w:type="paragraph" w:styleId="Heading5">
    <w:name w:val="heading 5"/>
    <w:basedOn w:val="Normal"/>
    <w:next w:val="Normal"/>
    <w:link w:val="Heading5Char"/>
    <w:uiPriority w:val="9"/>
    <w:qFormat/>
    <w:locked/>
    <w:pPr>
      <w:keepNext/>
      <w:keepLines/>
      <w:spacing w:before="200" w:after="0" w:line="240" w:lineRule="auto"/>
      <w:ind w:left="2880"/>
      <w:outlineLvl w:val="4"/>
    </w:pPr>
    <w:rPr>
      <w:rFonts w:ascii="Cambria" w:eastAsia="Times New Roman" w:hAnsi="Cambria"/>
      <w:color w:val="243F60"/>
      <w:sz w:val="24"/>
      <w:szCs w:val="24"/>
    </w:rPr>
  </w:style>
  <w:style w:type="paragraph" w:styleId="Heading6">
    <w:name w:val="heading 6"/>
    <w:basedOn w:val="Normal"/>
    <w:next w:val="Normal"/>
    <w:link w:val="Heading6Char"/>
    <w:uiPriority w:val="9"/>
    <w:qFormat/>
    <w:locked/>
    <w:pPr>
      <w:keepNext/>
      <w:keepLines/>
      <w:spacing w:before="200" w:after="0" w:line="240" w:lineRule="auto"/>
      <w:ind w:left="3600"/>
      <w:outlineLvl w:val="5"/>
    </w:pPr>
    <w:rPr>
      <w:rFonts w:ascii="Cambria" w:eastAsia="Times New Roman" w:hAnsi="Cambria"/>
      <w:i/>
      <w:iCs/>
      <w:color w:val="243F60"/>
      <w:sz w:val="24"/>
      <w:szCs w:val="24"/>
    </w:rPr>
  </w:style>
  <w:style w:type="paragraph" w:styleId="Heading7">
    <w:name w:val="heading 7"/>
    <w:basedOn w:val="Normal"/>
    <w:next w:val="Normal"/>
    <w:link w:val="Heading7Char"/>
    <w:uiPriority w:val="9"/>
    <w:qFormat/>
    <w:locked/>
    <w:pPr>
      <w:keepNext/>
      <w:keepLines/>
      <w:spacing w:before="200" w:after="0" w:line="240" w:lineRule="auto"/>
      <w:ind w:left="4320"/>
      <w:outlineLvl w:val="6"/>
    </w:pPr>
    <w:rPr>
      <w:rFonts w:ascii="Cambria" w:eastAsia="Times New Roman" w:hAnsi="Cambria"/>
      <w:i/>
      <w:iCs/>
      <w:color w:val="404040"/>
      <w:sz w:val="24"/>
      <w:szCs w:val="24"/>
    </w:rPr>
  </w:style>
  <w:style w:type="paragraph" w:styleId="Heading8">
    <w:name w:val="heading 8"/>
    <w:basedOn w:val="Normal"/>
    <w:next w:val="Normal"/>
    <w:link w:val="Heading8Char"/>
    <w:uiPriority w:val="9"/>
    <w:qFormat/>
    <w:locked/>
    <w:pPr>
      <w:keepNext/>
      <w:keepLines/>
      <w:spacing w:before="200" w:after="0" w:line="240" w:lineRule="auto"/>
      <w:ind w:left="50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locked/>
    <w:pPr>
      <w:keepNext/>
      <w:keepLines/>
      <w:spacing w:before="200" w:after="0" w:line="240" w:lineRule="auto"/>
      <w:ind w:left="5760"/>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uiPriority w:val="99"/>
    <w:rPr>
      <w:rFonts w:cs="Times New Roman"/>
      <w:color w:val="0000FF"/>
      <w:shd w:val="clear" w:color="auto" w:fill="auto"/>
    </w:rPr>
  </w:style>
  <w:style w:type="paragraph" w:customStyle="1" w:styleId="Pagedecouverture">
    <w:name w:val="Page de couverture"/>
    <w:basedOn w:val="Normal"/>
    <w:next w:val="Normal"/>
    <w:uiPriority w:val="99"/>
    <w:pPr>
      <w:spacing w:after="0" w:line="240" w:lineRule="auto"/>
      <w:jc w:val="both"/>
    </w:pPr>
    <w:rPr>
      <w:rFonts w:ascii="Times New Roman" w:hAnsi="Times New Roman"/>
      <w:sz w:val="24"/>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customStyle="1" w:styleId="Typedudocument">
    <w:name w:val="Type du document"/>
    <w:basedOn w:val="Normal"/>
    <w:next w:val="Normal"/>
    <w:link w:val="TypedudocumentChar"/>
    <w:uiPriority w:val="99"/>
    <w:pPr>
      <w:spacing w:before="360" w:after="0" w:line="240" w:lineRule="auto"/>
      <w:jc w:val="center"/>
    </w:pPr>
    <w:rPr>
      <w:rFonts w:ascii="Times New Roman" w:hAnsi="Times New Roman"/>
      <w:b/>
      <w:sz w:val="24"/>
    </w:rPr>
  </w:style>
  <w:style w:type="paragraph" w:customStyle="1" w:styleId="Titreobjet">
    <w:name w:val="Titre objet"/>
    <w:basedOn w:val="Normal"/>
    <w:next w:val="Normal"/>
    <w:uiPriority w:val="99"/>
    <w:pPr>
      <w:spacing w:before="360" w:after="360" w:line="240" w:lineRule="auto"/>
      <w:jc w:val="center"/>
    </w:pPr>
    <w:rPr>
      <w:rFonts w:ascii="Times New Roman" w:hAnsi="Times New Roman"/>
      <w:b/>
      <w:sz w:val="24"/>
    </w:rPr>
  </w:style>
  <w:style w:type="paragraph" w:customStyle="1" w:styleId="FooterCoverPage">
    <w:name w:val="Footer Cover Page"/>
    <w:basedOn w:val="Normal"/>
    <w:link w:val="FooterCoverPageChar"/>
    <w:uiPriority w:val="99"/>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ypedudocumentChar">
    <w:name w:val="Type du document Char"/>
    <w:basedOn w:val="DefaultParagraphFont"/>
    <w:link w:val="Typedudocument"/>
    <w:uiPriority w:val="99"/>
    <w:locked/>
    <w:rPr>
      <w:rFonts w:ascii="Times New Roman" w:hAnsi="Times New Roman" w:cs="Times New Roman"/>
      <w:b/>
      <w:sz w:val="24"/>
    </w:rPr>
  </w:style>
  <w:style w:type="character" w:customStyle="1" w:styleId="FooterCoverPageChar">
    <w:name w:val="Footer Cover Page Char"/>
    <w:basedOn w:val="TypedudocumentChar"/>
    <w:link w:val="FooterCoverPage"/>
    <w:uiPriority w:val="99"/>
    <w:locked/>
    <w:rPr>
      <w:rFonts w:ascii="Times New Roman" w:hAnsi="Times New Roman" w:cs="Times New Roman"/>
      <w:b w:val="0"/>
      <w:sz w:val="24"/>
    </w:rPr>
  </w:style>
  <w:style w:type="paragraph" w:customStyle="1" w:styleId="HeaderCoverPage">
    <w:name w:val="Header Cover Page"/>
    <w:basedOn w:val="Normal"/>
    <w:link w:val="HeaderCoverPageChar"/>
    <w:uiPriority w:val="99"/>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TypedudocumentChar"/>
    <w:link w:val="HeaderCoverPage"/>
    <w:uiPriority w:val="99"/>
    <w:locked/>
    <w:rPr>
      <w:rFonts w:ascii="Times New Roman" w:hAnsi="Times New Roman" w:cs="Times New Roman"/>
      <w:b w:val="0"/>
      <w:sz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uiPriority w:val="99"/>
    <w:pPr>
      <w:spacing w:after="0" w:line="240" w:lineRule="auto"/>
    </w:pPr>
    <w:rPr>
      <w:rFonts w:ascii="Constantia" w:eastAsia="Times New Roman" w:hAnsi="Constantia"/>
      <w:sz w:val="20"/>
      <w:szCs w:val="20"/>
    </w:rPr>
  </w:style>
  <w:style w:type="character" w:customStyle="1" w:styleId="FootnoteTextChar">
    <w:name w:val="Footnote Text Char"/>
    <w:aliases w:val="Footnote Char,Testo nota a piè di pagina_Rientro Char,stile 1 Char,Footnote1 Char,Footnote2 Char,Footnote3 Char,Footnote4 Char,Footnote5 Char,Footnote6 Char,Footnote7 Char,Footnote8 Char,Footnote9 Char,Footnote10 Char,Footnote11 Char"/>
    <w:basedOn w:val="DefaultParagraphFont"/>
    <w:uiPriority w:val="99"/>
    <w:locked/>
    <w:rPr>
      <w:rFonts w:ascii="Constantia" w:hAnsi="Constantia" w:cs="Times New Roman"/>
      <w:sz w:val="20"/>
      <w:szCs w:val="20"/>
      <w:lang w:eastAsia="bg-BG"/>
    </w:rPr>
  </w:style>
  <w:style w:type="character" w:styleId="FootnoteReference">
    <w:name w:val="footnote reference"/>
    <w:aliases w:val="number,Footnote symbol,Voetnootverwijzing,Times 10 Point,Exposant 3 Point,Footnote reference number,note TESI,SUPERS,EN Footnote Reference,Ref,de nota al pie,Footnote Reference Superscript,Footnote sign,BVI fnr,stylish"/>
    <w:basedOn w:val="DefaultParagraphFont"/>
    <w:uiPriority w:val="99"/>
    <w:rPr>
      <w:rFonts w:cs="Times New Roman"/>
      <w:vertAlign w:val="superscript"/>
    </w:rPr>
  </w:style>
  <w:style w:type="table" w:styleId="TableGrid">
    <w:name w:val="Table Grid"/>
    <w:basedOn w:val="TableNormal"/>
    <w:uiPriority w:val="5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table" w:customStyle="1" w:styleId="TableGrid1">
    <w:name w:val="Table Grid1"/>
    <w:uiPriority w:val="5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locked/>
    <w:rPr>
      <w:rFonts w:cs="Times New Roman"/>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locked/>
    <w:rPr>
      <w:rFonts w:cs="Times New Roman"/>
      <w:b/>
      <w:bCs/>
      <w:sz w:val="20"/>
      <w:szCs w:val="20"/>
    </w:rPr>
  </w:style>
  <w:style w:type="paragraph" w:styleId="Revision">
    <w:name w:val="Revision"/>
    <w:hidden/>
    <w:uiPriority w:val="99"/>
    <w:semiHidden/>
  </w:style>
  <w:style w:type="character" w:styleId="Emphasis">
    <w:name w:val="Emphasis"/>
    <w:basedOn w:val="DefaultParagraphFont"/>
    <w:uiPriority w:val="20"/>
    <w:qFormat/>
    <w:locked/>
    <w:rPr>
      <w:i/>
      <w:iCs/>
    </w:rPr>
  </w:style>
  <w:style w:type="paragraph" w:customStyle="1" w:styleId="Default">
    <w:name w:val="Default"/>
    <w:pPr>
      <w:autoSpaceDE w:val="0"/>
      <w:autoSpaceDN w:val="0"/>
      <w:adjustRightInd w:val="0"/>
    </w:pPr>
    <w:rPr>
      <w:rFonts w:cs="Calibri"/>
      <w:color w:val="000000"/>
      <w:sz w:val="24"/>
      <w:szCs w:val="24"/>
    </w:rPr>
  </w:style>
  <w:style w:type="character" w:styleId="FollowedHyperlink">
    <w:name w:val="FollowedHyperlink"/>
    <w:basedOn w:val="DefaultParagraphFont"/>
    <w:uiPriority w:val="99"/>
    <w:unhideWhenUsed/>
    <w:rPr>
      <w:color w:val="800080" w:themeColor="followedHyperlink"/>
      <w:u w:val="single"/>
    </w:rPr>
  </w:style>
  <w:style w:type="character" w:customStyle="1" w:styleId="Heading2Char">
    <w:name w:val="Heading 2 Char"/>
    <w:basedOn w:val="DefaultParagraphFont"/>
    <w:link w:val="Heading2"/>
    <w:uiPriority w:val="9"/>
    <w:rPr>
      <w:rFonts w:ascii="Constantia" w:eastAsiaTheme="majorEastAsia" w:hAnsi="Constantia" w:cstheme="majorBidi"/>
      <w:bCs/>
      <w:color w:val="007C9A"/>
      <w:sz w:val="60"/>
      <w:szCs w:val="26"/>
      <w:lang w:val="bg-BG" w:eastAsia="bg-BG"/>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bg-BG" w:eastAsia="bg-BG"/>
    </w:rPr>
  </w:style>
  <w:style w:type="paragraph" w:customStyle="1" w:styleId="Chaptertext">
    <w:name w:val="Chapter text"/>
    <w:basedOn w:val="Normal"/>
    <w:next w:val="Normal"/>
    <w:qFormat/>
    <w:pPr>
      <w:spacing w:line="270" w:lineRule="atLeast"/>
    </w:pPr>
    <w:rPr>
      <w:rFonts w:ascii="Constantia" w:eastAsiaTheme="minorEastAsia" w:hAnsi="Constantia" w:cstheme="minorBidi"/>
      <w:sz w:val="20"/>
    </w:rPr>
  </w:style>
  <w:style w:type="paragraph" w:customStyle="1" w:styleId="Chaptersubheading">
    <w:name w:val="Chapter subheading"/>
    <w:basedOn w:val="Chaptertext"/>
    <w:next w:val="Chaptertext"/>
    <w:qFormat/>
    <w:pPr>
      <w:spacing w:after="0" w:line="240" w:lineRule="auto"/>
    </w:pPr>
    <w:rPr>
      <w:color w:val="007C9A"/>
      <w:sz w:val="28"/>
      <w:szCs w:val="28"/>
    </w:rPr>
  </w:style>
  <w:style w:type="character" w:customStyle="1" w:styleId="Heading3Char">
    <w:name w:val="Heading 3 Char"/>
    <w:basedOn w:val="DefaultParagraphFont"/>
    <w:link w:val="Heading3"/>
    <w:rPr>
      <w:rFonts w:ascii="Constantia" w:eastAsiaTheme="majorEastAsia" w:hAnsi="Constantia" w:cstheme="majorBidi"/>
      <w:bCs/>
      <w:sz w:val="40"/>
      <w:lang w:val="bg-BG" w:eastAsia="bg-BG"/>
    </w:rPr>
  </w:style>
  <w:style w:type="character" w:customStyle="1" w:styleId="Heading4Char">
    <w:name w:val="Heading 4 Char"/>
    <w:basedOn w:val="DefaultParagraphFont"/>
    <w:link w:val="Heading4"/>
    <w:rPr>
      <w:rFonts w:ascii="Book Antiqua" w:eastAsia="Times New Roman" w:hAnsi="Book Antiqua"/>
      <w:b/>
      <w:bCs/>
      <w:i/>
      <w:iCs/>
      <w:noProof/>
      <w:sz w:val="24"/>
      <w:szCs w:val="20"/>
      <w:lang w:val="bg-BG" w:eastAsia="bg-BG"/>
    </w:rPr>
  </w:style>
  <w:style w:type="character" w:customStyle="1" w:styleId="Heading5Char">
    <w:name w:val="Heading 5 Char"/>
    <w:basedOn w:val="DefaultParagraphFont"/>
    <w:link w:val="Heading5"/>
    <w:uiPriority w:val="9"/>
    <w:rPr>
      <w:rFonts w:ascii="Cambria" w:eastAsia="Times New Roman" w:hAnsi="Cambria"/>
      <w:color w:val="243F60"/>
      <w:sz w:val="24"/>
      <w:szCs w:val="24"/>
      <w:lang w:val="bg-BG" w:eastAsia="bg-BG"/>
    </w:rPr>
  </w:style>
  <w:style w:type="character" w:customStyle="1" w:styleId="Heading6Char">
    <w:name w:val="Heading 6 Char"/>
    <w:basedOn w:val="DefaultParagraphFont"/>
    <w:link w:val="Heading6"/>
    <w:uiPriority w:val="9"/>
    <w:rPr>
      <w:rFonts w:ascii="Cambria" w:eastAsia="Times New Roman" w:hAnsi="Cambria"/>
      <w:i/>
      <w:iCs/>
      <w:color w:val="243F60"/>
      <w:sz w:val="24"/>
      <w:szCs w:val="24"/>
      <w:lang w:val="bg-BG" w:eastAsia="bg-BG"/>
    </w:rPr>
  </w:style>
  <w:style w:type="character" w:customStyle="1" w:styleId="Heading7Char">
    <w:name w:val="Heading 7 Char"/>
    <w:basedOn w:val="DefaultParagraphFont"/>
    <w:link w:val="Heading7"/>
    <w:uiPriority w:val="9"/>
    <w:rPr>
      <w:rFonts w:ascii="Cambria" w:eastAsia="Times New Roman" w:hAnsi="Cambria"/>
      <w:i/>
      <w:iCs/>
      <w:color w:val="404040"/>
      <w:sz w:val="24"/>
      <w:szCs w:val="24"/>
      <w:lang w:val="bg-BG" w:eastAsia="bg-BG"/>
    </w:rPr>
  </w:style>
  <w:style w:type="character" w:customStyle="1" w:styleId="Heading8Char">
    <w:name w:val="Heading 8 Char"/>
    <w:basedOn w:val="DefaultParagraphFont"/>
    <w:link w:val="Heading8"/>
    <w:uiPriority w:val="9"/>
    <w:rPr>
      <w:rFonts w:ascii="Cambria" w:eastAsia="Times New Roman" w:hAnsi="Cambria"/>
      <w:color w:val="404040"/>
      <w:sz w:val="20"/>
      <w:szCs w:val="20"/>
      <w:lang w:val="bg-BG" w:eastAsia="bg-BG"/>
    </w:rPr>
  </w:style>
  <w:style w:type="character" w:customStyle="1" w:styleId="Heading9Char">
    <w:name w:val="Heading 9 Char"/>
    <w:basedOn w:val="DefaultParagraphFont"/>
    <w:link w:val="Heading9"/>
    <w:uiPriority w:val="9"/>
    <w:rPr>
      <w:rFonts w:ascii="Cambria" w:eastAsia="Times New Roman" w:hAnsi="Cambria"/>
      <w:i/>
      <w:iCs/>
      <w:color w:val="404040"/>
      <w:sz w:val="20"/>
      <w:szCs w:val="20"/>
      <w:lang w:val="bg-BG" w:eastAsia="bg-BG"/>
    </w:rPr>
  </w:style>
  <w:style w:type="paragraph" w:customStyle="1" w:styleId="Sectionheading">
    <w:name w:val="Section heading"/>
    <w:basedOn w:val="Normal"/>
    <w:next w:val="Normal"/>
    <w:qFormat/>
    <w:pPr>
      <w:spacing w:before="270" w:line="270" w:lineRule="atLeast"/>
    </w:pPr>
    <w:rPr>
      <w:rFonts w:ascii="Constantia" w:eastAsiaTheme="minorEastAsia" w:hAnsi="Constantia" w:cstheme="minorBidi"/>
      <w:color w:val="007C9A"/>
      <w:sz w:val="34"/>
    </w:rPr>
  </w:style>
  <w:style w:type="paragraph" w:customStyle="1" w:styleId="Figuretext">
    <w:name w:val="Figure text"/>
    <w:basedOn w:val="Normal"/>
    <w:qFormat/>
    <w:pPr>
      <w:spacing w:line="270" w:lineRule="atLeast"/>
    </w:pPr>
    <w:rPr>
      <w:rFonts w:ascii="Constantia" w:eastAsiaTheme="minorEastAsia" w:hAnsi="Constantia" w:cstheme="minorBidi"/>
      <w:sz w:val="20"/>
    </w:rPr>
  </w:style>
  <w:style w:type="paragraph" w:customStyle="1" w:styleId="Executivesummaryintro">
    <w:name w:val="Executive summary intro"/>
    <w:basedOn w:val="Normal"/>
    <w:next w:val="Normal"/>
    <w:qFormat/>
    <w:pPr>
      <w:spacing w:line="270" w:lineRule="atLeast"/>
    </w:pPr>
    <w:rPr>
      <w:rFonts w:ascii="Constantia" w:eastAsiaTheme="minorEastAsia" w:hAnsi="Constantia" w:cstheme="minorBidi"/>
      <w:sz w:val="24"/>
      <w:szCs w:val="24"/>
    </w:rPr>
  </w:style>
  <w:style w:type="paragraph" w:customStyle="1" w:styleId="Thisreportheadings">
    <w:name w:val="This report headings"/>
    <w:basedOn w:val="Normal"/>
    <w:next w:val="Normal"/>
    <w:qFormat/>
    <w:pPr>
      <w:spacing w:before="270" w:after="0" w:line="270" w:lineRule="atLeast"/>
    </w:pPr>
    <w:rPr>
      <w:rFonts w:ascii="Constantia" w:eastAsiaTheme="minorEastAsia" w:hAnsi="Constantia" w:cstheme="minorBidi"/>
      <w:color w:val="77A6B7"/>
      <w:sz w:val="24"/>
    </w:rPr>
  </w:style>
  <w:style w:type="paragraph" w:customStyle="1" w:styleId="Tablelables">
    <w:name w:val="Table lables"/>
    <w:basedOn w:val="Normal"/>
    <w:qFormat/>
    <w:pPr>
      <w:spacing w:before="200" w:line="270" w:lineRule="atLeast"/>
    </w:pPr>
    <w:rPr>
      <w:rFonts w:ascii="Helvetica" w:eastAsiaTheme="minorEastAsia" w:hAnsi="Helvetica" w:cstheme="minorBidi"/>
      <w:b/>
      <w:sz w:val="24"/>
      <w:szCs w:val="24"/>
    </w:rPr>
  </w:style>
  <w:style w:type="paragraph" w:customStyle="1" w:styleId="Casestudytext">
    <w:name w:val="Case study text"/>
    <w:basedOn w:val="Normal"/>
    <w:qFormat/>
    <w:pPr>
      <w:spacing w:after="0" w:line="270" w:lineRule="atLeast"/>
    </w:pPr>
    <w:rPr>
      <w:rFonts w:ascii="Helvetica" w:eastAsiaTheme="minorEastAsia" w:hAnsi="Helvetica" w:cstheme="minorBidi"/>
      <w:sz w:val="20"/>
      <w:szCs w:val="20"/>
    </w:rPr>
  </w:style>
  <w:style w:type="paragraph" w:styleId="Caption">
    <w:name w:val="caption"/>
    <w:basedOn w:val="Normal"/>
    <w:next w:val="Normal"/>
    <w:uiPriority w:val="35"/>
    <w:unhideWhenUsed/>
    <w:qFormat/>
    <w:locked/>
    <w:pPr>
      <w:spacing w:after="0" w:line="240" w:lineRule="auto"/>
    </w:pPr>
    <w:rPr>
      <w:rFonts w:ascii="Constantia" w:eastAsiaTheme="minorEastAsia" w:hAnsi="Constantia" w:cstheme="minorBidi"/>
      <w:bCs/>
      <w:color w:val="007C9A"/>
      <w:sz w:val="34"/>
      <w:szCs w:val="18"/>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sz w:val="24"/>
      <w:szCs w:val="24"/>
    </w:rPr>
  </w:style>
  <w:style w:type="paragraph" w:customStyle="1" w:styleId="Reportheader">
    <w:name w:val="Report header"/>
    <w:basedOn w:val="Normal"/>
    <w:qFormat/>
    <w:pPr>
      <w:spacing w:after="0" w:line="240" w:lineRule="auto"/>
    </w:pPr>
    <w:rPr>
      <w:rFonts w:ascii="Constantia" w:eastAsiaTheme="minorEastAsia" w:hAnsi="Constantia" w:cstheme="minorBidi"/>
      <w:sz w:val="23"/>
    </w:rPr>
  </w:style>
  <w:style w:type="paragraph" w:customStyle="1" w:styleId="Reporttitle">
    <w:name w:val="Report title"/>
    <w:basedOn w:val="Normal"/>
    <w:next w:val="Reportdescription"/>
    <w:qFormat/>
    <w:pPr>
      <w:spacing w:line="1000" w:lineRule="atLeast"/>
    </w:pPr>
    <w:rPr>
      <w:rFonts w:ascii="Constantia" w:eastAsiaTheme="minorEastAsia" w:hAnsi="Constantia" w:cstheme="minorBidi"/>
      <w:color w:val="007C9A"/>
      <w:sz w:val="80"/>
    </w:rPr>
  </w:style>
  <w:style w:type="paragraph" w:customStyle="1" w:styleId="Reportdescription">
    <w:name w:val="Report description"/>
    <w:basedOn w:val="Normal"/>
    <w:next w:val="Normal"/>
    <w:qFormat/>
    <w:pPr>
      <w:spacing w:before="120" w:line="440" w:lineRule="atLeast"/>
    </w:pPr>
    <w:rPr>
      <w:rFonts w:ascii="Constantia" w:eastAsiaTheme="minorEastAsia" w:hAnsi="Constantia" w:cstheme="minorBidi"/>
      <w:color w:val="77A6B7"/>
      <w:sz w:val="44"/>
    </w:rPr>
  </w:style>
  <w:style w:type="paragraph" w:styleId="NoSpacing">
    <w:name w:val="No Spacing"/>
    <w:link w:val="NoSpacingChar"/>
    <w:uiPriority w:val="1"/>
    <w:qFormat/>
    <w:pPr>
      <w:spacing w:line="270" w:lineRule="atLeast"/>
    </w:pPr>
    <w:rPr>
      <w:rFonts w:ascii="Constantia" w:eastAsiaTheme="minorEastAsia" w:hAnsi="Constantia" w:cstheme="minorBidi"/>
      <w:sz w:val="20"/>
    </w:rPr>
  </w:style>
  <w:style w:type="paragraph" w:customStyle="1" w:styleId="Contentslist">
    <w:name w:val="Contents list"/>
    <w:basedOn w:val="Normal"/>
    <w:qFormat/>
    <w:pPr>
      <w:spacing w:before="200" w:line="240" w:lineRule="auto"/>
    </w:pPr>
    <w:rPr>
      <w:rFonts w:ascii="Constantia" w:eastAsiaTheme="minorEastAsia" w:hAnsi="Constantia" w:cstheme="minorBidi"/>
      <w:sz w:val="24"/>
    </w:rPr>
  </w:style>
  <w:style w:type="paragraph" w:customStyle="1" w:styleId="Introductiontext">
    <w:name w:val="Introduction text"/>
    <w:basedOn w:val="Normal"/>
    <w:next w:val="Normal"/>
    <w:qFormat/>
    <w:pPr>
      <w:spacing w:line="440" w:lineRule="atLeast"/>
    </w:pPr>
    <w:rPr>
      <w:rFonts w:ascii="Constantia" w:eastAsiaTheme="minorEastAsia" w:hAnsi="Constantia" w:cstheme="minorBidi"/>
      <w:sz w:val="28"/>
      <w:szCs w:val="34"/>
    </w:rPr>
  </w:style>
  <w:style w:type="paragraph" w:customStyle="1" w:styleId="Introductionheading">
    <w:name w:val="Introduction heading"/>
    <w:basedOn w:val="Header"/>
    <w:qFormat/>
    <w:pPr>
      <w:tabs>
        <w:tab w:val="clear" w:pos="4536"/>
        <w:tab w:val="clear" w:pos="9072"/>
        <w:tab w:val="center" w:pos="4513"/>
        <w:tab w:val="right" w:pos="9026"/>
      </w:tabs>
    </w:pPr>
    <w:rPr>
      <w:rFonts w:ascii="Constantia" w:eastAsiaTheme="minorEastAsia" w:hAnsi="Constantia" w:cstheme="minorBidi"/>
      <w:color w:val="007C9A"/>
      <w:sz w:val="60"/>
      <w:szCs w:val="44"/>
    </w:rPr>
  </w:style>
  <w:style w:type="paragraph" w:customStyle="1" w:styleId="Chapterintro">
    <w:name w:val="Chapter intro"/>
    <w:basedOn w:val="Normal"/>
    <w:next w:val="Chaptertext"/>
    <w:qFormat/>
    <w:pPr>
      <w:spacing w:line="270" w:lineRule="atLeast"/>
    </w:pPr>
    <w:rPr>
      <w:rFonts w:ascii="Constantia" w:eastAsiaTheme="minorEastAsia" w:hAnsi="Constantia" w:cstheme="minorBidi"/>
      <w:sz w:val="24"/>
      <w:szCs w:val="24"/>
    </w:rPr>
  </w:style>
  <w:style w:type="paragraph" w:customStyle="1" w:styleId="Chapternumber">
    <w:name w:val="Chapter number"/>
    <w:basedOn w:val="Header"/>
    <w:next w:val="Chaptername"/>
    <w:qFormat/>
    <w:pPr>
      <w:tabs>
        <w:tab w:val="clear" w:pos="4536"/>
        <w:tab w:val="clear" w:pos="9072"/>
        <w:tab w:val="center" w:pos="4513"/>
        <w:tab w:val="right" w:pos="9026"/>
      </w:tabs>
      <w:spacing w:line="540" w:lineRule="atLeast"/>
    </w:pPr>
    <w:rPr>
      <w:rFonts w:ascii="Constantia" w:eastAsiaTheme="minorEastAsia" w:hAnsi="Constantia" w:cstheme="minorBidi"/>
      <w:sz w:val="40"/>
      <w:szCs w:val="40"/>
    </w:rPr>
  </w:style>
  <w:style w:type="paragraph" w:customStyle="1" w:styleId="Chaptername">
    <w:name w:val="Chapter name"/>
    <w:basedOn w:val="Reporttitle"/>
    <w:next w:val="Chapterintro"/>
    <w:qFormat/>
    <w:pPr>
      <w:spacing w:line="640" w:lineRule="atLeast"/>
    </w:pPr>
    <w:rPr>
      <w:sz w:val="60"/>
      <w:szCs w:val="60"/>
    </w:rPr>
  </w:style>
  <w:style w:type="paragraph" w:customStyle="1" w:styleId="Tablecontents">
    <w:name w:val="Table contents"/>
    <w:basedOn w:val="Normal"/>
    <w:next w:val="Normal"/>
    <w:qFormat/>
    <w:pPr>
      <w:spacing w:before="160" w:after="160" w:line="200" w:lineRule="atLeast"/>
    </w:pPr>
    <w:rPr>
      <w:rFonts w:ascii="Helvetica" w:eastAsiaTheme="minorEastAsia" w:hAnsi="Helvetica" w:cstheme="minorBidi"/>
      <w:sz w:val="16"/>
      <w:szCs w:val="16"/>
    </w:rPr>
  </w:style>
  <w:style w:type="table" w:customStyle="1" w:styleId="LightShading1">
    <w:name w:val="Light Shading1"/>
    <w:basedOn w:val="TableNormal"/>
    <w:uiPriority w:val="60"/>
    <w:rPr>
      <w:rFonts w:asciiTheme="minorHAnsi" w:eastAsiaTheme="minorEastAsia"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UNEP-WCMCtable">
    <w:name w:val="UNEP-WCMC table"/>
    <w:basedOn w:val="TableNormal"/>
    <w:uiPriority w:val="99"/>
    <w:qFormat/>
    <w:rPr>
      <w:rFonts w:asciiTheme="minorHAnsi" w:eastAsiaTheme="minorEastAsia" w:hAnsiTheme="minorHAnsi" w:cstheme="minorBidi"/>
    </w:rPr>
    <w:tblPr>
      <w:tblStyleRowBandSize w:val="1"/>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tblStylePr w:type="firstRow">
      <w:rPr>
        <w:rFonts w:ascii="Helvetica" w:hAnsi="Helvetica"/>
        <w:b/>
        <w:color w:val="FFFFFF" w:themeColor="background1"/>
        <w:sz w:val="20"/>
      </w:rPr>
      <w:tblPr/>
      <w:tcPr>
        <w:shd w:val="clear" w:color="auto" w:fill="007C9A"/>
      </w:tcPr>
    </w:tblStylePr>
    <w:tblStylePr w:type="band1Horz">
      <w:rPr>
        <w:rFonts w:ascii="Helvetica" w:hAnsi="Helvetica"/>
        <w:sz w:val="16"/>
      </w:rPr>
    </w:tblStylePr>
    <w:tblStylePr w:type="band2Horz">
      <w:rPr>
        <w:rFonts w:ascii="Helvetica" w:hAnsi="Helvetica"/>
        <w:sz w:val="16"/>
      </w:rPr>
      <w:tblPr/>
      <w:tcPr>
        <w:shd w:val="clear" w:color="auto" w:fill="77A6B7"/>
      </w:tcPr>
    </w:tblStylePr>
  </w:style>
  <w:style w:type="table" w:customStyle="1" w:styleId="Casestudy">
    <w:name w:val="Case study"/>
    <w:basedOn w:val="TableNormal"/>
    <w:uiPriority w:val="99"/>
    <w:qFormat/>
    <w:rPr>
      <w:rFonts w:ascii="Helvetica" w:eastAsiaTheme="minorEastAsia" w:hAnsi="Helvetica" w:cstheme="minorBidi"/>
      <w:sz w:val="20"/>
    </w:rPr>
    <w:tblPr>
      <w:tblInd w:w="0" w:type="dxa"/>
      <w:tblCellMar>
        <w:top w:w="0" w:type="dxa"/>
        <w:left w:w="108" w:type="dxa"/>
        <w:bottom w:w="0" w:type="dxa"/>
        <w:right w:w="108" w:type="dxa"/>
      </w:tblCellMar>
    </w:tblPr>
    <w:tcPr>
      <w:shd w:val="clear" w:color="auto" w:fill="auto"/>
    </w:tcPr>
  </w:style>
  <w:style w:type="paragraph" w:styleId="TOCHeading">
    <w:name w:val="TOC Heading"/>
    <w:basedOn w:val="Heading1"/>
    <w:next w:val="Normal"/>
    <w:uiPriority w:val="39"/>
    <w:unhideWhenUsed/>
    <w:qFormat/>
    <w:pPr>
      <w:spacing w:before="0" w:after="200" w:line="276" w:lineRule="auto"/>
      <w:outlineLvl w:val="9"/>
    </w:pPr>
    <w:rPr>
      <w:rFonts w:ascii="Constantia" w:hAnsi="Constantia"/>
      <w:bCs/>
      <w:color w:val="007C9A"/>
      <w:sz w:val="34"/>
      <w:szCs w:val="28"/>
    </w:rPr>
  </w:style>
  <w:style w:type="paragraph" w:styleId="TOC1">
    <w:name w:val="toc 1"/>
    <w:basedOn w:val="Normal"/>
    <w:next w:val="Normal"/>
    <w:autoRedefine/>
    <w:uiPriority w:val="39"/>
    <w:unhideWhenUsed/>
    <w:qFormat/>
    <w:locked/>
    <w:pPr>
      <w:tabs>
        <w:tab w:val="left" w:pos="567"/>
        <w:tab w:val="right" w:leader="dot" w:pos="9039"/>
      </w:tabs>
      <w:spacing w:after="100" w:line="270" w:lineRule="atLeast"/>
    </w:pPr>
    <w:rPr>
      <w:rFonts w:ascii="Constantia" w:eastAsiaTheme="minorEastAsia" w:hAnsi="Constantia" w:cstheme="minorBidi"/>
      <w:sz w:val="20"/>
    </w:rPr>
  </w:style>
  <w:style w:type="paragraph" w:styleId="TOC2">
    <w:name w:val="toc 2"/>
    <w:basedOn w:val="Normal"/>
    <w:next w:val="Normal"/>
    <w:autoRedefine/>
    <w:uiPriority w:val="39"/>
    <w:unhideWhenUsed/>
    <w:qFormat/>
    <w:locked/>
    <w:pPr>
      <w:spacing w:after="100" w:line="270" w:lineRule="atLeast"/>
      <w:ind w:left="200"/>
    </w:pPr>
    <w:rPr>
      <w:rFonts w:ascii="Constantia" w:eastAsiaTheme="minorEastAsia" w:hAnsi="Constantia" w:cstheme="minorBidi"/>
      <w:sz w:val="20"/>
    </w:rPr>
  </w:style>
  <w:style w:type="paragraph" w:styleId="TOC3">
    <w:name w:val="toc 3"/>
    <w:basedOn w:val="Normal"/>
    <w:next w:val="Normal"/>
    <w:autoRedefine/>
    <w:uiPriority w:val="39"/>
    <w:unhideWhenUsed/>
    <w:qFormat/>
    <w:locked/>
    <w:pPr>
      <w:spacing w:after="100" w:line="270" w:lineRule="atLeast"/>
      <w:ind w:left="400"/>
    </w:pPr>
    <w:rPr>
      <w:rFonts w:ascii="Constantia" w:eastAsiaTheme="minorEastAsia" w:hAnsi="Constantia" w:cstheme="minorBidi"/>
      <w:sz w:val="20"/>
    </w:rPr>
  </w:style>
  <w:style w:type="paragraph" w:styleId="TableofFigures">
    <w:name w:val="table of figures"/>
    <w:basedOn w:val="Normal"/>
    <w:next w:val="Normal"/>
    <w:uiPriority w:val="99"/>
    <w:unhideWhenUsed/>
    <w:pPr>
      <w:spacing w:after="0" w:line="270" w:lineRule="atLeast"/>
    </w:pPr>
    <w:rPr>
      <w:rFonts w:ascii="Constantia" w:eastAsiaTheme="minorEastAsia" w:hAnsi="Constantia" w:cstheme="minorBidi"/>
      <w:sz w:val="20"/>
    </w:rPr>
  </w:style>
  <w:style w:type="paragraph" w:customStyle="1" w:styleId="Family">
    <w:name w:val="Family"/>
    <w:basedOn w:val="Normal"/>
    <w:pPr>
      <w:tabs>
        <w:tab w:val="left" w:pos="-720"/>
      </w:tabs>
      <w:suppressAutoHyphens/>
      <w:spacing w:after="120" w:line="240" w:lineRule="auto"/>
      <w:jc w:val="both"/>
    </w:pPr>
    <w:rPr>
      <w:rFonts w:ascii="Book Antiqua" w:eastAsia="Times New Roman" w:hAnsi="Book Antiqua"/>
      <w:spacing w:val="-2"/>
      <w:sz w:val="20"/>
      <w:szCs w:val="20"/>
    </w:rPr>
  </w:style>
  <w:style w:type="character" w:customStyle="1" w:styleId="TitleChar">
    <w:name w:val="Title Char"/>
    <w:basedOn w:val="DefaultParagraphFont"/>
    <w:link w:val="Title"/>
    <w:uiPriority w:val="10"/>
    <w:rPr>
      <w:rFonts w:ascii="Book Antiqua" w:eastAsiaTheme="majorEastAsia" w:hAnsi="Book Antiqua" w:cstheme="majorBidi"/>
      <w:spacing w:val="5"/>
      <w:kern w:val="28"/>
      <w:sz w:val="20"/>
      <w:szCs w:val="20"/>
    </w:rPr>
  </w:style>
  <w:style w:type="paragraph" w:styleId="Title">
    <w:name w:val="Title"/>
    <w:basedOn w:val="Normal"/>
    <w:next w:val="Normal"/>
    <w:link w:val="TitleChar"/>
    <w:uiPriority w:val="10"/>
    <w:qFormat/>
    <w:locked/>
    <w:pPr>
      <w:tabs>
        <w:tab w:val="left" w:pos="-720"/>
      </w:tabs>
      <w:suppressAutoHyphens/>
      <w:spacing w:after="300" w:line="240" w:lineRule="auto"/>
      <w:contextualSpacing/>
      <w:jc w:val="center"/>
    </w:pPr>
    <w:rPr>
      <w:rFonts w:ascii="Book Antiqua" w:eastAsiaTheme="majorEastAsia" w:hAnsi="Book Antiqua" w:cstheme="majorBidi"/>
      <w:spacing w:val="5"/>
      <w:kern w:val="28"/>
      <w:sz w:val="20"/>
      <w:szCs w:val="20"/>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lang w:val="bg-BG" w:eastAsia="bg-BG"/>
    </w:rPr>
  </w:style>
  <w:style w:type="paragraph" w:customStyle="1" w:styleId="Maintext">
    <w:name w:val="Main text"/>
    <w:basedOn w:val="Normal"/>
    <w:link w:val="MaintextChar"/>
    <w:uiPriority w:val="99"/>
    <w:qFormat/>
    <w:pPr>
      <w:spacing w:after="120" w:line="288" w:lineRule="auto"/>
      <w:jc w:val="both"/>
    </w:pPr>
    <w:rPr>
      <w:rFonts w:ascii="Book Antiqua" w:eastAsia="Times New Roman" w:hAnsi="Book Antiqua"/>
    </w:rPr>
  </w:style>
  <w:style w:type="character" w:customStyle="1" w:styleId="MaintextChar">
    <w:name w:val="Main text Char"/>
    <w:basedOn w:val="DefaultParagraphFont"/>
    <w:link w:val="Maintext"/>
    <w:uiPriority w:val="99"/>
    <w:rPr>
      <w:rFonts w:ascii="Book Antiqua" w:eastAsia="Times New Roman" w:hAnsi="Book Antiqua"/>
      <w:lang w:val="bg-BG" w:eastAsia="bg-BG"/>
    </w:rPr>
  </w:style>
  <w:style w:type="paragraph" w:customStyle="1" w:styleId="4h28">
    <w:name w:val="4=h2.8"/>
    <w:basedOn w:val="Default"/>
    <w:next w:val="Default"/>
    <w:uiPriority w:val="99"/>
    <w:rPr>
      <w:rFonts w:ascii="Arial" w:eastAsiaTheme="minorHAnsi" w:hAnsi="Arial" w:cs="Arial"/>
      <w:color w:val="auto"/>
    </w:rPr>
  </w:style>
  <w:style w:type="paragraph" w:customStyle="1" w:styleId="xl66">
    <w:name w:val="xl66"/>
    <w:basedOn w:val="Normal"/>
    <w:pPr>
      <w:spacing w:before="100" w:beforeAutospacing="1" w:after="100" w:afterAutospacing="1" w:line="240" w:lineRule="auto"/>
    </w:pPr>
    <w:rPr>
      <w:rFonts w:ascii="Times New Roman" w:eastAsia="Times New Roman" w:hAnsi="Times New Roman"/>
      <w:b/>
      <w:bCs/>
      <w:sz w:val="24"/>
      <w:szCs w:val="24"/>
    </w:rPr>
  </w:style>
  <w:style w:type="paragraph" w:customStyle="1" w:styleId="xl67">
    <w:name w:val="xl67"/>
    <w:basedOn w:val="Normal"/>
    <w:pPr>
      <w:spacing w:before="100" w:beforeAutospacing="1" w:after="100" w:afterAutospacing="1" w:line="240" w:lineRule="auto"/>
    </w:pPr>
    <w:rPr>
      <w:rFonts w:ascii="Times New Roman" w:eastAsia="Times New Roman" w:hAnsi="Times New Roman"/>
      <w:b/>
      <w:bCs/>
      <w:sz w:val="24"/>
      <w:szCs w:val="24"/>
    </w:rPr>
  </w:style>
  <w:style w:type="paragraph" w:customStyle="1" w:styleId="xl68">
    <w:name w:val="xl68"/>
    <w:basedOn w:val="Normal"/>
    <w:pPr>
      <w:spacing w:before="100" w:beforeAutospacing="1" w:after="100" w:afterAutospacing="1" w:line="240" w:lineRule="auto"/>
    </w:pPr>
    <w:rPr>
      <w:rFonts w:ascii="Times New Roman" w:eastAsia="Times New Roman" w:hAnsi="Times New Roman"/>
      <w:i/>
      <w:iCs/>
      <w:sz w:val="24"/>
      <w:szCs w:val="24"/>
    </w:rPr>
  </w:style>
  <w:style w:type="paragraph" w:customStyle="1" w:styleId="xl69">
    <w:name w:val="xl69"/>
    <w:basedOn w:val="Normal"/>
    <w:pPr>
      <w:spacing w:before="100" w:beforeAutospacing="1" w:after="100" w:afterAutospacing="1" w:line="240" w:lineRule="auto"/>
    </w:pPr>
    <w:rPr>
      <w:rFonts w:ascii="Times New Roman" w:eastAsia="Times New Roman" w:hAnsi="Times New Roman"/>
      <w:b/>
      <w:bCs/>
      <w:i/>
      <w:iCs/>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bg-BG" w:eastAsia="bg-BG"/>
    </w:rPr>
  </w:style>
  <w:style w:type="character" w:customStyle="1" w:styleId="apple-converted-space">
    <w:name w:val="apple-converted-space"/>
    <w:basedOn w:val="DefaultParagraphFont"/>
  </w:style>
  <w:style w:type="paragraph" w:customStyle="1" w:styleId="xl63">
    <w:name w:val="xl63"/>
    <w:basedOn w:val="Normal"/>
    <w:pPr>
      <w:spacing w:before="100" w:beforeAutospacing="1" w:after="100" w:afterAutospacing="1" w:line="240" w:lineRule="auto"/>
    </w:pPr>
    <w:rPr>
      <w:rFonts w:ascii="Helvetica" w:eastAsia="Times New Roman" w:hAnsi="Helvetica"/>
      <w:b/>
      <w:bCs/>
      <w:sz w:val="16"/>
      <w:szCs w:val="16"/>
    </w:rPr>
  </w:style>
  <w:style w:type="paragraph" w:customStyle="1" w:styleId="xl64">
    <w:name w:val="xl64"/>
    <w:basedOn w:val="Normal"/>
    <w:pPr>
      <w:spacing w:before="100" w:beforeAutospacing="1" w:after="100" w:afterAutospacing="1" w:line="240" w:lineRule="auto"/>
    </w:pPr>
    <w:rPr>
      <w:rFonts w:ascii="Helvetica" w:eastAsia="Times New Roman" w:hAnsi="Helvetica"/>
      <w:i/>
      <w:iCs/>
      <w:sz w:val="16"/>
      <w:szCs w:val="16"/>
    </w:rPr>
  </w:style>
  <w:style w:type="paragraph" w:customStyle="1" w:styleId="xl65">
    <w:name w:val="xl65"/>
    <w:basedOn w:val="Normal"/>
    <w:pPr>
      <w:spacing w:before="100" w:beforeAutospacing="1" w:after="100" w:afterAutospacing="1" w:line="240" w:lineRule="auto"/>
    </w:pPr>
    <w:rPr>
      <w:rFonts w:ascii="Helvetica" w:eastAsia="Times New Roman" w:hAnsi="Helvetica"/>
      <w:sz w:val="16"/>
      <w:szCs w:val="16"/>
    </w:rPr>
  </w:style>
  <w:style w:type="paragraph" w:customStyle="1" w:styleId="xl70">
    <w:name w:val="xl70"/>
    <w:basedOn w:val="Normal"/>
    <w:pPr>
      <w:spacing w:before="100" w:beforeAutospacing="1" w:after="100" w:afterAutospacing="1" w:line="240" w:lineRule="auto"/>
    </w:pPr>
    <w:rPr>
      <w:rFonts w:ascii="Helvetica" w:eastAsia="Times New Roman" w:hAnsi="Helvetica"/>
      <w:b/>
      <w:bCs/>
      <w:sz w:val="16"/>
      <w:szCs w:val="16"/>
    </w:rPr>
  </w:style>
  <w:style w:type="paragraph" w:customStyle="1" w:styleId="xl71">
    <w:name w:val="xl71"/>
    <w:basedOn w:val="Normal"/>
    <w:pPr>
      <w:spacing w:before="100" w:beforeAutospacing="1" w:after="100" w:afterAutospacing="1" w:line="240" w:lineRule="auto"/>
    </w:pPr>
    <w:rPr>
      <w:rFonts w:ascii="Helvetica" w:eastAsia="Times New Roman" w:hAnsi="Helvetica"/>
      <w:b/>
      <w:bCs/>
      <w:sz w:val="16"/>
      <w:szCs w:val="16"/>
    </w:rPr>
  </w:style>
  <w:style w:type="paragraph" w:customStyle="1" w:styleId="xl72">
    <w:name w:val="xl72"/>
    <w:basedOn w:val="Normal"/>
    <w:pPr>
      <w:spacing w:before="100" w:beforeAutospacing="1" w:after="100" w:afterAutospacing="1" w:line="240" w:lineRule="auto"/>
    </w:pPr>
    <w:rPr>
      <w:rFonts w:ascii="Helvetica" w:eastAsia="Times New Roman" w:hAnsi="Helvetica"/>
      <w:sz w:val="16"/>
      <w:szCs w:val="16"/>
    </w:rPr>
  </w:style>
  <w:style w:type="paragraph" w:customStyle="1" w:styleId="xl73">
    <w:name w:val="xl73"/>
    <w:basedOn w:val="Normal"/>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unhideWhenUsed/>
    <w:pPr>
      <w:spacing w:after="0" w:line="240" w:lineRule="auto"/>
    </w:pPr>
    <w:rPr>
      <w:rFonts w:asciiTheme="minorHAnsi" w:eastAsiaTheme="minorEastAsia" w:hAnsiTheme="minorHAnsi" w:cstheme="minorBidi"/>
      <w:sz w:val="20"/>
      <w:szCs w:val="32"/>
    </w:rPr>
  </w:style>
  <w:style w:type="character" w:customStyle="1" w:styleId="EndnoteTextChar">
    <w:name w:val="Endnote Text Char"/>
    <w:basedOn w:val="DefaultParagraphFont"/>
    <w:link w:val="EndnoteText"/>
    <w:uiPriority w:val="99"/>
    <w:rPr>
      <w:rFonts w:asciiTheme="minorHAnsi" w:eastAsiaTheme="minorEastAsia" w:hAnsiTheme="minorHAnsi" w:cstheme="minorBidi"/>
      <w:sz w:val="20"/>
      <w:szCs w:val="32"/>
      <w:lang w:val="bg-BG" w:eastAsia="bg-BG"/>
    </w:rPr>
  </w:style>
  <w:style w:type="table" w:customStyle="1" w:styleId="UNEP-WCMCtable1">
    <w:name w:val="UNEP-WCMC table1"/>
    <w:basedOn w:val="TableNormal"/>
    <w:uiPriority w:val="99"/>
    <w:qFormat/>
    <w:rPr>
      <w:rFonts w:asciiTheme="minorHAnsi" w:eastAsiaTheme="minorEastAsia" w:hAnsiTheme="minorHAnsi" w:cstheme="minorBidi"/>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
    <w:tcPr>
      <w:shd w:val="clear" w:color="auto" w:fill="auto"/>
    </w:tcPr>
    <w:tblStylePr w:type="firstRow">
      <w:rPr>
        <w:rFonts w:ascii="Helvetica" w:hAnsi="Helvetica"/>
        <w:b/>
        <w:color w:val="FFFFFF" w:themeColor="background1"/>
        <w:sz w:val="20"/>
      </w:rPr>
      <w:tblPr/>
      <w:tcPr>
        <w:shd w:val="clear" w:color="auto" w:fill="007C9A"/>
      </w:tcPr>
    </w:tblStylePr>
    <w:tblStylePr w:type="band1Horz">
      <w:rPr>
        <w:rFonts w:ascii="Helvetica" w:hAnsi="Helvetica"/>
        <w:sz w:val="16"/>
      </w:rPr>
    </w:tblStylePr>
    <w:tblStylePr w:type="band2Horz">
      <w:rPr>
        <w:rFonts w:ascii="Helvetica" w:hAnsi="Helvetica"/>
        <w:sz w:val="16"/>
      </w:rPr>
    </w:tblStylePr>
  </w:style>
  <w:style w:type="paragraph" w:customStyle="1" w:styleId="ST">
    <w:name w:val="ST"/>
    <w:basedOn w:val="Normal"/>
    <w:qFormat/>
    <w:pPr>
      <w:widowControl w:val="0"/>
      <w:spacing w:after="120" w:line="240" w:lineRule="auto"/>
      <w:outlineLvl w:val="0"/>
    </w:pPr>
    <w:rPr>
      <w:rFonts w:ascii="Times New Roman" w:eastAsia="Times New Roman" w:hAnsi="Times New Roman" w:cstheme="majorBidi"/>
      <w:bCs/>
      <w:sz w:val="24"/>
    </w:rPr>
  </w:style>
  <w:style w:type="paragraph" w:customStyle="1" w:styleId="STcountry">
    <w:name w:val="ST country"/>
    <w:basedOn w:val="Normal"/>
    <w:qFormat/>
    <w:pPr>
      <w:widowControl w:val="0"/>
      <w:adjustRightInd w:val="0"/>
      <w:spacing w:after="240" w:line="360" w:lineRule="atLeast"/>
      <w:jc w:val="center"/>
      <w:textAlignment w:val="baseline"/>
    </w:pPr>
    <w:rPr>
      <w:rFonts w:ascii="Times New Roman" w:eastAsia="Times New Roman" w:hAnsi="Times New Roman"/>
      <w:b/>
      <w:smallCaps/>
      <w:sz w:val="24"/>
    </w:rPr>
  </w:style>
  <w:style w:type="paragraph" w:customStyle="1" w:styleId="STtableheading">
    <w:name w:val="ST table heading"/>
    <w:basedOn w:val="ST"/>
    <w:qFormat/>
    <w:pPr>
      <w:spacing w:after="0"/>
    </w:pPr>
    <w:rPr>
      <w:rFonts w:cs="Times New Roman"/>
      <w:b/>
      <w:sz w:val="20"/>
      <w:szCs w:val="20"/>
    </w:rPr>
  </w:style>
  <w:style w:type="paragraph" w:customStyle="1" w:styleId="STtable">
    <w:name w:val="ST table"/>
    <w:basedOn w:val="Normal"/>
    <w:qFormat/>
    <w:pPr>
      <w:widowControl w:val="0"/>
      <w:adjustRightInd w:val="0"/>
      <w:spacing w:after="0" w:line="240" w:lineRule="auto"/>
      <w:textAlignment w:val="baseline"/>
    </w:pPr>
    <w:rPr>
      <w:rFonts w:ascii="Times New Roman" w:eastAsia="Times New Roman" w:hAnsi="Times New Roman"/>
      <w:sz w:val="20"/>
    </w:rPr>
  </w:style>
  <w:style w:type="paragraph" w:customStyle="1" w:styleId="STtablenumbers">
    <w:name w:val="ST table numbers"/>
    <w:basedOn w:val="Normal"/>
    <w:qFormat/>
    <w:pPr>
      <w:spacing w:after="0" w:line="240" w:lineRule="auto"/>
      <w:jc w:val="right"/>
    </w:pPr>
    <w:rPr>
      <w:rFonts w:ascii="Times New Roman" w:eastAsia="Times New Roman" w:hAnsi="Times New Roman"/>
      <w:color w:val="000000"/>
      <w:sz w:val="20"/>
      <w:szCs w:val="20"/>
    </w:rPr>
  </w:style>
  <w:style w:type="paragraph" w:customStyle="1" w:styleId="STrefs">
    <w:name w:val="ST refs"/>
    <w:basedOn w:val="Normal"/>
    <w:qFormat/>
    <w:pPr>
      <w:widowControl w:val="0"/>
      <w:adjustRightInd w:val="0"/>
      <w:spacing w:after="120" w:line="240" w:lineRule="auto"/>
      <w:ind w:left="425" w:hanging="425"/>
      <w:textAlignment w:val="baseline"/>
    </w:pPr>
    <w:rPr>
      <w:rFonts w:ascii="Times New Roman" w:eastAsiaTheme="minorEastAsia" w:hAnsi="Times New Roman" w:cs="Book Antiqua"/>
      <w:sz w:val="24"/>
    </w:rPr>
  </w:style>
  <w:style w:type="character" w:styleId="PageNumber">
    <w:name w:val="page number"/>
    <w:basedOn w:val="DefaultParagraphFont"/>
  </w:style>
  <w:style w:type="paragraph" w:customStyle="1" w:styleId="chap3">
    <w:name w:val="chap 3"/>
    <w:basedOn w:val="Normal"/>
    <w:link w:val="chap3Char"/>
    <w:qFormat/>
    <w:pPr>
      <w:spacing w:before="120" w:after="0" w:line="288" w:lineRule="auto"/>
      <w:jc w:val="both"/>
    </w:pPr>
    <w:rPr>
      <w:rFonts w:ascii="Book Antiqua" w:eastAsia="Times New Roman" w:hAnsi="Book Antiqua"/>
    </w:rPr>
  </w:style>
  <w:style w:type="character" w:customStyle="1" w:styleId="chap3Char">
    <w:name w:val="chap 3 Char"/>
    <w:basedOn w:val="DefaultParagraphFont"/>
    <w:link w:val="chap3"/>
    <w:rPr>
      <w:rFonts w:ascii="Book Antiqua" w:eastAsia="Times New Roman" w:hAnsi="Book Antiqua"/>
      <w:lang w:val="bg-BG" w:eastAsia="bg-BG"/>
    </w:rPr>
  </w:style>
  <w:style w:type="paragraph" w:customStyle="1" w:styleId="Figureheading">
    <w:name w:val="Figure heading"/>
    <w:basedOn w:val="Normal"/>
    <w:link w:val="FigureheadingChar"/>
    <w:qFormat/>
    <w:pPr>
      <w:spacing w:after="120" w:line="240" w:lineRule="auto"/>
      <w:jc w:val="both"/>
    </w:pPr>
    <w:rPr>
      <w:rFonts w:ascii="Book Antiqua" w:eastAsia="Times New Roman" w:hAnsi="Book Antiqua"/>
      <w:b/>
      <w:sz w:val="20"/>
      <w:szCs w:val="20"/>
    </w:rPr>
  </w:style>
  <w:style w:type="character" w:customStyle="1" w:styleId="FigureheadingChar">
    <w:name w:val="Figure heading Char"/>
    <w:basedOn w:val="DefaultParagraphFont"/>
    <w:link w:val="Figureheading"/>
    <w:rPr>
      <w:rFonts w:ascii="Book Antiqua" w:eastAsia="Times New Roman" w:hAnsi="Book Antiqua"/>
      <w:b/>
      <w:sz w:val="20"/>
      <w:szCs w:val="20"/>
      <w:lang w:val="bg-BG" w:eastAsia="bg-BG"/>
    </w:rPr>
  </w:style>
  <w:style w:type="paragraph" w:customStyle="1" w:styleId="maintext0">
    <w:name w:val="main text"/>
    <w:basedOn w:val="Normal"/>
    <w:link w:val="maintextChar0"/>
    <w:autoRedefine/>
    <w:pPr>
      <w:spacing w:before="120" w:after="120" w:line="288" w:lineRule="auto"/>
      <w:jc w:val="both"/>
    </w:pPr>
    <w:rPr>
      <w:rFonts w:ascii="Book Antiqua" w:eastAsia="Times New Roman" w:hAnsi="Book Antiqua"/>
    </w:rPr>
  </w:style>
  <w:style w:type="character" w:customStyle="1" w:styleId="maintextChar0">
    <w:name w:val="main text Char"/>
    <w:basedOn w:val="DefaultParagraphFont"/>
    <w:link w:val="maintext0"/>
    <w:rPr>
      <w:rFonts w:ascii="Book Antiqua" w:eastAsia="Times New Roman" w:hAnsi="Book Antiqua"/>
      <w:lang w:val="bg-BG" w:eastAsia="bg-BG"/>
    </w:rPr>
  </w:style>
  <w:style w:type="paragraph" w:customStyle="1" w:styleId="Tabletitle">
    <w:name w:val="Table title"/>
    <w:basedOn w:val="Table1"/>
    <w:link w:val="TabletitleChar"/>
    <w:qFormat/>
    <w:pPr>
      <w:spacing w:after="120"/>
      <w:ind w:left="0"/>
    </w:pPr>
  </w:style>
  <w:style w:type="paragraph" w:customStyle="1" w:styleId="Table1">
    <w:name w:val="Table1"/>
    <w:basedOn w:val="Normal"/>
    <w:autoRedefine/>
    <w:pPr>
      <w:keepNext/>
      <w:keepLines/>
      <w:spacing w:after="0" w:line="288" w:lineRule="auto"/>
      <w:ind w:left="360"/>
    </w:pPr>
    <w:rPr>
      <w:rFonts w:ascii="Book Antiqua" w:eastAsia="Times New Roman" w:hAnsi="Book Antiqua"/>
      <w:b/>
      <w:bCs/>
      <w:snapToGrid w:val="0"/>
      <w:sz w:val="20"/>
      <w:szCs w:val="20"/>
    </w:rPr>
  </w:style>
  <w:style w:type="paragraph" w:customStyle="1" w:styleId="HeaderRow">
    <w:name w:val="Header Row"/>
    <w:basedOn w:val="Normal"/>
    <w:pPr>
      <w:spacing w:before="60" w:after="60" w:line="240" w:lineRule="auto"/>
    </w:pPr>
    <w:rPr>
      <w:rFonts w:ascii="Book Antiqua" w:eastAsia="Times New Roman" w:hAnsi="Book Antiqua"/>
      <w:b/>
      <w:sz w:val="20"/>
      <w:szCs w:val="24"/>
    </w:rPr>
  </w:style>
  <w:style w:type="paragraph" w:customStyle="1" w:styleId="Tablecontent">
    <w:name w:val="Table content"/>
    <w:basedOn w:val="Normal"/>
    <w:qFormat/>
    <w:pPr>
      <w:spacing w:before="60" w:after="0" w:line="240" w:lineRule="auto"/>
    </w:pPr>
    <w:rPr>
      <w:rFonts w:ascii="Book Antiqua" w:eastAsia="Times New Roman" w:hAnsi="Book Antiqua"/>
      <w:sz w:val="20"/>
      <w:szCs w:val="24"/>
    </w:rPr>
  </w:style>
  <w:style w:type="paragraph" w:customStyle="1" w:styleId="xl27">
    <w:name w:val="xl27"/>
    <w:basedOn w:val="Normal"/>
    <w:pPr>
      <w:spacing w:before="100" w:beforeAutospacing="1" w:after="100" w:afterAutospacing="1" w:line="240" w:lineRule="auto"/>
    </w:pPr>
    <w:rPr>
      <w:rFonts w:ascii="Arial" w:eastAsia="Times New Roman" w:hAnsi="Arial" w:cs="Arial"/>
      <w:sz w:val="24"/>
      <w:szCs w:val="24"/>
    </w:rPr>
  </w:style>
  <w:style w:type="paragraph" w:customStyle="1" w:styleId="Figuretitle">
    <w:name w:val="Figure title"/>
    <w:basedOn w:val="Normal"/>
    <w:qFormat/>
    <w:pPr>
      <w:spacing w:before="120" w:after="0" w:line="288" w:lineRule="auto"/>
      <w:jc w:val="both"/>
    </w:pPr>
    <w:rPr>
      <w:rFonts w:ascii="Book Antiqua" w:eastAsia="Times New Roman" w:hAnsi="Book Antiqua" w:cs="Arial"/>
      <w:b/>
      <w:sz w:val="20"/>
      <w:szCs w:val="20"/>
    </w:rPr>
  </w:style>
  <w:style w:type="paragraph" w:customStyle="1" w:styleId="diagtable">
    <w:name w:val="diag_table"/>
    <w:basedOn w:val="maintext0"/>
  </w:style>
  <w:style w:type="paragraph" w:styleId="BodyText3">
    <w:name w:val="Body Text 3"/>
    <w:basedOn w:val="Normal"/>
    <w:link w:val="BodyText3Char"/>
    <w:pPr>
      <w:spacing w:after="0" w:line="240" w:lineRule="auto"/>
    </w:pPr>
    <w:rPr>
      <w:rFonts w:ascii="Book Antiqua" w:eastAsia="Times New Roman" w:hAnsi="Book Antiqua"/>
      <w:b/>
      <w:bCs/>
      <w:szCs w:val="24"/>
    </w:rPr>
  </w:style>
  <w:style w:type="character" w:customStyle="1" w:styleId="BodyText3Char">
    <w:name w:val="Body Text 3 Char"/>
    <w:basedOn w:val="DefaultParagraphFont"/>
    <w:link w:val="BodyText3"/>
    <w:rPr>
      <w:rFonts w:ascii="Book Antiqua" w:eastAsia="Times New Roman" w:hAnsi="Book Antiqua"/>
      <w:b/>
      <w:bCs/>
      <w:szCs w:val="24"/>
      <w:lang w:val="bg-BG" w:eastAsia="bg-BG"/>
    </w:rPr>
  </w:style>
  <w:style w:type="paragraph" w:customStyle="1" w:styleId="TableContent0">
    <w:name w:val="Table Content"/>
    <w:basedOn w:val="maintext0"/>
  </w:style>
  <w:style w:type="paragraph" w:customStyle="1" w:styleId="Ch3summarytext">
    <w:name w:val="Ch3 summary text"/>
    <w:basedOn w:val="maintext0"/>
    <w:next w:val="maintext0"/>
  </w:style>
  <w:style w:type="paragraph" w:customStyle="1" w:styleId="maintext1">
    <w:name w:val="maintext"/>
    <w:basedOn w:val="Normal"/>
    <w:pPr>
      <w:spacing w:after="120" w:line="288" w:lineRule="auto"/>
      <w:jc w:val="both"/>
    </w:pPr>
    <w:rPr>
      <w:rFonts w:ascii="Book Antiqua" w:hAnsi="Book Antiqua"/>
    </w:rPr>
  </w:style>
  <w:style w:type="paragraph" w:styleId="BodyText2">
    <w:name w:val="Body Text 2"/>
    <w:basedOn w:val="Normal"/>
    <w:link w:val="BodyText2Char"/>
    <w:pPr>
      <w:spacing w:after="0" w:line="240" w:lineRule="auto"/>
      <w:jc w:val="center"/>
    </w:pPr>
    <w:rPr>
      <w:rFonts w:ascii="Book Antiqua" w:eastAsia="Times New Roman" w:hAnsi="Book Antiqua"/>
      <w:szCs w:val="24"/>
    </w:rPr>
  </w:style>
  <w:style w:type="character" w:customStyle="1" w:styleId="BodyText2Char">
    <w:name w:val="Body Text 2 Char"/>
    <w:basedOn w:val="DefaultParagraphFont"/>
    <w:link w:val="BodyText2"/>
    <w:rPr>
      <w:rFonts w:ascii="Book Antiqua" w:eastAsia="Times New Roman" w:hAnsi="Book Antiqua"/>
      <w:szCs w:val="24"/>
      <w:lang w:val="bg-BG" w:eastAsia="bg-BG"/>
    </w:rPr>
  </w:style>
  <w:style w:type="paragraph" w:styleId="BodyText">
    <w:name w:val="Body Text"/>
    <w:basedOn w:val="Normal"/>
    <w:link w:val="BodyTextChar"/>
    <w:pPr>
      <w:spacing w:after="0" w:line="240" w:lineRule="auto"/>
    </w:pPr>
    <w:rPr>
      <w:rFonts w:ascii="Book Antiqua" w:eastAsia="Times New Roman" w:hAnsi="Book Antiqua"/>
      <w:szCs w:val="24"/>
    </w:rPr>
  </w:style>
  <w:style w:type="character" w:customStyle="1" w:styleId="BodyTextChar">
    <w:name w:val="Body Text Char"/>
    <w:basedOn w:val="DefaultParagraphFont"/>
    <w:link w:val="BodyText"/>
    <w:rPr>
      <w:rFonts w:ascii="Book Antiqua" w:eastAsia="Times New Roman" w:hAnsi="Book Antiqua"/>
      <w:szCs w:val="24"/>
      <w:lang w:val="bg-BG" w:eastAsia="bg-BG"/>
    </w:rPr>
  </w:style>
  <w:style w:type="paragraph" w:customStyle="1" w:styleId="Tableheading">
    <w:name w:val="Table heading"/>
    <w:basedOn w:val="Normal"/>
    <w:link w:val="TableheadingChar"/>
    <w:qFormat/>
    <w:pPr>
      <w:spacing w:after="0" w:line="240" w:lineRule="auto"/>
    </w:pPr>
    <w:rPr>
      <w:rFonts w:ascii="Book Antiqua" w:eastAsia="Times New Roman" w:hAnsi="Book Antiqua"/>
      <w:b/>
      <w:sz w:val="20"/>
      <w:szCs w:val="20"/>
    </w:rPr>
  </w:style>
  <w:style w:type="character" w:customStyle="1" w:styleId="TableheadingChar">
    <w:name w:val="Table heading Char"/>
    <w:basedOn w:val="chap3Char"/>
    <w:link w:val="Tableheading"/>
    <w:rPr>
      <w:rFonts w:ascii="Book Antiqua" w:eastAsia="Times New Roman" w:hAnsi="Book Antiqua"/>
      <w:b/>
      <w:sz w:val="20"/>
      <w:szCs w:val="20"/>
      <w:lang w:val="bg-BG" w:eastAsia="bg-BG"/>
    </w:rPr>
  </w:style>
  <w:style w:type="paragraph" w:customStyle="1" w:styleId="MainText2">
    <w:name w:val="Main Text"/>
    <w:basedOn w:val="Normal"/>
    <w:link w:val="MainTextChar1"/>
    <w:pPr>
      <w:spacing w:after="0" w:line="240" w:lineRule="auto"/>
      <w:jc w:val="both"/>
    </w:pPr>
    <w:rPr>
      <w:rFonts w:ascii="Book Antiqua" w:eastAsia="Times New Roman" w:hAnsi="Book Antiqua"/>
      <w:szCs w:val="24"/>
    </w:rPr>
  </w:style>
  <w:style w:type="character" w:customStyle="1" w:styleId="MainTextChar1">
    <w:name w:val="Main Text Char"/>
    <w:basedOn w:val="DefaultParagraphFont"/>
    <w:link w:val="MainText2"/>
    <w:rPr>
      <w:rFonts w:ascii="Book Antiqua" w:eastAsia="Times New Roman" w:hAnsi="Book Antiqua"/>
      <w:szCs w:val="24"/>
      <w:lang w:val="bg-BG" w:eastAsia="bg-BG"/>
    </w:rPr>
  </w:style>
  <w:style w:type="numbering" w:customStyle="1" w:styleId="NoList1">
    <w:name w:val="No List1"/>
    <w:next w:val="NoList"/>
    <w:uiPriority w:val="99"/>
    <w:semiHidden/>
    <w:unhideWhenUsed/>
  </w:style>
  <w:style w:type="paragraph" w:customStyle="1" w:styleId="CenteredText">
    <w:name w:val="CenteredText"/>
    <w:basedOn w:val="Normal"/>
    <w:pPr>
      <w:spacing w:after="0" w:line="240" w:lineRule="auto"/>
      <w:jc w:val="center"/>
    </w:pPr>
    <w:rPr>
      <w:rFonts w:ascii="Arial" w:eastAsia="Times New Roman" w:hAnsi="Arial" w:cs="Arial"/>
      <w:sz w:val="24"/>
      <w:szCs w:val="24"/>
    </w:rPr>
  </w:style>
  <w:style w:type="paragraph" w:customStyle="1" w:styleId="maintextbullet">
    <w:name w:val="main text.bullet"/>
    <w:basedOn w:val="maintext0"/>
  </w:style>
  <w:style w:type="paragraph" w:customStyle="1" w:styleId="maintext1abc">
    <w:name w:val="main text.1.a)b)c)"/>
    <w:basedOn w:val="Normal"/>
    <w:pPr>
      <w:tabs>
        <w:tab w:val="num" w:pos="851"/>
      </w:tabs>
      <w:spacing w:after="0" w:line="240" w:lineRule="auto"/>
      <w:ind w:left="851" w:hanging="445"/>
    </w:pPr>
    <w:rPr>
      <w:rFonts w:ascii="Book Antiqua" w:eastAsia="Times New Roman" w:hAnsi="Book Antiqua"/>
      <w:sz w:val="24"/>
      <w:szCs w:val="24"/>
    </w:rPr>
  </w:style>
  <w:style w:type="paragraph" w:customStyle="1" w:styleId="Header1">
    <w:name w:val="Header1"/>
    <w:basedOn w:val="Normal"/>
    <w:pPr>
      <w:spacing w:after="240" w:line="240" w:lineRule="auto"/>
      <w:jc w:val="both"/>
    </w:pPr>
    <w:rPr>
      <w:rFonts w:ascii="Book Antiqua" w:eastAsia="Times New Roman" w:hAnsi="Book Antiqua"/>
      <w:b/>
      <w:bCs/>
      <w:sz w:val="36"/>
      <w:szCs w:val="36"/>
    </w:rPr>
  </w:style>
  <w:style w:type="paragraph" w:customStyle="1" w:styleId="maintext1bullet">
    <w:name w:val="main text.1.bullet"/>
    <w:basedOn w:val="Normal"/>
    <w:pPr>
      <w:tabs>
        <w:tab w:val="num" w:pos="738"/>
      </w:tabs>
      <w:spacing w:after="0" w:line="240" w:lineRule="auto"/>
      <w:ind w:left="738" w:hanging="360"/>
    </w:pPr>
    <w:rPr>
      <w:rFonts w:ascii="Book Antiqua" w:eastAsia="Times New Roman" w:hAnsi="Book Antiqua"/>
      <w:sz w:val="24"/>
      <w:szCs w:val="24"/>
    </w:rPr>
  </w:style>
  <w:style w:type="paragraph" w:customStyle="1" w:styleId="subpararomannum">
    <w:name w:val="sub para roman num"/>
    <w:basedOn w:val="Normal"/>
    <w:pPr>
      <w:tabs>
        <w:tab w:val="num" w:pos="360"/>
        <w:tab w:val="num" w:pos="851"/>
      </w:tabs>
      <w:suppressAutoHyphens/>
      <w:spacing w:after="120" w:line="240" w:lineRule="auto"/>
      <w:ind w:left="851" w:hanging="425"/>
      <w:jc w:val="both"/>
    </w:pPr>
    <w:rPr>
      <w:rFonts w:ascii="Book Antiqua" w:eastAsia="Times New Roman" w:hAnsi="Book Antiqua"/>
      <w:spacing w:val="-2"/>
    </w:rPr>
  </w:style>
  <w:style w:type="paragraph" w:customStyle="1" w:styleId="xl25">
    <w:name w:val="xl25"/>
    <w:basedOn w:val="Normal"/>
    <w:pPr>
      <w:shd w:val="clear" w:color="auto" w:fill="FFFF00"/>
      <w:spacing w:before="100" w:beforeAutospacing="1" w:after="100" w:afterAutospacing="1" w:line="240" w:lineRule="auto"/>
    </w:pPr>
    <w:rPr>
      <w:rFonts w:ascii="Arial Unicode MS" w:eastAsia="Arial Unicode MS" w:hAnsi="Arial Unicode MS" w:cs="Arial Unicode MS"/>
      <w:sz w:val="20"/>
      <w:szCs w:val="24"/>
    </w:rPr>
  </w:style>
  <w:style w:type="paragraph" w:customStyle="1" w:styleId="xl26">
    <w:name w:val="xl26"/>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Arial Unicode MS" w:eastAsia="Arial Unicode MS" w:hAnsi="Arial Unicode MS" w:cs="Arial Unicode MS"/>
      <w:color w:val="000000"/>
      <w:sz w:val="20"/>
      <w:szCs w:val="24"/>
    </w:rPr>
  </w:style>
  <w:style w:type="paragraph" w:customStyle="1" w:styleId="xl28">
    <w:name w:val="xl28"/>
    <w:basedOn w:val="Normal"/>
    <w:pPr>
      <w:shd w:val="clear" w:color="000000" w:fill="FFFF00"/>
      <w:spacing w:before="100" w:beforeAutospacing="1" w:after="100" w:afterAutospacing="1" w:line="240" w:lineRule="auto"/>
    </w:pPr>
    <w:rPr>
      <w:rFonts w:ascii="Arial Unicode MS" w:eastAsia="Arial Unicode MS" w:hAnsi="Arial Unicode MS" w:cs="Arial Unicode MS"/>
      <w:color w:val="000000"/>
      <w:sz w:val="20"/>
      <w:szCs w:val="24"/>
    </w:rPr>
  </w:style>
  <w:style w:type="paragraph" w:customStyle="1" w:styleId="xl29">
    <w:name w:val="xl29"/>
    <w:basedOn w:val="Normal"/>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line="240" w:lineRule="auto"/>
    </w:pPr>
    <w:rPr>
      <w:rFonts w:ascii="Arial Unicode MS" w:eastAsia="Arial Unicode MS" w:hAnsi="Arial Unicode MS" w:cs="Arial Unicode MS"/>
      <w:color w:val="000000"/>
      <w:sz w:val="20"/>
      <w:szCs w:val="24"/>
    </w:rPr>
  </w:style>
  <w:style w:type="paragraph" w:styleId="TOC4">
    <w:name w:val="toc 4"/>
    <w:basedOn w:val="Normal"/>
    <w:next w:val="Normal"/>
    <w:autoRedefine/>
    <w:uiPriority w:val="39"/>
    <w:locked/>
    <w:pPr>
      <w:spacing w:after="0" w:line="240" w:lineRule="auto"/>
      <w:ind w:left="720"/>
    </w:pPr>
    <w:rPr>
      <w:rFonts w:asciiTheme="minorHAnsi" w:eastAsia="Times New Roman" w:hAnsiTheme="minorHAnsi"/>
      <w:sz w:val="20"/>
      <w:szCs w:val="20"/>
    </w:rPr>
  </w:style>
  <w:style w:type="paragraph" w:styleId="TOC5">
    <w:name w:val="toc 5"/>
    <w:basedOn w:val="Normal"/>
    <w:next w:val="Normal"/>
    <w:autoRedefine/>
    <w:uiPriority w:val="39"/>
    <w:locked/>
    <w:pPr>
      <w:spacing w:after="0" w:line="240" w:lineRule="auto"/>
      <w:ind w:left="960"/>
    </w:pPr>
    <w:rPr>
      <w:rFonts w:asciiTheme="minorHAnsi" w:eastAsia="Times New Roman" w:hAnsiTheme="minorHAnsi"/>
      <w:sz w:val="20"/>
      <w:szCs w:val="20"/>
    </w:rPr>
  </w:style>
  <w:style w:type="paragraph" w:styleId="TOC6">
    <w:name w:val="toc 6"/>
    <w:basedOn w:val="Normal"/>
    <w:next w:val="Normal"/>
    <w:autoRedefine/>
    <w:uiPriority w:val="39"/>
    <w:locked/>
    <w:pPr>
      <w:spacing w:after="0" w:line="240" w:lineRule="auto"/>
      <w:ind w:left="1200"/>
    </w:pPr>
    <w:rPr>
      <w:rFonts w:asciiTheme="minorHAnsi" w:eastAsia="Times New Roman" w:hAnsiTheme="minorHAnsi"/>
      <w:sz w:val="20"/>
      <w:szCs w:val="20"/>
    </w:rPr>
  </w:style>
  <w:style w:type="paragraph" w:styleId="TOC7">
    <w:name w:val="toc 7"/>
    <w:basedOn w:val="Normal"/>
    <w:next w:val="Normal"/>
    <w:autoRedefine/>
    <w:uiPriority w:val="39"/>
    <w:locked/>
    <w:pPr>
      <w:spacing w:after="0" w:line="240" w:lineRule="auto"/>
      <w:ind w:left="1440"/>
    </w:pPr>
    <w:rPr>
      <w:rFonts w:asciiTheme="minorHAnsi" w:eastAsia="Times New Roman" w:hAnsiTheme="minorHAnsi"/>
      <w:sz w:val="20"/>
      <w:szCs w:val="20"/>
    </w:rPr>
  </w:style>
  <w:style w:type="paragraph" w:styleId="TOC8">
    <w:name w:val="toc 8"/>
    <w:basedOn w:val="Normal"/>
    <w:next w:val="Normal"/>
    <w:autoRedefine/>
    <w:uiPriority w:val="39"/>
    <w:locked/>
    <w:pPr>
      <w:spacing w:after="0" w:line="240" w:lineRule="auto"/>
      <w:ind w:left="1680"/>
    </w:pPr>
    <w:rPr>
      <w:rFonts w:asciiTheme="minorHAnsi" w:eastAsia="Times New Roman" w:hAnsiTheme="minorHAnsi"/>
      <w:sz w:val="20"/>
      <w:szCs w:val="20"/>
    </w:rPr>
  </w:style>
  <w:style w:type="paragraph" w:styleId="TOC9">
    <w:name w:val="toc 9"/>
    <w:basedOn w:val="Normal"/>
    <w:next w:val="Normal"/>
    <w:autoRedefine/>
    <w:uiPriority w:val="39"/>
    <w:locked/>
    <w:pPr>
      <w:spacing w:after="0" w:line="240" w:lineRule="auto"/>
      <w:ind w:left="1920"/>
    </w:pPr>
    <w:rPr>
      <w:rFonts w:asciiTheme="minorHAnsi" w:eastAsia="Times New Roman" w:hAnsiTheme="minorHAnsi"/>
      <w:sz w:val="20"/>
      <w:szCs w:val="20"/>
    </w:rPr>
  </w:style>
  <w:style w:type="paragraph" w:customStyle="1" w:styleId="Headerrow0">
    <w:name w:val="Header row"/>
    <w:basedOn w:val="Tablecontent"/>
    <w:pPr>
      <w:spacing w:before="0"/>
    </w:pPr>
    <w:rPr>
      <w:rFonts w:cs="Arial"/>
      <w:b/>
      <w:szCs w:val="20"/>
    </w:rPr>
  </w:style>
  <w:style w:type="paragraph" w:customStyle="1" w:styleId="TableHeader">
    <w:name w:val="Table Header"/>
    <w:basedOn w:val="Normal"/>
    <w:pPr>
      <w:widowControl w:val="0"/>
      <w:tabs>
        <w:tab w:val="left" w:pos="480"/>
        <w:tab w:val="left" w:pos="720"/>
        <w:tab w:val="left" w:pos="3480"/>
        <w:tab w:val="left" w:pos="4800"/>
        <w:tab w:val="left" w:pos="6120"/>
        <w:tab w:val="right" w:pos="8760"/>
      </w:tabs>
      <w:suppressAutoHyphens/>
      <w:spacing w:after="0" w:line="240" w:lineRule="auto"/>
      <w:jc w:val="center"/>
    </w:pPr>
    <w:rPr>
      <w:rFonts w:ascii="Times New Roman" w:eastAsia="Times New Roman" w:hAnsi="Times New Roman"/>
      <w:b/>
      <w:bCs/>
      <w:spacing w:val="-2"/>
    </w:rPr>
  </w:style>
  <w:style w:type="paragraph" w:customStyle="1" w:styleId="xl74">
    <w:name w:val="xl74"/>
    <w:basedOn w:val="Normal"/>
    <w:pPr>
      <w:pBdr>
        <w:bottom w:val="dotted" w:sz="4" w:space="0" w:color="auto"/>
      </w:pBdr>
      <w:spacing w:before="100" w:beforeAutospacing="1" w:after="100" w:afterAutospacing="1" w:line="240" w:lineRule="auto"/>
    </w:pPr>
    <w:rPr>
      <w:rFonts w:ascii="Book Antiqua" w:eastAsia="Times New Roman" w:hAnsi="Book Antiqua"/>
      <w:i/>
      <w:iCs/>
      <w:sz w:val="24"/>
      <w:szCs w:val="24"/>
    </w:rPr>
  </w:style>
  <w:style w:type="paragraph" w:customStyle="1" w:styleId="xl75">
    <w:name w:val="xl75"/>
    <w:basedOn w:val="Normal"/>
    <w:pPr>
      <w:pBdr>
        <w:top w:val="dotted" w:sz="4" w:space="0" w:color="auto"/>
        <w:bottom w:val="dotted" w:sz="4" w:space="0" w:color="auto"/>
      </w:pBdr>
      <w:spacing w:before="100" w:beforeAutospacing="1" w:after="100" w:afterAutospacing="1" w:line="240" w:lineRule="auto"/>
    </w:pPr>
    <w:rPr>
      <w:rFonts w:ascii="Book Antiqua" w:eastAsia="Times New Roman" w:hAnsi="Book Antiqua"/>
      <w:i/>
      <w:iCs/>
      <w:sz w:val="24"/>
      <w:szCs w:val="24"/>
    </w:rPr>
  </w:style>
  <w:style w:type="paragraph" w:customStyle="1" w:styleId="xl76">
    <w:name w:val="xl76"/>
    <w:basedOn w:val="Normal"/>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pPr>
      <w:pBdr>
        <w:bottom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78">
    <w:name w:val="xl78"/>
    <w:basedOn w:val="Normal"/>
    <w:pPr>
      <w:pBdr>
        <w:top w:val="dotted" w:sz="4" w:space="0" w:color="auto"/>
        <w:bottom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79">
    <w:name w:val="xl79"/>
    <w:basedOn w:val="Normal"/>
    <w:pPr>
      <w:spacing w:before="100" w:beforeAutospacing="1" w:after="100" w:afterAutospacing="1" w:line="240" w:lineRule="auto"/>
    </w:pPr>
    <w:rPr>
      <w:rFonts w:ascii="Book Antiqua" w:eastAsia="Times New Roman" w:hAnsi="Book Antiqua"/>
      <w:sz w:val="24"/>
      <w:szCs w:val="24"/>
    </w:rPr>
  </w:style>
  <w:style w:type="paragraph" w:customStyle="1" w:styleId="xl80">
    <w:name w:val="xl80"/>
    <w:basedOn w:val="Normal"/>
    <w:pPr>
      <w:pBdr>
        <w:bottom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81">
    <w:name w:val="xl81"/>
    <w:basedOn w:val="Normal"/>
    <w:pPr>
      <w:spacing w:before="100" w:beforeAutospacing="1" w:after="100" w:afterAutospacing="1" w:line="240" w:lineRule="auto"/>
    </w:pPr>
    <w:rPr>
      <w:rFonts w:ascii="Book Antiqua" w:eastAsia="Times New Roman" w:hAnsi="Book Antiqua"/>
      <w:sz w:val="24"/>
      <w:szCs w:val="24"/>
    </w:rPr>
  </w:style>
  <w:style w:type="paragraph" w:customStyle="1" w:styleId="xl82">
    <w:name w:val="xl82"/>
    <w:basedOn w:val="Normal"/>
    <w:pPr>
      <w:spacing w:before="100" w:beforeAutospacing="1" w:after="100" w:afterAutospacing="1" w:line="240" w:lineRule="auto"/>
    </w:pPr>
    <w:rPr>
      <w:rFonts w:ascii="Book Antiqua" w:eastAsia="Times New Roman" w:hAnsi="Book Antiqua"/>
      <w:i/>
      <w:iCs/>
      <w:sz w:val="24"/>
      <w:szCs w:val="24"/>
    </w:rPr>
  </w:style>
  <w:style w:type="paragraph" w:customStyle="1" w:styleId="xl83">
    <w:name w:val="xl83"/>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
    <w:pPr>
      <w:spacing w:before="100" w:beforeAutospacing="1" w:after="100" w:afterAutospacing="1" w:line="240" w:lineRule="auto"/>
    </w:pPr>
    <w:rPr>
      <w:rFonts w:ascii="Times New Roman" w:eastAsia="Times New Roman" w:hAnsi="Times New Roman"/>
      <w:b/>
      <w:bCs/>
      <w:sz w:val="24"/>
      <w:szCs w:val="24"/>
    </w:rPr>
  </w:style>
  <w:style w:type="paragraph" w:customStyle="1" w:styleId="xl85">
    <w:name w:val="xl85"/>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pPr>
      <w:pBdr>
        <w:bottom w:val="dotted"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7">
    <w:name w:val="xl87"/>
    <w:basedOn w:val="Normal"/>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88">
    <w:name w:val="xl88"/>
    <w:basedOn w:val="Normal"/>
    <w:pPr>
      <w:pBdr>
        <w:bottom w:val="dotted"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9">
    <w:name w:val="xl89"/>
    <w:basedOn w:val="Normal"/>
    <w:pPr>
      <w:pBdr>
        <w:top w:val="dotted"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0">
    <w:name w:val="xl90"/>
    <w:basedOn w:val="Normal"/>
    <w:pPr>
      <w:pBdr>
        <w:top w:val="dotted" w:sz="4" w:space="0" w:color="auto"/>
        <w:bottom w:val="dotted"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1">
    <w:name w:val="xl91"/>
    <w:basedOn w:val="Normal"/>
    <w:pPr>
      <w:pBdr>
        <w:bottom w:val="dotted" w:sz="4" w:space="0" w:color="auto"/>
      </w:pBdr>
      <w:spacing w:before="100" w:beforeAutospacing="1" w:after="100" w:afterAutospacing="1" w:line="240" w:lineRule="auto"/>
      <w:jc w:val="center"/>
    </w:pPr>
    <w:rPr>
      <w:rFonts w:ascii="Book Antiqua" w:eastAsia="Times New Roman" w:hAnsi="Book Antiqua"/>
      <w:sz w:val="24"/>
      <w:szCs w:val="24"/>
    </w:rPr>
  </w:style>
  <w:style w:type="paragraph" w:customStyle="1" w:styleId="xl92">
    <w:name w:val="xl92"/>
    <w:basedOn w:val="Normal"/>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93">
    <w:name w:val="xl93"/>
    <w:basedOn w:val="Normal"/>
    <w:pPr>
      <w:pBdr>
        <w:bottom w:val="dotted"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4">
    <w:name w:val="xl94"/>
    <w:basedOn w:val="Normal"/>
    <w:pPr>
      <w:shd w:val="clear" w:color="000000" w:fill="FFFF00"/>
      <w:spacing w:before="100" w:beforeAutospacing="1" w:after="100" w:afterAutospacing="1" w:line="240" w:lineRule="auto"/>
      <w:jc w:val="center"/>
    </w:pPr>
    <w:rPr>
      <w:rFonts w:ascii="Times New Roman" w:eastAsia="Times New Roman" w:hAnsi="Times New Roman"/>
      <w:sz w:val="24"/>
      <w:szCs w:val="24"/>
    </w:rPr>
  </w:style>
  <w:style w:type="paragraph" w:customStyle="1" w:styleId="xl95">
    <w:name w:val="xl95"/>
    <w:basedOn w:val="Normal"/>
    <w:pPr>
      <w:pBdr>
        <w:top w:val="dotted"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rPr>
  </w:style>
  <w:style w:type="paragraph" w:customStyle="1" w:styleId="xl96">
    <w:name w:val="xl96"/>
    <w:basedOn w:val="Normal"/>
    <w:pPr>
      <w:pBdr>
        <w:top w:val="dotted" w:sz="4" w:space="0" w:color="auto"/>
        <w:bottom w:val="dotted"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rPr>
  </w:style>
  <w:style w:type="paragraph" w:customStyle="1" w:styleId="xl97">
    <w:name w:val="xl97"/>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98">
    <w:name w:val="xl98"/>
    <w:basedOn w:val="Normal"/>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9">
    <w:name w:val="xl99"/>
    <w:basedOn w:val="Normal"/>
    <w:pPr>
      <w:pBdr>
        <w:top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0">
    <w:name w:val="xl100"/>
    <w:basedOn w:val="Normal"/>
    <w:pPr>
      <w:pBdr>
        <w:top w:val="single" w:sz="8" w:space="0" w:color="auto"/>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102">
    <w:name w:val="xl102"/>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3">
    <w:name w:val="xl103"/>
    <w:basedOn w:val="Normal"/>
    <w:pPr>
      <w:pBdr>
        <w:top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4">
    <w:name w:val="xl104"/>
    <w:basedOn w:val="Normal"/>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5">
    <w:name w:val="xl1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106">
    <w:name w:val="xl106"/>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7">
    <w:name w:val="xl107"/>
    <w:basedOn w:val="Normal"/>
    <w:pPr>
      <w:pBdr>
        <w:top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108">
    <w:name w:val="xl108"/>
    <w:basedOn w:val="Normal"/>
    <w:pPr>
      <w:pBdr>
        <w:bottom w:val="dotted"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xl109">
    <w:name w:val="xl109"/>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10">
    <w:name w:val="xl110"/>
    <w:basedOn w:val="Normal"/>
    <w:pPr>
      <w:spacing w:before="100" w:beforeAutospacing="1" w:after="100" w:afterAutospacing="1" w:line="240" w:lineRule="auto"/>
      <w:textAlignment w:val="center"/>
    </w:pPr>
    <w:rPr>
      <w:rFonts w:ascii="Book Antiqua" w:eastAsia="Times New Roman" w:hAnsi="Book Antiqua"/>
      <w:i/>
      <w:iCs/>
      <w:sz w:val="24"/>
      <w:szCs w:val="24"/>
    </w:rPr>
  </w:style>
  <w:style w:type="paragraph" w:customStyle="1" w:styleId="xl111">
    <w:name w:val="xl111"/>
    <w:basedOn w:val="Normal"/>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2">
    <w:name w:val="xl112"/>
    <w:basedOn w:val="Normal"/>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3">
    <w:name w:val="xl113"/>
    <w:basedOn w:val="Normal"/>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4">
    <w:name w:val="xl114"/>
    <w:basedOn w:val="Normal"/>
    <w:pPr>
      <w:pBdr>
        <w:top w:val="dotted" w:sz="4" w:space="0" w:color="auto"/>
        <w:bottom w:val="dotted" w:sz="4" w:space="0" w:color="auto"/>
      </w:pBdr>
      <w:spacing w:before="100" w:beforeAutospacing="1" w:after="100" w:afterAutospacing="1" w:line="240" w:lineRule="auto"/>
      <w:textAlignment w:val="center"/>
    </w:pPr>
    <w:rPr>
      <w:rFonts w:ascii="Book Antiqua" w:eastAsia="Times New Roman" w:hAnsi="Book Antiqua"/>
      <w:i/>
      <w:iCs/>
      <w:sz w:val="24"/>
      <w:szCs w:val="24"/>
    </w:rPr>
  </w:style>
  <w:style w:type="paragraph" w:customStyle="1" w:styleId="xl115">
    <w:name w:val="xl115"/>
    <w:basedOn w:val="Normal"/>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6">
    <w:name w:val="xl116"/>
    <w:basedOn w:val="Normal"/>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7">
    <w:name w:val="xl117"/>
    <w:basedOn w:val="Normal"/>
    <w:pPr>
      <w:pBdr>
        <w:top w:val="dotted" w:sz="4" w:space="0" w:color="auto"/>
        <w:bottom w:val="dotted"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8">
    <w:name w:val="xl118"/>
    <w:basedOn w:val="Normal"/>
    <w:pPr>
      <w:pBdr>
        <w:top w:val="dotted" w:sz="4" w:space="0" w:color="auto"/>
        <w:bottom w:val="dotted" w:sz="4" w:space="0" w:color="auto"/>
      </w:pBdr>
      <w:spacing w:before="100" w:beforeAutospacing="1" w:after="100" w:afterAutospacing="1" w:line="240" w:lineRule="auto"/>
      <w:textAlignment w:val="center"/>
    </w:pPr>
    <w:rPr>
      <w:rFonts w:ascii="Book Antiqua" w:eastAsia="Times New Roman" w:hAnsi="Book Antiqua"/>
      <w:sz w:val="24"/>
      <w:szCs w:val="24"/>
    </w:rPr>
  </w:style>
  <w:style w:type="paragraph" w:customStyle="1" w:styleId="xl119">
    <w:name w:val="xl119"/>
    <w:basedOn w:val="Normal"/>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0">
    <w:name w:val="xl120"/>
    <w:basedOn w:val="Normal"/>
    <w:pPr>
      <w:pBdr>
        <w:top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1">
    <w:name w:val="xl121"/>
    <w:basedOn w:val="Normal"/>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2">
    <w:name w:val="xl122"/>
    <w:basedOn w:val="Normal"/>
    <w:pPr>
      <w:pBdr>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3">
    <w:name w:val="xl123"/>
    <w:basedOn w:val="Normal"/>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4">
    <w:name w:val="xl124"/>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xl125">
    <w:name w:val="xl125"/>
    <w:basedOn w:val="Normal"/>
    <w:pPr>
      <w:pBdr>
        <w:bottom w:val="dotted"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26">
    <w:name w:val="xl126"/>
    <w:basedOn w:val="Normal"/>
    <w:pPr>
      <w:pBdr>
        <w:bottom w:val="single" w:sz="12" w:space="0" w:color="009999"/>
      </w:pBdr>
      <w:spacing w:before="100" w:beforeAutospacing="1" w:after="100" w:afterAutospacing="1" w:line="240" w:lineRule="auto"/>
      <w:textAlignment w:val="center"/>
    </w:pPr>
    <w:rPr>
      <w:rFonts w:ascii="Book Antiqua" w:eastAsia="Times New Roman" w:hAnsi="Book Antiqua"/>
      <w:sz w:val="24"/>
      <w:szCs w:val="24"/>
    </w:rPr>
  </w:style>
  <w:style w:type="paragraph" w:customStyle="1" w:styleId="xl127">
    <w:name w:val="xl127"/>
    <w:basedOn w:val="Normal"/>
    <w:pPr>
      <w:pBdr>
        <w:bottom w:val="single" w:sz="12" w:space="0" w:color="009999"/>
      </w:pBdr>
      <w:spacing w:before="100" w:beforeAutospacing="1" w:after="100" w:afterAutospacing="1" w:line="240" w:lineRule="auto"/>
      <w:textAlignment w:val="center"/>
    </w:pPr>
    <w:rPr>
      <w:rFonts w:ascii="Book Antiqua" w:eastAsia="Times New Roman" w:hAnsi="Book Antiqua"/>
      <w:i/>
      <w:iCs/>
      <w:sz w:val="24"/>
      <w:szCs w:val="24"/>
    </w:rPr>
  </w:style>
  <w:style w:type="paragraph" w:customStyle="1" w:styleId="xl128">
    <w:name w:val="xl128"/>
    <w:basedOn w:val="Normal"/>
    <w:pPr>
      <w:pBdr>
        <w:bottom w:val="single" w:sz="12" w:space="0" w:color="009999"/>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9">
    <w:name w:val="xl129"/>
    <w:basedOn w:val="Normal"/>
    <w:pPr>
      <w:pBdr>
        <w:bottom w:val="single" w:sz="12" w:space="0" w:color="009999"/>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0">
    <w:name w:val="xl130"/>
    <w:basedOn w:val="Normal"/>
    <w:pPr>
      <w:pBdr>
        <w:bottom w:val="single" w:sz="12" w:space="0" w:color="009999"/>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1">
    <w:name w:val="xl131"/>
    <w:basedOn w:val="Normal"/>
    <w:pPr>
      <w:pBdr>
        <w:bottom w:val="single" w:sz="12" w:space="0" w:color="009999"/>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2">
    <w:name w:val="xl132"/>
    <w:basedOn w:val="Normal"/>
    <w:pPr>
      <w:pBdr>
        <w:bottom w:val="single" w:sz="12" w:space="0" w:color="009999"/>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3">
    <w:name w:val="xl133"/>
    <w:basedOn w:val="Normal"/>
    <w:pPr>
      <w:pBdr>
        <w:top w:val="single" w:sz="12" w:space="0" w:color="009999"/>
        <w:bottom w:val="single" w:sz="8" w:space="0" w:color="009999"/>
      </w:pBdr>
      <w:spacing w:before="100" w:beforeAutospacing="1" w:after="100" w:afterAutospacing="1" w:line="240" w:lineRule="auto"/>
    </w:pPr>
    <w:rPr>
      <w:rFonts w:ascii="Times New Roman" w:eastAsia="Times New Roman" w:hAnsi="Times New Roman"/>
      <w:b/>
      <w:bCs/>
      <w:sz w:val="24"/>
      <w:szCs w:val="24"/>
    </w:rPr>
  </w:style>
  <w:style w:type="paragraph" w:customStyle="1" w:styleId="xl134">
    <w:name w:val="xl134"/>
    <w:basedOn w:val="Normal"/>
    <w:pPr>
      <w:pBdr>
        <w:top w:val="single" w:sz="12" w:space="0" w:color="009999"/>
        <w:bottom w:val="single" w:sz="8" w:space="0" w:color="009999"/>
      </w:pBdr>
      <w:spacing w:before="100" w:beforeAutospacing="1" w:after="100" w:afterAutospacing="1" w:line="240" w:lineRule="auto"/>
    </w:pPr>
    <w:rPr>
      <w:rFonts w:ascii="Book Antiqua" w:eastAsia="Times New Roman" w:hAnsi="Book Antiqua"/>
      <w:b/>
      <w:bCs/>
      <w:sz w:val="24"/>
      <w:szCs w:val="24"/>
    </w:rPr>
  </w:style>
  <w:style w:type="paragraph" w:customStyle="1" w:styleId="xl135">
    <w:name w:val="xl135"/>
    <w:basedOn w:val="Normal"/>
    <w:pPr>
      <w:pBdr>
        <w:top w:val="single" w:sz="12" w:space="0" w:color="009999"/>
        <w:bottom w:val="single" w:sz="8" w:space="0" w:color="009999"/>
      </w:pBdr>
      <w:spacing w:before="100" w:beforeAutospacing="1" w:after="100" w:afterAutospacing="1" w:line="240" w:lineRule="auto"/>
      <w:jc w:val="center"/>
    </w:pPr>
    <w:rPr>
      <w:rFonts w:ascii="Book Antiqua" w:eastAsia="Times New Roman" w:hAnsi="Book Antiqua"/>
      <w:b/>
      <w:bCs/>
      <w:sz w:val="24"/>
      <w:szCs w:val="24"/>
    </w:rPr>
  </w:style>
  <w:style w:type="paragraph" w:customStyle="1" w:styleId="xl136">
    <w:name w:val="xl136"/>
    <w:basedOn w:val="Normal"/>
    <w:pPr>
      <w:pBdr>
        <w:top w:val="single" w:sz="12" w:space="0" w:color="009999"/>
        <w:bottom w:val="single" w:sz="8" w:space="0" w:color="009999"/>
      </w:pBdr>
      <w:spacing w:before="100" w:beforeAutospacing="1" w:after="100" w:afterAutospacing="1" w:line="240" w:lineRule="auto"/>
      <w:jc w:val="center"/>
    </w:pPr>
    <w:rPr>
      <w:rFonts w:ascii="Book Antiqua" w:eastAsia="Times New Roman" w:hAnsi="Book Antiqua"/>
      <w:b/>
      <w:bCs/>
      <w:sz w:val="24"/>
      <w:szCs w:val="24"/>
    </w:rPr>
  </w:style>
  <w:style w:type="paragraph" w:customStyle="1" w:styleId="xl137">
    <w:name w:val="xl137"/>
    <w:basedOn w:val="Normal"/>
    <w:pPr>
      <w:pBdr>
        <w:top w:val="single" w:sz="12" w:space="0" w:color="009999"/>
        <w:bottom w:val="single" w:sz="8" w:space="0" w:color="009999"/>
      </w:pBdr>
      <w:spacing w:before="100" w:beforeAutospacing="1" w:after="100" w:afterAutospacing="1" w:line="240" w:lineRule="auto"/>
    </w:pPr>
    <w:rPr>
      <w:rFonts w:ascii="Book Antiqua" w:eastAsia="Times New Roman" w:hAnsi="Book Antiqua"/>
      <w:b/>
      <w:bCs/>
      <w:sz w:val="24"/>
      <w:szCs w:val="24"/>
    </w:rPr>
  </w:style>
  <w:style w:type="paragraph" w:customStyle="1" w:styleId="xl138">
    <w:name w:val="xl138"/>
    <w:basedOn w:val="Normal"/>
    <w:pPr>
      <w:pBdr>
        <w:bottom w:val="double" w:sz="6" w:space="0" w:color="009999"/>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9">
    <w:name w:val="xl139"/>
    <w:basedOn w:val="Normal"/>
    <w:pPr>
      <w:pBdr>
        <w:bottom w:val="double" w:sz="6" w:space="0" w:color="009999"/>
      </w:pBdr>
      <w:spacing w:before="100" w:beforeAutospacing="1" w:after="100" w:afterAutospacing="1" w:line="240" w:lineRule="auto"/>
    </w:pPr>
    <w:rPr>
      <w:rFonts w:ascii="Book Antiqua" w:eastAsia="Times New Roman" w:hAnsi="Book Antiqua"/>
      <w:sz w:val="24"/>
      <w:szCs w:val="24"/>
    </w:rPr>
  </w:style>
  <w:style w:type="paragraph" w:customStyle="1" w:styleId="xl140">
    <w:name w:val="xl140"/>
    <w:basedOn w:val="Normal"/>
    <w:pPr>
      <w:pBdr>
        <w:bottom w:val="double" w:sz="6" w:space="0" w:color="009999"/>
      </w:pBdr>
      <w:spacing w:before="100" w:beforeAutospacing="1" w:after="100" w:afterAutospacing="1" w:line="240" w:lineRule="auto"/>
    </w:pPr>
    <w:rPr>
      <w:rFonts w:ascii="Book Antiqua" w:eastAsia="Times New Roman" w:hAnsi="Book Antiqua"/>
      <w:b/>
      <w:bCs/>
      <w:sz w:val="24"/>
      <w:szCs w:val="24"/>
    </w:rPr>
  </w:style>
  <w:style w:type="paragraph" w:customStyle="1" w:styleId="xl141">
    <w:name w:val="xl141"/>
    <w:basedOn w:val="Normal"/>
    <w:pPr>
      <w:pBdr>
        <w:bottom w:val="double" w:sz="6" w:space="0" w:color="009999"/>
      </w:pBdr>
      <w:spacing w:before="100" w:beforeAutospacing="1" w:after="100" w:afterAutospacing="1" w:line="240" w:lineRule="auto"/>
    </w:pPr>
    <w:rPr>
      <w:rFonts w:ascii="Times New Roman" w:eastAsia="Times New Roman" w:hAnsi="Times New Roman"/>
      <w:sz w:val="24"/>
      <w:szCs w:val="24"/>
    </w:rPr>
  </w:style>
  <w:style w:type="paragraph" w:customStyle="1" w:styleId="xl142">
    <w:name w:val="xl142"/>
    <w:basedOn w:val="Normal"/>
    <w:pPr>
      <w:pBdr>
        <w:bottom w:val="double" w:sz="6" w:space="0" w:color="009999"/>
      </w:pBdr>
      <w:spacing w:before="100" w:beforeAutospacing="1" w:after="100" w:afterAutospacing="1" w:line="240" w:lineRule="auto"/>
    </w:pPr>
    <w:rPr>
      <w:rFonts w:ascii="Times New Roman" w:eastAsia="Times New Roman" w:hAnsi="Times New Roman"/>
      <w:sz w:val="24"/>
      <w:szCs w:val="24"/>
    </w:rPr>
  </w:style>
  <w:style w:type="paragraph" w:customStyle="1" w:styleId="xl143">
    <w:name w:val="xl143"/>
    <w:basedOn w:val="Normal"/>
    <w:pPr>
      <w:pBdr>
        <w:bottom w:val="double" w:sz="6" w:space="0" w:color="009999"/>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
    <w:pPr>
      <w:pBdr>
        <w:bottom w:val="double" w:sz="6" w:space="0" w:color="009999"/>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5">
    <w:name w:val="xl145"/>
    <w:basedOn w:val="Normal"/>
    <w:pPr>
      <w:pBdr>
        <w:bottom w:val="double" w:sz="6" w:space="0" w:color="009999"/>
      </w:pBdr>
      <w:spacing w:before="100" w:beforeAutospacing="1" w:after="100" w:afterAutospacing="1" w:line="240" w:lineRule="auto"/>
    </w:pPr>
    <w:rPr>
      <w:rFonts w:ascii="Book Antiqua" w:eastAsia="Times New Roman" w:hAnsi="Book Antiqua"/>
      <w:i/>
      <w:iCs/>
      <w:sz w:val="24"/>
      <w:szCs w:val="24"/>
    </w:rPr>
  </w:style>
  <w:style w:type="paragraph" w:customStyle="1" w:styleId="xl146">
    <w:name w:val="xl146"/>
    <w:basedOn w:val="Normal"/>
    <w:pPr>
      <w:pBdr>
        <w:top w:val="dotted" w:sz="4" w:space="0" w:color="auto"/>
        <w:bottom w:val="single" w:sz="12" w:space="0" w:color="009999"/>
      </w:pBdr>
      <w:spacing w:before="100" w:beforeAutospacing="1" w:after="100" w:afterAutospacing="1" w:line="240" w:lineRule="auto"/>
    </w:pPr>
    <w:rPr>
      <w:rFonts w:ascii="Times New Roman" w:eastAsia="Times New Roman" w:hAnsi="Times New Roman"/>
      <w:sz w:val="24"/>
      <w:szCs w:val="24"/>
    </w:rPr>
  </w:style>
  <w:style w:type="paragraph" w:customStyle="1" w:styleId="xl147">
    <w:name w:val="xl147"/>
    <w:basedOn w:val="Normal"/>
    <w:pPr>
      <w:pBdr>
        <w:top w:val="dotted" w:sz="4" w:space="0" w:color="auto"/>
        <w:bottom w:val="single" w:sz="12" w:space="0" w:color="009999"/>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48">
    <w:name w:val="xl148"/>
    <w:basedOn w:val="Normal"/>
    <w:pPr>
      <w:pBdr>
        <w:top w:val="dotted" w:sz="4" w:space="0" w:color="auto"/>
        <w:bottom w:val="single" w:sz="12" w:space="0" w:color="009999"/>
      </w:pBdr>
      <w:spacing w:before="100" w:beforeAutospacing="1" w:after="100" w:afterAutospacing="1" w:line="240" w:lineRule="auto"/>
    </w:pPr>
    <w:rPr>
      <w:rFonts w:ascii="Times New Roman" w:eastAsia="Times New Roman" w:hAnsi="Times New Roman"/>
      <w:sz w:val="24"/>
      <w:szCs w:val="24"/>
    </w:rPr>
  </w:style>
  <w:style w:type="paragraph" w:customStyle="1" w:styleId="xl149">
    <w:name w:val="xl149"/>
    <w:basedOn w:val="Normal"/>
    <w:pPr>
      <w:pBdr>
        <w:bottom w:val="single" w:sz="12" w:space="0" w:color="009999"/>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50">
    <w:name w:val="xl150"/>
    <w:basedOn w:val="Normal"/>
    <w:pPr>
      <w:pBdr>
        <w:top w:val="single" w:sz="12" w:space="0" w:color="009999"/>
        <w:bottom w:val="single" w:sz="8" w:space="0" w:color="009999"/>
      </w:pBdr>
      <w:spacing w:before="100" w:beforeAutospacing="1" w:after="100" w:afterAutospacing="1" w:line="240" w:lineRule="auto"/>
    </w:pPr>
    <w:rPr>
      <w:rFonts w:ascii="Book Antiqua" w:eastAsia="Times New Roman" w:hAnsi="Book Antiqua"/>
      <w:b/>
      <w:bCs/>
      <w:sz w:val="24"/>
      <w:szCs w:val="24"/>
    </w:rPr>
  </w:style>
  <w:style w:type="paragraph" w:styleId="DocumentMap">
    <w:name w:val="Document Map"/>
    <w:basedOn w:val="Normal"/>
    <w:link w:val="DocumentMapChar"/>
    <w:uiPriority w:val="99"/>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Pr>
      <w:rFonts w:ascii="Tahoma" w:hAnsi="Tahoma" w:cs="Tahoma"/>
      <w:sz w:val="16"/>
      <w:szCs w:val="16"/>
      <w:lang w:val="bg-BG" w:eastAsia="bg-BG"/>
    </w:rPr>
  </w:style>
  <w:style w:type="character" w:customStyle="1" w:styleId="TabletitleChar">
    <w:name w:val="Table title Char"/>
    <w:basedOn w:val="DefaultParagraphFont"/>
    <w:link w:val="Tabletitle"/>
    <w:rPr>
      <w:rFonts w:ascii="Book Antiqua" w:eastAsia="Times New Roman" w:hAnsi="Book Antiqua"/>
      <w:b/>
      <w:bCs/>
      <w:snapToGrid w:val="0"/>
      <w:sz w:val="20"/>
      <w:szCs w:val="20"/>
      <w:lang w:val="bg-BG" w:eastAsia="bg-BG"/>
    </w:rPr>
  </w:style>
  <w:style w:type="paragraph" w:customStyle="1" w:styleId="figuretitle0">
    <w:name w:val="figure title"/>
    <w:basedOn w:val="Normal"/>
    <w:link w:val="figuretitleChar"/>
    <w:qFormat/>
    <w:pPr>
      <w:spacing w:after="0" w:line="240" w:lineRule="auto"/>
    </w:pPr>
    <w:rPr>
      <w:rFonts w:ascii="Book Antiqua" w:eastAsia="Times New Roman" w:hAnsi="Book Antiqua"/>
      <w:b/>
      <w:sz w:val="20"/>
      <w:szCs w:val="20"/>
    </w:rPr>
  </w:style>
  <w:style w:type="character" w:customStyle="1" w:styleId="figuretitleChar">
    <w:name w:val="figure title Char"/>
    <w:basedOn w:val="chap3Char"/>
    <w:link w:val="figuretitle0"/>
    <w:rPr>
      <w:rFonts w:ascii="Book Antiqua" w:eastAsia="Times New Roman" w:hAnsi="Book Antiqua"/>
      <w:b/>
      <w:sz w:val="20"/>
      <w:szCs w:val="20"/>
      <w:lang w:val="bg-BG" w:eastAsia="bg-BG"/>
    </w:rPr>
  </w:style>
  <w:style w:type="numbering" w:customStyle="1" w:styleId="ECAnalysis">
    <w:name w:val="EC Analysis"/>
    <w:uiPriority w:val="99"/>
    <w:pPr>
      <w:numPr>
        <w:numId w:val="12"/>
      </w:numPr>
    </w:p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paragraph" w:customStyle="1" w:styleId="Ch3speciesheading">
    <w:name w:val="Ch3 species heading"/>
    <w:basedOn w:val="chap3"/>
    <w:next w:val="Normal"/>
    <w:qFormat/>
    <w:rPr>
      <w:b/>
      <w:i/>
      <w:sz w:val="24"/>
      <w:szCs w:val="20"/>
    </w:rPr>
  </w:style>
  <w:style w:type="paragraph" w:customStyle="1" w:styleId="FootnoteReference1">
    <w:name w:val="Footnote Reference1"/>
    <w:basedOn w:val="Normal"/>
    <w:autoRedefine/>
    <w:qFormat/>
    <w:pPr>
      <w:spacing w:before="100" w:beforeAutospacing="1" w:after="100" w:afterAutospacing="1" w:line="288" w:lineRule="auto"/>
      <w:jc w:val="both"/>
    </w:pPr>
    <w:rPr>
      <w:rFonts w:ascii="Arial" w:eastAsia="Times New Roman" w:hAnsi="Arial" w:cs="Arial"/>
    </w:rPr>
  </w:style>
  <w:style w:type="paragraph" w:customStyle="1" w:styleId="bulletednormal">
    <w:name w:val="bulleted normal"/>
    <w:basedOn w:val="Normal"/>
    <w:link w:val="bulletednormalChar"/>
    <w:qFormat/>
    <w:pPr>
      <w:tabs>
        <w:tab w:val="num" w:pos="360"/>
      </w:tabs>
      <w:spacing w:after="120" w:line="288" w:lineRule="auto"/>
      <w:ind w:left="360" w:hanging="360"/>
      <w:jc w:val="both"/>
    </w:pPr>
    <w:rPr>
      <w:rFonts w:ascii="Book Antiqua" w:eastAsia="Times New Roman" w:hAnsi="Book Antiqua"/>
    </w:rPr>
  </w:style>
  <w:style w:type="character" w:customStyle="1" w:styleId="bulletednormalChar">
    <w:name w:val="bulleted normal Char"/>
    <w:basedOn w:val="DefaultParagraphFont"/>
    <w:link w:val="bulletednormal"/>
    <w:rPr>
      <w:rFonts w:ascii="Book Antiqua" w:eastAsia="Times New Roman" w:hAnsi="Book Antiqua"/>
      <w:lang w:val="bg-BG" w:eastAsia="bg-BG"/>
    </w:rPr>
  </w:style>
  <w:style w:type="character" w:styleId="EndnoteReference">
    <w:name w:val="endnote reference"/>
    <w:basedOn w:val="DefaultParagraphFont"/>
    <w:uiPriority w:val="99"/>
    <w:unhideWhenUsed/>
    <w:rPr>
      <w:vertAlign w:val="superscript"/>
    </w:rPr>
  </w:style>
  <w:style w:type="numbering" w:customStyle="1" w:styleId="NoList3">
    <w:name w:val="No List3"/>
    <w:next w:val="NoList"/>
    <w:uiPriority w:val="99"/>
    <w:semiHidden/>
    <w:unhideWhenUsed/>
  </w:style>
  <w:style w:type="paragraph" w:customStyle="1" w:styleId="Chapter3">
    <w:name w:val="Chapter 3"/>
    <w:aliases w:val="indented"/>
    <w:basedOn w:val="Normal"/>
    <w:pPr>
      <w:spacing w:after="0" w:line="288" w:lineRule="auto"/>
      <w:ind w:left="397"/>
    </w:pPr>
    <w:rPr>
      <w:rFonts w:ascii="Book Antiqua" w:eastAsia="Times New Roman" w:hAnsi="Book Antiqua"/>
      <w:szCs w:val="20"/>
    </w:rPr>
  </w:style>
  <w:style w:type="paragraph" w:customStyle="1" w:styleId="StyleCh3summarytext11pt">
    <w:name w:val="Style Ch3 summary text + 11 pt"/>
    <w:basedOn w:val="Normal"/>
    <w:pPr>
      <w:spacing w:after="0" w:line="288" w:lineRule="auto"/>
      <w:ind w:left="397"/>
      <w:jc w:val="both"/>
    </w:pPr>
    <w:rPr>
      <w:rFonts w:ascii="Book Antiqua" w:eastAsia="Times New Roman" w:hAnsi="Book Antiqua"/>
      <w:b/>
      <w:bCs/>
      <w:szCs w:val="20"/>
    </w:rPr>
  </w:style>
  <w:style w:type="numbering" w:customStyle="1" w:styleId="Style1">
    <w:name w:val="Style1"/>
    <w:uiPriority w:val="99"/>
    <w:pPr>
      <w:numPr>
        <w:numId w:val="13"/>
      </w:numPr>
    </w:pPr>
  </w:style>
  <w:style w:type="numbering" w:customStyle="1" w:styleId="ECAnalysis1">
    <w:name w:val="EC Analysis1"/>
    <w:uiPriority w:val="99"/>
    <w:pPr>
      <w:numPr>
        <w:numId w:val="11"/>
      </w:numPr>
    </w:pPr>
  </w:style>
  <w:style w:type="numbering" w:customStyle="1" w:styleId="ECAnalysis2">
    <w:name w:val="EC Analysis2"/>
    <w:uiPriority w:val="99"/>
    <w:pPr>
      <w:numPr>
        <w:numId w:val="14"/>
      </w:numPr>
    </w:pPr>
  </w:style>
  <w:style w:type="numbering" w:customStyle="1" w:styleId="NoList4">
    <w:name w:val="No List4"/>
    <w:next w:val="NoList"/>
    <w:uiPriority w:val="99"/>
    <w:semiHidden/>
    <w:unhideWhenUsed/>
  </w:style>
  <w:style w:type="numbering" w:customStyle="1" w:styleId="NoList12">
    <w:name w:val="No List12"/>
    <w:next w:val="NoList"/>
    <w:uiPriority w:val="99"/>
    <w:semiHidden/>
    <w:unhideWhenUsed/>
  </w:style>
  <w:style w:type="paragraph" w:customStyle="1" w:styleId="Tablefooter">
    <w:name w:val="Table footer"/>
    <w:basedOn w:val="Normal"/>
    <w:link w:val="TablefooterChar"/>
    <w:qFormat/>
    <w:pPr>
      <w:spacing w:after="0" w:line="288" w:lineRule="auto"/>
    </w:pPr>
    <w:rPr>
      <w:rFonts w:ascii="Book Antiqua" w:eastAsia="Times New Roman" w:hAnsi="Book Antiqua"/>
      <w:sz w:val="20"/>
      <w:szCs w:val="20"/>
    </w:rPr>
  </w:style>
  <w:style w:type="character" w:customStyle="1" w:styleId="TablefooterChar">
    <w:name w:val="Table footer Char"/>
    <w:basedOn w:val="DefaultParagraphFont"/>
    <w:link w:val="Tablefooter"/>
    <w:rPr>
      <w:rFonts w:ascii="Book Antiqua" w:eastAsia="Times New Roman" w:hAnsi="Book Antiqua"/>
      <w:sz w:val="20"/>
      <w:szCs w:val="20"/>
      <w:lang w:val="bg-BG" w:eastAsia="bg-BG"/>
    </w:rPr>
  </w:style>
  <w:style w:type="paragraph" w:customStyle="1" w:styleId="font5">
    <w:name w:val="font5"/>
    <w:basedOn w:val="Normal"/>
    <w:pPr>
      <w:spacing w:before="100" w:beforeAutospacing="1" w:after="100" w:afterAutospacing="1" w:line="240" w:lineRule="auto"/>
    </w:pPr>
    <w:rPr>
      <w:rFonts w:ascii="Book Antiqua" w:eastAsia="Times New Roman" w:hAnsi="Book Antiqua"/>
      <w:color w:val="000000"/>
      <w:sz w:val="20"/>
      <w:szCs w:val="20"/>
    </w:rPr>
  </w:style>
  <w:style w:type="numbering" w:customStyle="1" w:styleId="NoList5">
    <w:name w:val="No List5"/>
    <w:next w:val="NoList"/>
    <w:uiPriority w:val="99"/>
    <w:semiHidden/>
    <w:unhideWhenUsed/>
  </w:style>
  <w:style w:type="numbering" w:customStyle="1" w:styleId="Style11">
    <w:name w:val="Style11"/>
    <w:uiPriority w:val="99"/>
  </w:style>
  <w:style w:type="numbering" w:customStyle="1" w:styleId="ECAnalysis3">
    <w:name w:val="EC Analysis3"/>
    <w:uiPriority w:val="99"/>
  </w:style>
  <w:style w:type="numbering" w:customStyle="1" w:styleId="ECAnalysis21">
    <w:name w:val="EC Analysis21"/>
    <w:uiPriority w:val="99"/>
  </w:style>
  <w:style w:type="numbering" w:customStyle="1" w:styleId="NoList13">
    <w:name w:val="No List13"/>
    <w:next w:val="NoList"/>
    <w:uiPriority w:val="99"/>
    <w:semiHidden/>
    <w:unhideWhenUsed/>
  </w:style>
  <w:style w:type="numbering" w:customStyle="1" w:styleId="NoList111">
    <w:name w:val="No List111"/>
    <w:next w:val="NoList"/>
    <w:uiPriority w:val="99"/>
    <w:semiHidden/>
    <w:unhideWhenUsed/>
  </w:style>
  <w:style w:type="paragraph" w:customStyle="1" w:styleId="font0">
    <w:name w:val="font0"/>
    <w:basedOn w:val="Normal"/>
    <w:pPr>
      <w:spacing w:before="100" w:beforeAutospacing="1" w:after="100" w:afterAutospacing="1" w:line="240" w:lineRule="auto"/>
    </w:pPr>
    <w:rPr>
      <w:rFonts w:ascii="Book Antiqua" w:eastAsia="Times New Roman" w:hAnsi="Book Antiqua"/>
      <w:color w:val="000000"/>
      <w:sz w:val="20"/>
      <w:szCs w:val="20"/>
    </w:rPr>
  </w:style>
  <w:style w:type="paragraph" w:customStyle="1" w:styleId="font6">
    <w:name w:val="font6"/>
    <w:basedOn w:val="Normal"/>
    <w:pPr>
      <w:spacing w:before="100" w:beforeAutospacing="1" w:after="100" w:afterAutospacing="1" w:line="240" w:lineRule="auto"/>
    </w:pPr>
    <w:rPr>
      <w:rFonts w:ascii="Book Antiqua" w:eastAsia="Times New Roman" w:hAnsi="Book Antiqua"/>
      <w:color w:val="000000"/>
      <w:sz w:val="20"/>
      <w:szCs w:val="20"/>
    </w:rPr>
  </w:style>
  <w:style w:type="paragraph" w:customStyle="1" w:styleId="font7">
    <w:name w:val="font7"/>
    <w:basedOn w:val="Normal"/>
    <w:pPr>
      <w:spacing w:before="100" w:beforeAutospacing="1" w:after="100" w:afterAutospacing="1" w:line="240" w:lineRule="auto"/>
    </w:pPr>
    <w:rPr>
      <w:rFonts w:ascii="Book Antiqua" w:eastAsia="Times New Roman" w:hAnsi="Book Antiqua"/>
      <w:i/>
      <w:iCs/>
      <w:color w:val="000000"/>
      <w:sz w:val="20"/>
      <w:szCs w:val="20"/>
    </w:rPr>
  </w:style>
  <w:style w:type="paragraph" w:styleId="PlainText">
    <w:name w:val="Plain Text"/>
    <w:basedOn w:val="Normal"/>
    <w:link w:val="PlainTextChar"/>
    <w:uiPriority w:val="99"/>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Pr>
      <w:rFonts w:ascii="Consolas" w:hAnsi="Consolas"/>
      <w:sz w:val="21"/>
      <w:szCs w:val="21"/>
      <w:lang w:val="bg-BG" w:eastAsia="bg-BG"/>
    </w:rPr>
  </w:style>
  <w:style w:type="table" w:customStyle="1" w:styleId="Tradetable">
    <w:name w:val="Trade table"/>
    <w:basedOn w:val="TableNormal"/>
    <w:uiPriority w:val="99"/>
    <w:rPr>
      <w:rFonts w:ascii="Book Antiqua" w:eastAsia="Times New Roman" w:hAnsi="Book Antiqua"/>
      <w:sz w:val="20"/>
      <w:szCs w:val="20"/>
    </w:rPr>
    <w:tblPr>
      <w:tblInd w:w="0" w:type="dxa"/>
      <w:tblBorders>
        <w:bottom w:val="single" w:sz="4" w:space="0" w:color="auto"/>
      </w:tblBorders>
      <w:tblCellMar>
        <w:top w:w="0" w:type="dxa"/>
        <w:left w:w="108" w:type="dxa"/>
        <w:bottom w:w="0" w:type="dxa"/>
        <w:right w:w="108" w:type="dxa"/>
      </w:tblCellMar>
    </w:tblPr>
    <w:tblStylePr w:type="firstRow">
      <w:rPr>
        <w:rFonts w:ascii="Comic Sans MS" w:hAnsi="Comic Sans MS"/>
        <w:b/>
        <w:sz w:val="20"/>
      </w:rPr>
      <w:tblPr/>
      <w:tcPr>
        <w:tcBorders>
          <w:top w:val="single" w:sz="4" w:space="0" w:color="auto"/>
          <w:bottom w:val="single" w:sz="4" w:space="0" w:color="auto"/>
        </w:tcBorders>
      </w:tcPr>
    </w:tblStylePr>
  </w:style>
  <w:style w:type="paragraph" w:customStyle="1" w:styleId="photocredit">
    <w:name w:val="photo credit"/>
    <w:basedOn w:val="Normal"/>
    <w:link w:val="photocreditChar"/>
    <w:qFormat/>
    <w:pPr>
      <w:spacing w:after="0" w:line="240" w:lineRule="auto"/>
      <w:jc w:val="right"/>
    </w:pPr>
    <w:rPr>
      <w:rFonts w:ascii="Book Antiqua" w:eastAsia="Times New Roman" w:hAnsi="Book Antiqua"/>
      <w:sz w:val="16"/>
      <w:szCs w:val="16"/>
    </w:rPr>
  </w:style>
  <w:style w:type="character" w:customStyle="1" w:styleId="photocreditChar">
    <w:name w:val="photo credit Char"/>
    <w:basedOn w:val="DefaultParagraphFont"/>
    <w:link w:val="photocredit"/>
    <w:rPr>
      <w:rFonts w:ascii="Book Antiqua" w:eastAsia="Times New Roman" w:hAnsi="Book Antiqua"/>
      <w:sz w:val="16"/>
      <w:szCs w:val="16"/>
      <w:lang w:val="bg-BG" w:eastAsia="bg-BG"/>
    </w:rPr>
  </w:style>
  <w:style w:type="character" w:customStyle="1" w:styleId="apple-style-span">
    <w:name w:val="apple-style-span"/>
    <w:basedOn w:val="DefaultParagraphFont"/>
  </w:style>
  <w:style w:type="table" w:styleId="TableClassic1">
    <w:name w:val="Table Classic 1"/>
    <w:basedOn w:val="TableNormal"/>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sciname">
    <w:name w:val="sciname"/>
    <w:basedOn w:val="DefaultParagraphFont"/>
  </w:style>
  <w:style w:type="paragraph" w:customStyle="1" w:styleId="Speciesheader">
    <w:name w:val="Species header"/>
    <w:basedOn w:val="Normal"/>
    <w:link w:val="SpeciesheaderChar"/>
    <w:qFormat/>
    <w:pPr>
      <w:keepLines/>
      <w:spacing w:after="120" w:line="240" w:lineRule="auto"/>
      <w:jc w:val="both"/>
    </w:pPr>
    <w:rPr>
      <w:rFonts w:ascii="Book Antiqua" w:eastAsia="Times New Roman" w:hAnsi="Book Antiqua"/>
      <w:b/>
      <w:i/>
      <w:noProof/>
      <w:sz w:val="24"/>
      <w:szCs w:val="24"/>
    </w:rPr>
  </w:style>
  <w:style w:type="character" w:customStyle="1" w:styleId="SpeciesheaderChar">
    <w:name w:val="Species header Char"/>
    <w:basedOn w:val="DefaultParagraphFont"/>
    <w:link w:val="Speciesheader"/>
    <w:rPr>
      <w:rFonts w:ascii="Book Antiqua" w:eastAsia="Times New Roman" w:hAnsi="Book Antiqua"/>
      <w:b/>
      <w:i/>
      <w:noProof/>
      <w:sz w:val="24"/>
      <w:szCs w:val="24"/>
      <w:lang w:val="bg-BG" w:eastAsia="bg-BG"/>
    </w:rPr>
  </w:style>
  <w:style w:type="character" w:styleId="Strong">
    <w:name w:val="Strong"/>
    <w:basedOn w:val="DefaultParagraphFont"/>
    <w:uiPriority w:val="22"/>
    <w:qFormat/>
    <w:locked/>
    <w:rPr>
      <w:b/>
      <w:bCs/>
    </w:rPr>
  </w:style>
  <w:style w:type="numbering" w:customStyle="1" w:styleId="StyleNumberedBookAntiqua14ptBoldLeft127cmHanging">
    <w:name w:val="Style Numbered Book Antiqua 14 pt Bold Left:  1.27 cm Hanging:..."/>
    <w:basedOn w:val="NoList"/>
    <w:pPr>
      <w:numPr>
        <w:numId w:val="17"/>
      </w:numPr>
    </w:pPr>
  </w:style>
  <w:style w:type="paragraph" w:customStyle="1" w:styleId="Chapterheading">
    <w:name w:val="Chapter heading"/>
    <w:basedOn w:val="Heading1"/>
    <w:qFormat/>
    <w:pPr>
      <w:keepLines w:val="0"/>
      <w:spacing w:before="0" w:after="240" w:line="240" w:lineRule="auto"/>
      <w:ind w:left="1080" w:hanging="720"/>
    </w:pPr>
    <w:rPr>
      <w:rFonts w:ascii="Book Antiqua" w:eastAsia="Times New Roman" w:hAnsi="Book Antiqua"/>
      <w:b/>
      <w:bCs/>
      <w:color w:val="auto"/>
      <w:sz w:val="36"/>
      <w:szCs w:val="36"/>
    </w:rPr>
  </w:style>
  <w:style w:type="paragraph" w:customStyle="1" w:styleId="Subheading">
    <w:name w:val="Sub heading"/>
    <w:basedOn w:val="Heading2"/>
    <w:qFormat/>
    <w:pPr>
      <w:keepLines w:val="0"/>
      <w:numPr>
        <w:numId w:val="16"/>
      </w:numPr>
      <w:spacing w:before="240" w:after="120" w:line="240" w:lineRule="auto"/>
    </w:pPr>
    <w:rPr>
      <w:rFonts w:ascii="Book Antiqua" w:eastAsia="Times New Roman" w:hAnsi="Book Antiqua" w:cs="Arial"/>
      <w:b/>
      <w:color w:val="auto"/>
      <w:sz w:val="28"/>
      <w:szCs w:val="20"/>
    </w:rPr>
  </w:style>
  <w:style w:type="paragraph" w:customStyle="1" w:styleId="EUChapterHeading">
    <w:name w:val="EU Chapter Heading"/>
    <w:basedOn w:val="Heading1"/>
    <w:qFormat/>
    <w:pPr>
      <w:keepNext w:val="0"/>
      <w:keepLines w:val="0"/>
      <w:widowControl w:val="0"/>
      <w:numPr>
        <w:numId w:val="15"/>
      </w:numPr>
      <w:spacing w:before="0" w:after="240" w:line="240" w:lineRule="auto"/>
    </w:pPr>
    <w:rPr>
      <w:rFonts w:ascii="Book Antiqua" w:eastAsia="Times New Roman" w:hAnsi="Book Antiqua"/>
      <w:b/>
      <w:bCs/>
      <w:noProof/>
      <w:color w:val="auto"/>
      <w:sz w:val="36"/>
      <w:szCs w:val="36"/>
    </w:rPr>
  </w:style>
  <w:style w:type="paragraph" w:styleId="Subtitle">
    <w:name w:val="Subtitle"/>
    <w:basedOn w:val="Normal"/>
    <w:next w:val="Normal"/>
    <w:link w:val="SubtitleChar"/>
    <w:uiPriority w:val="11"/>
    <w:qFormat/>
    <w:locked/>
    <w:pPr>
      <w:numPr>
        <w:ilvl w:val="1"/>
      </w:numPr>
      <w:spacing w:line="270" w:lineRule="atLeas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val="bg-BG" w:eastAsia="bg-BG"/>
    </w:rPr>
  </w:style>
  <w:style w:type="paragraph" w:customStyle="1" w:styleId="Figureheadingnew">
    <w:name w:val="Figure heading_new"/>
    <w:basedOn w:val="Normal"/>
    <w:link w:val="FigureheadingnewChar"/>
    <w:pPr>
      <w:spacing w:line="270" w:lineRule="atLeast"/>
    </w:pPr>
    <w:rPr>
      <w:rFonts w:ascii="Constantia" w:eastAsiaTheme="minorEastAsia" w:hAnsi="Constantia" w:cstheme="minorBidi"/>
      <w:color w:val="007C9A"/>
      <w:sz w:val="24"/>
      <w:szCs w:val="24"/>
    </w:rPr>
  </w:style>
  <w:style w:type="character" w:customStyle="1" w:styleId="FigureheadingnewChar">
    <w:name w:val="Figure heading_new Char"/>
    <w:basedOn w:val="DefaultParagraphFont"/>
    <w:link w:val="Figureheadingnew"/>
    <w:rPr>
      <w:rFonts w:ascii="Constantia" w:eastAsiaTheme="minorEastAsia" w:hAnsi="Constantia" w:cstheme="minorBidi"/>
      <w:color w:val="007C9A"/>
      <w:sz w:val="24"/>
      <w:szCs w:val="24"/>
      <w:lang w:val="bg-BG" w:eastAsia="bg-BG"/>
    </w:rPr>
  </w:style>
  <w:style w:type="paragraph" w:customStyle="1" w:styleId="font8">
    <w:name w:val="font8"/>
    <w:basedOn w:val="Normal"/>
    <w:pPr>
      <w:spacing w:before="100" w:beforeAutospacing="1" w:after="100" w:afterAutospacing="1" w:line="240" w:lineRule="auto"/>
    </w:pPr>
    <w:rPr>
      <w:rFonts w:ascii="Arial" w:eastAsia="Times New Roman" w:hAnsi="Arial" w:cs="Arial"/>
      <w:color w:val="000000"/>
      <w:sz w:val="16"/>
      <w:szCs w:val="16"/>
    </w:rPr>
  </w:style>
  <w:style w:type="paragraph" w:customStyle="1" w:styleId="font9">
    <w:name w:val="font9"/>
    <w:basedOn w:val="Normal"/>
    <w:pPr>
      <w:spacing w:before="100" w:beforeAutospacing="1" w:after="100" w:afterAutospacing="1" w:line="240" w:lineRule="auto"/>
    </w:pPr>
    <w:rPr>
      <w:rFonts w:ascii="Arial" w:eastAsia="Times New Roman" w:hAnsi="Arial" w:cs="Arial"/>
      <w:i/>
      <w:iCs/>
      <w:color w:val="000000"/>
      <w:sz w:val="16"/>
      <w:szCs w:val="16"/>
    </w:rPr>
  </w:style>
  <w:style w:type="paragraph" w:customStyle="1" w:styleId="font10">
    <w:name w:val="font10"/>
    <w:basedOn w:val="Normal"/>
    <w:pPr>
      <w:spacing w:before="100" w:beforeAutospacing="1" w:after="100" w:afterAutospacing="1" w:line="240" w:lineRule="auto"/>
    </w:pPr>
    <w:rPr>
      <w:rFonts w:ascii="Arial" w:eastAsia="Times New Roman" w:hAnsi="Arial" w:cs="Arial"/>
      <w:color w:val="000000"/>
      <w:sz w:val="16"/>
      <w:szCs w:val="16"/>
    </w:rPr>
  </w:style>
  <w:style w:type="paragraph" w:customStyle="1" w:styleId="font11">
    <w:name w:val="font11"/>
    <w:basedOn w:val="Normal"/>
    <w:pPr>
      <w:spacing w:before="100" w:beforeAutospacing="1" w:after="100" w:afterAutospacing="1" w:line="240" w:lineRule="auto"/>
    </w:pPr>
    <w:rPr>
      <w:rFonts w:eastAsia="Times New Roman" w:cs="Calibri"/>
      <w:i/>
      <w:iCs/>
      <w:color w:val="000000"/>
    </w:rPr>
  </w:style>
  <w:style w:type="paragraph" w:customStyle="1" w:styleId="font12">
    <w:name w:val="font12"/>
    <w:basedOn w:val="Normal"/>
    <w:pPr>
      <w:spacing w:before="100" w:beforeAutospacing="1" w:after="100" w:afterAutospacing="1" w:line="240" w:lineRule="auto"/>
    </w:pPr>
    <w:rPr>
      <w:rFonts w:eastAsia="Times New Roman" w:cs="Calibri"/>
      <w:color w:val="000000"/>
      <w:sz w:val="16"/>
      <w:szCs w:val="16"/>
    </w:rPr>
  </w:style>
  <w:style w:type="paragraph" w:customStyle="1" w:styleId="Reportinfo">
    <w:name w:val="Report info"/>
    <w:basedOn w:val="Sectionheading"/>
    <w:next w:val="Normal"/>
    <w:qFormat/>
    <w:pPr>
      <w:spacing w:after="0"/>
    </w:pPr>
    <w:rPr>
      <w:color w:val="77A6B7"/>
      <w:sz w:val="24"/>
    </w:rPr>
  </w:style>
  <w:style w:type="paragraph" w:customStyle="1" w:styleId="Bulletedlisttwocolumns">
    <w:name w:val="Bulleted list two columns"/>
    <w:basedOn w:val="ListParagraph"/>
    <w:qFormat/>
    <w:pPr>
      <w:numPr>
        <w:numId w:val="18"/>
      </w:numPr>
      <w:spacing w:line="270" w:lineRule="atLeast"/>
      <w:ind w:left="567" w:hanging="340"/>
    </w:pPr>
    <w:rPr>
      <w:rFonts w:ascii="Constantia" w:eastAsiaTheme="minorEastAsia" w:hAnsi="Constantia" w:cstheme="minorBidi"/>
      <w:sz w:val="20"/>
    </w:rPr>
  </w:style>
  <w:style w:type="paragraph" w:customStyle="1" w:styleId="Copyrightinfo">
    <w:name w:val="Copyright info"/>
    <w:basedOn w:val="Normal"/>
    <w:next w:val="Normal"/>
    <w:qFormat/>
    <w:pPr>
      <w:spacing w:line="270" w:lineRule="atLeast"/>
    </w:pPr>
    <w:rPr>
      <w:rFonts w:ascii="Constantia" w:eastAsiaTheme="minorEastAsia" w:hAnsi="Constantia" w:cstheme="minorBidi"/>
      <w:color w:val="007C9A"/>
      <w:sz w:val="16"/>
      <w:szCs w:val="16"/>
    </w:rPr>
  </w:style>
  <w:style w:type="paragraph" w:customStyle="1" w:styleId="Numberedlisttwocolumns">
    <w:name w:val="Numbered list two columns"/>
    <w:basedOn w:val="Bulletedlisttwocolumns"/>
    <w:qFormat/>
    <w:pPr>
      <w:numPr>
        <w:numId w:val="19"/>
      </w:numPr>
      <w:ind w:left="454" w:hanging="227"/>
    </w:pPr>
  </w:style>
  <w:style w:type="paragraph" w:customStyle="1" w:styleId="Casestudytitle">
    <w:name w:val="Case study title"/>
    <w:basedOn w:val="Caption"/>
    <w:next w:val="Normal"/>
    <w:qFormat/>
    <w:pPr>
      <w:spacing w:after="200"/>
    </w:pPr>
  </w:style>
  <w:style w:type="paragraph" w:customStyle="1" w:styleId="SRG">
    <w:name w:val="SRG"/>
    <w:basedOn w:val="Normal"/>
    <w:link w:val="SRGChar"/>
    <w:qFormat/>
    <w:pPr>
      <w:tabs>
        <w:tab w:val="left" w:pos="-720"/>
      </w:tabs>
      <w:suppressAutoHyphens/>
      <w:spacing w:after="120" w:line="240" w:lineRule="auto"/>
      <w:jc w:val="both"/>
    </w:pPr>
    <w:rPr>
      <w:rFonts w:ascii="Book Antiqua" w:eastAsia="Times New Roman" w:hAnsi="Book Antiqua"/>
      <w:spacing w:val="-2"/>
      <w:sz w:val="20"/>
      <w:szCs w:val="20"/>
    </w:rPr>
  </w:style>
  <w:style w:type="character" w:customStyle="1" w:styleId="SRGChar">
    <w:name w:val="SRG Char"/>
    <w:basedOn w:val="DefaultParagraphFont"/>
    <w:link w:val="SRG"/>
    <w:rPr>
      <w:rFonts w:ascii="Book Antiqua" w:eastAsia="Times New Roman" w:hAnsi="Book Antiqua"/>
      <w:spacing w:val="-2"/>
      <w:sz w:val="20"/>
      <w:szCs w:val="20"/>
      <w:lang w:val="bg-BG" w:eastAsia="bg-BG"/>
    </w:rPr>
  </w:style>
  <w:style w:type="character" w:customStyle="1" w:styleId="nlmxref-aff">
    <w:name w:val="nlm_xref-aff"/>
    <w:basedOn w:val="DefaultParagraphFont"/>
  </w:style>
  <w:style w:type="character" w:styleId="PlaceholderText">
    <w:name w:val="Placeholder Text"/>
    <w:basedOn w:val="DefaultParagraphFont"/>
    <w:uiPriority w:val="99"/>
    <w:semiHidden/>
    <w:rPr>
      <w:color w:val="808080"/>
    </w:rPr>
  </w:style>
  <w:style w:type="paragraph" w:customStyle="1" w:styleId="font13">
    <w:name w:val="font13"/>
    <w:basedOn w:val="Normal"/>
    <w:pPr>
      <w:spacing w:before="100" w:beforeAutospacing="1" w:after="100" w:afterAutospacing="1" w:line="240" w:lineRule="auto"/>
    </w:pPr>
    <w:rPr>
      <w:rFonts w:ascii="Arial" w:eastAsia="Times New Roman" w:hAnsi="Arial" w:cs="Arial"/>
      <w:b/>
      <w:bCs/>
      <w:color w:val="000000"/>
      <w:sz w:val="16"/>
      <w:szCs w:val="16"/>
    </w:rPr>
  </w:style>
  <w:style w:type="paragraph" w:customStyle="1" w:styleId="font14">
    <w:name w:val="font14"/>
    <w:basedOn w:val="Normal"/>
    <w:pPr>
      <w:spacing w:before="100" w:beforeAutospacing="1" w:after="100" w:afterAutospacing="1" w:line="240" w:lineRule="auto"/>
    </w:pPr>
    <w:rPr>
      <w:rFonts w:ascii="Arial" w:eastAsia="Times New Roman" w:hAnsi="Arial" w:cs="Arial"/>
      <w:color w:val="000000"/>
      <w:sz w:val="16"/>
      <w:szCs w:val="16"/>
    </w:rPr>
  </w:style>
  <w:style w:type="paragraph" w:customStyle="1" w:styleId="font15">
    <w:name w:val="font15"/>
    <w:basedOn w:val="Normal"/>
    <w:pPr>
      <w:spacing w:before="100" w:beforeAutospacing="1" w:after="100" w:afterAutospacing="1" w:line="240" w:lineRule="auto"/>
    </w:pPr>
    <w:rPr>
      <w:rFonts w:ascii="Arial" w:eastAsia="Times New Roman" w:hAnsi="Arial" w:cs="Arial"/>
      <w:color w:val="666666"/>
      <w:sz w:val="21"/>
      <w:szCs w:val="21"/>
    </w:rPr>
  </w:style>
  <w:style w:type="character" w:customStyle="1" w:styleId="highlight">
    <w:name w:val="highlight"/>
    <w:basedOn w:val="DefaultParagraphFont"/>
  </w:style>
  <w:style w:type="character" w:customStyle="1" w:styleId="NoSpacingChar">
    <w:name w:val="No Spacing Char"/>
    <w:basedOn w:val="DefaultParagraphFont"/>
    <w:link w:val="NoSpacing"/>
    <w:uiPriority w:val="1"/>
    <w:rPr>
      <w:rFonts w:ascii="Constantia" w:eastAsiaTheme="minorEastAsia" w:hAnsi="Constantia" w:cstheme="minorBidi"/>
      <w:sz w:val="20"/>
      <w:lang w:val="bg-BG" w:eastAsia="bg-BG"/>
    </w:rPr>
  </w:style>
  <w:style w:type="table" w:customStyle="1" w:styleId="GridTable5Dark-Accent61">
    <w:name w:val="Grid Table 5 Dark - Accent 61"/>
    <w:basedOn w:val="TableNormal"/>
    <w:uiPriority w:val="50"/>
    <w:rPr>
      <w:rFonts w:asciiTheme="minorHAnsi" w:eastAsiaTheme="minorHAnsi"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tgc">
    <w:name w:val="_tgc"/>
    <w:basedOn w:val="DefaultParagraphFont"/>
  </w:style>
  <w:style w:type="paragraph" w:styleId="BodyTextIndent">
    <w:name w:val="Body Text Indent"/>
    <w:basedOn w:val="Normal"/>
    <w:link w:val="BodyTextIndentChar"/>
    <w:uiPriority w:val="99"/>
    <w:semiHidden/>
    <w:unhideWhenUsed/>
    <w:pPr>
      <w:spacing w:after="120" w:line="270" w:lineRule="atLeast"/>
      <w:ind w:left="283"/>
    </w:pPr>
    <w:rPr>
      <w:rFonts w:ascii="Constantia" w:eastAsiaTheme="minorEastAsia" w:hAnsi="Constantia" w:cstheme="minorBidi"/>
      <w:sz w:val="20"/>
    </w:rPr>
  </w:style>
  <w:style w:type="character" w:customStyle="1" w:styleId="BodyTextIndentChar">
    <w:name w:val="Body Text Indent Char"/>
    <w:basedOn w:val="DefaultParagraphFont"/>
    <w:link w:val="BodyTextIndent"/>
    <w:uiPriority w:val="99"/>
    <w:semiHidden/>
    <w:rPr>
      <w:rFonts w:ascii="Constantia" w:eastAsiaTheme="minorEastAsia" w:hAnsi="Constantia" w:cstheme="minorBidi"/>
      <w:sz w:val="20"/>
      <w:lang w:val="bg-BG" w:eastAsia="bg-BG"/>
    </w:rPr>
  </w:style>
  <w:style w:type="paragraph" w:styleId="BodyTextFirstIndent2">
    <w:name w:val="Body Text First Indent 2"/>
    <w:basedOn w:val="BodyTextIndent"/>
    <w:link w:val="BodyTextFirstIndent2Char"/>
    <w:uiPriority w:val="99"/>
    <w:semiHidden/>
    <w:unhideWhenUsed/>
    <w:pPr>
      <w:spacing w:after="200"/>
      <w:ind w:left="360" w:firstLine="360"/>
    </w:pPr>
  </w:style>
  <w:style w:type="character" w:customStyle="1" w:styleId="BodyTextFirstIndent2Char">
    <w:name w:val="Body Text First Indent 2 Char"/>
    <w:basedOn w:val="BodyTextIndentChar"/>
    <w:link w:val="BodyTextFirstIndent2"/>
    <w:uiPriority w:val="99"/>
    <w:semiHidden/>
    <w:rPr>
      <w:rFonts w:ascii="Constantia" w:eastAsiaTheme="minorEastAsia" w:hAnsi="Constantia" w:cstheme="minorBidi"/>
      <w:sz w:val="20"/>
      <w:lang w:val="bg-BG" w:eastAsia="bg-BG"/>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TypedudocumentChar"/>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ypedudocumentChar"/>
    <w:link w:val="HeaderSensitivity"/>
    <w:rPr>
      <w:rFonts w:ascii="Times New Roman" w:hAnsi="Times New Roman" w:cs="Times New Roman"/>
      <w:b/>
      <w:sz w:val="32"/>
    </w:rPr>
  </w:style>
  <w:style w:type="character" w:customStyle="1" w:styleId="st1">
    <w:name w:val="st1"/>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043606">
      <w:bodyDiv w:val="1"/>
      <w:marLeft w:val="0"/>
      <w:marRight w:val="0"/>
      <w:marTop w:val="0"/>
      <w:marBottom w:val="0"/>
      <w:divBdr>
        <w:top w:val="none" w:sz="0" w:space="0" w:color="auto"/>
        <w:left w:val="none" w:sz="0" w:space="0" w:color="auto"/>
        <w:bottom w:val="none" w:sz="0" w:space="0" w:color="auto"/>
        <w:right w:val="none" w:sz="0" w:space="0" w:color="auto"/>
      </w:divBdr>
    </w:div>
    <w:div w:id="400446890">
      <w:bodyDiv w:val="1"/>
      <w:marLeft w:val="0"/>
      <w:marRight w:val="0"/>
      <w:marTop w:val="0"/>
      <w:marBottom w:val="0"/>
      <w:divBdr>
        <w:top w:val="none" w:sz="0" w:space="0" w:color="auto"/>
        <w:left w:val="none" w:sz="0" w:space="0" w:color="auto"/>
        <w:bottom w:val="none" w:sz="0" w:space="0" w:color="auto"/>
        <w:right w:val="none" w:sz="0" w:space="0" w:color="auto"/>
      </w:divBdr>
    </w:div>
    <w:div w:id="413867345">
      <w:bodyDiv w:val="1"/>
      <w:marLeft w:val="0"/>
      <w:marRight w:val="0"/>
      <w:marTop w:val="0"/>
      <w:marBottom w:val="0"/>
      <w:divBdr>
        <w:top w:val="none" w:sz="0" w:space="0" w:color="auto"/>
        <w:left w:val="none" w:sz="0" w:space="0" w:color="auto"/>
        <w:bottom w:val="none" w:sz="0" w:space="0" w:color="auto"/>
        <w:right w:val="none" w:sz="0" w:space="0" w:color="auto"/>
      </w:divBdr>
      <w:divsChild>
        <w:div w:id="1780374084">
          <w:marLeft w:val="0"/>
          <w:marRight w:val="0"/>
          <w:marTop w:val="0"/>
          <w:marBottom w:val="0"/>
          <w:divBdr>
            <w:top w:val="none" w:sz="0" w:space="0" w:color="auto"/>
            <w:left w:val="none" w:sz="0" w:space="0" w:color="auto"/>
            <w:bottom w:val="none" w:sz="0" w:space="0" w:color="auto"/>
            <w:right w:val="none" w:sz="0" w:space="0" w:color="auto"/>
          </w:divBdr>
        </w:div>
        <w:div w:id="1904900224">
          <w:marLeft w:val="0"/>
          <w:marRight w:val="0"/>
          <w:marTop w:val="0"/>
          <w:marBottom w:val="0"/>
          <w:divBdr>
            <w:top w:val="none" w:sz="0" w:space="0" w:color="auto"/>
            <w:left w:val="none" w:sz="0" w:space="0" w:color="auto"/>
            <w:bottom w:val="none" w:sz="0" w:space="0" w:color="auto"/>
            <w:right w:val="none" w:sz="0" w:space="0" w:color="auto"/>
          </w:divBdr>
        </w:div>
      </w:divsChild>
    </w:div>
    <w:div w:id="586113651">
      <w:bodyDiv w:val="1"/>
      <w:marLeft w:val="0"/>
      <w:marRight w:val="0"/>
      <w:marTop w:val="0"/>
      <w:marBottom w:val="0"/>
      <w:divBdr>
        <w:top w:val="none" w:sz="0" w:space="0" w:color="auto"/>
        <w:left w:val="none" w:sz="0" w:space="0" w:color="auto"/>
        <w:bottom w:val="none" w:sz="0" w:space="0" w:color="auto"/>
        <w:right w:val="none" w:sz="0" w:space="0" w:color="auto"/>
      </w:divBdr>
    </w:div>
    <w:div w:id="1052463737">
      <w:marLeft w:val="0"/>
      <w:marRight w:val="0"/>
      <w:marTop w:val="0"/>
      <w:marBottom w:val="0"/>
      <w:divBdr>
        <w:top w:val="none" w:sz="0" w:space="0" w:color="auto"/>
        <w:left w:val="none" w:sz="0" w:space="0" w:color="auto"/>
        <w:bottom w:val="none" w:sz="0" w:space="0" w:color="auto"/>
        <w:right w:val="none" w:sz="0" w:space="0" w:color="auto"/>
      </w:divBdr>
    </w:div>
    <w:div w:id="1052463738">
      <w:marLeft w:val="0"/>
      <w:marRight w:val="0"/>
      <w:marTop w:val="0"/>
      <w:marBottom w:val="0"/>
      <w:divBdr>
        <w:top w:val="none" w:sz="0" w:space="0" w:color="auto"/>
        <w:left w:val="none" w:sz="0" w:space="0" w:color="auto"/>
        <w:bottom w:val="none" w:sz="0" w:space="0" w:color="auto"/>
        <w:right w:val="none" w:sz="0" w:space="0" w:color="auto"/>
      </w:divBdr>
    </w:div>
    <w:div w:id="1052463739">
      <w:marLeft w:val="0"/>
      <w:marRight w:val="0"/>
      <w:marTop w:val="0"/>
      <w:marBottom w:val="0"/>
      <w:divBdr>
        <w:top w:val="none" w:sz="0" w:space="0" w:color="auto"/>
        <w:left w:val="none" w:sz="0" w:space="0" w:color="auto"/>
        <w:bottom w:val="none" w:sz="0" w:space="0" w:color="auto"/>
        <w:right w:val="none" w:sz="0" w:space="0" w:color="auto"/>
      </w:divBdr>
    </w:div>
    <w:div w:id="1052463740">
      <w:marLeft w:val="0"/>
      <w:marRight w:val="0"/>
      <w:marTop w:val="0"/>
      <w:marBottom w:val="0"/>
      <w:divBdr>
        <w:top w:val="none" w:sz="0" w:space="0" w:color="auto"/>
        <w:left w:val="none" w:sz="0" w:space="0" w:color="auto"/>
        <w:bottom w:val="none" w:sz="0" w:space="0" w:color="auto"/>
        <w:right w:val="none" w:sz="0" w:space="0" w:color="auto"/>
      </w:divBdr>
    </w:div>
    <w:div w:id="1052463741">
      <w:marLeft w:val="0"/>
      <w:marRight w:val="0"/>
      <w:marTop w:val="0"/>
      <w:marBottom w:val="0"/>
      <w:divBdr>
        <w:top w:val="none" w:sz="0" w:space="0" w:color="auto"/>
        <w:left w:val="none" w:sz="0" w:space="0" w:color="auto"/>
        <w:bottom w:val="none" w:sz="0" w:space="0" w:color="auto"/>
        <w:right w:val="none" w:sz="0" w:space="0" w:color="auto"/>
      </w:divBdr>
    </w:div>
    <w:div w:id="1052463742">
      <w:marLeft w:val="0"/>
      <w:marRight w:val="0"/>
      <w:marTop w:val="0"/>
      <w:marBottom w:val="0"/>
      <w:divBdr>
        <w:top w:val="none" w:sz="0" w:space="0" w:color="auto"/>
        <w:left w:val="none" w:sz="0" w:space="0" w:color="auto"/>
        <w:bottom w:val="none" w:sz="0" w:space="0" w:color="auto"/>
        <w:right w:val="none" w:sz="0" w:space="0" w:color="auto"/>
      </w:divBdr>
    </w:div>
    <w:div w:id="1052463743">
      <w:marLeft w:val="0"/>
      <w:marRight w:val="0"/>
      <w:marTop w:val="0"/>
      <w:marBottom w:val="0"/>
      <w:divBdr>
        <w:top w:val="none" w:sz="0" w:space="0" w:color="auto"/>
        <w:left w:val="none" w:sz="0" w:space="0" w:color="auto"/>
        <w:bottom w:val="none" w:sz="0" w:space="0" w:color="auto"/>
        <w:right w:val="none" w:sz="0" w:space="0" w:color="auto"/>
      </w:divBdr>
    </w:div>
    <w:div w:id="1052463744">
      <w:marLeft w:val="0"/>
      <w:marRight w:val="0"/>
      <w:marTop w:val="0"/>
      <w:marBottom w:val="0"/>
      <w:divBdr>
        <w:top w:val="none" w:sz="0" w:space="0" w:color="auto"/>
        <w:left w:val="none" w:sz="0" w:space="0" w:color="auto"/>
        <w:bottom w:val="none" w:sz="0" w:space="0" w:color="auto"/>
        <w:right w:val="none" w:sz="0" w:space="0" w:color="auto"/>
      </w:divBdr>
    </w:div>
    <w:div w:id="1052463745">
      <w:marLeft w:val="0"/>
      <w:marRight w:val="0"/>
      <w:marTop w:val="0"/>
      <w:marBottom w:val="0"/>
      <w:divBdr>
        <w:top w:val="none" w:sz="0" w:space="0" w:color="auto"/>
        <w:left w:val="none" w:sz="0" w:space="0" w:color="auto"/>
        <w:bottom w:val="none" w:sz="0" w:space="0" w:color="auto"/>
        <w:right w:val="none" w:sz="0" w:space="0" w:color="auto"/>
      </w:divBdr>
    </w:div>
    <w:div w:id="1052463746">
      <w:marLeft w:val="0"/>
      <w:marRight w:val="0"/>
      <w:marTop w:val="0"/>
      <w:marBottom w:val="0"/>
      <w:divBdr>
        <w:top w:val="none" w:sz="0" w:space="0" w:color="auto"/>
        <w:left w:val="none" w:sz="0" w:space="0" w:color="auto"/>
        <w:bottom w:val="none" w:sz="0" w:space="0" w:color="auto"/>
        <w:right w:val="none" w:sz="0" w:space="0" w:color="auto"/>
      </w:divBdr>
    </w:div>
    <w:div w:id="1052463747">
      <w:marLeft w:val="0"/>
      <w:marRight w:val="0"/>
      <w:marTop w:val="0"/>
      <w:marBottom w:val="0"/>
      <w:divBdr>
        <w:top w:val="none" w:sz="0" w:space="0" w:color="auto"/>
        <w:left w:val="none" w:sz="0" w:space="0" w:color="auto"/>
        <w:bottom w:val="none" w:sz="0" w:space="0" w:color="auto"/>
        <w:right w:val="none" w:sz="0" w:space="0" w:color="auto"/>
      </w:divBdr>
    </w:div>
    <w:div w:id="1052463748">
      <w:marLeft w:val="0"/>
      <w:marRight w:val="0"/>
      <w:marTop w:val="0"/>
      <w:marBottom w:val="0"/>
      <w:divBdr>
        <w:top w:val="none" w:sz="0" w:space="0" w:color="auto"/>
        <w:left w:val="none" w:sz="0" w:space="0" w:color="auto"/>
        <w:bottom w:val="none" w:sz="0" w:space="0" w:color="auto"/>
        <w:right w:val="none" w:sz="0" w:space="0" w:color="auto"/>
      </w:divBdr>
    </w:div>
    <w:div w:id="1052463749">
      <w:marLeft w:val="0"/>
      <w:marRight w:val="0"/>
      <w:marTop w:val="0"/>
      <w:marBottom w:val="0"/>
      <w:divBdr>
        <w:top w:val="none" w:sz="0" w:space="0" w:color="auto"/>
        <w:left w:val="none" w:sz="0" w:space="0" w:color="auto"/>
        <w:bottom w:val="none" w:sz="0" w:space="0" w:color="auto"/>
        <w:right w:val="none" w:sz="0" w:space="0" w:color="auto"/>
      </w:divBdr>
    </w:div>
    <w:div w:id="1052463750">
      <w:marLeft w:val="0"/>
      <w:marRight w:val="0"/>
      <w:marTop w:val="0"/>
      <w:marBottom w:val="0"/>
      <w:divBdr>
        <w:top w:val="none" w:sz="0" w:space="0" w:color="auto"/>
        <w:left w:val="none" w:sz="0" w:space="0" w:color="auto"/>
        <w:bottom w:val="none" w:sz="0" w:space="0" w:color="auto"/>
        <w:right w:val="none" w:sz="0" w:space="0" w:color="auto"/>
      </w:divBdr>
    </w:div>
    <w:div w:id="1052463751">
      <w:marLeft w:val="0"/>
      <w:marRight w:val="0"/>
      <w:marTop w:val="0"/>
      <w:marBottom w:val="0"/>
      <w:divBdr>
        <w:top w:val="none" w:sz="0" w:space="0" w:color="auto"/>
        <w:left w:val="none" w:sz="0" w:space="0" w:color="auto"/>
        <w:bottom w:val="none" w:sz="0" w:space="0" w:color="auto"/>
        <w:right w:val="none" w:sz="0" w:space="0" w:color="auto"/>
      </w:divBdr>
    </w:div>
    <w:div w:id="1052463752">
      <w:marLeft w:val="0"/>
      <w:marRight w:val="0"/>
      <w:marTop w:val="0"/>
      <w:marBottom w:val="0"/>
      <w:divBdr>
        <w:top w:val="none" w:sz="0" w:space="0" w:color="auto"/>
        <w:left w:val="none" w:sz="0" w:space="0" w:color="auto"/>
        <w:bottom w:val="none" w:sz="0" w:space="0" w:color="auto"/>
        <w:right w:val="none" w:sz="0" w:space="0" w:color="auto"/>
      </w:divBdr>
    </w:div>
    <w:div w:id="1144353810">
      <w:bodyDiv w:val="1"/>
      <w:marLeft w:val="0"/>
      <w:marRight w:val="0"/>
      <w:marTop w:val="0"/>
      <w:marBottom w:val="0"/>
      <w:divBdr>
        <w:top w:val="none" w:sz="0" w:space="0" w:color="auto"/>
        <w:left w:val="none" w:sz="0" w:space="0" w:color="auto"/>
        <w:bottom w:val="none" w:sz="0" w:space="0" w:color="auto"/>
        <w:right w:val="none" w:sz="0" w:space="0" w:color="auto"/>
      </w:divBdr>
    </w:div>
    <w:div w:id="1382024721">
      <w:bodyDiv w:val="1"/>
      <w:marLeft w:val="0"/>
      <w:marRight w:val="0"/>
      <w:marTop w:val="0"/>
      <w:marBottom w:val="0"/>
      <w:divBdr>
        <w:top w:val="none" w:sz="0" w:space="0" w:color="auto"/>
        <w:left w:val="none" w:sz="0" w:space="0" w:color="auto"/>
        <w:bottom w:val="none" w:sz="0" w:space="0" w:color="auto"/>
        <w:right w:val="none" w:sz="0" w:space="0" w:color="auto"/>
      </w:divBdr>
      <w:divsChild>
        <w:div w:id="863639192">
          <w:marLeft w:val="0"/>
          <w:marRight w:val="0"/>
          <w:marTop w:val="0"/>
          <w:marBottom w:val="0"/>
          <w:divBdr>
            <w:top w:val="none" w:sz="0" w:space="0" w:color="auto"/>
            <w:left w:val="none" w:sz="0" w:space="0" w:color="auto"/>
            <w:bottom w:val="none" w:sz="0" w:space="0" w:color="auto"/>
            <w:right w:val="none" w:sz="0" w:space="0" w:color="auto"/>
          </w:divBdr>
          <w:divsChild>
            <w:div w:id="634527707">
              <w:marLeft w:val="0"/>
              <w:marRight w:val="0"/>
              <w:marTop w:val="0"/>
              <w:marBottom w:val="0"/>
              <w:divBdr>
                <w:top w:val="none" w:sz="0" w:space="0" w:color="auto"/>
                <w:left w:val="none" w:sz="0" w:space="0" w:color="auto"/>
                <w:bottom w:val="none" w:sz="0" w:space="0" w:color="auto"/>
                <w:right w:val="none" w:sz="0" w:space="0" w:color="auto"/>
              </w:divBdr>
              <w:divsChild>
                <w:div w:id="1855606320">
                  <w:marLeft w:val="0"/>
                  <w:marRight w:val="0"/>
                  <w:marTop w:val="0"/>
                  <w:marBottom w:val="0"/>
                  <w:divBdr>
                    <w:top w:val="none" w:sz="0" w:space="0" w:color="auto"/>
                    <w:left w:val="none" w:sz="0" w:space="0" w:color="auto"/>
                    <w:bottom w:val="none" w:sz="0" w:space="0" w:color="auto"/>
                    <w:right w:val="none" w:sz="0" w:space="0" w:color="auto"/>
                  </w:divBdr>
                  <w:divsChild>
                    <w:div w:id="488789598">
                      <w:marLeft w:val="0"/>
                      <w:marRight w:val="0"/>
                      <w:marTop w:val="0"/>
                      <w:marBottom w:val="0"/>
                      <w:divBdr>
                        <w:top w:val="none" w:sz="0" w:space="0" w:color="auto"/>
                        <w:left w:val="none" w:sz="0" w:space="0" w:color="auto"/>
                        <w:bottom w:val="none" w:sz="0" w:space="0" w:color="auto"/>
                        <w:right w:val="none" w:sz="0" w:space="0" w:color="auto"/>
                      </w:divBdr>
                      <w:divsChild>
                        <w:div w:id="1990353828">
                          <w:marLeft w:val="0"/>
                          <w:marRight w:val="0"/>
                          <w:marTop w:val="0"/>
                          <w:marBottom w:val="0"/>
                          <w:divBdr>
                            <w:top w:val="none" w:sz="0" w:space="0" w:color="auto"/>
                            <w:left w:val="none" w:sz="0" w:space="0" w:color="auto"/>
                            <w:bottom w:val="none" w:sz="0" w:space="0" w:color="auto"/>
                            <w:right w:val="none" w:sz="0" w:space="0" w:color="auto"/>
                          </w:divBdr>
                          <w:divsChild>
                            <w:div w:id="9112973">
                              <w:marLeft w:val="0"/>
                              <w:marRight w:val="0"/>
                              <w:marTop w:val="0"/>
                              <w:marBottom w:val="0"/>
                              <w:divBdr>
                                <w:top w:val="none" w:sz="0" w:space="0" w:color="auto"/>
                                <w:left w:val="none" w:sz="0" w:space="0" w:color="auto"/>
                                <w:bottom w:val="none" w:sz="0" w:space="0" w:color="auto"/>
                                <w:right w:val="none" w:sz="0" w:space="0" w:color="auto"/>
                              </w:divBdr>
                              <w:divsChild>
                                <w:div w:id="868034489">
                                  <w:marLeft w:val="0"/>
                                  <w:marRight w:val="0"/>
                                  <w:marTop w:val="0"/>
                                  <w:marBottom w:val="0"/>
                                  <w:divBdr>
                                    <w:top w:val="none" w:sz="0" w:space="0" w:color="auto"/>
                                    <w:left w:val="none" w:sz="0" w:space="0" w:color="auto"/>
                                    <w:bottom w:val="none" w:sz="0" w:space="0" w:color="auto"/>
                                    <w:right w:val="none" w:sz="0" w:space="0" w:color="auto"/>
                                  </w:divBdr>
                                  <w:divsChild>
                                    <w:div w:id="14161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250662">
      <w:bodyDiv w:val="1"/>
      <w:marLeft w:val="0"/>
      <w:marRight w:val="0"/>
      <w:marTop w:val="0"/>
      <w:marBottom w:val="0"/>
      <w:divBdr>
        <w:top w:val="none" w:sz="0" w:space="0" w:color="auto"/>
        <w:left w:val="none" w:sz="0" w:space="0" w:color="auto"/>
        <w:bottom w:val="none" w:sz="0" w:space="0" w:color="auto"/>
        <w:right w:val="none" w:sz="0" w:space="0" w:color="auto"/>
      </w:divBdr>
    </w:div>
    <w:div w:id="1931622106">
      <w:bodyDiv w:val="1"/>
      <w:marLeft w:val="0"/>
      <w:marRight w:val="0"/>
      <w:marTop w:val="0"/>
      <w:marBottom w:val="0"/>
      <w:divBdr>
        <w:top w:val="none" w:sz="0" w:space="0" w:color="auto"/>
        <w:left w:val="none" w:sz="0" w:space="0" w:color="auto"/>
        <w:bottom w:val="none" w:sz="0" w:space="0" w:color="auto"/>
        <w:right w:val="none" w:sz="0" w:space="0" w:color="auto"/>
      </w:divBdr>
      <w:divsChild>
        <w:div w:id="2073579819">
          <w:marLeft w:val="0"/>
          <w:marRight w:val="0"/>
          <w:marTop w:val="0"/>
          <w:marBottom w:val="0"/>
          <w:divBdr>
            <w:top w:val="none" w:sz="0" w:space="0" w:color="auto"/>
            <w:left w:val="none" w:sz="0" w:space="0" w:color="auto"/>
            <w:bottom w:val="none" w:sz="0" w:space="0" w:color="auto"/>
            <w:right w:val="none" w:sz="0" w:space="0" w:color="auto"/>
          </w:divBdr>
          <w:divsChild>
            <w:div w:id="163013198">
              <w:marLeft w:val="0"/>
              <w:marRight w:val="0"/>
              <w:marTop w:val="0"/>
              <w:marBottom w:val="0"/>
              <w:divBdr>
                <w:top w:val="none" w:sz="0" w:space="0" w:color="auto"/>
                <w:left w:val="none" w:sz="0" w:space="0" w:color="auto"/>
                <w:bottom w:val="none" w:sz="0" w:space="0" w:color="auto"/>
                <w:right w:val="none" w:sz="0" w:space="0" w:color="auto"/>
              </w:divBdr>
              <w:divsChild>
                <w:div w:id="1523593393">
                  <w:marLeft w:val="0"/>
                  <w:marRight w:val="0"/>
                  <w:marTop w:val="0"/>
                  <w:marBottom w:val="0"/>
                  <w:divBdr>
                    <w:top w:val="none" w:sz="0" w:space="0" w:color="auto"/>
                    <w:left w:val="none" w:sz="0" w:space="0" w:color="auto"/>
                    <w:bottom w:val="none" w:sz="0" w:space="0" w:color="auto"/>
                    <w:right w:val="none" w:sz="0" w:space="0" w:color="auto"/>
                  </w:divBdr>
                  <w:divsChild>
                    <w:div w:id="1194660420">
                      <w:marLeft w:val="0"/>
                      <w:marRight w:val="0"/>
                      <w:marTop w:val="0"/>
                      <w:marBottom w:val="0"/>
                      <w:divBdr>
                        <w:top w:val="none" w:sz="0" w:space="0" w:color="auto"/>
                        <w:left w:val="none" w:sz="0" w:space="0" w:color="auto"/>
                        <w:bottom w:val="none" w:sz="0" w:space="0" w:color="auto"/>
                        <w:right w:val="none" w:sz="0" w:space="0" w:color="auto"/>
                      </w:divBdr>
                      <w:divsChild>
                        <w:div w:id="90669040">
                          <w:marLeft w:val="0"/>
                          <w:marRight w:val="0"/>
                          <w:marTop w:val="0"/>
                          <w:marBottom w:val="0"/>
                          <w:divBdr>
                            <w:top w:val="none" w:sz="0" w:space="0" w:color="auto"/>
                            <w:left w:val="none" w:sz="0" w:space="0" w:color="auto"/>
                            <w:bottom w:val="none" w:sz="0" w:space="0" w:color="auto"/>
                            <w:right w:val="none" w:sz="0" w:space="0" w:color="auto"/>
                          </w:divBdr>
                          <w:divsChild>
                            <w:div w:id="1949774535">
                              <w:marLeft w:val="0"/>
                              <w:marRight w:val="0"/>
                              <w:marTop w:val="0"/>
                              <w:marBottom w:val="0"/>
                              <w:divBdr>
                                <w:top w:val="none" w:sz="0" w:space="0" w:color="auto"/>
                                <w:left w:val="none" w:sz="0" w:space="0" w:color="auto"/>
                                <w:bottom w:val="none" w:sz="0" w:space="0" w:color="auto"/>
                                <w:right w:val="none" w:sz="0" w:space="0" w:color="auto"/>
                              </w:divBdr>
                              <w:divsChild>
                                <w:div w:id="1848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5.xml"/><Relationship Id="rId29" Type="http://schemas.openxmlformats.org/officeDocument/2006/relationships/image" Target="media/image3.emf"/><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image" Target="media/image5.emf"/><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4.emf"/><Relationship Id="rId35" Type="http://schemas.openxmlformats.org/officeDocument/2006/relationships/header" Target="header12.xml"/><Relationship Id="rId43" Type="http://schemas.openxmlformats.org/officeDocument/2006/relationships/footer" Target="footer15.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vironment/forests/pdf/list_competent_authorities_eutr.pdf" TargetMode="External"/><Relationship Id="rId2" Type="http://schemas.openxmlformats.org/officeDocument/2006/relationships/hyperlink" Target="http://ec.europa.eu/environment/forests/flegt.htm" TargetMode="External"/><Relationship Id="rId1" Type="http://schemas.openxmlformats.org/officeDocument/2006/relationships/hyperlink" Target="http://ec.europa.eu/eurostat/statistics-explained/index.php/Wood_products_-_production_and_tr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0B238-CD6A-4A39-A21F-E281048C2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5660</Words>
  <Characters>30905</Characters>
  <Application>Microsoft Office Word</Application>
  <DocSecurity>0</DocSecurity>
  <Lines>1404</Lines>
  <Paragraphs>716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22</cp:revision>
  <cp:lastPrinted>2018-07-30T10:01:00Z</cp:lastPrinted>
  <dcterms:created xsi:type="dcterms:W3CDTF">2018-08-01T13:14:00Z</dcterms:created>
  <dcterms:modified xsi:type="dcterms:W3CDTF">2018-10-04T16:22:00Z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6.0.1, Build 20180503</vt:lpwstr>
  </property>
  <property fmtid="{D5CDD505-2E9C-101B-9397-08002B2CF9AE}" pid="7" name="Created using">
    <vt:lpwstr>LW 6.0.1, Build 20180503</vt:lpwstr>
  </property>
</Properties>
</file>